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34" w:rsidRPr="00204924" w:rsidRDefault="00DA569B" w:rsidP="00DA569B">
      <w:pPr>
        <w:jc w:val="center"/>
        <w:rPr>
          <w:b/>
          <w:sz w:val="40"/>
          <w:szCs w:val="24"/>
        </w:rPr>
      </w:pPr>
      <w:r w:rsidRPr="00204924">
        <w:rPr>
          <w:b/>
          <w:sz w:val="40"/>
          <w:szCs w:val="24"/>
        </w:rPr>
        <w:t>Oxford Health NHS Foundation Trust</w:t>
      </w:r>
    </w:p>
    <w:p w:rsidR="0064720C" w:rsidRPr="00204924" w:rsidRDefault="00DA569B" w:rsidP="00204924">
      <w:pPr>
        <w:jc w:val="center"/>
        <w:rPr>
          <w:b/>
          <w:sz w:val="40"/>
          <w:szCs w:val="24"/>
        </w:rPr>
      </w:pPr>
      <w:r w:rsidRPr="00204924">
        <w:rPr>
          <w:b/>
          <w:sz w:val="40"/>
          <w:szCs w:val="24"/>
        </w:rPr>
        <w:t>Workforce Race Equality Standard – Trust Action Plan</w:t>
      </w:r>
      <w:r w:rsidR="00204924" w:rsidRPr="00204924">
        <w:rPr>
          <w:b/>
          <w:sz w:val="40"/>
          <w:szCs w:val="24"/>
        </w:rPr>
        <w:t xml:space="preserve"> </w:t>
      </w:r>
      <w:r w:rsidR="00B15B20">
        <w:rPr>
          <w:b/>
          <w:sz w:val="40"/>
          <w:szCs w:val="24"/>
        </w:rPr>
        <w:t>2016</w:t>
      </w:r>
    </w:p>
    <w:p w:rsidR="00B15B20" w:rsidRPr="004E762F" w:rsidRDefault="00B15B20">
      <w:pPr>
        <w:rPr>
          <w:sz w:val="32"/>
          <w:szCs w:val="40"/>
        </w:rPr>
      </w:pPr>
      <w:r w:rsidRPr="004E762F">
        <w:rPr>
          <w:sz w:val="32"/>
          <w:szCs w:val="40"/>
        </w:rPr>
        <w:t xml:space="preserve">This is the Trust’s second submission of the WRES for the financial year 2015/16. </w:t>
      </w:r>
    </w:p>
    <w:p w:rsidR="00B15B20" w:rsidRPr="004E762F" w:rsidRDefault="00B15B20">
      <w:pPr>
        <w:rPr>
          <w:sz w:val="32"/>
          <w:szCs w:val="40"/>
        </w:rPr>
      </w:pPr>
      <w:r w:rsidRPr="004E762F">
        <w:rPr>
          <w:sz w:val="32"/>
          <w:szCs w:val="40"/>
        </w:rPr>
        <w:t xml:space="preserve">Headline comparisons with the 2014/15 WRES include: </w:t>
      </w:r>
    </w:p>
    <w:p w:rsidR="00B15B20" w:rsidRPr="004E762F" w:rsidRDefault="00B15B20" w:rsidP="00B15B20">
      <w:pPr>
        <w:pStyle w:val="ListParagraph"/>
        <w:numPr>
          <w:ilvl w:val="0"/>
          <w:numId w:val="10"/>
        </w:numPr>
        <w:rPr>
          <w:sz w:val="32"/>
          <w:szCs w:val="40"/>
        </w:rPr>
      </w:pPr>
      <w:r w:rsidRPr="004E762F">
        <w:rPr>
          <w:sz w:val="32"/>
          <w:szCs w:val="40"/>
        </w:rPr>
        <w:t>Significant progress has been made in Indicator 2 (relative likelihood of staff being appointed from shortlisting)</w:t>
      </w:r>
    </w:p>
    <w:p w:rsidR="00B15B20" w:rsidRPr="004E762F" w:rsidRDefault="00B15B20" w:rsidP="00B15B20">
      <w:pPr>
        <w:pStyle w:val="ListParagraph"/>
        <w:numPr>
          <w:ilvl w:val="0"/>
          <w:numId w:val="10"/>
        </w:numPr>
        <w:rPr>
          <w:sz w:val="32"/>
          <w:szCs w:val="40"/>
        </w:rPr>
      </w:pPr>
      <w:r w:rsidRPr="004E762F">
        <w:rPr>
          <w:sz w:val="32"/>
          <w:szCs w:val="40"/>
        </w:rPr>
        <w:t xml:space="preserve">Significant improvements have been made in </w:t>
      </w:r>
      <w:r w:rsidR="001C24D3" w:rsidRPr="004E762F">
        <w:rPr>
          <w:sz w:val="32"/>
          <w:szCs w:val="40"/>
        </w:rPr>
        <w:t>Indicator 5 (percentage of staff experiencing bullying, harassment or abuse from patients, relatives or the public).</w:t>
      </w:r>
    </w:p>
    <w:p w:rsidR="00B15B20" w:rsidRPr="004E762F" w:rsidRDefault="00B15B20">
      <w:pPr>
        <w:rPr>
          <w:sz w:val="32"/>
          <w:szCs w:val="40"/>
        </w:rPr>
      </w:pPr>
      <w:r w:rsidRPr="004E762F">
        <w:rPr>
          <w:sz w:val="32"/>
          <w:szCs w:val="40"/>
        </w:rPr>
        <w:t xml:space="preserve">Note: </w:t>
      </w:r>
    </w:p>
    <w:p w:rsidR="00413F33" w:rsidRPr="004E762F" w:rsidRDefault="00413F33" w:rsidP="00413F33">
      <w:pPr>
        <w:pStyle w:val="ListParagraph"/>
        <w:numPr>
          <w:ilvl w:val="0"/>
          <w:numId w:val="11"/>
        </w:numPr>
        <w:rPr>
          <w:sz w:val="32"/>
          <w:szCs w:val="40"/>
        </w:rPr>
      </w:pPr>
      <w:r w:rsidRPr="004E762F">
        <w:rPr>
          <w:sz w:val="32"/>
          <w:szCs w:val="40"/>
        </w:rPr>
        <w:t>M</w:t>
      </w:r>
      <w:r w:rsidR="001C24D3" w:rsidRPr="004E762F">
        <w:rPr>
          <w:sz w:val="32"/>
          <w:szCs w:val="40"/>
        </w:rPr>
        <w:t>ore</w:t>
      </w:r>
      <w:r w:rsidRPr="004E762F">
        <w:rPr>
          <w:sz w:val="32"/>
          <w:szCs w:val="40"/>
        </w:rPr>
        <w:t xml:space="preserve"> directed</w:t>
      </w:r>
      <w:r w:rsidR="001C24D3" w:rsidRPr="004E762F">
        <w:rPr>
          <w:sz w:val="32"/>
          <w:szCs w:val="40"/>
        </w:rPr>
        <w:t xml:space="preserve"> work </w:t>
      </w:r>
      <w:r w:rsidRPr="004E762F">
        <w:rPr>
          <w:sz w:val="32"/>
          <w:szCs w:val="40"/>
        </w:rPr>
        <w:t xml:space="preserve">needs </w:t>
      </w:r>
      <w:r w:rsidR="001C24D3" w:rsidRPr="004E762F">
        <w:rPr>
          <w:sz w:val="32"/>
          <w:szCs w:val="40"/>
        </w:rPr>
        <w:t xml:space="preserve">to be done in relation to </w:t>
      </w:r>
      <w:r w:rsidRPr="004E762F">
        <w:rPr>
          <w:sz w:val="32"/>
          <w:szCs w:val="40"/>
        </w:rPr>
        <w:t xml:space="preserve">the other Indicators </w:t>
      </w:r>
    </w:p>
    <w:p w:rsidR="001C24D3" w:rsidRPr="004E762F" w:rsidRDefault="001C24D3" w:rsidP="00413F33">
      <w:pPr>
        <w:pStyle w:val="ListParagraph"/>
        <w:numPr>
          <w:ilvl w:val="0"/>
          <w:numId w:val="11"/>
        </w:numPr>
        <w:rPr>
          <w:sz w:val="32"/>
          <w:szCs w:val="40"/>
        </w:rPr>
      </w:pPr>
      <w:r w:rsidRPr="004E762F">
        <w:rPr>
          <w:sz w:val="32"/>
          <w:szCs w:val="40"/>
        </w:rPr>
        <w:t>Whilst the result for Indicator 4 (relative likelihood of staff entering the formal disciplinary</w:t>
      </w:r>
      <w:r w:rsidR="00413F33" w:rsidRPr="004E762F">
        <w:rPr>
          <w:sz w:val="32"/>
          <w:szCs w:val="40"/>
        </w:rPr>
        <w:t xml:space="preserve"> process) has seen an improvement from 2014/15,</w:t>
      </w:r>
      <w:r w:rsidRPr="004E762F">
        <w:rPr>
          <w:sz w:val="32"/>
          <w:szCs w:val="40"/>
        </w:rPr>
        <w:t xml:space="preserve"> </w:t>
      </w:r>
      <w:r w:rsidR="00413F33" w:rsidRPr="004E762F">
        <w:rPr>
          <w:sz w:val="32"/>
          <w:szCs w:val="40"/>
        </w:rPr>
        <w:t xml:space="preserve">it continues to </w:t>
      </w:r>
      <w:r w:rsidR="00291FAC" w:rsidRPr="004E762F">
        <w:rPr>
          <w:sz w:val="32"/>
          <w:szCs w:val="40"/>
        </w:rPr>
        <w:t>remain an</w:t>
      </w:r>
      <w:r w:rsidR="00413F33" w:rsidRPr="004E762F">
        <w:rPr>
          <w:sz w:val="32"/>
          <w:szCs w:val="40"/>
        </w:rPr>
        <w:t xml:space="preserve"> area</w:t>
      </w:r>
      <w:r w:rsidR="00291FAC" w:rsidRPr="004E762F">
        <w:rPr>
          <w:sz w:val="32"/>
          <w:szCs w:val="40"/>
        </w:rPr>
        <w:t xml:space="preserve"> of</w:t>
      </w:r>
      <w:r w:rsidR="00413F33" w:rsidRPr="004E762F">
        <w:rPr>
          <w:sz w:val="32"/>
          <w:szCs w:val="40"/>
        </w:rPr>
        <w:t xml:space="preserve"> concern. </w:t>
      </w:r>
    </w:p>
    <w:p w:rsidR="001C24D3" w:rsidRDefault="001C24D3" w:rsidP="001C24D3">
      <w:pPr>
        <w:rPr>
          <w:sz w:val="32"/>
          <w:szCs w:val="40"/>
        </w:rPr>
      </w:pPr>
      <w:r w:rsidRPr="00204924">
        <w:rPr>
          <w:sz w:val="32"/>
          <w:szCs w:val="40"/>
        </w:rPr>
        <w:t xml:space="preserve">The table below shows the </w:t>
      </w:r>
      <w:r>
        <w:rPr>
          <w:sz w:val="32"/>
          <w:szCs w:val="40"/>
        </w:rPr>
        <w:t>action plan a</w:t>
      </w:r>
      <w:r w:rsidR="00413F33">
        <w:rPr>
          <w:sz w:val="32"/>
          <w:szCs w:val="40"/>
        </w:rPr>
        <w:t>rising from the 2015/16</w:t>
      </w:r>
      <w:r>
        <w:rPr>
          <w:sz w:val="32"/>
          <w:szCs w:val="40"/>
        </w:rPr>
        <w:t xml:space="preserve"> </w:t>
      </w:r>
      <w:r w:rsidRPr="00204924">
        <w:rPr>
          <w:sz w:val="32"/>
          <w:szCs w:val="40"/>
        </w:rPr>
        <w:t xml:space="preserve">WRES </w:t>
      </w:r>
      <w:r>
        <w:rPr>
          <w:sz w:val="32"/>
          <w:szCs w:val="40"/>
        </w:rPr>
        <w:t>submission.</w:t>
      </w:r>
    </w:p>
    <w:tbl>
      <w:tblPr>
        <w:tblStyle w:val="TableGrid"/>
        <w:tblpPr w:leftFromText="180" w:rightFromText="180" w:vertAnchor="text" w:horzAnchor="margin" w:tblpXSpec="center" w:tblpY="-818"/>
        <w:tblW w:w="14283" w:type="dxa"/>
        <w:tblLook w:val="04A0" w:firstRow="1" w:lastRow="0" w:firstColumn="1" w:lastColumn="0" w:noHBand="0" w:noVBand="1"/>
      </w:tblPr>
      <w:tblGrid>
        <w:gridCol w:w="5070"/>
        <w:gridCol w:w="2551"/>
        <w:gridCol w:w="4140"/>
        <w:gridCol w:w="2522"/>
      </w:tblGrid>
      <w:tr w:rsidR="00C92DC6" w:rsidTr="00305C91">
        <w:tc>
          <w:tcPr>
            <w:tcW w:w="5070" w:type="dxa"/>
          </w:tcPr>
          <w:p w:rsidR="00C92DC6" w:rsidRPr="007E671C" w:rsidRDefault="00C92DC6" w:rsidP="002704F1">
            <w:pPr>
              <w:jc w:val="center"/>
              <w:rPr>
                <w:b/>
              </w:rPr>
            </w:pPr>
            <w:r w:rsidRPr="007E671C">
              <w:rPr>
                <w:b/>
              </w:rPr>
              <w:lastRenderedPageBreak/>
              <w:t>Indicator</w:t>
            </w:r>
          </w:p>
        </w:tc>
        <w:tc>
          <w:tcPr>
            <w:tcW w:w="2551" w:type="dxa"/>
          </w:tcPr>
          <w:p w:rsidR="00C92DC6" w:rsidRPr="007E671C" w:rsidRDefault="00C92DC6" w:rsidP="002704F1">
            <w:pPr>
              <w:jc w:val="center"/>
              <w:rPr>
                <w:b/>
              </w:rPr>
            </w:pPr>
            <w:r>
              <w:rPr>
                <w:b/>
              </w:rPr>
              <w:t>Data for 2016</w:t>
            </w:r>
          </w:p>
        </w:tc>
        <w:tc>
          <w:tcPr>
            <w:tcW w:w="4140" w:type="dxa"/>
          </w:tcPr>
          <w:p w:rsidR="00C92DC6" w:rsidRPr="007E671C" w:rsidRDefault="00C92DC6" w:rsidP="002704F1">
            <w:pPr>
              <w:jc w:val="center"/>
              <w:rPr>
                <w:b/>
              </w:rPr>
            </w:pPr>
            <w:r>
              <w:rPr>
                <w:b/>
              </w:rPr>
              <w:t>2016 WRES Action Plan</w:t>
            </w:r>
          </w:p>
          <w:p w:rsidR="00C92DC6" w:rsidRPr="007E671C" w:rsidRDefault="00C92DC6" w:rsidP="002704F1">
            <w:pPr>
              <w:jc w:val="center"/>
              <w:rPr>
                <w:b/>
              </w:rPr>
            </w:pPr>
          </w:p>
        </w:tc>
        <w:tc>
          <w:tcPr>
            <w:tcW w:w="2522" w:type="dxa"/>
          </w:tcPr>
          <w:p w:rsidR="00C92DC6" w:rsidRPr="007E671C" w:rsidRDefault="00C92DC6" w:rsidP="002704F1">
            <w:pPr>
              <w:jc w:val="center"/>
              <w:rPr>
                <w:b/>
              </w:rPr>
            </w:pPr>
            <w:r w:rsidRPr="007E671C">
              <w:rPr>
                <w:b/>
              </w:rPr>
              <w:t>Due Date</w:t>
            </w:r>
          </w:p>
        </w:tc>
      </w:tr>
      <w:tr w:rsidR="00C92DC6" w:rsidTr="00305C91">
        <w:tc>
          <w:tcPr>
            <w:tcW w:w="5070" w:type="dxa"/>
          </w:tcPr>
          <w:p w:rsidR="00C92DC6" w:rsidRPr="00346DB4" w:rsidRDefault="00C92DC6" w:rsidP="00C92DC6">
            <w:pPr>
              <w:pStyle w:val="ListParagraph"/>
              <w:numPr>
                <w:ilvl w:val="0"/>
                <w:numId w:val="9"/>
              </w:numPr>
            </w:pPr>
            <w:r>
              <w:t>%age of staff in AfC Bands 1-9 and VSM (</w:t>
            </w:r>
            <w:proofErr w:type="spellStart"/>
            <w:r>
              <w:t>inc</w:t>
            </w:r>
            <w:proofErr w:type="spellEnd"/>
            <w:r>
              <w:t xml:space="preserve"> Exec Board Members) compared with the %age in the overall workforce (compare the data for White and BME staff)</w:t>
            </w:r>
          </w:p>
          <w:p w:rsidR="00C92DC6" w:rsidRPr="00346DB4" w:rsidRDefault="00C92DC6" w:rsidP="007E671C">
            <w:pPr>
              <w:rPr>
                <w:b/>
              </w:rPr>
            </w:pPr>
          </w:p>
        </w:tc>
        <w:tc>
          <w:tcPr>
            <w:tcW w:w="2551" w:type="dxa"/>
          </w:tcPr>
          <w:p w:rsidR="00C92DC6" w:rsidRDefault="00C92DC6" w:rsidP="00C92DC6">
            <w:r>
              <w:t>White: 84.3%</w:t>
            </w:r>
          </w:p>
          <w:p w:rsidR="00C92DC6" w:rsidRDefault="00C92DC6" w:rsidP="00C92DC6">
            <w:r>
              <w:t>BME: 14.1%</w:t>
            </w:r>
          </w:p>
          <w:p w:rsidR="00C92DC6" w:rsidRDefault="00C92DC6" w:rsidP="00C92DC6">
            <w:r>
              <w:t>Not stated: 1.6%</w:t>
            </w:r>
          </w:p>
        </w:tc>
        <w:tc>
          <w:tcPr>
            <w:tcW w:w="4140" w:type="dxa"/>
          </w:tcPr>
          <w:p w:rsidR="00C92DC6" w:rsidRDefault="00C92DC6" w:rsidP="00D775B2">
            <w:r w:rsidRPr="00C92DC6">
              <w:t>This will be kept under review by effective workforce planning and incorporated into workforce strategy.</w:t>
            </w:r>
          </w:p>
          <w:p w:rsidR="00C92DC6" w:rsidRDefault="00C92DC6" w:rsidP="00D775B2"/>
          <w:p w:rsidR="00C92DC6" w:rsidRDefault="00C92DC6" w:rsidP="00D775B2">
            <w:r>
              <w:t>E&amp;D Lead and Recruitment SHRBP to discuss steps towards positive action and how managers and Recruitment can use Positive Action measures</w:t>
            </w:r>
            <w:r w:rsidR="00413F33">
              <w:t>.</w:t>
            </w:r>
          </w:p>
          <w:p w:rsidR="00C92DC6" w:rsidRDefault="00C92DC6" w:rsidP="00D775B2"/>
          <w:p w:rsidR="00C92DC6" w:rsidRDefault="00C92DC6" w:rsidP="00D775B2">
            <w:r w:rsidRPr="005A0CE0">
              <w:t>Board</w:t>
            </w:r>
            <w:r>
              <w:t xml:space="preserve"> will need to consider Positive A</w:t>
            </w:r>
            <w:r w:rsidRPr="005A0CE0">
              <w:t xml:space="preserve">ction </w:t>
            </w:r>
            <w:r>
              <w:t xml:space="preserve">measures </w:t>
            </w:r>
            <w:r w:rsidRPr="005A0CE0">
              <w:t>particularly with reference to forthcoming senior appointments (HR Director, Service Director)</w:t>
            </w:r>
            <w:r w:rsidR="00413F33">
              <w:t>.</w:t>
            </w:r>
          </w:p>
          <w:p w:rsidR="00C92DC6" w:rsidRDefault="00C92DC6" w:rsidP="00D775B2"/>
        </w:tc>
        <w:tc>
          <w:tcPr>
            <w:tcW w:w="2522" w:type="dxa"/>
          </w:tcPr>
          <w:p w:rsidR="00C92DC6" w:rsidRDefault="00C92DC6" w:rsidP="00D775B2">
            <w:r w:rsidRPr="00C92DC6">
              <w:t>This will be kept under review by effective workforce planning and incorporated into workforce strategy.</w:t>
            </w:r>
          </w:p>
        </w:tc>
      </w:tr>
      <w:tr w:rsidR="00C92DC6" w:rsidTr="00305C91">
        <w:tc>
          <w:tcPr>
            <w:tcW w:w="5070" w:type="dxa"/>
          </w:tcPr>
          <w:p w:rsidR="00C92DC6" w:rsidRDefault="00C92DC6" w:rsidP="00C92DC6">
            <w:pPr>
              <w:pStyle w:val="ListParagraph"/>
              <w:numPr>
                <w:ilvl w:val="0"/>
                <w:numId w:val="9"/>
              </w:numPr>
            </w:pPr>
            <w:r>
              <w:t>Relative likelihood of staff being appointed from shortlisting across all posts</w:t>
            </w:r>
          </w:p>
          <w:p w:rsidR="00C92DC6" w:rsidRPr="00353525" w:rsidRDefault="00C92DC6" w:rsidP="007E671C"/>
        </w:tc>
        <w:tc>
          <w:tcPr>
            <w:tcW w:w="2551" w:type="dxa"/>
          </w:tcPr>
          <w:p w:rsidR="00C92DC6" w:rsidRDefault="00C92DC6" w:rsidP="007E671C">
            <w:r w:rsidRPr="00C92DC6">
              <w:t>Relative likelihood of White staff being appointed from shortlisting: 1.05</w:t>
            </w:r>
          </w:p>
        </w:tc>
        <w:tc>
          <w:tcPr>
            <w:tcW w:w="4140" w:type="dxa"/>
          </w:tcPr>
          <w:p w:rsidR="00C92DC6" w:rsidRDefault="00C92DC6" w:rsidP="007E671C">
            <w:r w:rsidRPr="00C92DC6">
              <w:t xml:space="preserve">Continue to train managers involved in the recruitment process. Continue to review recruitment process proportionality by each key stage of the process. </w:t>
            </w:r>
          </w:p>
          <w:p w:rsidR="00C92DC6" w:rsidRDefault="00C92DC6" w:rsidP="007E671C"/>
          <w:p w:rsidR="00C92DC6" w:rsidRDefault="00C92DC6" w:rsidP="007E671C">
            <w:r>
              <w:t xml:space="preserve">Continue regular reviews by E&amp;D Lead and Recruitment SHRBP. Plan accordingly </w:t>
            </w:r>
          </w:p>
          <w:p w:rsidR="00C92DC6" w:rsidRDefault="00C92DC6" w:rsidP="007E671C"/>
          <w:p w:rsidR="00C92DC6" w:rsidRDefault="00C92DC6" w:rsidP="007E671C">
            <w:r>
              <w:t xml:space="preserve"> </w:t>
            </w:r>
          </w:p>
        </w:tc>
        <w:tc>
          <w:tcPr>
            <w:tcW w:w="2522" w:type="dxa"/>
          </w:tcPr>
          <w:p w:rsidR="00C92DC6" w:rsidRDefault="00C92DC6" w:rsidP="007E671C">
            <w:r>
              <w:t>Monthly - Ongoing</w:t>
            </w:r>
          </w:p>
        </w:tc>
      </w:tr>
      <w:tr w:rsidR="00C92DC6" w:rsidTr="00305C91">
        <w:tc>
          <w:tcPr>
            <w:tcW w:w="5070" w:type="dxa"/>
          </w:tcPr>
          <w:p w:rsidR="00C92DC6" w:rsidRPr="00650BAE" w:rsidRDefault="00C92DC6" w:rsidP="000F4FB9">
            <w:pPr>
              <w:pStyle w:val="ListParagraph"/>
              <w:numPr>
                <w:ilvl w:val="0"/>
                <w:numId w:val="9"/>
              </w:numPr>
            </w:pPr>
            <w:r>
              <w:t>Relative likelihood of staff entering the formal disciplinary process (compare the data for White and BME staff)</w:t>
            </w:r>
          </w:p>
        </w:tc>
        <w:tc>
          <w:tcPr>
            <w:tcW w:w="2551" w:type="dxa"/>
          </w:tcPr>
          <w:p w:rsidR="00C92DC6" w:rsidRDefault="000F4FB9" w:rsidP="007E671C">
            <w:r w:rsidRPr="000F4FB9">
              <w:t>Relative likelihood of BME staff entering disciplinary process compared to White staff: 4.64 times greater</w:t>
            </w:r>
          </w:p>
        </w:tc>
        <w:tc>
          <w:tcPr>
            <w:tcW w:w="4140" w:type="dxa"/>
          </w:tcPr>
          <w:p w:rsidR="000F4FB9" w:rsidRDefault="000F4FB9" w:rsidP="000F4FB9">
            <w:r>
              <w:t xml:space="preserve">The following actions were implemented since 2015: </w:t>
            </w:r>
          </w:p>
          <w:p w:rsidR="000F4FB9" w:rsidRDefault="000F4FB9" w:rsidP="000F4FB9">
            <w:r>
              <w:t>Extended session on Equality at Trust induction Introduction of Unconscious Bias training</w:t>
            </w:r>
          </w:p>
          <w:p w:rsidR="000F4FB9" w:rsidRDefault="000F4FB9" w:rsidP="000F4FB9">
            <w:r>
              <w:t>Preliminary review at the earliest possible stage of any disciplinary investigation to ascertain whether there are cultural aspects to cases which may best be addressed outside of the formal process.</w:t>
            </w:r>
          </w:p>
          <w:p w:rsidR="000F4FB9" w:rsidRDefault="000F4FB9" w:rsidP="000F4FB9"/>
          <w:p w:rsidR="00C92DC6" w:rsidRPr="000F4FB9" w:rsidRDefault="003C4163" w:rsidP="000F4FB9">
            <w:r w:rsidRPr="003C4163">
              <w:lastRenderedPageBreak/>
              <w:t xml:space="preserve">E&amp;D Lead </w:t>
            </w:r>
            <w:r w:rsidR="00C92DC6" w:rsidRPr="003C4163">
              <w:t xml:space="preserve"> </w:t>
            </w:r>
            <w:r w:rsidR="00C92DC6" w:rsidRPr="000F4FB9">
              <w:t xml:space="preserve">to provide quarterly updates on take up of ‘Unconscious </w:t>
            </w:r>
            <w:proofErr w:type="spellStart"/>
            <w:r w:rsidR="00C92DC6" w:rsidRPr="000F4FB9">
              <w:t>Bias’</w:t>
            </w:r>
            <w:proofErr w:type="spellEnd"/>
            <w:r w:rsidR="00C92DC6" w:rsidRPr="000F4FB9">
              <w:t xml:space="preserve"> training at monthly review meetings</w:t>
            </w:r>
            <w:r w:rsidR="00413F33">
              <w:t>.</w:t>
            </w:r>
            <w:r w:rsidR="00C92DC6" w:rsidRPr="000F4FB9">
              <w:t xml:space="preserve"> </w:t>
            </w:r>
          </w:p>
          <w:p w:rsidR="00C92DC6" w:rsidRDefault="00C92DC6" w:rsidP="00291F04">
            <w:pPr>
              <w:rPr>
                <w:color w:val="FF0000"/>
              </w:rPr>
            </w:pPr>
          </w:p>
          <w:p w:rsidR="00C92DC6" w:rsidRPr="00291F04" w:rsidRDefault="00C92DC6" w:rsidP="00291F04">
            <w:r w:rsidRPr="00291F04">
              <w:t xml:space="preserve">Reviewed by HR and E&amp;D Lead June 2016 to: </w:t>
            </w:r>
          </w:p>
          <w:p w:rsidR="00C92DC6" w:rsidRPr="00291F04" w:rsidRDefault="00C92DC6" w:rsidP="00291F04">
            <w:pPr>
              <w:numPr>
                <w:ilvl w:val="0"/>
                <w:numId w:val="6"/>
              </w:numPr>
            </w:pPr>
            <w:r w:rsidRPr="00291F04">
              <w:t xml:space="preserve">identify patterns and trends </w:t>
            </w:r>
          </w:p>
          <w:p w:rsidR="00C92DC6" w:rsidRPr="00291F04" w:rsidRDefault="00C92DC6" w:rsidP="00291F04">
            <w:pPr>
              <w:numPr>
                <w:ilvl w:val="0"/>
                <w:numId w:val="6"/>
              </w:numPr>
            </w:pPr>
            <w:r w:rsidRPr="00291F04">
              <w:t xml:space="preserve">consider actions that could be taken to address under-representation of BME staff in certain Bands/ service areas </w:t>
            </w:r>
          </w:p>
          <w:p w:rsidR="00C92DC6" w:rsidRDefault="00C92DC6" w:rsidP="007E671C"/>
          <w:p w:rsidR="00C92DC6" w:rsidRDefault="00C92DC6" w:rsidP="00616CC1">
            <w:r>
              <w:t xml:space="preserve">Keep under review at regular internal Casework Reviews and through regular reporting to E&amp;D Lead. </w:t>
            </w:r>
          </w:p>
          <w:p w:rsidR="000F4FB9" w:rsidRDefault="000F4FB9" w:rsidP="00616CC1"/>
          <w:p w:rsidR="00C92DC6" w:rsidRDefault="00C92DC6" w:rsidP="00616CC1">
            <w:r>
              <w:t>Over time, this will enable themes to be identified and appropriate actions planned</w:t>
            </w:r>
            <w:r w:rsidR="00413F33">
              <w:t>.</w:t>
            </w:r>
          </w:p>
          <w:p w:rsidR="00C92DC6" w:rsidRDefault="00C92DC6" w:rsidP="0013275A"/>
        </w:tc>
        <w:tc>
          <w:tcPr>
            <w:tcW w:w="2522" w:type="dxa"/>
          </w:tcPr>
          <w:p w:rsidR="00C92DC6" w:rsidRDefault="000F4FB9" w:rsidP="007E671C">
            <w:r>
              <w:lastRenderedPageBreak/>
              <w:t>Monthly ongoing</w:t>
            </w:r>
          </w:p>
        </w:tc>
      </w:tr>
      <w:tr w:rsidR="00C92DC6" w:rsidTr="00305C91">
        <w:tc>
          <w:tcPr>
            <w:tcW w:w="5070" w:type="dxa"/>
          </w:tcPr>
          <w:p w:rsidR="00C92DC6" w:rsidRDefault="00C92DC6" w:rsidP="000F4FB9">
            <w:pPr>
              <w:pStyle w:val="ListParagraph"/>
              <w:numPr>
                <w:ilvl w:val="0"/>
                <w:numId w:val="9"/>
              </w:numPr>
            </w:pPr>
            <w:r>
              <w:lastRenderedPageBreak/>
              <w:t>Relative likelihood of BME staff accessing non-mandatory training and CPD compared to White staff</w:t>
            </w:r>
          </w:p>
          <w:p w:rsidR="00C92DC6" w:rsidRPr="00650BAE" w:rsidRDefault="00C92DC6" w:rsidP="007E671C"/>
        </w:tc>
        <w:tc>
          <w:tcPr>
            <w:tcW w:w="2551" w:type="dxa"/>
          </w:tcPr>
          <w:p w:rsidR="00C92DC6" w:rsidRDefault="000F4FB9" w:rsidP="007E671C">
            <w:r w:rsidRPr="000F4FB9">
              <w:t>Relative likelihood of White staff accessing non-mandatory training and CPD compared to BME staff: 1.28 times greater</w:t>
            </w:r>
          </w:p>
          <w:p w:rsidR="000F4FB9" w:rsidRDefault="000F4FB9" w:rsidP="007E671C"/>
        </w:tc>
        <w:tc>
          <w:tcPr>
            <w:tcW w:w="4140" w:type="dxa"/>
          </w:tcPr>
          <w:p w:rsidR="00C92DC6" w:rsidRDefault="000F4FB9" w:rsidP="007E671C">
            <w:r w:rsidRPr="000F4FB9">
              <w:t>Action for L&amp;D to review in 2016</w:t>
            </w:r>
          </w:p>
        </w:tc>
        <w:tc>
          <w:tcPr>
            <w:tcW w:w="2522" w:type="dxa"/>
          </w:tcPr>
          <w:p w:rsidR="00C92DC6" w:rsidRDefault="000F4FB9" w:rsidP="007E671C">
            <w:r>
              <w:t>TBA</w:t>
            </w:r>
          </w:p>
        </w:tc>
      </w:tr>
      <w:tr w:rsidR="00C92DC6" w:rsidTr="00305C91">
        <w:tc>
          <w:tcPr>
            <w:tcW w:w="5070" w:type="dxa"/>
          </w:tcPr>
          <w:p w:rsidR="00C92DC6" w:rsidRDefault="00C92DC6" w:rsidP="000F4FB9">
            <w:pPr>
              <w:pStyle w:val="ListParagraph"/>
              <w:numPr>
                <w:ilvl w:val="0"/>
                <w:numId w:val="9"/>
              </w:numPr>
            </w:pPr>
            <w:r>
              <w:t>%age of staff experiencing harassment / bullying / abuse from patients, relatives or public in last 12 months</w:t>
            </w:r>
          </w:p>
          <w:p w:rsidR="00C92DC6" w:rsidRPr="00650BAE" w:rsidRDefault="00C92DC6" w:rsidP="007E671C"/>
        </w:tc>
        <w:tc>
          <w:tcPr>
            <w:tcW w:w="2551" w:type="dxa"/>
          </w:tcPr>
          <w:p w:rsidR="000F4FB9" w:rsidRDefault="000F4FB9" w:rsidP="007E671C">
            <w:r>
              <w:t xml:space="preserve">White:  </w:t>
            </w:r>
            <w:r w:rsidRPr="000F4FB9">
              <w:t>28.67</w:t>
            </w:r>
            <w:r>
              <w:t>%</w:t>
            </w:r>
          </w:p>
          <w:p w:rsidR="000F4FB9" w:rsidRDefault="000F4FB9" w:rsidP="007E671C">
            <w:r>
              <w:t xml:space="preserve">BME:  </w:t>
            </w:r>
            <w:r w:rsidRPr="000F4FB9">
              <w:t>27.35</w:t>
            </w:r>
            <w:r>
              <w:t>%</w:t>
            </w:r>
          </w:p>
        </w:tc>
        <w:tc>
          <w:tcPr>
            <w:tcW w:w="4140" w:type="dxa"/>
          </w:tcPr>
          <w:p w:rsidR="00305C91" w:rsidRDefault="00305C91" w:rsidP="007E671C">
            <w:r>
              <w:t>L</w:t>
            </w:r>
            <w:r w:rsidRPr="00305C91">
              <w:t>ine managers to continue to address concerns locally.</w:t>
            </w:r>
          </w:p>
          <w:p w:rsidR="00305C91" w:rsidRDefault="00305C91" w:rsidP="007E671C"/>
          <w:p w:rsidR="00C92DC6" w:rsidRDefault="00C92DC6" w:rsidP="007E671C">
            <w:pPr>
              <w:rPr>
                <w:color w:val="FF0000"/>
              </w:rPr>
            </w:pPr>
            <w:r w:rsidRPr="000F4FB9">
              <w:t>Plans to set up network of ‘Fair Treatment at Work’ Facilitators under way</w:t>
            </w:r>
            <w:r>
              <w:rPr>
                <w:color w:val="FF0000"/>
              </w:rPr>
              <w:t xml:space="preserve">. </w:t>
            </w:r>
          </w:p>
          <w:p w:rsidR="00C92DC6" w:rsidRDefault="00C92DC6" w:rsidP="007E671C"/>
          <w:p w:rsidR="00413F33" w:rsidRDefault="00413F33" w:rsidP="007E671C"/>
        </w:tc>
        <w:tc>
          <w:tcPr>
            <w:tcW w:w="2522" w:type="dxa"/>
          </w:tcPr>
          <w:p w:rsidR="00C92DC6" w:rsidRDefault="000F4FB9" w:rsidP="007E671C">
            <w:r>
              <w:t>Summer 2016</w:t>
            </w:r>
          </w:p>
        </w:tc>
      </w:tr>
      <w:tr w:rsidR="00C92DC6" w:rsidTr="00305C91">
        <w:tc>
          <w:tcPr>
            <w:tcW w:w="5070" w:type="dxa"/>
          </w:tcPr>
          <w:p w:rsidR="00C92DC6" w:rsidRDefault="00C92DC6" w:rsidP="000F4FB9">
            <w:pPr>
              <w:pStyle w:val="ListParagraph"/>
              <w:numPr>
                <w:ilvl w:val="0"/>
                <w:numId w:val="9"/>
              </w:numPr>
            </w:pPr>
            <w:r w:rsidRPr="000F4FB9">
              <w:rPr>
                <w:b/>
              </w:rPr>
              <w:lastRenderedPageBreak/>
              <w:t xml:space="preserve"> </w:t>
            </w:r>
            <w:r>
              <w:t>In the last 12 months, have you experienced discrimination at work from manager or other colleagues</w:t>
            </w:r>
          </w:p>
          <w:p w:rsidR="00C92DC6" w:rsidRDefault="00C92DC6" w:rsidP="007E671C"/>
        </w:tc>
        <w:tc>
          <w:tcPr>
            <w:tcW w:w="2551" w:type="dxa"/>
          </w:tcPr>
          <w:p w:rsidR="00C92DC6" w:rsidRDefault="000F4FB9" w:rsidP="00353525">
            <w:r>
              <w:t xml:space="preserve">White:  </w:t>
            </w:r>
            <w:r w:rsidRPr="000F4FB9">
              <w:t>22.98</w:t>
            </w:r>
            <w:r>
              <w:t>%</w:t>
            </w:r>
          </w:p>
          <w:p w:rsidR="000F4FB9" w:rsidRDefault="000F4FB9" w:rsidP="00353525">
            <w:r>
              <w:t xml:space="preserve">BME:  </w:t>
            </w:r>
            <w:r w:rsidRPr="000F4FB9">
              <w:t>26.87</w:t>
            </w:r>
            <w:r>
              <w:t>%</w:t>
            </w:r>
          </w:p>
          <w:p w:rsidR="000F4FB9" w:rsidRDefault="000F4FB9" w:rsidP="00353525"/>
        </w:tc>
        <w:tc>
          <w:tcPr>
            <w:tcW w:w="4140" w:type="dxa"/>
          </w:tcPr>
          <w:p w:rsidR="00C92DC6" w:rsidRDefault="00305C91" w:rsidP="00353525">
            <w:r>
              <w:t>L</w:t>
            </w:r>
            <w:r w:rsidRPr="00305C91">
              <w:t>ine managers to continue to address concerns locally. A toolkit to allow managers to work with teams to address issues of local concern arising from staff survey has been implemented and feedback requested in September 2016 in the form of "You Said...We Did"</w:t>
            </w:r>
          </w:p>
          <w:p w:rsidR="00305C91" w:rsidRDefault="00305C91" w:rsidP="00353525"/>
          <w:p w:rsidR="00305C91" w:rsidRDefault="00305C91" w:rsidP="00305C91">
            <w:pPr>
              <w:rPr>
                <w:color w:val="FF0000"/>
              </w:rPr>
            </w:pPr>
            <w:r w:rsidRPr="000F4FB9">
              <w:t>Plans to set up network of ‘Fair Treatment at Work’ Facilitators under way</w:t>
            </w:r>
            <w:r>
              <w:rPr>
                <w:color w:val="FF0000"/>
              </w:rPr>
              <w:t xml:space="preserve">. </w:t>
            </w:r>
          </w:p>
          <w:p w:rsidR="00C92DC6" w:rsidRDefault="00C92DC6" w:rsidP="00305C91"/>
        </w:tc>
        <w:tc>
          <w:tcPr>
            <w:tcW w:w="2522" w:type="dxa"/>
          </w:tcPr>
          <w:p w:rsidR="00C92DC6" w:rsidRDefault="00305C91" w:rsidP="007E671C">
            <w:r>
              <w:t>September 2016</w:t>
            </w:r>
          </w:p>
        </w:tc>
      </w:tr>
      <w:tr w:rsidR="00C92DC6" w:rsidTr="00305C91">
        <w:tc>
          <w:tcPr>
            <w:tcW w:w="5070" w:type="dxa"/>
          </w:tcPr>
          <w:p w:rsidR="00C92DC6" w:rsidRDefault="00C92DC6" w:rsidP="00305C91">
            <w:pPr>
              <w:pStyle w:val="ListParagraph"/>
              <w:numPr>
                <w:ilvl w:val="0"/>
                <w:numId w:val="9"/>
              </w:numPr>
            </w:pPr>
            <w:r w:rsidRPr="00305C91">
              <w:rPr>
                <w:b/>
              </w:rPr>
              <w:t xml:space="preserve"> </w:t>
            </w:r>
            <w:r>
              <w:t>%age believing trust provides equal opportunities for career progression</w:t>
            </w:r>
          </w:p>
        </w:tc>
        <w:tc>
          <w:tcPr>
            <w:tcW w:w="2551" w:type="dxa"/>
          </w:tcPr>
          <w:p w:rsidR="00C92DC6" w:rsidRDefault="00305C91" w:rsidP="007E671C">
            <w:r>
              <w:t xml:space="preserve">White:  </w:t>
            </w:r>
            <w:r w:rsidRPr="00305C91">
              <w:t>88.8</w:t>
            </w:r>
            <w:r>
              <w:t>%</w:t>
            </w:r>
          </w:p>
          <w:p w:rsidR="00305C91" w:rsidRDefault="00305C91" w:rsidP="007E671C">
            <w:r>
              <w:t xml:space="preserve">BME:  </w:t>
            </w:r>
            <w:r w:rsidRPr="00305C91">
              <w:t>70.51</w:t>
            </w:r>
            <w:r>
              <w:t>%</w:t>
            </w:r>
          </w:p>
          <w:p w:rsidR="00305C91" w:rsidRDefault="00305C91" w:rsidP="007E671C"/>
        </w:tc>
        <w:tc>
          <w:tcPr>
            <w:tcW w:w="4140" w:type="dxa"/>
          </w:tcPr>
          <w:p w:rsidR="00C92DC6" w:rsidRDefault="00305C91" w:rsidP="007E671C">
            <w:r w:rsidRPr="00305C91">
              <w:t>Line managers to continue to address concerns locally. A toolkit to allow managers to work with teams to address issues of local concern arising from staff survey has been implemented and feedback requested in September 2016 in the form of "You Said...We Did"</w:t>
            </w:r>
          </w:p>
          <w:p w:rsidR="00305C91" w:rsidRDefault="00305C91" w:rsidP="007E671C"/>
          <w:p w:rsidR="00305C91" w:rsidRDefault="00305C91" w:rsidP="00305C91">
            <w:pPr>
              <w:rPr>
                <w:color w:val="FF0000"/>
              </w:rPr>
            </w:pPr>
            <w:r w:rsidRPr="000F4FB9">
              <w:t>Plans to set up network of ‘Fair Treatment at Work’ Facilitators under way</w:t>
            </w:r>
            <w:r>
              <w:rPr>
                <w:color w:val="FF0000"/>
              </w:rPr>
              <w:t xml:space="preserve">. </w:t>
            </w:r>
          </w:p>
          <w:p w:rsidR="001C24D3" w:rsidRDefault="001C24D3" w:rsidP="00305C91">
            <w:pPr>
              <w:rPr>
                <w:color w:val="FF0000"/>
              </w:rPr>
            </w:pPr>
          </w:p>
          <w:p w:rsidR="001C24D3" w:rsidRPr="004E762F" w:rsidRDefault="003C4163" w:rsidP="00305C91">
            <w:r w:rsidRPr="004E762F">
              <w:t xml:space="preserve">E&amp;D Lead </w:t>
            </w:r>
            <w:r w:rsidR="001C24D3" w:rsidRPr="004E762F">
              <w:t xml:space="preserve">in conjunction with HR </w:t>
            </w:r>
            <w:r w:rsidRPr="004E762F">
              <w:t xml:space="preserve">and L&amp;D </w:t>
            </w:r>
            <w:r w:rsidR="001C24D3" w:rsidRPr="004E762F">
              <w:t xml:space="preserve">will explore options </w:t>
            </w:r>
            <w:r w:rsidRPr="004E762F">
              <w:t xml:space="preserve">for schemes </w:t>
            </w:r>
            <w:r w:rsidR="001C24D3" w:rsidRPr="004E762F">
              <w:t xml:space="preserve">to coach, mentor and provide shadowing </w:t>
            </w:r>
            <w:r w:rsidR="00413F33" w:rsidRPr="004E762F">
              <w:t xml:space="preserve">opportunities </w:t>
            </w:r>
            <w:r w:rsidR="001C24D3" w:rsidRPr="004E762F">
              <w:t xml:space="preserve">at work to support the career advancement of </w:t>
            </w:r>
            <w:r w:rsidRPr="004E762F">
              <w:t>staff from BME backgrounds.</w:t>
            </w:r>
          </w:p>
          <w:p w:rsidR="003C4163" w:rsidRPr="004E762F" w:rsidRDefault="003C4163" w:rsidP="00305C91"/>
          <w:p w:rsidR="003C4163" w:rsidRPr="004E762F" w:rsidRDefault="003C4163" w:rsidP="00305C91">
            <w:r w:rsidRPr="004E762F">
              <w:t>E&amp;D Le</w:t>
            </w:r>
            <w:r w:rsidR="00413F33" w:rsidRPr="004E762F">
              <w:t>ad to explore options for WRES Roadshow</w:t>
            </w:r>
            <w:r w:rsidRPr="004E762F">
              <w:t>/ event during Black History Month</w:t>
            </w:r>
          </w:p>
          <w:p w:rsidR="003C4163" w:rsidRDefault="003C4163" w:rsidP="00305C91">
            <w:pPr>
              <w:rPr>
                <w:color w:val="FF0000"/>
              </w:rPr>
            </w:pPr>
          </w:p>
          <w:p w:rsidR="003C4163" w:rsidRPr="004E762F" w:rsidRDefault="003C4163" w:rsidP="00305C91">
            <w:r w:rsidRPr="004E762F">
              <w:lastRenderedPageBreak/>
              <w:t>E&amp;D Lead to discuss communications strategy with Lorcan O’Nei</w:t>
            </w:r>
            <w:r w:rsidR="00413F33" w:rsidRPr="004E762F">
              <w:t>ll</w:t>
            </w:r>
          </w:p>
          <w:p w:rsidR="00305C91" w:rsidRDefault="00305C91" w:rsidP="007E671C"/>
        </w:tc>
        <w:tc>
          <w:tcPr>
            <w:tcW w:w="2522" w:type="dxa"/>
          </w:tcPr>
          <w:p w:rsidR="00C92DC6" w:rsidRDefault="00305C91" w:rsidP="007E671C">
            <w:r>
              <w:lastRenderedPageBreak/>
              <w:t>September 2016</w:t>
            </w:r>
          </w:p>
          <w:p w:rsidR="00305C91" w:rsidRDefault="00305C91" w:rsidP="007E671C"/>
          <w:p w:rsidR="003C4163" w:rsidRDefault="003C4163" w:rsidP="007E671C"/>
          <w:p w:rsidR="003C4163" w:rsidRDefault="003C4163" w:rsidP="007E671C"/>
          <w:p w:rsidR="003C4163" w:rsidRDefault="003C4163" w:rsidP="007E671C"/>
          <w:p w:rsidR="003C4163" w:rsidRDefault="003C4163" w:rsidP="007E671C"/>
          <w:p w:rsidR="003C4163" w:rsidRDefault="003C4163" w:rsidP="007E671C"/>
          <w:p w:rsidR="003C4163" w:rsidRDefault="003C4163" w:rsidP="007E671C"/>
          <w:p w:rsidR="003C4163" w:rsidRDefault="003C4163" w:rsidP="007E671C"/>
          <w:p w:rsidR="003C4163" w:rsidRDefault="003C4163" w:rsidP="007E671C"/>
          <w:p w:rsidR="003C4163" w:rsidRDefault="003C4163" w:rsidP="007E671C"/>
          <w:p w:rsidR="003C4163" w:rsidRDefault="003C4163" w:rsidP="007E671C">
            <w:r w:rsidRPr="004E762F">
              <w:t xml:space="preserve">Possible launch </w:t>
            </w:r>
            <w:r w:rsidR="00413F33" w:rsidRPr="004E762F">
              <w:t>in October 2016 (Black History M</w:t>
            </w:r>
            <w:r w:rsidRPr="004E762F">
              <w:t>onth)</w:t>
            </w:r>
          </w:p>
        </w:tc>
      </w:tr>
      <w:tr w:rsidR="00C92DC6" w:rsidTr="00305C91">
        <w:tc>
          <w:tcPr>
            <w:tcW w:w="5070" w:type="dxa"/>
          </w:tcPr>
          <w:p w:rsidR="00C92DC6" w:rsidRDefault="00C92DC6" w:rsidP="00305C91">
            <w:pPr>
              <w:pStyle w:val="ListParagraph"/>
              <w:numPr>
                <w:ilvl w:val="0"/>
                <w:numId w:val="9"/>
              </w:numPr>
            </w:pPr>
            <w:r w:rsidRPr="00305C91">
              <w:rPr>
                <w:b/>
              </w:rPr>
              <w:lastRenderedPageBreak/>
              <w:t xml:space="preserve"> </w:t>
            </w:r>
            <w:r>
              <w:t>Q17 In the past 12 months have you personally experienced discrimination at work from manager or colleagues?</w:t>
            </w:r>
          </w:p>
          <w:p w:rsidR="00C92DC6" w:rsidRPr="00353525" w:rsidRDefault="00C92DC6" w:rsidP="00353525"/>
        </w:tc>
        <w:tc>
          <w:tcPr>
            <w:tcW w:w="2551" w:type="dxa"/>
          </w:tcPr>
          <w:p w:rsidR="00C92DC6" w:rsidRDefault="00305C91" w:rsidP="007E671C">
            <w:r>
              <w:t xml:space="preserve">White:  </w:t>
            </w:r>
            <w:r w:rsidRPr="00305C91">
              <w:t>6.12</w:t>
            </w:r>
            <w:r>
              <w:t>%</w:t>
            </w:r>
          </w:p>
          <w:p w:rsidR="00305C91" w:rsidRDefault="00305C91" w:rsidP="007E671C">
            <w:r>
              <w:t xml:space="preserve">BME:  </w:t>
            </w:r>
            <w:r w:rsidRPr="00305C91">
              <w:t>16.37</w:t>
            </w:r>
            <w:r>
              <w:t>%</w:t>
            </w:r>
          </w:p>
        </w:tc>
        <w:tc>
          <w:tcPr>
            <w:tcW w:w="4140" w:type="dxa"/>
          </w:tcPr>
          <w:p w:rsidR="00C92DC6" w:rsidRDefault="00305C91" w:rsidP="007E671C">
            <w:r>
              <w:t xml:space="preserve"> </w:t>
            </w:r>
            <w:r w:rsidRPr="00305C91">
              <w:t>Line managers to continue to address concerns locally. A toolkit to allow managers to work with teams to address issues of local concern arising from staff survey has been implemented and feedback requested in September 2016 in the form of "You Said...We Did"</w:t>
            </w:r>
          </w:p>
          <w:p w:rsidR="00305C91" w:rsidRDefault="00305C91" w:rsidP="00305C91"/>
          <w:p w:rsidR="00305C91" w:rsidRDefault="00305C91" w:rsidP="00305C91">
            <w:pPr>
              <w:rPr>
                <w:color w:val="FF0000"/>
              </w:rPr>
            </w:pPr>
            <w:r w:rsidRPr="000F4FB9">
              <w:t>Plans to set up network of ‘Fair Treatment at Work’ Facilitators under way</w:t>
            </w:r>
            <w:r>
              <w:rPr>
                <w:color w:val="FF0000"/>
              </w:rPr>
              <w:t xml:space="preserve">. </w:t>
            </w:r>
          </w:p>
          <w:p w:rsidR="00305C91" w:rsidRDefault="00305C91" w:rsidP="007E671C"/>
        </w:tc>
        <w:tc>
          <w:tcPr>
            <w:tcW w:w="2522" w:type="dxa"/>
          </w:tcPr>
          <w:p w:rsidR="00C92DC6" w:rsidRDefault="00305C91" w:rsidP="007E671C">
            <w:r>
              <w:t>September 2016</w:t>
            </w:r>
          </w:p>
        </w:tc>
      </w:tr>
      <w:tr w:rsidR="00C92DC6" w:rsidTr="00305C91">
        <w:tc>
          <w:tcPr>
            <w:tcW w:w="5070" w:type="dxa"/>
          </w:tcPr>
          <w:p w:rsidR="00C92DC6" w:rsidRDefault="00C92DC6" w:rsidP="00305C91">
            <w:pPr>
              <w:pStyle w:val="ListParagraph"/>
              <w:numPr>
                <w:ilvl w:val="0"/>
                <w:numId w:val="9"/>
              </w:numPr>
            </w:pPr>
            <w:r w:rsidRPr="00305C91">
              <w:rPr>
                <w:b/>
              </w:rPr>
              <w:t xml:space="preserve"> </w:t>
            </w:r>
            <w:r>
              <w:t>%age difference between the organisation’s Board voting membership and its overall workforce (compare the difference for White and BME)</w:t>
            </w:r>
          </w:p>
          <w:p w:rsidR="00C92DC6" w:rsidRDefault="00C92DC6" w:rsidP="007E671C"/>
          <w:p w:rsidR="00C92DC6" w:rsidRPr="00353525" w:rsidRDefault="00C92DC6" w:rsidP="007E671C"/>
        </w:tc>
        <w:tc>
          <w:tcPr>
            <w:tcW w:w="2551" w:type="dxa"/>
          </w:tcPr>
          <w:p w:rsidR="00C92DC6" w:rsidRDefault="00305C91" w:rsidP="007E671C">
            <w:r w:rsidRPr="00305C91">
              <w:t>-14.3</w:t>
            </w:r>
            <w:r>
              <w:t>%</w:t>
            </w:r>
          </w:p>
        </w:tc>
        <w:tc>
          <w:tcPr>
            <w:tcW w:w="4140" w:type="dxa"/>
          </w:tcPr>
          <w:p w:rsidR="00C92DC6" w:rsidRDefault="00305C91" w:rsidP="00545ED6">
            <w:r w:rsidRPr="00305C91">
              <w:t>The Trust has introduced "positive action" statements into recruitment processes for recent senior appointments.</w:t>
            </w:r>
          </w:p>
          <w:p w:rsidR="003C4163" w:rsidRDefault="003C4163" w:rsidP="00545ED6"/>
          <w:p w:rsidR="003C4163" w:rsidRPr="004E762F" w:rsidRDefault="003C4163" w:rsidP="00545ED6">
            <w:r w:rsidRPr="004E762F">
              <w:t>Board to consider options to increase diver</w:t>
            </w:r>
            <w:r w:rsidR="00413F33" w:rsidRPr="004E762F">
              <w:t>sity (Associate Director role)</w:t>
            </w:r>
          </w:p>
          <w:p w:rsidR="00305C91" w:rsidRDefault="00305C91" w:rsidP="00545ED6"/>
        </w:tc>
        <w:tc>
          <w:tcPr>
            <w:tcW w:w="2522" w:type="dxa"/>
          </w:tcPr>
          <w:p w:rsidR="00C92DC6" w:rsidRDefault="00305C91" w:rsidP="007E671C">
            <w:r>
              <w:t>Ongoing</w:t>
            </w:r>
          </w:p>
        </w:tc>
      </w:tr>
    </w:tbl>
    <w:p w:rsidR="007E671C" w:rsidRDefault="007E671C" w:rsidP="00D50D70">
      <w:r w:rsidRPr="005A0CE0">
        <w:rPr>
          <w:b/>
        </w:rPr>
        <w:t xml:space="preserve"> </w:t>
      </w:r>
      <w:bookmarkStart w:id="0" w:name="_GoBack"/>
      <w:bookmarkEnd w:id="0"/>
    </w:p>
    <w:p w:rsidR="007E671C" w:rsidRPr="00DA569B" w:rsidRDefault="007E671C"/>
    <w:sectPr w:rsidR="007E671C" w:rsidRPr="00DA569B" w:rsidSect="000025AD">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8C" w:rsidRDefault="00FE1D8C" w:rsidP="00FE1D8C">
      <w:pPr>
        <w:spacing w:after="0" w:line="240" w:lineRule="auto"/>
      </w:pPr>
      <w:r>
        <w:separator/>
      </w:r>
    </w:p>
  </w:endnote>
  <w:endnote w:type="continuationSeparator" w:id="0">
    <w:p w:rsidR="00FE1D8C" w:rsidRDefault="00FE1D8C" w:rsidP="00FE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872610"/>
      <w:docPartObj>
        <w:docPartGallery w:val="Page Numbers (Bottom of Page)"/>
        <w:docPartUnique/>
      </w:docPartObj>
    </w:sdtPr>
    <w:sdtEndPr>
      <w:rPr>
        <w:noProof/>
      </w:rPr>
    </w:sdtEndPr>
    <w:sdtContent>
      <w:p w:rsidR="00FE1D8C" w:rsidRDefault="00FE1D8C">
        <w:pPr>
          <w:pStyle w:val="Footer"/>
          <w:jc w:val="center"/>
        </w:pPr>
        <w:r>
          <w:fldChar w:fldCharType="begin"/>
        </w:r>
        <w:r>
          <w:instrText xml:space="preserve"> PAGE   \* MERGEFORMAT </w:instrText>
        </w:r>
        <w:r>
          <w:fldChar w:fldCharType="separate"/>
        </w:r>
        <w:r w:rsidR="004E762F">
          <w:rPr>
            <w:noProof/>
          </w:rPr>
          <w:t>5</w:t>
        </w:r>
        <w:r>
          <w:rPr>
            <w:noProof/>
          </w:rPr>
          <w:fldChar w:fldCharType="end"/>
        </w:r>
      </w:p>
    </w:sdtContent>
  </w:sdt>
  <w:p w:rsidR="00FE1D8C" w:rsidRDefault="00FE1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8C" w:rsidRDefault="00FE1D8C" w:rsidP="00FE1D8C">
      <w:pPr>
        <w:spacing w:after="0" w:line="240" w:lineRule="auto"/>
      </w:pPr>
      <w:r>
        <w:separator/>
      </w:r>
    </w:p>
  </w:footnote>
  <w:footnote w:type="continuationSeparator" w:id="0">
    <w:p w:rsidR="00FE1D8C" w:rsidRDefault="00FE1D8C" w:rsidP="00FE1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41C"/>
    <w:multiLevelType w:val="hybridMultilevel"/>
    <w:tmpl w:val="66D458E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B702BF3"/>
    <w:multiLevelType w:val="hybridMultilevel"/>
    <w:tmpl w:val="909C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02487"/>
    <w:multiLevelType w:val="hybridMultilevel"/>
    <w:tmpl w:val="9CF4ADFC"/>
    <w:lvl w:ilvl="0" w:tplc="B8120B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596F9D"/>
    <w:multiLevelType w:val="hybridMultilevel"/>
    <w:tmpl w:val="50E6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D024B6"/>
    <w:multiLevelType w:val="hybridMultilevel"/>
    <w:tmpl w:val="172E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685BA4"/>
    <w:multiLevelType w:val="hybridMultilevel"/>
    <w:tmpl w:val="C70C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3C1D80"/>
    <w:multiLevelType w:val="hybridMultilevel"/>
    <w:tmpl w:val="96D2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A37277"/>
    <w:multiLevelType w:val="hybridMultilevel"/>
    <w:tmpl w:val="0164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150FC7"/>
    <w:multiLevelType w:val="hybridMultilevel"/>
    <w:tmpl w:val="2A7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FF6B1D"/>
    <w:multiLevelType w:val="hybridMultilevel"/>
    <w:tmpl w:val="F810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1B3E8A"/>
    <w:multiLevelType w:val="hybridMultilevel"/>
    <w:tmpl w:val="D8DC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3"/>
  </w:num>
  <w:num w:numId="5">
    <w:abstractNumId w:val="1"/>
  </w:num>
  <w:num w:numId="6">
    <w:abstractNumId w:val="6"/>
  </w:num>
  <w:num w:numId="7">
    <w:abstractNumId w:val="10"/>
  </w:num>
  <w:num w:numId="8">
    <w:abstractNumId w:val="5"/>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9B"/>
    <w:rsid w:val="000025AD"/>
    <w:rsid w:val="0007722A"/>
    <w:rsid w:val="000A4265"/>
    <w:rsid w:val="000B1EE1"/>
    <w:rsid w:val="000F4FB9"/>
    <w:rsid w:val="0013275A"/>
    <w:rsid w:val="00132852"/>
    <w:rsid w:val="001447F6"/>
    <w:rsid w:val="00180757"/>
    <w:rsid w:val="001815CA"/>
    <w:rsid w:val="001C24D3"/>
    <w:rsid w:val="00204924"/>
    <w:rsid w:val="00246274"/>
    <w:rsid w:val="002704F1"/>
    <w:rsid w:val="00291F04"/>
    <w:rsid w:val="00291FAC"/>
    <w:rsid w:val="002B3252"/>
    <w:rsid w:val="00305C91"/>
    <w:rsid w:val="00346DB4"/>
    <w:rsid w:val="00353525"/>
    <w:rsid w:val="003C4163"/>
    <w:rsid w:val="00413F33"/>
    <w:rsid w:val="004E762F"/>
    <w:rsid w:val="004F75F3"/>
    <w:rsid w:val="00511BDF"/>
    <w:rsid w:val="00530C07"/>
    <w:rsid w:val="00531EB3"/>
    <w:rsid w:val="00545ED6"/>
    <w:rsid w:val="00560EB8"/>
    <w:rsid w:val="005A0CE0"/>
    <w:rsid w:val="005B38F3"/>
    <w:rsid w:val="005C5192"/>
    <w:rsid w:val="00604991"/>
    <w:rsid w:val="00616CC1"/>
    <w:rsid w:val="0064720C"/>
    <w:rsid w:val="00650BAE"/>
    <w:rsid w:val="00716CC0"/>
    <w:rsid w:val="007327AD"/>
    <w:rsid w:val="00744475"/>
    <w:rsid w:val="007C0734"/>
    <w:rsid w:val="007E671C"/>
    <w:rsid w:val="00896B71"/>
    <w:rsid w:val="008B38B7"/>
    <w:rsid w:val="008D2624"/>
    <w:rsid w:val="00906D8E"/>
    <w:rsid w:val="009343F3"/>
    <w:rsid w:val="00B15B20"/>
    <w:rsid w:val="00B95BD7"/>
    <w:rsid w:val="00BC5CF2"/>
    <w:rsid w:val="00C01829"/>
    <w:rsid w:val="00C92DC6"/>
    <w:rsid w:val="00CB77AC"/>
    <w:rsid w:val="00CF7977"/>
    <w:rsid w:val="00D50D70"/>
    <w:rsid w:val="00D72417"/>
    <w:rsid w:val="00D775B2"/>
    <w:rsid w:val="00DA569B"/>
    <w:rsid w:val="00DB3C70"/>
    <w:rsid w:val="00DC52E7"/>
    <w:rsid w:val="00E26E86"/>
    <w:rsid w:val="00E27B48"/>
    <w:rsid w:val="00E3352C"/>
    <w:rsid w:val="00EB40BF"/>
    <w:rsid w:val="00ED7331"/>
    <w:rsid w:val="00FD26F7"/>
    <w:rsid w:val="00FE1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8F3"/>
    <w:pPr>
      <w:ind w:left="720"/>
      <w:contextualSpacing/>
    </w:pPr>
  </w:style>
  <w:style w:type="paragraph" w:styleId="BalloonText">
    <w:name w:val="Balloon Text"/>
    <w:basedOn w:val="Normal"/>
    <w:link w:val="BalloonTextChar"/>
    <w:uiPriority w:val="99"/>
    <w:semiHidden/>
    <w:unhideWhenUsed/>
    <w:rsid w:val="00132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852"/>
    <w:rPr>
      <w:rFonts w:ascii="Tahoma" w:hAnsi="Tahoma" w:cs="Tahoma"/>
      <w:sz w:val="16"/>
      <w:szCs w:val="16"/>
    </w:rPr>
  </w:style>
  <w:style w:type="paragraph" w:styleId="Header">
    <w:name w:val="header"/>
    <w:basedOn w:val="Normal"/>
    <w:link w:val="HeaderChar"/>
    <w:uiPriority w:val="99"/>
    <w:unhideWhenUsed/>
    <w:rsid w:val="00132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75A"/>
  </w:style>
  <w:style w:type="paragraph" w:styleId="Footer">
    <w:name w:val="footer"/>
    <w:basedOn w:val="Normal"/>
    <w:link w:val="FooterChar"/>
    <w:uiPriority w:val="99"/>
    <w:unhideWhenUsed/>
    <w:rsid w:val="00FE1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8F3"/>
    <w:pPr>
      <w:ind w:left="720"/>
      <w:contextualSpacing/>
    </w:pPr>
  </w:style>
  <w:style w:type="paragraph" w:styleId="BalloonText">
    <w:name w:val="Balloon Text"/>
    <w:basedOn w:val="Normal"/>
    <w:link w:val="BalloonTextChar"/>
    <w:uiPriority w:val="99"/>
    <w:semiHidden/>
    <w:unhideWhenUsed/>
    <w:rsid w:val="00132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852"/>
    <w:rPr>
      <w:rFonts w:ascii="Tahoma" w:hAnsi="Tahoma" w:cs="Tahoma"/>
      <w:sz w:val="16"/>
      <w:szCs w:val="16"/>
    </w:rPr>
  </w:style>
  <w:style w:type="paragraph" w:styleId="Header">
    <w:name w:val="header"/>
    <w:basedOn w:val="Normal"/>
    <w:link w:val="HeaderChar"/>
    <w:uiPriority w:val="99"/>
    <w:unhideWhenUsed/>
    <w:rsid w:val="00132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75A"/>
  </w:style>
  <w:style w:type="paragraph" w:styleId="Footer">
    <w:name w:val="footer"/>
    <w:basedOn w:val="Normal"/>
    <w:link w:val="FooterChar"/>
    <w:uiPriority w:val="99"/>
    <w:unhideWhenUsed/>
    <w:rsid w:val="00FE1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868</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 Simon (RNU) Oxford Health</dc:creator>
  <cp:lastModifiedBy>Denton Simon (RNU) Oxford Health</cp:lastModifiedBy>
  <cp:revision>2</cp:revision>
  <cp:lastPrinted>2016-06-07T14:08:00Z</cp:lastPrinted>
  <dcterms:created xsi:type="dcterms:W3CDTF">2016-07-26T07:54:00Z</dcterms:created>
  <dcterms:modified xsi:type="dcterms:W3CDTF">2016-07-26T07:54:00Z</dcterms:modified>
</cp:coreProperties>
</file>