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B1507" w14:textId="77378233" w:rsidR="00D07C72" w:rsidRPr="00D07C72" w:rsidRDefault="00D07C72" w:rsidP="0053744E">
      <w:pPr>
        <w:jc w:val="center"/>
        <w:rPr>
          <w:b/>
          <w:color w:val="7030A0"/>
          <w:sz w:val="32"/>
          <w:szCs w:val="32"/>
          <w:lang w:val="en-GB"/>
        </w:rPr>
      </w:pPr>
      <w:r w:rsidRPr="00D07C72">
        <w:rPr>
          <w:b/>
          <w:color w:val="7030A0"/>
          <w:sz w:val="32"/>
          <w:szCs w:val="32"/>
          <w:lang w:val="en-GB"/>
        </w:rPr>
        <w:t>C</w:t>
      </w:r>
      <w:r w:rsidR="003C54E6">
        <w:rPr>
          <w:b/>
          <w:color w:val="7030A0"/>
          <w:sz w:val="32"/>
          <w:szCs w:val="32"/>
          <w:lang w:val="en-GB"/>
        </w:rPr>
        <w:t xml:space="preserve">hildren &amp; </w:t>
      </w:r>
      <w:r w:rsidRPr="00D07C72">
        <w:rPr>
          <w:b/>
          <w:color w:val="7030A0"/>
          <w:sz w:val="32"/>
          <w:szCs w:val="32"/>
          <w:lang w:val="en-GB"/>
        </w:rPr>
        <w:t>Y</w:t>
      </w:r>
      <w:r w:rsidR="003C54E6">
        <w:rPr>
          <w:b/>
          <w:color w:val="7030A0"/>
          <w:sz w:val="32"/>
          <w:szCs w:val="32"/>
          <w:lang w:val="en-GB"/>
        </w:rPr>
        <w:t xml:space="preserve">oung </w:t>
      </w:r>
      <w:r w:rsidRPr="00D07C72">
        <w:rPr>
          <w:b/>
          <w:color w:val="7030A0"/>
          <w:sz w:val="32"/>
          <w:szCs w:val="32"/>
          <w:lang w:val="en-GB"/>
        </w:rPr>
        <w:t>P</w:t>
      </w:r>
      <w:r w:rsidR="003C54E6">
        <w:rPr>
          <w:b/>
          <w:color w:val="7030A0"/>
          <w:sz w:val="32"/>
          <w:szCs w:val="32"/>
          <w:lang w:val="en-GB"/>
        </w:rPr>
        <w:t>eople’s</w:t>
      </w:r>
      <w:r w:rsidRPr="00D07C72">
        <w:rPr>
          <w:b/>
          <w:color w:val="7030A0"/>
          <w:sz w:val="32"/>
          <w:szCs w:val="32"/>
          <w:lang w:val="en-GB"/>
        </w:rPr>
        <w:t xml:space="preserve"> </w:t>
      </w:r>
      <w:r w:rsidR="003C54E6">
        <w:rPr>
          <w:b/>
          <w:color w:val="7030A0"/>
          <w:sz w:val="32"/>
          <w:szCs w:val="32"/>
          <w:lang w:val="en-GB"/>
        </w:rPr>
        <w:t xml:space="preserve">Specialist </w:t>
      </w:r>
      <w:r w:rsidR="00194171">
        <w:rPr>
          <w:b/>
          <w:color w:val="7030A0"/>
          <w:sz w:val="32"/>
          <w:szCs w:val="32"/>
          <w:lang w:val="en-GB"/>
        </w:rPr>
        <w:t>Eating D</w:t>
      </w:r>
      <w:r w:rsidRPr="00D07C72">
        <w:rPr>
          <w:b/>
          <w:color w:val="7030A0"/>
          <w:sz w:val="32"/>
          <w:szCs w:val="32"/>
          <w:lang w:val="en-GB"/>
        </w:rPr>
        <w:t xml:space="preserve">isorder </w:t>
      </w:r>
      <w:r w:rsidR="007C0116">
        <w:rPr>
          <w:b/>
          <w:color w:val="7030A0"/>
          <w:sz w:val="32"/>
          <w:szCs w:val="32"/>
          <w:lang w:val="en-GB"/>
        </w:rPr>
        <w:t>S</w:t>
      </w:r>
      <w:r w:rsidRPr="00D07C72">
        <w:rPr>
          <w:b/>
          <w:color w:val="7030A0"/>
          <w:sz w:val="32"/>
          <w:szCs w:val="32"/>
          <w:lang w:val="en-GB"/>
        </w:rPr>
        <w:t>ervice</w:t>
      </w:r>
    </w:p>
    <w:p w14:paraId="487305AB" w14:textId="77777777" w:rsidR="0053744E" w:rsidRPr="00D07C72" w:rsidRDefault="0053744E" w:rsidP="0053744E">
      <w:pPr>
        <w:jc w:val="center"/>
        <w:rPr>
          <w:b/>
          <w:color w:val="7030A0"/>
          <w:sz w:val="32"/>
          <w:szCs w:val="32"/>
          <w:lang w:val="en-GB"/>
        </w:rPr>
      </w:pPr>
      <w:r w:rsidRPr="00D07C72">
        <w:rPr>
          <w:b/>
          <w:color w:val="7030A0"/>
          <w:sz w:val="32"/>
          <w:szCs w:val="32"/>
          <w:lang w:val="en-GB"/>
        </w:rPr>
        <w:t>Information sheet for General Practitioners</w:t>
      </w:r>
    </w:p>
    <w:p w14:paraId="575587C2" w14:textId="77777777" w:rsidR="005005CA" w:rsidRPr="00D07C72" w:rsidRDefault="005005CA" w:rsidP="0053744E">
      <w:pPr>
        <w:rPr>
          <w:b/>
          <w:color w:val="7030A0"/>
          <w:sz w:val="32"/>
          <w:szCs w:val="32"/>
          <w:lang w:val="en-GB"/>
        </w:rPr>
      </w:pPr>
    </w:p>
    <w:p w14:paraId="361051D1" w14:textId="5C65769B" w:rsidR="0053744E" w:rsidRPr="00D07C72" w:rsidRDefault="0053744E" w:rsidP="0053744E">
      <w:pPr>
        <w:rPr>
          <w:b/>
          <w:color w:val="0070C0"/>
          <w:sz w:val="28"/>
          <w:szCs w:val="28"/>
          <w:lang w:val="en-GB"/>
        </w:rPr>
      </w:pPr>
      <w:r w:rsidRPr="00D07C72">
        <w:rPr>
          <w:b/>
          <w:color w:val="0070C0"/>
          <w:sz w:val="28"/>
          <w:szCs w:val="28"/>
          <w:lang w:val="en-GB"/>
        </w:rPr>
        <w:t>Introduction</w:t>
      </w:r>
      <w:r w:rsidR="00E131AC">
        <w:rPr>
          <w:b/>
          <w:color w:val="0070C0"/>
          <w:sz w:val="28"/>
          <w:szCs w:val="28"/>
          <w:lang w:val="en-GB"/>
        </w:rPr>
        <w:t xml:space="preserve"> </w:t>
      </w:r>
    </w:p>
    <w:p w14:paraId="2B1F8AAE" w14:textId="0E616955" w:rsidR="0053744E" w:rsidRDefault="0053744E" w:rsidP="0053744E">
      <w:pPr>
        <w:rPr>
          <w:lang w:val="en-GB"/>
        </w:rPr>
      </w:pPr>
      <w:r>
        <w:rPr>
          <w:lang w:val="en-GB"/>
        </w:rPr>
        <w:t xml:space="preserve">Eating disorders are common in adolescence. If they are detected early and </w:t>
      </w:r>
      <w:r w:rsidR="00C66E70">
        <w:rPr>
          <w:lang w:val="en-GB"/>
        </w:rPr>
        <w:t xml:space="preserve">there is </w:t>
      </w:r>
      <w:r w:rsidR="007C0116">
        <w:rPr>
          <w:lang w:val="en-GB"/>
        </w:rPr>
        <w:t xml:space="preserve">access to specialist treatment </w:t>
      </w:r>
      <w:r>
        <w:rPr>
          <w:lang w:val="en-GB"/>
        </w:rPr>
        <w:t>the prognosis is very good. However, if left untreated</w:t>
      </w:r>
      <w:r w:rsidR="00C66E70">
        <w:rPr>
          <w:lang w:val="en-GB"/>
        </w:rPr>
        <w:t>,</w:t>
      </w:r>
      <w:r>
        <w:rPr>
          <w:lang w:val="en-GB"/>
        </w:rPr>
        <w:t xml:space="preserve"> </w:t>
      </w:r>
      <w:r w:rsidR="007C0116">
        <w:rPr>
          <w:lang w:val="en-GB"/>
        </w:rPr>
        <w:t>or treated inadequately</w:t>
      </w:r>
      <w:r w:rsidR="00C66E70">
        <w:rPr>
          <w:lang w:val="en-GB"/>
        </w:rPr>
        <w:t>,</w:t>
      </w:r>
      <w:r w:rsidR="007C0116">
        <w:rPr>
          <w:lang w:val="en-GB"/>
        </w:rPr>
        <w:t xml:space="preserve"> </w:t>
      </w:r>
      <w:r>
        <w:rPr>
          <w:lang w:val="en-GB"/>
        </w:rPr>
        <w:t xml:space="preserve">the disorder can become chronic and difficult to treat. Many adults with long term eating disorders developed their initial symptoms in the adolescent years. </w:t>
      </w:r>
      <w:r w:rsidR="008A01FE">
        <w:rPr>
          <w:lang w:val="en-GB"/>
        </w:rPr>
        <w:t xml:space="preserve">This service will provide easy access for patients where an eating disorder is suspected. </w:t>
      </w:r>
    </w:p>
    <w:p w14:paraId="1FCA9689" w14:textId="77777777" w:rsidR="00A5035A" w:rsidRDefault="00A5035A" w:rsidP="0053744E">
      <w:pPr>
        <w:rPr>
          <w:lang w:val="en-GB"/>
        </w:rPr>
      </w:pPr>
    </w:p>
    <w:p w14:paraId="46D40128" w14:textId="77777777" w:rsidR="00BE18C2" w:rsidRPr="00D07C72" w:rsidRDefault="00BE18C2" w:rsidP="00BE18C2">
      <w:pPr>
        <w:rPr>
          <w:b/>
          <w:sz w:val="28"/>
          <w:szCs w:val="28"/>
          <w:lang w:val="en-GB"/>
        </w:rPr>
      </w:pPr>
      <w:r w:rsidRPr="00D07C72">
        <w:rPr>
          <w:b/>
          <w:color w:val="0070C0"/>
          <w:sz w:val="28"/>
          <w:szCs w:val="28"/>
          <w:lang w:val="en-GB"/>
        </w:rPr>
        <w:t>Description of CAMHS eating disorder service</w:t>
      </w:r>
    </w:p>
    <w:p w14:paraId="4A12920F" w14:textId="24C6E716" w:rsidR="008A01FE" w:rsidRDefault="008A01FE" w:rsidP="00BE18C2">
      <w:r>
        <w:t xml:space="preserve">This new service has been developed with additional funding from NHS England, following a national review of outcomes for young people with eating disorders. The aim is to reduce inpatient admissions and promote improved long term outcome. </w:t>
      </w:r>
    </w:p>
    <w:p w14:paraId="2ACA0FA5" w14:textId="77777777" w:rsidR="008A01FE" w:rsidRDefault="008A01FE" w:rsidP="00BE18C2"/>
    <w:p w14:paraId="4E3D270F" w14:textId="77777777" w:rsidR="00BE18C2" w:rsidRDefault="00BE18C2" w:rsidP="00BE18C2">
      <w:r>
        <w:t>The Specialist Child &amp; Adolescent Eating Disorder Service encourages early intervention and provides prompt support and treatment for young people and families experiencing eating disorders. The service aims to restore physical health and psychological wellbeing in a safe and collaborative manner, within a culture of continuous learning and innovation.</w:t>
      </w:r>
    </w:p>
    <w:p w14:paraId="1B1047E3" w14:textId="77777777" w:rsidR="00BE18C2" w:rsidRDefault="00BE18C2" w:rsidP="00BE18C2">
      <w:pPr>
        <w:rPr>
          <w:lang w:val="en-GB"/>
        </w:rPr>
      </w:pPr>
    </w:p>
    <w:p w14:paraId="5AA29659" w14:textId="77777777" w:rsidR="00BE18C2" w:rsidRDefault="00BE18C2" w:rsidP="00BE18C2">
      <w:pPr>
        <w:rPr>
          <w:lang w:val="en-GB"/>
        </w:rPr>
      </w:pPr>
      <w:r>
        <w:rPr>
          <w:lang w:val="en-GB"/>
        </w:rPr>
        <w:t xml:space="preserve">This service accepts referrals of suspected eating disorders from GPs, other professionals involved with young people, such as school nurses, and self-referrals. </w:t>
      </w:r>
    </w:p>
    <w:p w14:paraId="2A6EA7BB" w14:textId="77777777" w:rsidR="00BE18C2" w:rsidRDefault="00BE18C2" w:rsidP="00BE18C2">
      <w:pPr>
        <w:rPr>
          <w:lang w:val="en-GB"/>
        </w:rPr>
      </w:pPr>
    </w:p>
    <w:p w14:paraId="72256AC7" w14:textId="77777777" w:rsidR="00BE18C2" w:rsidRDefault="00BE18C2" w:rsidP="00BE18C2">
      <w:pPr>
        <w:rPr>
          <w:lang w:val="en-GB"/>
        </w:rPr>
      </w:pPr>
      <w:r>
        <w:rPr>
          <w:lang w:val="en-GB"/>
        </w:rPr>
        <w:t xml:space="preserve">Specialist assessment and treatment of eating disorders will be undertaken for those under the age of 18 across Oxfordshire and Buckinghamshire. The service has central bases in Oxford and Aylesbury with satellite clinics in Banbury, Abingdon, Wycombe and Amersham. The service is staffed by psychiatrists, paediatrician, specialist nurses, clinical psychologists, family therapists, dieticians and other mental health professionals.  </w:t>
      </w:r>
    </w:p>
    <w:p w14:paraId="207E36D3" w14:textId="77777777" w:rsidR="00BE18C2" w:rsidRDefault="00BE18C2" w:rsidP="00BE18C2">
      <w:pPr>
        <w:rPr>
          <w:lang w:val="en-GB"/>
        </w:rPr>
      </w:pPr>
    </w:p>
    <w:p w14:paraId="250A1119" w14:textId="77777777" w:rsidR="00BE18C2" w:rsidRPr="005005CA" w:rsidRDefault="00BE18C2" w:rsidP="00BE18C2">
      <w:pPr>
        <w:rPr>
          <w:lang w:val="en-GB"/>
        </w:rPr>
      </w:pPr>
      <w:r>
        <w:rPr>
          <w:lang w:val="en-GB"/>
        </w:rPr>
        <w:t>For most young people, a family-based treatment that directly addresses the eating disorder will be the recommended intervention. Other interventions include individual cognitive-behavioural therapy for the young person, nutritional management, medical monitoring, individual and parent support, monthly parents’ groups, carers’ workshop and multi-family treatment. Those patients who require a higher intensity of care may be offered home-based treatment with the CAMHS crisis/outreach service or be referred to the local adolescent psychiatric unit</w:t>
      </w:r>
      <w:r w:rsidRPr="005005CA">
        <w:rPr>
          <w:b/>
          <w:lang w:val="en-GB"/>
        </w:rPr>
        <w:t xml:space="preserve"> </w:t>
      </w:r>
      <w:r w:rsidRPr="005005CA">
        <w:rPr>
          <w:lang w:val="en-GB"/>
        </w:rPr>
        <w:t xml:space="preserve">or paediatric ward in the case of serious medical risk. </w:t>
      </w:r>
    </w:p>
    <w:p w14:paraId="0E3EBAC3" w14:textId="77777777" w:rsidR="00BE18C2" w:rsidRDefault="00BE18C2" w:rsidP="00BE18C2">
      <w:pPr>
        <w:rPr>
          <w:lang w:val="en-GB"/>
        </w:rPr>
      </w:pPr>
    </w:p>
    <w:p w14:paraId="178F73AE" w14:textId="77777777" w:rsidR="00BE18C2" w:rsidRPr="001B6087" w:rsidRDefault="00BE18C2" w:rsidP="00BE18C2">
      <w:pPr>
        <w:rPr>
          <w:b/>
          <w:i/>
          <w:lang w:val="en-GB"/>
        </w:rPr>
      </w:pPr>
    </w:p>
    <w:p w14:paraId="38EE05D3" w14:textId="65035275" w:rsidR="00583F0E" w:rsidRPr="00D07C72" w:rsidRDefault="00583F0E" w:rsidP="0053744E">
      <w:pPr>
        <w:rPr>
          <w:b/>
          <w:color w:val="0070C0"/>
          <w:sz w:val="28"/>
          <w:szCs w:val="28"/>
          <w:lang w:val="en-GB"/>
        </w:rPr>
      </w:pPr>
      <w:r w:rsidRPr="00D07C72">
        <w:rPr>
          <w:b/>
          <w:color w:val="0070C0"/>
          <w:sz w:val="28"/>
          <w:szCs w:val="28"/>
          <w:lang w:val="en-GB"/>
        </w:rPr>
        <w:t>Early signs of eating disorders</w:t>
      </w:r>
    </w:p>
    <w:p w14:paraId="07FB9937" w14:textId="6666C531" w:rsidR="0053744E" w:rsidRPr="0053744E" w:rsidRDefault="0053744E" w:rsidP="0053744E">
      <w:pPr>
        <w:rPr>
          <w:lang w:val="en-GB"/>
        </w:rPr>
      </w:pPr>
      <w:r>
        <w:rPr>
          <w:b/>
          <w:i/>
          <w:lang w:val="en-GB"/>
        </w:rPr>
        <w:t>Physical</w:t>
      </w:r>
      <w:r>
        <w:rPr>
          <w:lang w:val="en-GB"/>
        </w:rPr>
        <w:t xml:space="preserve"> – </w:t>
      </w:r>
      <w:r w:rsidR="00E131AC">
        <w:rPr>
          <w:lang w:val="en-GB"/>
        </w:rPr>
        <w:t xml:space="preserve">loss of weight, </w:t>
      </w:r>
      <w:r>
        <w:rPr>
          <w:lang w:val="en-GB"/>
        </w:rPr>
        <w:t>fainting/dizziness, loss of energy, muscle weakness, sleep disturbance, susceptibility to infection, loss of menstruation, constipation/bloating, repeated vomiting, , swollen glands under the jaw or frequent dental problems (if there is repeated vomiting).</w:t>
      </w:r>
      <w:r w:rsidR="00E131AC">
        <w:rPr>
          <w:lang w:val="en-GB"/>
        </w:rPr>
        <w:t xml:space="preserve"> </w:t>
      </w:r>
    </w:p>
    <w:p w14:paraId="5A3199F0" w14:textId="77777777" w:rsidR="0053744E" w:rsidRDefault="0053744E" w:rsidP="0053744E">
      <w:pPr>
        <w:rPr>
          <w:b/>
          <w:i/>
          <w:lang w:val="en-GB"/>
        </w:rPr>
      </w:pPr>
    </w:p>
    <w:p w14:paraId="3BEB668D" w14:textId="7FF1C250" w:rsidR="0053744E" w:rsidRDefault="0053744E" w:rsidP="0053744E">
      <w:pPr>
        <w:rPr>
          <w:lang w:val="en-GB"/>
        </w:rPr>
      </w:pPr>
      <w:r>
        <w:rPr>
          <w:b/>
          <w:i/>
          <w:lang w:val="en-GB"/>
        </w:rPr>
        <w:t xml:space="preserve">Behavioural changes - </w:t>
      </w:r>
      <w:r w:rsidR="007C0116">
        <w:rPr>
          <w:lang w:val="en-GB"/>
        </w:rPr>
        <w:t xml:space="preserve">counting calories, restricting the amount or range of food eaten, </w:t>
      </w:r>
      <w:r>
        <w:rPr>
          <w:lang w:val="en-GB"/>
        </w:rPr>
        <w:t xml:space="preserve">eating alone or missing meals, secretiveness, hiding food, frequent visits to the toilet, taking </w:t>
      </w:r>
      <w:r>
        <w:rPr>
          <w:lang w:val="en-GB"/>
        </w:rPr>
        <w:lastRenderedPageBreak/>
        <w:t xml:space="preserve">a long time to eat meals, cutting food into small pieces, </w:t>
      </w:r>
      <w:r w:rsidR="007C0116">
        <w:rPr>
          <w:lang w:val="en-GB"/>
        </w:rPr>
        <w:t xml:space="preserve">excessive body-checking, </w:t>
      </w:r>
      <w:r>
        <w:rPr>
          <w:lang w:val="en-GB"/>
        </w:rPr>
        <w:t>over-exercising, wearing baggy clothes.</w:t>
      </w:r>
      <w:r w:rsidR="00E131AC">
        <w:rPr>
          <w:lang w:val="en-GB"/>
        </w:rPr>
        <w:t xml:space="preserve"> </w:t>
      </w:r>
    </w:p>
    <w:p w14:paraId="6EC457B7" w14:textId="77777777" w:rsidR="00E131AC" w:rsidRDefault="00E131AC" w:rsidP="0053744E">
      <w:pPr>
        <w:rPr>
          <w:lang w:val="en-GB"/>
        </w:rPr>
      </w:pPr>
    </w:p>
    <w:p w14:paraId="7D65E716" w14:textId="688FE01C" w:rsidR="00E131AC" w:rsidRDefault="00E131AC" w:rsidP="0053744E">
      <w:pPr>
        <w:rPr>
          <w:lang w:val="en-GB"/>
        </w:rPr>
      </w:pPr>
      <w:r w:rsidRPr="0018329B">
        <w:rPr>
          <w:b/>
          <w:i/>
          <w:lang w:val="en-GB"/>
        </w:rPr>
        <w:t>Psychological</w:t>
      </w:r>
      <w:r>
        <w:rPr>
          <w:lang w:val="en-GB"/>
        </w:rPr>
        <w:t xml:space="preserve"> – preoccupation with food and eating</w:t>
      </w:r>
      <w:r w:rsidR="000E1BB3">
        <w:rPr>
          <w:lang w:val="en-GB"/>
        </w:rPr>
        <w:t>, c</w:t>
      </w:r>
      <w:r w:rsidR="007C0116">
        <w:rPr>
          <w:lang w:val="en-GB"/>
        </w:rPr>
        <w:t>oncerns about weight and shape, feeli</w:t>
      </w:r>
      <w:r w:rsidR="000E1BB3">
        <w:rPr>
          <w:lang w:val="en-GB"/>
        </w:rPr>
        <w:t xml:space="preserve">ng compelled to restrict intake, fear of eating. </w:t>
      </w:r>
    </w:p>
    <w:p w14:paraId="2F3C0066" w14:textId="77777777" w:rsidR="00DB25AB" w:rsidRPr="0053744E" w:rsidRDefault="00DB25AB" w:rsidP="0053744E">
      <w:pPr>
        <w:rPr>
          <w:lang w:val="en-GB"/>
        </w:rPr>
      </w:pPr>
    </w:p>
    <w:p w14:paraId="7220B89A" w14:textId="77777777" w:rsidR="0053744E" w:rsidRPr="00D07C72" w:rsidRDefault="0053744E" w:rsidP="0053744E">
      <w:pPr>
        <w:rPr>
          <w:b/>
          <w:color w:val="0070C0"/>
          <w:sz w:val="28"/>
          <w:szCs w:val="28"/>
          <w:lang w:val="en-GB"/>
        </w:rPr>
      </w:pPr>
      <w:r w:rsidRPr="00D07C72">
        <w:rPr>
          <w:b/>
          <w:color w:val="0070C0"/>
          <w:sz w:val="28"/>
          <w:szCs w:val="28"/>
          <w:lang w:val="en-GB"/>
        </w:rPr>
        <w:t>Non-specific signs that may accompany eating disorders</w:t>
      </w:r>
    </w:p>
    <w:p w14:paraId="6C56E327" w14:textId="77777777" w:rsidR="0053744E" w:rsidRDefault="001B6087" w:rsidP="0053744E">
      <w:r>
        <w:rPr>
          <w:b/>
          <w:i/>
          <w:lang w:val="en-GB"/>
        </w:rPr>
        <w:t xml:space="preserve">Psychological – </w:t>
      </w:r>
      <w:r>
        <w:t>low mood, loss of interest, poor concentration, withdrawal, disturbed family relationships</w:t>
      </w:r>
    </w:p>
    <w:p w14:paraId="1518111F" w14:textId="77777777" w:rsidR="005005CA" w:rsidRDefault="005005CA" w:rsidP="0053744E">
      <w:pPr>
        <w:rPr>
          <w:b/>
          <w:i/>
        </w:rPr>
      </w:pPr>
    </w:p>
    <w:p w14:paraId="5C554F12" w14:textId="77777777" w:rsidR="001B6087" w:rsidRDefault="001B6087" w:rsidP="0053744E">
      <w:r>
        <w:rPr>
          <w:b/>
          <w:i/>
        </w:rPr>
        <w:t xml:space="preserve">Social/educational - </w:t>
      </w:r>
      <w:r>
        <w:t xml:space="preserve"> withdrawal from family and friends, loss of interest in activities, poor concentration, difficult family relationships</w:t>
      </w:r>
    </w:p>
    <w:p w14:paraId="4FC741C6" w14:textId="77777777" w:rsidR="001B6087" w:rsidRDefault="001B6087" w:rsidP="0053744E"/>
    <w:p w14:paraId="2A3339C6" w14:textId="77777777" w:rsidR="001B6087" w:rsidRPr="001B6087" w:rsidRDefault="001B6087" w:rsidP="0053744E">
      <w:pPr>
        <w:rPr>
          <w:lang w:val="en-GB"/>
        </w:rPr>
      </w:pPr>
      <w:r>
        <w:rPr>
          <w:b/>
        </w:rPr>
        <w:t xml:space="preserve">NB </w:t>
      </w:r>
      <w:r>
        <w:t>The non-specific signs may also be a feature of other mental health disorders such as depression or anxiety</w:t>
      </w:r>
    </w:p>
    <w:p w14:paraId="4B7F2CDE" w14:textId="77777777" w:rsidR="00583F0E" w:rsidRDefault="00583F0E" w:rsidP="0053744E">
      <w:pPr>
        <w:rPr>
          <w:b/>
          <w:lang w:val="en-GB"/>
        </w:rPr>
      </w:pPr>
    </w:p>
    <w:p w14:paraId="232CB871" w14:textId="68E91CBC" w:rsidR="00567C1C" w:rsidRPr="004937DB" w:rsidRDefault="0053744E" w:rsidP="0053744E">
      <w:pPr>
        <w:rPr>
          <w:rFonts w:ascii="Segoe UI" w:hAnsi="Segoe UI" w:cs="Segoe UI"/>
          <w:b/>
          <w:color w:val="0070C0"/>
          <w:lang w:val="en-GB"/>
        </w:rPr>
      </w:pPr>
      <w:r w:rsidRPr="004937DB">
        <w:rPr>
          <w:rFonts w:ascii="Segoe UI" w:hAnsi="Segoe UI" w:cs="Segoe UI"/>
          <w:b/>
          <w:color w:val="0070C0"/>
          <w:lang w:val="en-GB"/>
        </w:rPr>
        <w:t>Diagnostic features</w:t>
      </w:r>
    </w:p>
    <w:p w14:paraId="05AC8D6A" w14:textId="47B9BE20" w:rsidR="00567C1C" w:rsidRPr="004937DB" w:rsidRDefault="00567C1C" w:rsidP="0053744E">
      <w:pPr>
        <w:rPr>
          <w:rFonts w:ascii="Segoe UI" w:hAnsi="Segoe UI" w:cs="Segoe UI"/>
          <w:b/>
          <w:i/>
          <w:lang w:val="en-GB"/>
        </w:rPr>
      </w:pPr>
      <w:r w:rsidRPr="004937DB">
        <w:rPr>
          <w:rFonts w:ascii="Segoe UI" w:hAnsi="Segoe UI" w:cs="Segoe UI"/>
          <w:b/>
          <w:i/>
          <w:lang w:val="en-GB"/>
        </w:rPr>
        <w:t>Anorexia nervosa</w:t>
      </w:r>
    </w:p>
    <w:p w14:paraId="1CD375FB" w14:textId="0D1CD17E" w:rsidR="00567C1C" w:rsidRPr="004937DB" w:rsidRDefault="00567C1C" w:rsidP="0053744E">
      <w:pPr>
        <w:rPr>
          <w:rFonts w:ascii="Segoe UI" w:hAnsi="Segoe UI" w:cs="Segoe UI"/>
          <w:lang w:val="en-GB"/>
        </w:rPr>
      </w:pPr>
      <w:r w:rsidRPr="004937DB">
        <w:rPr>
          <w:rFonts w:ascii="Segoe UI" w:hAnsi="Segoe UI" w:cs="Segoe UI"/>
          <w:lang w:val="en-GB"/>
        </w:rPr>
        <w:t>Weight loss at least 15% below the body weight expected (or BMI less than 17.5</w:t>
      </w:r>
      <w:r w:rsidR="00E131AC" w:rsidRPr="004937DB">
        <w:rPr>
          <w:rFonts w:ascii="Segoe UI" w:hAnsi="Segoe UI" w:cs="Segoe UI"/>
          <w:lang w:val="en-GB"/>
        </w:rPr>
        <w:t xml:space="preserve">) </w:t>
      </w:r>
      <w:r w:rsidR="002A3425" w:rsidRPr="004937DB">
        <w:rPr>
          <w:rFonts w:ascii="Segoe UI" w:hAnsi="Segoe UI" w:cs="Segoe UI"/>
          <w:lang w:val="en-GB"/>
        </w:rPr>
        <w:t xml:space="preserve">or failure to gain weight as part of normal growth and development. </w:t>
      </w:r>
    </w:p>
    <w:p w14:paraId="76359352" w14:textId="347921B7" w:rsidR="002A3425" w:rsidRPr="004937DB" w:rsidRDefault="002A3425" w:rsidP="0053744E">
      <w:pPr>
        <w:rPr>
          <w:rFonts w:ascii="Segoe UI" w:hAnsi="Segoe UI" w:cs="Segoe UI"/>
          <w:lang w:val="en-GB"/>
        </w:rPr>
      </w:pPr>
      <w:r w:rsidRPr="004937DB">
        <w:rPr>
          <w:rFonts w:ascii="Segoe UI" w:hAnsi="Segoe UI" w:cs="Segoe UI"/>
          <w:lang w:val="en-GB"/>
        </w:rPr>
        <w:t xml:space="preserve">Weight loss is self-induced by avoidance of “fattening </w:t>
      </w:r>
      <w:proofErr w:type="gramStart"/>
      <w:r w:rsidRPr="004937DB">
        <w:rPr>
          <w:rFonts w:ascii="Segoe UI" w:hAnsi="Segoe UI" w:cs="Segoe UI"/>
          <w:lang w:val="en-GB"/>
        </w:rPr>
        <w:t>“ foods</w:t>
      </w:r>
      <w:proofErr w:type="gramEnd"/>
    </w:p>
    <w:p w14:paraId="5BC586CA" w14:textId="0061B5B7" w:rsidR="00567C1C" w:rsidRPr="004937DB" w:rsidRDefault="00567C1C" w:rsidP="0053744E">
      <w:pPr>
        <w:rPr>
          <w:rFonts w:ascii="Segoe UI" w:hAnsi="Segoe UI" w:cs="Segoe UI"/>
          <w:lang w:val="en-GB"/>
        </w:rPr>
      </w:pPr>
      <w:r w:rsidRPr="004937DB">
        <w:rPr>
          <w:rFonts w:ascii="Segoe UI" w:hAnsi="Segoe UI" w:cs="Segoe UI"/>
          <w:lang w:val="en-GB"/>
        </w:rPr>
        <w:t>Over-evaluation of weight or shape</w:t>
      </w:r>
    </w:p>
    <w:p w14:paraId="51A0CB35" w14:textId="3F84E9CC" w:rsidR="00567C1C" w:rsidRPr="004937DB" w:rsidRDefault="00567C1C" w:rsidP="0053744E">
      <w:pPr>
        <w:rPr>
          <w:rFonts w:ascii="Segoe UI" w:hAnsi="Segoe UI" w:cs="Segoe UI"/>
          <w:lang w:val="en-GB"/>
        </w:rPr>
      </w:pPr>
      <w:r w:rsidRPr="004937DB">
        <w:rPr>
          <w:rFonts w:ascii="Segoe UI" w:hAnsi="Segoe UI" w:cs="Segoe UI"/>
          <w:lang w:val="en-GB"/>
        </w:rPr>
        <w:t>Abnormal hormonal function</w:t>
      </w:r>
      <w:r w:rsidR="002A3425" w:rsidRPr="004937DB">
        <w:rPr>
          <w:rFonts w:ascii="Segoe UI" w:hAnsi="Segoe UI" w:cs="Segoe UI"/>
          <w:lang w:val="en-GB"/>
        </w:rPr>
        <w:t xml:space="preserve"> (loss of menstruation in females) </w:t>
      </w:r>
    </w:p>
    <w:p w14:paraId="4D133AD0" w14:textId="77777777" w:rsidR="0053744E" w:rsidRPr="004937DB" w:rsidRDefault="0053744E" w:rsidP="0053744E">
      <w:pPr>
        <w:rPr>
          <w:rFonts w:ascii="Segoe UI" w:hAnsi="Segoe UI" w:cs="Segoe UI"/>
          <w:lang w:val="en-GB"/>
        </w:rPr>
      </w:pPr>
    </w:p>
    <w:p w14:paraId="3BBFA851" w14:textId="6A24A8E6" w:rsidR="00567C1C" w:rsidRPr="004937DB" w:rsidRDefault="00567C1C" w:rsidP="0053744E">
      <w:pPr>
        <w:rPr>
          <w:rFonts w:ascii="Segoe UI" w:hAnsi="Segoe UI" w:cs="Segoe UI"/>
          <w:b/>
          <w:i/>
          <w:lang w:val="en-GB"/>
        </w:rPr>
      </w:pPr>
      <w:r w:rsidRPr="004937DB">
        <w:rPr>
          <w:rFonts w:ascii="Segoe UI" w:hAnsi="Segoe UI" w:cs="Segoe UI"/>
          <w:b/>
          <w:i/>
          <w:lang w:val="en-GB"/>
        </w:rPr>
        <w:t>Bulimia Nervosa</w:t>
      </w:r>
    </w:p>
    <w:p w14:paraId="53B64EA2" w14:textId="77777777" w:rsidR="003C54E6" w:rsidRPr="004937DB" w:rsidRDefault="00567C1C" w:rsidP="0053744E">
      <w:pPr>
        <w:rPr>
          <w:rFonts w:ascii="Segoe UI" w:hAnsi="Segoe UI" w:cs="Segoe UI"/>
          <w:lang w:val="en-GB"/>
        </w:rPr>
      </w:pPr>
      <w:r w:rsidRPr="004937DB">
        <w:rPr>
          <w:rFonts w:ascii="Segoe UI" w:hAnsi="Segoe UI" w:cs="Segoe UI"/>
          <w:lang w:val="en-GB"/>
        </w:rPr>
        <w:t>Recurrent binge eating</w:t>
      </w:r>
    </w:p>
    <w:p w14:paraId="40597BE5" w14:textId="55F5E16E" w:rsidR="00567C1C" w:rsidRPr="004937DB" w:rsidRDefault="00567C1C" w:rsidP="0053744E">
      <w:pPr>
        <w:rPr>
          <w:rFonts w:ascii="Segoe UI" w:hAnsi="Segoe UI" w:cs="Segoe UI"/>
          <w:lang w:val="en-GB"/>
        </w:rPr>
      </w:pPr>
      <w:r w:rsidRPr="004937DB">
        <w:rPr>
          <w:rFonts w:ascii="Segoe UI" w:hAnsi="Segoe UI" w:cs="Segoe UI"/>
          <w:lang w:val="en-GB"/>
        </w:rPr>
        <w:t>Purging (self-induced vomiting, laxative or diuretic abuse, restrictive dieting or over-exercise)</w:t>
      </w:r>
    </w:p>
    <w:p w14:paraId="177B7E3C" w14:textId="77A68C79" w:rsidR="00F959E9" w:rsidRPr="004937DB" w:rsidRDefault="00F959E9" w:rsidP="0053744E">
      <w:pPr>
        <w:rPr>
          <w:rFonts w:ascii="Segoe UI" w:hAnsi="Segoe UI" w:cs="Segoe UI"/>
          <w:lang w:val="en-GB"/>
        </w:rPr>
      </w:pPr>
      <w:r w:rsidRPr="004937DB">
        <w:rPr>
          <w:rFonts w:ascii="Segoe UI" w:hAnsi="Segoe UI" w:cs="Segoe UI"/>
          <w:lang w:val="en-GB"/>
        </w:rPr>
        <w:t>Over-evaluation of weight and shape</w:t>
      </w:r>
    </w:p>
    <w:p w14:paraId="42A90B56" w14:textId="77777777" w:rsidR="00567C1C" w:rsidRPr="004937DB" w:rsidRDefault="00567C1C" w:rsidP="0053744E">
      <w:pPr>
        <w:rPr>
          <w:rFonts w:ascii="Segoe UI" w:hAnsi="Segoe UI" w:cs="Segoe UI"/>
          <w:b/>
          <w:i/>
          <w:lang w:val="en-GB"/>
        </w:rPr>
      </w:pPr>
    </w:p>
    <w:p w14:paraId="1B706469" w14:textId="7446F060" w:rsidR="00567C1C" w:rsidRPr="004937DB" w:rsidRDefault="00567C1C" w:rsidP="0053744E">
      <w:pPr>
        <w:rPr>
          <w:rFonts w:ascii="Segoe UI" w:hAnsi="Segoe UI" w:cs="Segoe UI"/>
          <w:b/>
          <w:i/>
          <w:lang w:val="en-GB"/>
        </w:rPr>
      </w:pPr>
      <w:r w:rsidRPr="004937DB">
        <w:rPr>
          <w:rFonts w:ascii="Segoe UI" w:hAnsi="Segoe UI" w:cs="Segoe UI"/>
          <w:b/>
          <w:i/>
          <w:lang w:val="en-GB"/>
        </w:rPr>
        <w:t>Atypical eating disorders</w:t>
      </w:r>
    </w:p>
    <w:p w14:paraId="53E0BBD4" w14:textId="54D60A42" w:rsidR="00567C1C" w:rsidRPr="004937DB" w:rsidRDefault="00567C1C" w:rsidP="0053744E">
      <w:pPr>
        <w:rPr>
          <w:rFonts w:ascii="Segoe UI" w:hAnsi="Segoe UI" w:cs="Segoe UI"/>
          <w:lang w:val="en-GB"/>
        </w:rPr>
      </w:pPr>
      <w:r w:rsidRPr="004937DB">
        <w:rPr>
          <w:rFonts w:ascii="Segoe UI" w:hAnsi="Segoe UI" w:cs="Segoe UI"/>
          <w:lang w:val="en-GB"/>
        </w:rPr>
        <w:t xml:space="preserve">Eating disorder symptoms that do not meet all the above criteria </w:t>
      </w:r>
      <w:r w:rsidR="003C54E6" w:rsidRPr="004937DB">
        <w:rPr>
          <w:rFonts w:ascii="Segoe UI" w:hAnsi="Segoe UI" w:cs="Segoe UI"/>
          <w:lang w:val="en-GB"/>
        </w:rPr>
        <w:t xml:space="preserve">although cause significant concern/impact </w:t>
      </w:r>
      <w:r w:rsidRPr="004937DB">
        <w:rPr>
          <w:rFonts w:ascii="Segoe UI" w:hAnsi="Segoe UI" w:cs="Segoe UI"/>
          <w:lang w:val="en-GB"/>
        </w:rPr>
        <w:t>(</w:t>
      </w:r>
      <w:r w:rsidR="003C54E6" w:rsidRPr="004937DB">
        <w:rPr>
          <w:rFonts w:ascii="Segoe UI" w:hAnsi="Segoe UI" w:cs="Segoe UI"/>
          <w:lang w:val="en-GB"/>
        </w:rPr>
        <w:t>common in young people</w:t>
      </w:r>
      <w:r w:rsidRPr="004937DB">
        <w:rPr>
          <w:rFonts w:ascii="Segoe UI" w:hAnsi="Segoe UI" w:cs="Segoe UI"/>
          <w:lang w:val="en-GB"/>
        </w:rPr>
        <w:t>)</w:t>
      </w:r>
      <w:r w:rsidR="00583F0E" w:rsidRPr="004937DB">
        <w:rPr>
          <w:rFonts w:ascii="Segoe UI" w:hAnsi="Segoe UI" w:cs="Segoe UI"/>
          <w:lang w:val="en-GB"/>
        </w:rPr>
        <w:t>.</w:t>
      </w:r>
    </w:p>
    <w:p w14:paraId="63254A11" w14:textId="77777777" w:rsidR="00567C1C" w:rsidRPr="004937DB" w:rsidRDefault="00567C1C" w:rsidP="0053744E">
      <w:pPr>
        <w:rPr>
          <w:rFonts w:ascii="Segoe UI" w:hAnsi="Segoe UI" w:cs="Segoe UI"/>
          <w:lang w:val="en-GB"/>
        </w:rPr>
      </w:pPr>
    </w:p>
    <w:p w14:paraId="619AD93E" w14:textId="1CB75462" w:rsidR="007C0116" w:rsidRPr="004937DB" w:rsidRDefault="007C0116" w:rsidP="0053744E">
      <w:pPr>
        <w:rPr>
          <w:rFonts w:ascii="Segoe UI" w:hAnsi="Segoe UI" w:cs="Segoe UI"/>
          <w:b/>
          <w:color w:val="0070C0"/>
          <w:lang w:val="en-GB"/>
        </w:rPr>
      </w:pPr>
      <w:r w:rsidRPr="004937DB">
        <w:rPr>
          <w:rFonts w:ascii="Segoe UI" w:hAnsi="Segoe UI" w:cs="Segoe UI"/>
          <w:b/>
          <w:color w:val="0070C0"/>
          <w:lang w:val="en-GB"/>
        </w:rPr>
        <w:t>Assessment</w:t>
      </w:r>
      <w:r w:rsidR="00A5035A" w:rsidRPr="004937DB">
        <w:rPr>
          <w:rFonts w:ascii="Segoe UI" w:hAnsi="Segoe UI" w:cs="Segoe UI"/>
          <w:b/>
          <w:color w:val="0070C0"/>
          <w:lang w:val="en-GB"/>
        </w:rPr>
        <w:t xml:space="preserve"> in primary care</w:t>
      </w:r>
    </w:p>
    <w:p w14:paraId="53971F25" w14:textId="09C79A7D" w:rsidR="007C0116" w:rsidRPr="004937DB" w:rsidRDefault="007C0116" w:rsidP="0053744E">
      <w:pPr>
        <w:rPr>
          <w:rFonts w:ascii="Segoe UI" w:hAnsi="Segoe UI" w:cs="Segoe UI"/>
          <w:lang w:val="en-GB"/>
        </w:rPr>
      </w:pPr>
      <w:r w:rsidRPr="004937DB">
        <w:rPr>
          <w:rFonts w:ascii="Segoe UI" w:hAnsi="Segoe UI" w:cs="Segoe UI"/>
          <w:lang w:val="en-GB"/>
        </w:rPr>
        <w:t>Clarification o</w:t>
      </w:r>
      <w:r w:rsidR="00274237" w:rsidRPr="004937DB">
        <w:rPr>
          <w:rFonts w:ascii="Segoe UI" w:hAnsi="Segoe UI" w:cs="Segoe UI"/>
          <w:lang w:val="en-GB"/>
        </w:rPr>
        <w:t xml:space="preserve">f history and symptoms of eating disorder as above, along with </w:t>
      </w:r>
      <w:proofErr w:type="gramStart"/>
      <w:r w:rsidR="00274237" w:rsidRPr="004937DB">
        <w:rPr>
          <w:rFonts w:ascii="Segoe UI" w:hAnsi="Segoe UI" w:cs="Segoe UI"/>
          <w:lang w:val="en-GB"/>
        </w:rPr>
        <w:t>a brief summary</w:t>
      </w:r>
      <w:proofErr w:type="gramEnd"/>
      <w:r w:rsidR="00274237" w:rsidRPr="004937DB">
        <w:rPr>
          <w:rFonts w:ascii="Segoe UI" w:hAnsi="Segoe UI" w:cs="Segoe UI"/>
          <w:lang w:val="en-GB"/>
        </w:rPr>
        <w:t xml:space="preserve"> of family and personal background. </w:t>
      </w:r>
      <w:r w:rsidRPr="004937DB">
        <w:rPr>
          <w:rFonts w:ascii="Segoe UI" w:hAnsi="Segoe UI" w:cs="Segoe UI"/>
          <w:lang w:val="en-GB"/>
        </w:rPr>
        <w:t xml:space="preserve"> </w:t>
      </w:r>
      <w:r w:rsidR="008A01FE">
        <w:rPr>
          <w:rFonts w:ascii="Segoe UI" w:hAnsi="Segoe UI" w:cs="Segoe UI"/>
          <w:lang w:val="en-GB"/>
        </w:rPr>
        <w:t xml:space="preserve">Useful questions (some adapted from the SCOFF questionnaire) include: </w:t>
      </w:r>
    </w:p>
    <w:p w14:paraId="7554B4FF" w14:textId="77777777" w:rsidR="006E6029" w:rsidRPr="004937DB" w:rsidRDefault="006E6029" w:rsidP="0053744E">
      <w:pPr>
        <w:rPr>
          <w:rFonts w:ascii="Segoe UI" w:hAnsi="Segoe UI" w:cs="Segoe UI"/>
          <w:lang w:val="en-GB"/>
        </w:rPr>
      </w:pPr>
    </w:p>
    <w:p w14:paraId="497E6C6D" w14:textId="4C506612" w:rsidR="008A01FE" w:rsidRDefault="008A01FE" w:rsidP="007C0116">
      <w:pPr>
        <w:autoSpaceDE w:val="0"/>
        <w:autoSpaceDN w:val="0"/>
        <w:adjustRightInd w:val="0"/>
        <w:rPr>
          <w:rFonts w:ascii="Segoe UI" w:hAnsi="Segoe UI" w:cs="Segoe UI"/>
          <w:lang w:val="en-GB"/>
        </w:rPr>
      </w:pPr>
      <w:r>
        <w:rPr>
          <w:rFonts w:ascii="Segoe UI" w:hAnsi="Segoe UI" w:cs="Segoe UI"/>
          <w:lang w:val="en-GB"/>
        </w:rPr>
        <w:t>Are you trying to lose weight?</w:t>
      </w:r>
    </w:p>
    <w:p w14:paraId="3B1A38D9" w14:textId="6A11267C" w:rsidR="007C0116" w:rsidRPr="004937DB" w:rsidRDefault="007C0116" w:rsidP="007C0116">
      <w:pPr>
        <w:autoSpaceDE w:val="0"/>
        <w:autoSpaceDN w:val="0"/>
        <w:adjustRightInd w:val="0"/>
        <w:rPr>
          <w:rFonts w:ascii="Segoe UI" w:hAnsi="Segoe UI" w:cs="Segoe UI"/>
          <w:lang w:val="en-GB"/>
        </w:rPr>
      </w:pPr>
      <w:r w:rsidRPr="004937DB">
        <w:rPr>
          <w:rFonts w:ascii="Segoe UI" w:hAnsi="Segoe UI" w:cs="Segoe UI"/>
          <w:lang w:val="en-GB"/>
        </w:rPr>
        <w:t xml:space="preserve">Do you ever make yourself sick </w:t>
      </w:r>
      <w:r w:rsidR="008A01FE">
        <w:rPr>
          <w:rFonts w:ascii="Segoe UI" w:hAnsi="Segoe UI" w:cs="Segoe UI"/>
          <w:lang w:val="en-GB"/>
        </w:rPr>
        <w:t>after eating</w:t>
      </w:r>
      <w:r w:rsidRPr="004937DB">
        <w:rPr>
          <w:rFonts w:ascii="Segoe UI" w:hAnsi="Segoe UI" w:cs="Segoe UI"/>
          <w:lang w:val="en-GB"/>
        </w:rPr>
        <w:t>?</w:t>
      </w:r>
    </w:p>
    <w:p w14:paraId="7803B625" w14:textId="3AB2A860" w:rsidR="007C0116" w:rsidRPr="004937DB" w:rsidRDefault="008A01FE" w:rsidP="007C0116">
      <w:pPr>
        <w:autoSpaceDE w:val="0"/>
        <w:autoSpaceDN w:val="0"/>
        <w:adjustRightInd w:val="0"/>
        <w:rPr>
          <w:rFonts w:ascii="Segoe UI" w:hAnsi="Segoe UI" w:cs="Segoe UI"/>
          <w:lang w:val="en-GB"/>
        </w:rPr>
      </w:pPr>
      <w:r>
        <w:rPr>
          <w:rFonts w:ascii="Segoe UI" w:hAnsi="Segoe UI" w:cs="Segoe UI"/>
          <w:lang w:val="en-GB"/>
        </w:rPr>
        <w:t>Do you worry about losing control of your eating?</w:t>
      </w:r>
    </w:p>
    <w:p w14:paraId="710310C2" w14:textId="52A4775D" w:rsidR="007C0116" w:rsidRPr="004937DB" w:rsidRDefault="008A01FE" w:rsidP="007C0116">
      <w:pPr>
        <w:autoSpaceDE w:val="0"/>
        <w:autoSpaceDN w:val="0"/>
        <w:adjustRightInd w:val="0"/>
        <w:rPr>
          <w:rFonts w:ascii="Segoe UI" w:hAnsi="Segoe UI" w:cs="Segoe UI"/>
          <w:lang w:val="en-GB"/>
        </w:rPr>
      </w:pPr>
      <w:r>
        <w:rPr>
          <w:rFonts w:ascii="Segoe UI" w:hAnsi="Segoe UI" w:cs="Segoe UI"/>
          <w:lang w:val="en-GB"/>
        </w:rPr>
        <w:t>D</w:t>
      </w:r>
      <w:r w:rsidR="007C0116" w:rsidRPr="004937DB">
        <w:rPr>
          <w:rFonts w:ascii="Segoe UI" w:hAnsi="Segoe UI" w:cs="Segoe UI"/>
          <w:lang w:val="en-GB"/>
        </w:rPr>
        <w:t xml:space="preserve">o you </w:t>
      </w:r>
      <w:r>
        <w:rPr>
          <w:rFonts w:ascii="Segoe UI" w:hAnsi="Segoe UI" w:cs="Segoe UI"/>
          <w:lang w:val="en-GB"/>
        </w:rPr>
        <w:t xml:space="preserve">think you are </w:t>
      </w:r>
      <w:r w:rsidR="007C0116" w:rsidRPr="004937DB">
        <w:rPr>
          <w:rFonts w:ascii="Segoe UI" w:hAnsi="Segoe UI" w:cs="Segoe UI"/>
          <w:lang w:val="en-GB"/>
        </w:rPr>
        <w:t>fat when others say you are too thin?</w:t>
      </w:r>
    </w:p>
    <w:p w14:paraId="49645D82" w14:textId="325462E4" w:rsidR="007C0116" w:rsidRPr="004937DB" w:rsidRDefault="007C0116" w:rsidP="002A3425">
      <w:pPr>
        <w:autoSpaceDE w:val="0"/>
        <w:autoSpaceDN w:val="0"/>
        <w:adjustRightInd w:val="0"/>
        <w:rPr>
          <w:rFonts w:ascii="Segoe UI" w:hAnsi="Segoe UI" w:cs="Segoe UI"/>
          <w:lang w:val="en-GB"/>
        </w:rPr>
      </w:pPr>
      <w:r w:rsidRPr="004937DB">
        <w:rPr>
          <w:rFonts w:ascii="Segoe UI" w:hAnsi="Segoe UI" w:cs="Segoe UI"/>
          <w:lang w:val="en-GB"/>
        </w:rPr>
        <w:t xml:space="preserve">Would you say that food dominates your life? </w:t>
      </w:r>
    </w:p>
    <w:p w14:paraId="4DB082DD" w14:textId="77777777" w:rsidR="006E6029" w:rsidRPr="004937DB" w:rsidRDefault="006E6029" w:rsidP="002A3425">
      <w:pPr>
        <w:autoSpaceDE w:val="0"/>
        <w:autoSpaceDN w:val="0"/>
        <w:adjustRightInd w:val="0"/>
        <w:rPr>
          <w:rFonts w:ascii="Segoe UI" w:hAnsi="Segoe UI" w:cs="Segoe UI"/>
          <w:lang w:val="en-GB"/>
        </w:rPr>
      </w:pPr>
    </w:p>
    <w:p w14:paraId="60809865" w14:textId="2A642D21" w:rsidR="00567C1C" w:rsidRPr="004937DB" w:rsidRDefault="00567C1C" w:rsidP="0053744E">
      <w:pPr>
        <w:rPr>
          <w:rFonts w:ascii="Segoe UI" w:hAnsi="Segoe UI" w:cs="Segoe UI"/>
          <w:b/>
          <w:lang w:val="en-GB"/>
        </w:rPr>
      </w:pPr>
      <w:r w:rsidRPr="004937DB">
        <w:rPr>
          <w:rFonts w:ascii="Segoe UI" w:hAnsi="Segoe UI" w:cs="Segoe UI"/>
          <w:b/>
          <w:color w:val="0070C0"/>
          <w:lang w:val="en-GB"/>
        </w:rPr>
        <w:t xml:space="preserve">Physical assessment and investigations </w:t>
      </w:r>
    </w:p>
    <w:p w14:paraId="28975A99" w14:textId="44D1630A" w:rsidR="00567C1C" w:rsidRPr="004937DB" w:rsidRDefault="00567C1C" w:rsidP="0053744E">
      <w:pPr>
        <w:rPr>
          <w:rFonts w:ascii="Segoe UI" w:hAnsi="Segoe UI" w:cs="Segoe UI"/>
          <w:lang w:val="en-GB"/>
        </w:rPr>
      </w:pPr>
      <w:r w:rsidRPr="004937DB">
        <w:rPr>
          <w:rFonts w:ascii="Segoe UI" w:hAnsi="Segoe UI" w:cs="Segoe UI"/>
          <w:lang w:val="en-GB"/>
        </w:rPr>
        <w:t>If an eating disorder is suspected, physical assessment</w:t>
      </w:r>
      <w:r w:rsidR="00E4032D">
        <w:rPr>
          <w:rFonts w:ascii="Segoe UI" w:hAnsi="Segoe UI" w:cs="Segoe UI"/>
          <w:lang w:val="en-GB"/>
        </w:rPr>
        <w:t xml:space="preserve"> is indicated to exclude other</w:t>
      </w:r>
      <w:r w:rsidRPr="004937DB">
        <w:rPr>
          <w:rFonts w:ascii="Segoe UI" w:hAnsi="Segoe UI" w:cs="Segoe UI"/>
          <w:lang w:val="en-GB"/>
        </w:rPr>
        <w:t xml:space="preserve"> cause</w:t>
      </w:r>
      <w:r w:rsidR="00E4032D">
        <w:rPr>
          <w:rFonts w:ascii="Segoe UI" w:hAnsi="Segoe UI" w:cs="Segoe UI"/>
          <w:lang w:val="en-GB"/>
        </w:rPr>
        <w:t>s of low weight</w:t>
      </w:r>
      <w:r w:rsidRPr="004937DB">
        <w:rPr>
          <w:rFonts w:ascii="Segoe UI" w:hAnsi="Segoe UI" w:cs="Segoe UI"/>
          <w:lang w:val="en-GB"/>
        </w:rPr>
        <w:t xml:space="preserve"> and identify any physical consequences of the disorder.</w:t>
      </w:r>
    </w:p>
    <w:p w14:paraId="38055483" w14:textId="77777777" w:rsidR="00D841B0" w:rsidRPr="004937DB" w:rsidRDefault="00D841B0" w:rsidP="0053744E">
      <w:pPr>
        <w:rPr>
          <w:rFonts w:ascii="Segoe UI" w:hAnsi="Segoe UI" w:cs="Segoe UI"/>
          <w:lang w:val="en-GB"/>
        </w:rPr>
      </w:pPr>
    </w:p>
    <w:p w14:paraId="7EA41B61" w14:textId="43689D13" w:rsidR="005005CA" w:rsidRPr="004937DB" w:rsidRDefault="00D841B0" w:rsidP="0053744E">
      <w:pPr>
        <w:rPr>
          <w:rFonts w:ascii="Segoe UI" w:hAnsi="Segoe UI" w:cs="Segoe UI"/>
          <w:lang w:val="en-GB"/>
        </w:rPr>
      </w:pPr>
      <w:r w:rsidRPr="004937DB">
        <w:rPr>
          <w:rFonts w:ascii="Segoe UI" w:hAnsi="Segoe UI" w:cs="Segoe UI"/>
          <w:lang w:val="en-GB"/>
        </w:rPr>
        <w:t xml:space="preserve">This will include weight and height, BP and PR as well as more general examination to exclude other causes of weight loss. For those with low pulse rate </w:t>
      </w:r>
      <w:r w:rsidR="00E4032D">
        <w:rPr>
          <w:rFonts w:ascii="Segoe UI" w:hAnsi="Segoe UI" w:cs="Segoe UI"/>
          <w:lang w:val="en-GB"/>
        </w:rPr>
        <w:t>(under 50) an ECG may be indicated to identify any</w:t>
      </w:r>
      <w:r w:rsidR="00583F0E" w:rsidRPr="004937DB">
        <w:rPr>
          <w:rFonts w:ascii="Segoe UI" w:hAnsi="Segoe UI" w:cs="Segoe UI"/>
          <w:lang w:val="en-GB"/>
        </w:rPr>
        <w:t xml:space="preserve"> serious cardiac abnormalities.</w:t>
      </w:r>
      <w:r w:rsidRPr="004937DB">
        <w:rPr>
          <w:rFonts w:ascii="Segoe UI" w:hAnsi="Segoe UI" w:cs="Segoe UI"/>
          <w:lang w:val="en-GB"/>
        </w:rPr>
        <w:t xml:space="preserve"> </w:t>
      </w:r>
    </w:p>
    <w:p w14:paraId="442330E8" w14:textId="77777777" w:rsidR="005005CA" w:rsidRPr="004937DB" w:rsidRDefault="005005CA" w:rsidP="0053744E">
      <w:pPr>
        <w:rPr>
          <w:rFonts w:ascii="Segoe UI" w:hAnsi="Segoe UI" w:cs="Segoe UI"/>
          <w:lang w:val="en-GB"/>
        </w:rPr>
      </w:pPr>
    </w:p>
    <w:p w14:paraId="1D9671F4" w14:textId="7C53A11C" w:rsidR="00D841B0" w:rsidRPr="004937DB" w:rsidRDefault="00583F0E" w:rsidP="0053744E">
      <w:pPr>
        <w:rPr>
          <w:rFonts w:ascii="Segoe UI" w:hAnsi="Segoe UI" w:cs="Segoe UI"/>
          <w:lang w:val="en-GB"/>
        </w:rPr>
      </w:pPr>
      <w:r w:rsidRPr="004937DB">
        <w:rPr>
          <w:rFonts w:ascii="Segoe UI" w:hAnsi="Segoe UI" w:cs="Segoe UI"/>
          <w:lang w:val="en-GB"/>
        </w:rPr>
        <w:t>Recommended i</w:t>
      </w:r>
      <w:r w:rsidR="00567C1C" w:rsidRPr="004937DB">
        <w:rPr>
          <w:rFonts w:ascii="Segoe UI" w:hAnsi="Segoe UI" w:cs="Segoe UI"/>
          <w:lang w:val="en-GB"/>
        </w:rPr>
        <w:t xml:space="preserve">nitial </w:t>
      </w:r>
      <w:r w:rsidR="00D841B0" w:rsidRPr="004937DB">
        <w:rPr>
          <w:rFonts w:ascii="Segoe UI" w:hAnsi="Segoe UI" w:cs="Segoe UI"/>
          <w:lang w:val="en-GB"/>
        </w:rPr>
        <w:t xml:space="preserve">blood </w:t>
      </w:r>
      <w:r w:rsidR="00567C1C" w:rsidRPr="004937DB">
        <w:rPr>
          <w:rFonts w:ascii="Segoe UI" w:hAnsi="Segoe UI" w:cs="Segoe UI"/>
          <w:lang w:val="en-GB"/>
        </w:rPr>
        <w:t>investigations include:</w:t>
      </w:r>
      <w:r w:rsidRPr="004937DB">
        <w:rPr>
          <w:rFonts w:ascii="Segoe UI" w:hAnsi="Segoe UI" w:cs="Segoe UI"/>
          <w:lang w:val="en-GB"/>
        </w:rPr>
        <w:t xml:space="preserve"> FBC</w:t>
      </w:r>
      <w:r w:rsidR="00D841B0" w:rsidRPr="004937DB">
        <w:rPr>
          <w:rFonts w:ascii="Segoe UI" w:hAnsi="Segoe UI" w:cs="Segoe UI"/>
          <w:lang w:val="en-GB"/>
        </w:rPr>
        <w:t xml:space="preserve">; </w:t>
      </w:r>
      <w:r w:rsidR="0018329B" w:rsidRPr="004937DB">
        <w:rPr>
          <w:rFonts w:ascii="Segoe UI" w:hAnsi="Segoe UI" w:cs="Segoe UI"/>
          <w:lang w:val="en-GB"/>
        </w:rPr>
        <w:t xml:space="preserve">ESR; </w:t>
      </w:r>
      <w:r w:rsidR="00D841B0" w:rsidRPr="004937DB">
        <w:rPr>
          <w:rFonts w:ascii="Segoe UI" w:hAnsi="Segoe UI" w:cs="Segoe UI"/>
          <w:lang w:val="en-GB"/>
        </w:rPr>
        <w:t>urea and electrolytes (including phosphate, Mg, Ca); liver function tests, glucose, folate, B1</w:t>
      </w:r>
      <w:r w:rsidR="00F959E9" w:rsidRPr="004937DB">
        <w:rPr>
          <w:rFonts w:ascii="Segoe UI" w:hAnsi="Segoe UI" w:cs="Segoe UI"/>
          <w:lang w:val="en-GB"/>
        </w:rPr>
        <w:t>2; Iron; thyroid f</w:t>
      </w:r>
      <w:r w:rsidR="002E4D30">
        <w:rPr>
          <w:rFonts w:ascii="Segoe UI" w:hAnsi="Segoe UI" w:cs="Segoe UI"/>
          <w:lang w:val="en-GB"/>
        </w:rPr>
        <w:t>unction tests.</w:t>
      </w:r>
    </w:p>
    <w:p w14:paraId="683036D8" w14:textId="77777777" w:rsidR="00D841B0" w:rsidRDefault="00D841B0" w:rsidP="0053744E">
      <w:pPr>
        <w:rPr>
          <w:rFonts w:ascii="Segoe UI" w:hAnsi="Segoe UI" w:cs="Segoe UI"/>
          <w:lang w:val="en-GB"/>
        </w:rPr>
      </w:pPr>
    </w:p>
    <w:p w14:paraId="2F58B0E0" w14:textId="77777777" w:rsidR="002E4D30" w:rsidRPr="004937DB" w:rsidRDefault="002E4D30" w:rsidP="0053744E">
      <w:pPr>
        <w:rPr>
          <w:rFonts w:ascii="Segoe UI" w:hAnsi="Segoe UI" w:cs="Segoe UI"/>
          <w:lang w:val="en-GB"/>
        </w:rPr>
      </w:pPr>
    </w:p>
    <w:p w14:paraId="78864508" w14:textId="77777777" w:rsidR="002E4D30" w:rsidRDefault="002E4D30" w:rsidP="0053744E">
      <w:pPr>
        <w:rPr>
          <w:rFonts w:ascii="Segoe UI" w:hAnsi="Segoe UI" w:cs="Segoe UI"/>
          <w:b/>
          <w:color w:val="0070C0"/>
          <w:lang w:val="en-GB"/>
        </w:rPr>
      </w:pPr>
      <w:r>
        <w:rPr>
          <w:rFonts w:ascii="Segoe UI" w:hAnsi="Segoe UI" w:cs="Segoe UI"/>
          <w:b/>
          <w:color w:val="0070C0"/>
          <w:lang w:val="en-GB"/>
        </w:rPr>
        <w:t>Criteria for referral</w:t>
      </w:r>
    </w:p>
    <w:p w14:paraId="48485692" w14:textId="0FE521A3" w:rsidR="002E4D30" w:rsidRDefault="002E4D30" w:rsidP="0053744E">
      <w:pPr>
        <w:rPr>
          <w:rFonts w:ascii="Segoe UI" w:hAnsi="Segoe UI" w:cs="Segoe UI"/>
          <w:lang w:val="en-GB"/>
        </w:rPr>
      </w:pPr>
      <w:r w:rsidRPr="002E4D30">
        <w:rPr>
          <w:rFonts w:ascii="Segoe UI" w:hAnsi="Segoe UI" w:cs="Segoe UI"/>
          <w:lang w:val="en-GB"/>
        </w:rPr>
        <w:t>Young peop</w:t>
      </w:r>
      <w:r>
        <w:rPr>
          <w:rFonts w:ascii="Segoe UI" w:hAnsi="Segoe UI" w:cs="Segoe UI"/>
          <w:lang w:val="en-GB"/>
        </w:rPr>
        <w:t>l</w:t>
      </w:r>
      <w:r w:rsidRPr="002E4D30">
        <w:rPr>
          <w:rFonts w:ascii="Segoe UI" w:hAnsi="Segoe UI" w:cs="Segoe UI"/>
          <w:lang w:val="en-GB"/>
        </w:rPr>
        <w:t xml:space="preserve">e </w:t>
      </w:r>
      <w:r>
        <w:rPr>
          <w:rFonts w:ascii="Segoe UI" w:hAnsi="Segoe UI" w:cs="Segoe UI"/>
          <w:lang w:val="en-GB"/>
        </w:rPr>
        <w:t xml:space="preserve">with eating disorders (anorexia nervosa, bulimia nervosa or atypical eating disorders) are seen within the service. </w:t>
      </w:r>
    </w:p>
    <w:p w14:paraId="63780F05" w14:textId="77777777" w:rsidR="002E4D30" w:rsidRDefault="002E4D30" w:rsidP="0053744E">
      <w:pPr>
        <w:rPr>
          <w:rFonts w:ascii="Segoe UI" w:hAnsi="Segoe UI" w:cs="Segoe UI"/>
          <w:lang w:val="en-GB"/>
        </w:rPr>
      </w:pPr>
    </w:p>
    <w:p w14:paraId="44C9F00E" w14:textId="77777777" w:rsidR="002E4D30" w:rsidRDefault="002E4D30" w:rsidP="0053744E">
      <w:pPr>
        <w:rPr>
          <w:rFonts w:ascii="Segoe UI" w:hAnsi="Segoe UI" w:cs="Segoe UI"/>
          <w:lang w:val="en-GB"/>
        </w:rPr>
      </w:pPr>
      <w:r>
        <w:rPr>
          <w:rFonts w:ascii="Segoe UI" w:hAnsi="Segoe UI" w:cs="Segoe UI"/>
          <w:lang w:val="en-GB"/>
        </w:rPr>
        <w:t>In all of these conditions, the young person will have significant concerns about their weight and shape. The service is not commissioned to see young people with obesity or those who have feeding/eating problems related to other diagnoses such as anxiety/depression/ASD where the core problem s not an over-evaluation of weight and shape.</w:t>
      </w:r>
    </w:p>
    <w:p w14:paraId="6448367D" w14:textId="120B13CB" w:rsidR="002E4D30" w:rsidRPr="002E4D30" w:rsidRDefault="002E4D30" w:rsidP="0053744E">
      <w:pPr>
        <w:rPr>
          <w:rFonts w:ascii="Segoe UI" w:hAnsi="Segoe UI" w:cs="Segoe UI"/>
          <w:lang w:val="en-GB"/>
        </w:rPr>
      </w:pPr>
      <w:r>
        <w:rPr>
          <w:rFonts w:ascii="Segoe UI" w:hAnsi="Segoe UI" w:cs="Segoe UI"/>
          <w:lang w:val="en-GB"/>
        </w:rPr>
        <w:t xml:space="preserve"> </w:t>
      </w:r>
    </w:p>
    <w:p w14:paraId="3D13E917" w14:textId="1F5EC842" w:rsidR="00D841B0" w:rsidRPr="004937DB" w:rsidRDefault="00D841B0" w:rsidP="0053744E">
      <w:pPr>
        <w:rPr>
          <w:rFonts w:ascii="Segoe UI" w:hAnsi="Segoe UI" w:cs="Segoe UI"/>
          <w:b/>
          <w:color w:val="0070C0"/>
          <w:lang w:val="en-GB"/>
        </w:rPr>
      </w:pPr>
      <w:r w:rsidRPr="004937DB">
        <w:rPr>
          <w:rFonts w:ascii="Segoe UI" w:hAnsi="Segoe UI" w:cs="Segoe UI"/>
          <w:b/>
          <w:color w:val="0070C0"/>
          <w:lang w:val="en-GB"/>
        </w:rPr>
        <w:t>Referral</w:t>
      </w:r>
      <w:r w:rsidR="008A01FE">
        <w:rPr>
          <w:rFonts w:ascii="Segoe UI" w:hAnsi="Segoe UI" w:cs="Segoe UI"/>
          <w:b/>
          <w:color w:val="0070C0"/>
          <w:lang w:val="en-GB"/>
        </w:rPr>
        <w:t xml:space="preserve"> protocol</w:t>
      </w:r>
    </w:p>
    <w:p w14:paraId="6EBF34EA" w14:textId="430B75A8" w:rsidR="00D841B0" w:rsidRPr="004937DB" w:rsidRDefault="00D841B0" w:rsidP="0053744E">
      <w:pPr>
        <w:rPr>
          <w:rFonts w:ascii="Segoe UI" w:hAnsi="Segoe UI" w:cs="Segoe UI"/>
          <w:lang w:val="en-GB"/>
        </w:rPr>
      </w:pPr>
      <w:r w:rsidRPr="004937DB">
        <w:rPr>
          <w:rFonts w:ascii="Segoe UI" w:hAnsi="Segoe UI" w:cs="Segoe UI"/>
          <w:lang w:val="en-GB"/>
        </w:rPr>
        <w:t xml:space="preserve">If an eating </w:t>
      </w:r>
      <w:r w:rsidR="000E1BB3" w:rsidRPr="004937DB">
        <w:rPr>
          <w:rFonts w:ascii="Segoe UI" w:hAnsi="Segoe UI" w:cs="Segoe UI"/>
          <w:lang w:val="en-GB"/>
        </w:rPr>
        <w:t xml:space="preserve">disorder </w:t>
      </w:r>
      <w:r w:rsidRPr="004937DB">
        <w:rPr>
          <w:rFonts w:ascii="Segoe UI" w:hAnsi="Segoe UI" w:cs="Segoe UI"/>
          <w:lang w:val="en-GB"/>
        </w:rPr>
        <w:t xml:space="preserve">is suspected, an early referral to CAMHS is recommended using the standard </w:t>
      </w:r>
      <w:r w:rsidR="00E4032D">
        <w:rPr>
          <w:rFonts w:ascii="Segoe UI" w:hAnsi="Segoe UI" w:cs="Segoe UI"/>
          <w:lang w:val="en-GB"/>
        </w:rPr>
        <w:t xml:space="preserve">GP </w:t>
      </w:r>
      <w:r w:rsidRPr="004937DB">
        <w:rPr>
          <w:rFonts w:ascii="Segoe UI" w:hAnsi="Segoe UI" w:cs="Segoe UI"/>
          <w:lang w:val="en-GB"/>
        </w:rPr>
        <w:t xml:space="preserve">referral </w:t>
      </w:r>
      <w:r w:rsidR="00E4032D">
        <w:rPr>
          <w:rFonts w:ascii="Segoe UI" w:hAnsi="Segoe UI" w:cs="Segoe UI"/>
          <w:lang w:val="en-GB"/>
        </w:rPr>
        <w:t>pro-</w:t>
      </w:r>
      <w:r w:rsidRPr="004937DB">
        <w:rPr>
          <w:rFonts w:ascii="Segoe UI" w:hAnsi="Segoe UI" w:cs="Segoe UI"/>
          <w:lang w:val="en-GB"/>
        </w:rPr>
        <w:t>form</w:t>
      </w:r>
      <w:r w:rsidR="00E4032D">
        <w:rPr>
          <w:rFonts w:ascii="Segoe UI" w:hAnsi="Segoe UI" w:cs="Segoe UI"/>
          <w:lang w:val="en-GB"/>
        </w:rPr>
        <w:t>a</w:t>
      </w:r>
      <w:r w:rsidRPr="004937DB">
        <w:rPr>
          <w:rFonts w:ascii="Segoe UI" w:hAnsi="Segoe UI" w:cs="Segoe UI"/>
          <w:lang w:val="en-GB"/>
        </w:rPr>
        <w:t xml:space="preserve">. The </w:t>
      </w:r>
      <w:r w:rsidR="00E4032D">
        <w:rPr>
          <w:rFonts w:ascii="Segoe UI" w:hAnsi="Segoe UI" w:cs="Segoe UI"/>
          <w:lang w:val="en-GB"/>
        </w:rPr>
        <w:t xml:space="preserve">box relating to possible eating disorder (or </w:t>
      </w:r>
      <w:r w:rsidR="008A01FE">
        <w:rPr>
          <w:rFonts w:ascii="Segoe UI" w:hAnsi="Segoe UI" w:cs="Segoe UI"/>
          <w:lang w:val="en-GB"/>
        </w:rPr>
        <w:t>a</w:t>
      </w:r>
      <w:r w:rsidR="00194171">
        <w:rPr>
          <w:rFonts w:ascii="Segoe UI" w:hAnsi="Segoe UI" w:cs="Segoe UI"/>
          <w:lang w:val="en-GB"/>
        </w:rPr>
        <w:t xml:space="preserve"> referral letter</w:t>
      </w:r>
      <w:r w:rsidR="00E4032D">
        <w:rPr>
          <w:rFonts w:ascii="Segoe UI" w:hAnsi="Segoe UI" w:cs="Segoe UI"/>
          <w:lang w:val="en-GB"/>
        </w:rPr>
        <w:t xml:space="preserve"> should be completed (including </w:t>
      </w:r>
      <w:r w:rsidRPr="004937DB">
        <w:rPr>
          <w:rFonts w:ascii="Segoe UI" w:hAnsi="Segoe UI" w:cs="Segoe UI"/>
          <w:lang w:val="en-GB"/>
        </w:rPr>
        <w:t xml:space="preserve">information on weight, height BP and PR, and </w:t>
      </w:r>
      <w:r w:rsidR="00E4032D">
        <w:rPr>
          <w:rFonts w:ascii="Segoe UI" w:hAnsi="Segoe UI" w:cs="Segoe UI"/>
          <w:lang w:val="en-GB"/>
        </w:rPr>
        <w:t xml:space="preserve">recent </w:t>
      </w:r>
      <w:r w:rsidRPr="004937DB">
        <w:rPr>
          <w:rFonts w:ascii="Segoe UI" w:hAnsi="Segoe UI" w:cs="Segoe UI"/>
          <w:lang w:val="en-GB"/>
        </w:rPr>
        <w:t xml:space="preserve">blood results). </w:t>
      </w:r>
      <w:r w:rsidR="00DC2C53" w:rsidRPr="004937DB">
        <w:rPr>
          <w:rFonts w:ascii="Segoe UI" w:hAnsi="Segoe UI" w:cs="Segoe UI"/>
          <w:lang w:val="en-GB"/>
        </w:rPr>
        <w:t xml:space="preserve">The referral should be faxed to the </w:t>
      </w:r>
      <w:r w:rsidR="002E4D30">
        <w:rPr>
          <w:rFonts w:ascii="Segoe UI" w:hAnsi="Segoe UI" w:cs="Segoe UI"/>
          <w:lang w:val="en-GB"/>
        </w:rPr>
        <w:t>Single Point of Access (SPA)</w:t>
      </w:r>
      <w:r w:rsidR="00DC2C53" w:rsidRPr="004937DB">
        <w:rPr>
          <w:rFonts w:ascii="Segoe UI" w:hAnsi="Segoe UI" w:cs="Segoe UI"/>
          <w:lang w:val="en-GB"/>
        </w:rPr>
        <w:t xml:space="preserve"> for CAMHS Fax number: </w:t>
      </w:r>
      <w:r w:rsidR="00E4032D">
        <w:rPr>
          <w:rFonts w:ascii="Segoe UI" w:hAnsi="Segoe UI" w:cs="Segoe UI"/>
          <w:lang w:val="en-GB"/>
        </w:rPr>
        <w:t xml:space="preserve">or sent electronically to </w:t>
      </w:r>
    </w:p>
    <w:p w14:paraId="047B8E10" w14:textId="77777777" w:rsidR="00D841B0" w:rsidRPr="004937DB" w:rsidRDefault="00D841B0" w:rsidP="0053744E">
      <w:pPr>
        <w:rPr>
          <w:rFonts w:ascii="Segoe UI" w:hAnsi="Segoe UI" w:cs="Segoe UI"/>
          <w:lang w:val="en-GB"/>
        </w:rPr>
      </w:pPr>
    </w:p>
    <w:p w14:paraId="30718086" w14:textId="5F344CA8" w:rsidR="0018329B" w:rsidRDefault="005A6802" w:rsidP="0053744E">
      <w:pPr>
        <w:rPr>
          <w:rFonts w:ascii="Segoe UI" w:hAnsi="Segoe UI" w:cs="Segoe UI"/>
          <w:lang w:val="en-GB"/>
        </w:rPr>
      </w:pPr>
      <w:r>
        <w:rPr>
          <w:rFonts w:ascii="Segoe UI" w:hAnsi="Segoe UI" w:cs="Segoe UI"/>
          <w:lang w:val="en-GB"/>
        </w:rPr>
        <w:t xml:space="preserve">If the case is urgent, e.g. very low weight, rapid weight loss or serious psychiatric comorbidity such as suicidal risk, we suggest ringing the service direct, backed up by a written referral (marked urgent and faxed or E mailed to the service). </w:t>
      </w:r>
    </w:p>
    <w:p w14:paraId="746DBEBE" w14:textId="77777777" w:rsidR="005A6802" w:rsidRPr="004937DB" w:rsidRDefault="005A6802" w:rsidP="0053744E">
      <w:pPr>
        <w:rPr>
          <w:rFonts w:ascii="Segoe UI" w:hAnsi="Segoe UI" w:cs="Segoe UI"/>
          <w:lang w:val="en-GB"/>
        </w:rPr>
      </w:pPr>
    </w:p>
    <w:p w14:paraId="02521A67" w14:textId="1C3C84AB" w:rsidR="005005CA" w:rsidRPr="004937DB" w:rsidRDefault="00DC2C53" w:rsidP="0053744E">
      <w:pPr>
        <w:rPr>
          <w:rFonts w:ascii="Segoe UI" w:hAnsi="Segoe UI" w:cs="Segoe UI"/>
          <w:lang w:val="en-GB"/>
        </w:rPr>
      </w:pPr>
      <w:r w:rsidRPr="004937DB">
        <w:rPr>
          <w:rFonts w:ascii="Segoe UI" w:hAnsi="Segoe UI" w:cs="Segoe UI"/>
          <w:lang w:val="en-GB"/>
        </w:rPr>
        <w:t>In the case of a physical health emergency the young person should be referred immediately to Paediatrics (Under 16) or General Medicine (16/17 years).</w:t>
      </w:r>
      <w:r w:rsidR="00583F0E" w:rsidRPr="004937DB">
        <w:rPr>
          <w:rFonts w:ascii="Segoe UI" w:hAnsi="Segoe UI" w:cs="Segoe UI"/>
          <w:lang w:val="en-GB"/>
        </w:rPr>
        <w:t xml:space="preserve"> </w:t>
      </w:r>
    </w:p>
    <w:p w14:paraId="545F943D" w14:textId="77777777" w:rsidR="007E089C" w:rsidRPr="004937DB" w:rsidRDefault="007E089C" w:rsidP="0053744E">
      <w:pPr>
        <w:rPr>
          <w:rFonts w:ascii="Segoe UI" w:hAnsi="Segoe UI" w:cs="Segoe UI"/>
          <w:lang w:val="en-GB"/>
        </w:rPr>
      </w:pPr>
    </w:p>
    <w:p w14:paraId="39299452" w14:textId="77777777" w:rsidR="00D504AF" w:rsidRPr="004937DB" w:rsidRDefault="007E089C" w:rsidP="00D504AF">
      <w:pPr>
        <w:rPr>
          <w:rFonts w:ascii="Segoe UI" w:hAnsi="Segoe UI" w:cs="Segoe UI"/>
        </w:rPr>
      </w:pPr>
      <w:r w:rsidRPr="004937DB">
        <w:rPr>
          <w:rFonts w:ascii="Segoe UI" w:hAnsi="Segoe UI" w:cs="Segoe UI"/>
          <w:lang w:val="en-GB"/>
        </w:rPr>
        <w:t xml:space="preserve">A useful guideline for assessment and management of physical risk is the Junior </w:t>
      </w:r>
      <w:proofErr w:type="spellStart"/>
      <w:r w:rsidRPr="004937DB">
        <w:rPr>
          <w:rFonts w:ascii="Segoe UI" w:hAnsi="Segoe UI" w:cs="Segoe UI"/>
          <w:lang w:val="en-GB"/>
        </w:rPr>
        <w:t>Marsipan</w:t>
      </w:r>
      <w:proofErr w:type="spellEnd"/>
      <w:r w:rsidRPr="004937DB">
        <w:rPr>
          <w:rFonts w:ascii="Segoe UI" w:hAnsi="Segoe UI" w:cs="Segoe UI"/>
          <w:lang w:val="en-GB"/>
        </w:rPr>
        <w:t xml:space="preserve"> Guideline </w:t>
      </w:r>
      <w:r w:rsidR="00D504AF" w:rsidRPr="004937DB">
        <w:rPr>
          <w:rFonts w:ascii="Segoe UI" w:hAnsi="Segoe UI" w:cs="Segoe UI"/>
        </w:rPr>
        <w:t xml:space="preserve"> </w:t>
      </w:r>
    </w:p>
    <w:p w14:paraId="0B2BF079" w14:textId="77777777" w:rsidR="00D504AF" w:rsidRPr="004937DB" w:rsidRDefault="003F7F92" w:rsidP="00D504AF">
      <w:pPr>
        <w:rPr>
          <w:rFonts w:ascii="Segoe UI" w:hAnsi="Segoe UI" w:cs="Segoe UI"/>
        </w:rPr>
      </w:pPr>
      <w:hyperlink r:id="rId4" w:history="1">
        <w:r w:rsidR="00D504AF" w:rsidRPr="004937DB">
          <w:rPr>
            <w:rStyle w:val="Hyperlink"/>
            <w:rFonts w:ascii="Segoe UI" w:hAnsi="Segoe UI" w:cs="Segoe UI"/>
          </w:rPr>
          <w:t>http://www.rcpsych.ac.uk/files/pdfversion/CR168.pdf</w:t>
        </w:r>
      </w:hyperlink>
    </w:p>
    <w:p w14:paraId="71C6C5E5" w14:textId="73B70055" w:rsidR="007E089C" w:rsidRPr="004937DB" w:rsidRDefault="007E089C" w:rsidP="0053744E">
      <w:pPr>
        <w:rPr>
          <w:rFonts w:ascii="Segoe UI" w:hAnsi="Segoe UI" w:cs="Segoe UI"/>
          <w:lang w:val="en-GB"/>
        </w:rPr>
      </w:pPr>
    </w:p>
    <w:p w14:paraId="1ABB6669" w14:textId="77777777" w:rsidR="002E4D30" w:rsidRDefault="00DC2C53" w:rsidP="0053744E">
      <w:pPr>
        <w:rPr>
          <w:rFonts w:ascii="Segoe UI" w:hAnsi="Segoe UI" w:cs="Segoe UI"/>
          <w:lang w:val="en-GB"/>
        </w:rPr>
      </w:pPr>
      <w:r w:rsidRPr="004937DB">
        <w:rPr>
          <w:rFonts w:ascii="Segoe UI" w:hAnsi="Segoe UI" w:cs="Segoe UI"/>
          <w:lang w:val="en-GB"/>
        </w:rPr>
        <w:lastRenderedPageBreak/>
        <w:t xml:space="preserve">If it is unclear whether an eating disorder referral </w:t>
      </w:r>
      <w:r w:rsidR="003C54E6" w:rsidRPr="004937DB">
        <w:rPr>
          <w:rFonts w:ascii="Segoe UI" w:hAnsi="Segoe UI" w:cs="Segoe UI"/>
          <w:lang w:val="en-GB"/>
        </w:rPr>
        <w:t xml:space="preserve">is </w:t>
      </w:r>
      <w:r w:rsidR="000E1BB3" w:rsidRPr="004937DB">
        <w:rPr>
          <w:rFonts w:ascii="Segoe UI" w:hAnsi="Segoe UI" w:cs="Segoe UI"/>
          <w:lang w:val="en-GB"/>
        </w:rPr>
        <w:t>indicated the CYP Eating Disorder S</w:t>
      </w:r>
      <w:r w:rsidRPr="004937DB">
        <w:rPr>
          <w:rFonts w:ascii="Segoe UI" w:hAnsi="Segoe UI" w:cs="Segoe UI"/>
          <w:lang w:val="en-GB"/>
        </w:rPr>
        <w:t>ervice can be consulted on Tel:</w:t>
      </w:r>
    </w:p>
    <w:p w14:paraId="1F8C211E" w14:textId="77777777" w:rsidR="002E4D30" w:rsidRDefault="002E4D30" w:rsidP="0053744E">
      <w:pPr>
        <w:rPr>
          <w:rFonts w:ascii="Segoe UI" w:hAnsi="Segoe UI" w:cs="Segoe UI"/>
          <w:lang w:val="en-GB"/>
        </w:rPr>
      </w:pPr>
    </w:p>
    <w:p w14:paraId="4EB15CAB" w14:textId="3949A8DB" w:rsidR="00DC2C53" w:rsidRDefault="002E4D30" w:rsidP="0053744E">
      <w:pPr>
        <w:rPr>
          <w:rFonts w:ascii="Segoe UI" w:hAnsi="Segoe UI" w:cs="Segoe UI"/>
          <w:lang w:val="en-GB"/>
        </w:rPr>
      </w:pPr>
      <w:r>
        <w:rPr>
          <w:rFonts w:ascii="Segoe UI" w:hAnsi="Segoe UI" w:cs="Segoe UI"/>
          <w:lang w:val="en-GB"/>
        </w:rPr>
        <w:t xml:space="preserve">Once the referral has been received by the SPA team it will be passed to the CYP Eating Disorder Service. </w:t>
      </w:r>
      <w:r w:rsidR="00DC2C53" w:rsidRPr="004937DB">
        <w:rPr>
          <w:rFonts w:ascii="Segoe UI" w:hAnsi="Segoe UI" w:cs="Segoe UI"/>
          <w:lang w:val="en-GB"/>
        </w:rPr>
        <w:t xml:space="preserve"> </w:t>
      </w:r>
    </w:p>
    <w:p w14:paraId="1581BA91" w14:textId="77777777" w:rsidR="002E4D30" w:rsidRDefault="002E4D30" w:rsidP="0053744E">
      <w:pPr>
        <w:rPr>
          <w:rFonts w:ascii="Segoe UI" w:hAnsi="Segoe UI" w:cs="Segoe UI"/>
          <w:lang w:val="en-GB"/>
        </w:rPr>
      </w:pPr>
    </w:p>
    <w:p w14:paraId="01FEAAE1" w14:textId="486932BE" w:rsidR="002E4D30" w:rsidRPr="004937DB" w:rsidRDefault="002E4D30" w:rsidP="002E4D30">
      <w:pPr>
        <w:rPr>
          <w:rFonts w:ascii="Segoe UI" w:hAnsi="Segoe UI" w:cs="Segoe UI"/>
          <w:b/>
          <w:lang w:val="en-GB"/>
        </w:rPr>
      </w:pPr>
      <w:r>
        <w:rPr>
          <w:rFonts w:ascii="Segoe UI" w:hAnsi="Segoe UI" w:cs="Segoe UI"/>
          <w:lang w:val="en-GB"/>
        </w:rPr>
        <w:t>T</w:t>
      </w:r>
      <w:r w:rsidRPr="004937DB">
        <w:rPr>
          <w:rFonts w:ascii="Segoe UI" w:hAnsi="Segoe UI" w:cs="Segoe UI"/>
          <w:lang w:val="en-GB"/>
        </w:rPr>
        <w:t xml:space="preserve">he service aims to carry out urgent assessments </w:t>
      </w:r>
      <w:r w:rsidRPr="00DE29C7">
        <w:rPr>
          <w:rFonts w:ascii="Segoe UI" w:hAnsi="Segoe UI" w:cs="Segoe UI"/>
          <w:b/>
          <w:lang w:val="en-GB"/>
        </w:rPr>
        <w:t>within one week of referral</w:t>
      </w:r>
      <w:r w:rsidRPr="004937DB">
        <w:rPr>
          <w:rFonts w:ascii="Segoe UI" w:hAnsi="Segoe UI" w:cs="Segoe UI"/>
          <w:lang w:val="en-GB"/>
        </w:rPr>
        <w:t xml:space="preserve"> and routine assessments </w:t>
      </w:r>
      <w:r w:rsidRPr="00DE29C7">
        <w:rPr>
          <w:rFonts w:ascii="Segoe UI" w:hAnsi="Segoe UI" w:cs="Segoe UI"/>
          <w:b/>
          <w:lang w:val="en-GB"/>
        </w:rPr>
        <w:t>within four weeks.</w:t>
      </w:r>
      <w:r w:rsidRPr="004937DB">
        <w:rPr>
          <w:rFonts w:ascii="Segoe UI" w:hAnsi="Segoe UI" w:cs="Segoe UI"/>
          <w:lang w:val="en-GB"/>
        </w:rPr>
        <w:t xml:space="preserve"> Specialist treatment, if appropriate, is normally started on the day of assessment.</w:t>
      </w:r>
    </w:p>
    <w:p w14:paraId="21EE275F" w14:textId="77777777" w:rsidR="002E4D30" w:rsidRPr="004937DB" w:rsidRDefault="002E4D30" w:rsidP="002E4D30">
      <w:pPr>
        <w:rPr>
          <w:rFonts w:ascii="Segoe UI" w:hAnsi="Segoe UI" w:cs="Segoe UI"/>
          <w:b/>
          <w:lang w:val="en-GB"/>
        </w:rPr>
      </w:pPr>
    </w:p>
    <w:p w14:paraId="6FBBCA03" w14:textId="6DAE1E27" w:rsidR="00DC2C53" w:rsidRPr="004937DB" w:rsidRDefault="002E4D30" w:rsidP="0053744E">
      <w:pPr>
        <w:rPr>
          <w:rFonts w:ascii="Segoe UI" w:hAnsi="Segoe UI" w:cs="Segoe UI"/>
          <w:b/>
          <w:color w:val="0070C0"/>
          <w:lang w:val="en-GB"/>
        </w:rPr>
      </w:pPr>
      <w:r>
        <w:rPr>
          <w:rFonts w:ascii="Segoe UI" w:hAnsi="Segoe UI" w:cs="Segoe UI"/>
          <w:b/>
          <w:color w:val="0070C0"/>
          <w:lang w:val="en-GB"/>
        </w:rPr>
        <w:t>C</w:t>
      </w:r>
      <w:r w:rsidR="00DC2C53" w:rsidRPr="004937DB">
        <w:rPr>
          <w:rFonts w:ascii="Segoe UI" w:hAnsi="Segoe UI" w:cs="Segoe UI"/>
          <w:b/>
          <w:color w:val="0070C0"/>
          <w:lang w:val="en-GB"/>
        </w:rPr>
        <w:t>ases referred to CAMHS from other referral routes</w:t>
      </w:r>
    </w:p>
    <w:p w14:paraId="20117503" w14:textId="4ADF597B" w:rsidR="00DC2C53" w:rsidRPr="004937DB" w:rsidRDefault="00DC2C53" w:rsidP="0053744E">
      <w:pPr>
        <w:rPr>
          <w:rFonts w:ascii="Segoe UI" w:hAnsi="Segoe UI" w:cs="Segoe UI"/>
          <w:lang w:val="en-GB"/>
        </w:rPr>
      </w:pPr>
      <w:r w:rsidRPr="004937DB">
        <w:rPr>
          <w:rFonts w:ascii="Segoe UI" w:hAnsi="Segoe UI" w:cs="Segoe UI"/>
          <w:lang w:val="en-GB"/>
        </w:rPr>
        <w:t>I</w:t>
      </w:r>
      <w:r w:rsidR="00583F0E" w:rsidRPr="004937DB">
        <w:rPr>
          <w:rFonts w:ascii="Segoe UI" w:hAnsi="Segoe UI" w:cs="Segoe UI"/>
          <w:lang w:val="en-GB"/>
        </w:rPr>
        <w:t>f a young person is referred fro</w:t>
      </w:r>
      <w:r w:rsidRPr="004937DB">
        <w:rPr>
          <w:rFonts w:ascii="Segoe UI" w:hAnsi="Segoe UI" w:cs="Segoe UI"/>
          <w:lang w:val="en-GB"/>
        </w:rPr>
        <w:t xml:space="preserve">m </w:t>
      </w:r>
      <w:r w:rsidR="000E1BB3" w:rsidRPr="004937DB">
        <w:rPr>
          <w:rFonts w:ascii="Segoe UI" w:hAnsi="Segoe UI" w:cs="Segoe UI"/>
          <w:lang w:val="en-GB"/>
        </w:rPr>
        <w:t>non-medical</w:t>
      </w:r>
      <w:r w:rsidRPr="004937DB">
        <w:rPr>
          <w:rFonts w:ascii="Segoe UI" w:hAnsi="Segoe UI" w:cs="Segoe UI"/>
          <w:lang w:val="en-GB"/>
        </w:rPr>
        <w:t xml:space="preserve"> referrers (including school health nurse, counsellor or self-referral) the young person will be asked to see their GP for physical assessment and blood screening </w:t>
      </w:r>
      <w:r w:rsidR="005A6802">
        <w:rPr>
          <w:rFonts w:ascii="Segoe UI" w:hAnsi="Segoe UI" w:cs="Segoe UI"/>
          <w:lang w:val="en-GB"/>
        </w:rPr>
        <w:t xml:space="preserve">(to exclude other causes of weight loss) </w:t>
      </w:r>
      <w:r w:rsidRPr="004937DB">
        <w:rPr>
          <w:rFonts w:ascii="Segoe UI" w:hAnsi="Segoe UI" w:cs="Segoe UI"/>
          <w:lang w:val="en-GB"/>
        </w:rPr>
        <w:t xml:space="preserve">as soon as possible. </w:t>
      </w:r>
      <w:r w:rsidR="00E4032D">
        <w:rPr>
          <w:rFonts w:ascii="Segoe UI" w:hAnsi="Segoe UI" w:cs="Segoe UI"/>
          <w:lang w:val="en-GB"/>
        </w:rPr>
        <w:t>A medic in the Eating Disorder Service will make contact to discuss this.</w:t>
      </w:r>
    </w:p>
    <w:p w14:paraId="6192FA48" w14:textId="77777777" w:rsidR="00DC2C53" w:rsidRPr="004937DB" w:rsidRDefault="00DC2C53" w:rsidP="0053744E">
      <w:pPr>
        <w:rPr>
          <w:rFonts w:ascii="Segoe UI" w:hAnsi="Segoe UI" w:cs="Segoe UI"/>
          <w:lang w:val="en-GB"/>
        </w:rPr>
      </w:pPr>
    </w:p>
    <w:p w14:paraId="5E987C36" w14:textId="598B0DA7" w:rsidR="00DC2C53" w:rsidRPr="004937DB" w:rsidRDefault="00DC2C53" w:rsidP="0053744E">
      <w:pPr>
        <w:rPr>
          <w:rFonts w:ascii="Segoe UI" w:hAnsi="Segoe UI" w:cs="Segoe UI"/>
          <w:b/>
          <w:color w:val="0070C0"/>
          <w:lang w:val="en-GB"/>
        </w:rPr>
      </w:pPr>
      <w:r w:rsidRPr="004937DB">
        <w:rPr>
          <w:rFonts w:ascii="Segoe UI" w:hAnsi="Segoe UI" w:cs="Segoe UI"/>
          <w:b/>
          <w:color w:val="0070C0"/>
          <w:lang w:val="en-GB"/>
        </w:rPr>
        <w:t>Joint Care with CAMHS</w:t>
      </w:r>
    </w:p>
    <w:p w14:paraId="47CE0078" w14:textId="1993EA9E" w:rsidR="002E4D30" w:rsidRDefault="00DC2C53" w:rsidP="0053744E">
      <w:pPr>
        <w:rPr>
          <w:rFonts w:ascii="Segoe UI" w:hAnsi="Segoe UI" w:cs="Segoe UI"/>
          <w:lang w:val="en-GB"/>
        </w:rPr>
      </w:pPr>
      <w:r w:rsidRPr="004937DB">
        <w:rPr>
          <w:rFonts w:ascii="Segoe UI" w:hAnsi="Segoe UI" w:cs="Segoe UI"/>
          <w:lang w:val="en-GB"/>
        </w:rPr>
        <w:t>Once the</w:t>
      </w:r>
      <w:r w:rsidR="00DE29C7">
        <w:rPr>
          <w:rFonts w:ascii="Segoe UI" w:hAnsi="Segoe UI" w:cs="Segoe UI"/>
          <w:lang w:val="en-GB"/>
        </w:rPr>
        <w:t xml:space="preserve"> referral has been assessed</w:t>
      </w:r>
      <w:r w:rsidR="00A5035A" w:rsidRPr="004937DB">
        <w:rPr>
          <w:rFonts w:ascii="Segoe UI" w:hAnsi="Segoe UI" w:cs="Segoe UI"/>
          <w:lang w:val="en-GB"/>
        </w:rPr>
        <w:t xml:space="preserve"> by the </w:t>
      </w:r>
      <w:r w:rsidRPr="004937DB">
        <w:rPr>
          <w:rFonts w:ascii="Segoe UI" w:hAnsi="Segoe UI" w:cs="Segoe UI"/>
          <w:lang w:val="en-GB"/>
        </w:rPr>
        <w:t>CAMHS</w:t>
      </w:r>
      <w:r w:rsidR="00A5035A" w:rsidRPr="004937DB">
        <w:rPr>
          <w:rFonts w:ascii="Segoe UI" w:hAnsi="Segoe UI" w:cs="Segoe UI"/>
          <w:lang w:val="en-GB"/>
        </w:rPr>
        <w:t xml:space="preserve"> ED service</w:t>
      </w:r>
      <w:r w:rsidRPr="004937DB">
        <w:rPr>
          <w:rFonts w:ascii="Segoe UI" w:hAnsi="Segoe UI" w:cs="Segoe UI"/>
          <w:lang w:val="en-GB"/>
        </w:rPr>
        <w:t xml:space="preserve">, </w:t>
      </w:r>
      <w:r w:rsidR="00DE29C7">
        <w:rPr>
          <w:rFonts w:ascii="Segoe UI" w:hAnsi="Segoe UI" w:cs="Segoe UI"/>
          <w:lang w:val="en-GB"/>
        </w:rPr>
        <w:t>any further blood investigations will ordered by the Eating Disorder Service and the patient asked to attend the phlebotomist at their local GP practice or Paediatrics outpatients. In rare circumstances the GP may be asked to regularly review the young pers</w:t>
      </w:r>
      <w:r w:rsidR="005A6802">
        <w:rPr>
          <w:rFonts w:ascii="Segoe UI" w:hAnsi="Segoe UI" w:cs="Segoe UI"/>
          <w:lang w:val="en-GB"/>
        </w:rPr>
        <w:t xml:space="preserve">on’s weight and physical health (if the patient will not engage with CAMHS and is at risk, but will agree to be reviewed by the GP). </w:t>
      </w:r>
    </w:p>
    <w:p w14:paraId="00C96832" w14:textId="77777777" w:rsidR="002E4D30" w:rsidRDefault="002E4D30" w:rsidP="0053744E">
      <w:pPr>
        <w:rPr>
          <w:rFonts w:ascii="Segoe UI" w:hAnsi="Segoe UI" w:cs="Segoe UI"/>
          <w:lang w:val="en-GB"/>
        </w:rPr>
      </w:pPr>
    </w:p>
    <w:p w14:paraId="49AF0734" w14:textId="66BF3CAC" w:rsidR="002E4D30" w:rsidRPr="00782CEC" w:rsidRDefault="00782CEC" w:rsidP="00782CEC">
      <w:pPr>
        <w:tabs>
          <w:tab w:val="left" w:pos="3282"/>
        </w:tabs>
        <w:rPr>
          <w:rFonts w:ascii="Segoe UI" w:hAnsi="Segoe UI" w:cs="Segoe UI"/>
          <w:b/>
          <w:color w:val="0070C0"/>
          <w:lang w:val="en-GB"/>
        </w:rPr>
      </w:pPr>
      <w:r w:rsidRPr="00782CEC">
        <w:rPr>
          <w:rFonts w:ascii="Segoe UI" w:hAnsi="Segoe UI" w:cs="Segoe UI"/>
          <w:b/>
          <w:color w:val="0070C0"/>
          <w:lang w:val="en-GB"/>
        </w:rPr>
        <w:t>Care Programme Approach</w:t>
      </w:r>
      <w:r>
        <w:rPr>
          <w:rFonts w:ascii="Segoe UI" w:hAnsi="Segoe UI" w:cs="Segoe UI"/>
          <w:b/>
          <w:color w:val="0070C0"/>
          <w:lang w:val="en-GB"/>
        </w:rPr>
        <w:tab/>
      </w:r>
    </w:p>
    <w:p w14:paraId="7904C04C" w14:textId="77777777" w:rsidR="00782CEC" w:rsidRDefault="007E089C" w:rsidP="0053744E">
      <w:pPr>
        <w:rPr>
          <w:rFonts w:ascii="Segoe UI" w:hAnsi="Segoe UI" w:cs="Segoe UI"/>
          <w:lang w:val="en-GB"/>
        </w:rPr>
      </w:pPr>
      <w:r w:rsidRPr="004937DB">
        <w:rPr>
          <w:rFonts w:ascii="Segoe UI" w:hAnsi="Segoe UI" w:cs="Segoe UI"/>
          <w:lang w:val="en-GB"/>
        </w:rPr>
        <w:t xml:space="preserve">The </w:t>
      </w:r>
      <w:r w:rsidR="00782CEC">
        <w:rPr>
          <w:rFonts w:ascii="Segoe UI" w:hAnsi="Segoe UI" w:cs="Segoe UI"/>
          <w:lang w:val="en-GB"/>
        </w:rPr>
        <w:t xml:space="preserve">young person will be treated within a CPA framework. This is a structured approach to care, involving the allocation of a care-coordinator, creating a care plan and having regular reviews. The </w:t>
      </w:r>
      <w:r w:rsidRPr="004937DB">
        <w:rPr>
          <w:rFonts w:ascii="Segoe UI" w:hAnsi="Segoe UI" w:cs="Segoe UI"/>
          <w:lang w:val="en-GB"/>
        </w:rPr>
        <w:t xml:space="preserve">GP </w:t>
      </w:r>
      <w:r w:rsidR="00DC2C53" w:rsidRPr="004937DB">
        <w:rPr>
          <w:rFonts w:ascii="Segoe UI" w:hAnsi="Segoe UI" w:cs="Segoe UI"/>
          <w:lang w:val="en-GB"/>
        </w:rPr>
        <w:t>may be invited to join CPA reviews, particularly at the time of discharge.</w:t>
      </w:r>
      <w:r w:rsidR="00DE29C7">
        <w:rPr>
          <w:rFonts w:ascii="Segoe UI" w:hAnsi="Segoe UI" w:cs="Segoe UI"/>
          <w:lang w:val="en-GB"/>
        </w:rPr>
        <w:t xml:space="preserve"> If the GP is unable to attend the review, a clinician from the ED service may approach the GP for an update.</w:t>
      </w:r>
    </w:p>
    <w:p w14:paraId="5665E934" w14:textId="77777777" w:rsidR="00782CEC" w:rsidRDefault="00782CEC" w:rsidP="0053744E">
      <w:pPr>
        <w:rPr>
          <w:rFonts w:ascii="Segoe UI" w:hAnsi="Segoe UI" w:cs="Segoe UI"/>
          <w:lang w:val="en-GB"/>
        </w:rPr>
      </w:pPr>
    </w:p>
    <w:p w14:paraId="6FC0D1CC" w14:textId="77777777" w:rsidR="00782CEC" w:rsidRDefault="00782CEC" w:rsidP="0053744E">
      <w:pPr>
        <w:rPr>
          <w:rFonts w:ascii="Segoe UI" w:hAnsi="Segoe UI" w:cs="Segoe UI"/>
          <w:b/>
          <w:color w:val="0070C0"/>
          <w:lang w:val="en-GB"/>
        </w:rPr>
      </w:pPr>
      <w:r w:rsidRPr="00782CEC">
        <w:rPr>
          <w:rFonts w:ascii="Segoe UI" w:hAnsi="Segoe UI" w:cs="Segoe UI"/>
          <w:b/>
          <w:color w:val="0070C0"/>
          <w:lang w:val="en-GB"/>
        </w:rPr>
        <w:t>Length of treat</w:t>
      </w:r>
      <w:bookmarkStart w:id="0" w:name="_GoBack"/>
      <w:bookmarkEnd w:id="0"/>
      <w:r w:rsidRPr="00782CEC">
        <w:rPr>
          <w:rFonts w:ascii="Segoe UI" w:hAnsi="Segoe UI" w:cs="Segoe UI"/>
          <w:b/>
          <w:color w:val="0070C0"/>
          <w:lang w:val="en-GB"/>
        </w:rPr>
        <w:t xml:space="preserve">ment </w:t>
      </w:r>
    </w:p>
    <w:p w14:paraId="7892E892" w14:textId="2727A914" w:rsidR="00782CEC" w:rsidRDefault="00782CEC" w:rsidP="0053744E">
      <w:pPr>
        <w:rPr>
          <w:rFonts w:ascii="Segoe UI" w:hAnsi="Segoe UI" w:cs="Segoe UI"/>
          <w:lang w:val="en-GB"/>
        </w:rPr>
      </w:pPr>
      <w:r>
        <w:rPr>
          <w:rFonts w:ascii="Segoe UI" w:hAnsi="Segoe UI" w:cs="Segoe UI"/>
          <w:lang w:val="en-GB"/>
        </w:rPr>
        <w:t>This will usually depend on the severity and history of the eating disorder. Normally we would expect treatment to last nine mo</w:t>
      </w:r>
      <w:r w:rsidR="0024757B">
        <w:rPr>
          <w:rFonts w:ascii="Segoe UI" w:hAnsi="Segoe UI" w:cs="Segoe UI"/>
          <w:lang w:val="en-GB"/>
        </w:rPr>
        <w:t>nths to a year (this may be arou</w:t>
      </w:r>
      <w:r>
        <w:rPr>
          <w:rFonts w:ascii="Segoe UI" w:hAnsi="Segoe UI" w:cs="Segoe UI"/>
          <w:lang w:val="en-GB"/>
        </w:rPr>
        <w:t xml:space="preserve">nd </w:t>
      </w:r>
      <w:r w:rsidR="0024757B">
        <w:rPr>
          <w:rFonts w:ascii="Segoe UI" w:hAnsi="Segoe UI" w:cs="Segoe UI"/>
          <w:lang w:val="en-GB"/>
        </w:rPr>
        <w:t xml:space="preserve">20 sessions, spaced out for the last few months), but may take longer to achieve a full recovery. </w:t>
      </w:r>
    </w:p>
    <w:p w14:paraId="59DA5963" w14:textId="77777777" w:rsidR="0024757B" w:rsidRDefault="0024757B" w:rsidP="0053744E">
      <w:pPr>
        <w:rPr>
          <w:rFonts w:ascii="Segoe UI" w:hAnsi="Segoe UI" w:cs="Segoe UI"/>
          <w:lang w:val="en-GB"/>
        </w:rPr>
      </w:pPr>
    </w:p>
    <w:p w14:paraId="28A4082D" w14:textId="543B05B2" w:rsidR="0024757B" w:rsidRDefault="0024757B" w:rsidP="0053744E">
      <w:pPr>
        <w:rPr>
          <w:rFonts w:ascii="Segoe UI" w:hAnsi="Segoe UI" w:cs="Segoe UI"/>
          <w:lang w:val="en-GB"/>
        </w:rPr>
      </w:pPr>
      <w:r>
        <w:rPr>
          <w:rFonts w:ascii="Segoe UI" w:hAnsi="Segoe UI" w:cs="Segoe UI"/>
          <w:lang w:val="en-GB"/>
        </w:rPr>
        <w:t xml:space="preserve">Generally, treatment will be more intensive at the start and appointments will become further apart as recovery progresses. </w:t>
      </w:r>
    </w:p>
    <w:p w14:paraId="37DA7EB0" w14:textId="77777777" w:rsidR="0024757B" w:rsidRPr="00782CEC" w:rsidRDefault="0024757B" w:rsidP="0053744E">
      <w:pPr>
        <w:rPr>
          <w:rFonts w:ascii="Segoe UI" w:hAnsi="Segoe UI" w:cs="Segoe UI"/>
          <w:lang w:val="en-GB"/>
        </w:rPr>
      </w:pPr>
    </w:p>
    <w:p w14:paraId="4AC13481" w14:textId="5CF35E5F" w:rsidR="00782CEC" w:rsidRDefault="00782CEC" w:rsidP="0053744E">
      <w:pPr>
        <w:rPr>
          <w:rFonts w:ascii="Segoe UI" w:hAnsi="Segoe UI" w:cs="Segoe UI"/>
          <w:b/>
          <w:color w:val="0070C0"/>
          <w:lang w:val="en-GB"/>
        </w:rPr>
      </w:pPr>
      <w:r>
        <w:rPr>
          <w:rFonts w:ascii="Segoe UI" w:hAnsi="Segoe UI" w:cs="Segoe UI"/>
          <w:b/>
          <w:color w:val="0070C0"/>
          <w:lang w:val="en-GB"/>
        </w:rPr>
        <w:t>Higher intensity treatment</w:t>
      </w:r>
    </w:p>
    <w:p w14:paraId="18B6BB94" w14:textId="270DDCBF" w:rsidR="00782CEC" w:rsidRDefault="00782CEC" w:rsidP="0053744E">
      <w:pPr>
        <w:rPr>
          <w:rFonts w:ascii="Segoe UI" w:hAnsi="Segoe UI" w:cs="Segoe UI"/>
          <w:lang w:val="en-GB"/>
        </w:rPr>
      </w:pPr>
      <w:r>
        <w:rPr>
          <w:rFonts w:ascii="Segoe UI" w:hAnsi="Segoe UI" w:cs="Segoe UI"/>
          <w:lang w:val="en-GB"/>
        </w:rPr>
        <w:lastRenderedPageBreak/>
        <w:t>Some young people with eat</w:t>
      </w:r>
      <w:r w:rsidR="0024757B">
        <w:rPr>
          <w:rFonts w:ascii="Segoe UI" w:hAnsi="Segoe UI" w:cs="Segoe UI"/>
          <w:lang w:val="en-GB"/>
        </w:rPr>
        <w:t>ing disorders find it very difficu</w:t>
      </w:r>
      <w:r>
        <w:rPr>
          <w:rFonts w:ascii="Segoe UI" w:hAnsi="Segoe UI" w:cs="Segoe UI"/>
          <w:lang w:val="en-GB"/>
        </w:rPr>
        <w:t>lt to make the changes needed in order to get better. If a higher intensity of support is needed, the Outreach Service for Children and Adolescents (OSCA) home treatment team or Crisis team may become involved.</w:t>
      </w:r>
    </w:p>
    <w:p w14:paraId="79BB002A" w14:textId="77777777" w:rsidR="00782CEC" w:rsidRDefault="00782CEC" w:rsidP="0053744E">
      <w:pPr>
        <w:rPr>
          <w:rFonts w:ascii="Segoe UI" w:hAnsi="Segoe UI" w:cs="Segoe UI"/>
          <w:lang w:val="en-GB"/>
        </w:rPr>
      </w:pPr>
    </w:p>
    <w:p w14:paraId="2164B145" w14:textId="0B4BDE11" w:rsidR="00782CEC" w:rsidRPr="00782CEC" w:rsidRDefault="00782CEC" w:rsidP="0053744E">
      <w:pPr>
        <w:rPr>
          <w:rFonts w:ascii="Segoe UI" w:hAnsi="Segoe UI" w:cs="Segoe UI"/>
          <w:lang w:val="en-GB"/>
        </w:rPr>
      </w:pPr>
      <w:r>
        <w:rPr>
          <w:rFonts w:ascii="Segoe UI" w:hAnsi="Segoe UI" w:cs="Segoe UI"/>
          <w:lang w:val="en-GB"/>
        </w:rPr>
        <w:t xml:space="preserve">The home treatment team can provide intensive and home-based support, for example around mealtimes. Sometimes, this can be a way of avoiding a hospital admission. The need for higher intensity support will always be discussed with the family in advance.  </w:t>
      </w:r>
    </w:p>
    <w:p w14:paraId="77565CBF" w14:textId="77777777" w:rsidR="0024757B" w:rsidRDefault="0024757B" w:rsidP="0053744E">
      <w:pPr>
        <w:rPr>
          <w:rFonts w:ascii="Segoe UI" w:hAnsi="Segoe UI" w:cs="Segoe UI"/>
          <w:b/>
          <w:color w:val="0070C0"/>
          <w:lang w:val="en-GB"/>
        </w:rPr>
      </w:pPr>
    </w:p>
    <w:p w14:paraId="71080D4E" w14:textId="384B9339" w:rsidR="00782CEC" w:rsidRDefault="00782CEC" w:rsidP="0053744E">
      <w:pPr>
        <w:rPr>
          <w:rFonts w:ascii="Segoe UI" w:hAnsi="Segoe UI" w:cs="Segoe UI"/>
          <w:b/>
          <w:color w:val="0070C0"/>
          <w:lang w:val="en-GB"/>
        </w:rPr>
      </w:pPr>
      <w:r>
        <w:rPr>
          <w:rFonts w:ascii="Segoe UI" w:hAnsi="Segoe UI" w:cs="Segoe UI"/>
          <w:b/>
          <w:color w:val="0070C0"/>
          <w:lang w:val="en-GB"/>
        </w:rPr>
        <w:t xml:space="preserve">Inpatient treatment </w:t>
      </w:r>
    </w:p>
    <w:p w14:paraId="03C50488" w14:textId="4730F87B" w:rsidR="00782CEC" w:rsidRPr="00782CEC" w:rsidRDefault="00782CEC" w:rsidP="0053744E">
      <w:pPr>
        <w:rPr>
          <w:rFonts w:ascii="Segoe UI" w:hAnsi="Segoe UI" w:cs="Segoe UI"/>
          <w:lang w:val="en-GB"/>
        </w:rPr>
      </w:pPr>
      <w:r>
        <w:rPr>
          <w:rFonts w:ascii="Segoe UI" w:hAnsi="Segoe UI" w:cs="Segoe UI"/>
          <w:lang w:val="en-GB"/>
        </w:rPr>
        <w:t>If a young person’s physical health is at risk or if their mental health deteriorates and they are not able to access community-</w:t>
      </w:r>
      <w:proofErr w:type="gramStart"/>
      <w:r>
        <w:rPr>
          <w:rFonts w:ascii="Segoe UI" w:hAnsi="Segoe UI" w:cs="Segoe UI"/>
          <w:lang w:val="en-GB"/>
        </w:rPr>
        <w:t>based  care</w:t>
      </w:r>
      <w:proofErr w:type="gramEnd"/>
      <w:r>
        <w:rPr>
          <w:rFonts w:ascii="Segoe UI" w:hAnsi="Segoe UI" w:cs="Segoe UI"/>
          <w:lang w:val="en-GB"/>
        </w:rPr>
        <w:t>, it is sometimes necessary to refer a young person to a paediatric ward or an inpatient adolescent facility for a short period of inpatient care either locally or fu</w:t>
      </w:r>
      <w:r w:rsidR="0024757B">
        <w:rPr>
          <w:rFonts w:ascii="Segoe UI" w:hAnsi="Segoe UI" w:cs="Segoe UI"/>
          <w:lang w:val="en-GB"/>
        </w:rPr>
        <w:t>r</w:t>
      </w:r>
      <w:r>
        <w:rPr>
          <w:rFonts w:ascii="Segoe UI" w:hAnsi="Segoe UI" w:cs="Segoe UI"/>
          <w:lang w:val="en-GB"/>
        </w:rPr>
        <w:t xml:space="preserve">ther afield, depending on bed availability. </w:t>
      </w:r>
    </w:p>
    <w:p w14:paraId="507DA242" w14:textId="533D6982" w:rsidR="00DC2C53" w:rsidRPr="004937DB" w:rsidRDefault="00DE29C7" w:rsidP="0053744E">
      <w:pPr>
        <w:rPr>
          <w:rFonts w:ascii="Segoe UI" w:hAnsi="Segoe UI" w:cs="Segoe UI"/>
          <w:lang w:val="en-GB"/>
        </w:rPr>
      </w:pPr>
      <w:r>
        <w:rPr>
          <w:rFonts w:ascii="Segoe UI" w:hAnsi="Segoe UI" w:cs="Segoe UI"/>
          <w:lang w:val="en-GB"/>
        </w:rPr>
        <w:t xml:space="preserve"> </w:t>
      </w:r>
    </w:p>
    <w:p w14:paraId="26B1DC75" w14:textId="77777777" w:rsidR="00DC2C53" w:rsidRPr="004937DB" w:rsidRDefault="00DC2C53" w:rsidP="0053744E">
      <w:pPr>
        <w:rPr>
          <w:rFonts w:ascii="Segoe UI" w:hAnsi="Segoe UI" w:cs="Segoe UI"/>
          <w:lang w:val="en-GB"/>
        </w:rPr>
      </w:pPr>
    </w:p>
    <w:p w14:paraId="4AA4EFF4" w14:textId="65A811CD" w:rsidR="00DC2C53" w:rsidRPr="004937DB" w:rsidRDefault="00DC2C53" w:rsidP="0053744E">
      <w:pPr>
        <w:rPr>
          <w:rFonts w:ascii="Segoe UI" w:hAnsi="Segoe UI" w:cs="Segoe UI"/>
          <w:color w:val="0070C0"/>
          <w:lang w:val="en-GB"/>
        </w:rPr>
      </w:pPr>
      <w:r w:rsidRPr="004937DB">
        <w:rPr>
          <w:rFonts w:ascii="Segoe UI" w:hAnsi="Segoe UI" w:cs="Segoe UI"/>
          <w:b/>
          <w:color w:val="0070C0"/>
          <w:lang w:val="en-GB"/>
        </w:rPr>
        <w:t>Communication from CAMHS</w:t>
      </w:r>
    </w:p>
    <w:p w14:paraId="12FEEA3B" w14:textId="096C7A68" w:rsidR="00DC2C53" w:rsidRPr="004937DB" w:rsidRDefault="00DC2C53" w:rsidP="0053744E">
      <w:pPr>
        <w:rPr>
          <w:rFonts w:ascii="Segoe UI" w:hAnsi="Segoe UI" w:cs="Segoe UI"/>
          <w:lang w:val="en-GB"/>
        </w:rPr>
      </w:pPr>
      <w:r w:rsidRPr="004937DB">
        <w:rPr>
          <w:rFonts w:ascii="Segoe UI" w:hAnsi="Segoe UI" w:cs="Segoe UI"/>
          <w:lang w:val="en-GB"/>
        </w:rPr>
        <w:t>Following the initial assessment</w:t>
      </w:r>
      <w:r w:rsidR="00583F0E" w:rsidRPr="004937DB">
        <w:rPr>
          <w:rFonts w:ascii="Segoe UI" w:hAnsi="Segoe UI" w:cs="Segoe UI"/>
          <w:lang w:val="en-GB"/>
        </w:rPr>
        <w:t>,</w:t>
      </w:r>
      <w:r w:rsidR="001E6131" w:rsidRPr="004937DB">
        <w:rPr>
          <w:rFonts w:ascii="Segoe UI" w:hAnsi="Segoe UI" w:cs="Segoe UI"/>
          <w:lang w:val="en-GB"/>
        </w:rPr>
        <w:t xml:space="preserve"> referrers and GPs</w:t>
      </w:r>
      <w:r w:rsidRPr="004937DB">
        <w:rPr>
          <w:rFonts w:ascii="Segoe UI" w:hAnsi="Segoe UI" w:cs="Segoe UI"/>
          <w:lang w:val="en-GB"/>
        </w:rPr>
        <w:t xml:space="preserve"> will receive an assessment summary within one week of </w:t>
      </w:r>
      <w:r w:rsidR="003C54E6" w:rsidRPr="004937DB">
        <w:rPr>
          <w:rFonts w:ascii="Segoe UI" w:hAnsi="Segoe UI" w:cs="Segoe UI"/>
          <w:lang w:val="en-GB"/>
        </w:rPr>
        <w:t xml:space="preserve">assessment, </w:t>
      </w:r>
      <w:r w:rsidRPr="004937DB">
        <w:rPr>
          <w:rFonts w:ascii="Segoe UI" w:hAnsi="Segoe UI" w:cs="Segoe UI"/>
          <w:lang w:val="en-GB"/>
        </w:rPr>
        <w:t>which will include the plan for ongoing care.</w:t>
      </w:r>
      <w:r w:rsidR="000E1BB3" w:rsidRPr="004937DB">
        <w:rPr>
          <w:rFonts w:ascii="Segoe UI" w:hAnsi="Segoe UI" w:cs="Segoe UI"/>
          <w:lang w:val="en-GB"/>
        </w:rPr>
        <w:t xml:space="preserve"> Update reports will be provided after every CPA review. </w:t>
      </w:r>
    </w:p>
    <w:p w14:paraId="458BBABB" w14:textId="77777777" w:rsidR="005005CA" w:rsidRPr="004937DB" w:rsidRDefault="005005CA" w:rsidP="0053744E">
      <w:pPr>
        <w:rPr>
          <w:rFonts w:ascii="Segoe UI" w:hAnsi="Segoe UI" w:cs="Segoe UI"/>
          <w:lang w:val="en-GB"/>
        </w:rPr>
      </w:pPr>
    </w:p>
    <w:p w14:paraId="3CB97282" w14:textId="77777777" w:rsidR="0024757B" w:rsidRDefault="005005CA" w:rsidP="0053744E">
      <w:pPr>
        <w:rPr>
          <w:rFonts w:ascii="Segoe UI" w:hAnsi="Segoe UI" w:cs="Segoe UI"/>
          <w:b/>
          <w:lang w:val="en-GB"/>
        </w:rPr>
      </w:pPr>
      <w:r w:rsidRPr="004937DB">
        <w:rPr>
          <w:rFonts w:ascii="Segoe UI" w:hAnsi="Segoe UI" w:cs="Segoe UI"/>
          <w:b/>
          <w:color w:val="0070C0"/>
          <w:lang w:val="en-GB"/>
        </w:rPr>
        <w:t xml:space="preserve">Contact details  </w:t>
      </w:r>
    </w:p>
    <w:p w14:paraId="4731FEE2" w14:textId="77777777" w:rsidR="0024757B" w:rsidRPr="0024757B" w:rsidRDefault="0024757B" w:rsidP="0053744E">
      <w:pPr>
        <w:rPr>
          <w:rFonts w:ascii="Segoe UI" w:hAnsi="Segoe UI" w:cs="Segoe UI"/>
          <w:b/>
          <w:lang w:val="en-GB"/>
        </w:rPr>
      </w:pPr>
    </w:p>
    <w:p w14:paraId="63A189D8" w14:textId="21A08FF2" w:rsidR="0024757B" w:rsidRDefault="0024757B" w:rsidP="0053744E">
      <w:pPr>
        <w:rPr>
          <w:rFonts w:ascii="Segoe UI" w:hAnsi="Segoe UI" w:cs="Segoe UI"/>
          <w:lang w:val="en-GB"/>
        </w:rPr>
      </w:pPr>
      <w:r>
        <w:rPr>
          <w:rFonts w:ascii="Segoe UI" w:hAnsi="Segoe UI" w:cs="Segoe UI"/>
          <w:lang w:val="en-GB"/>
        </w:rPr>
        <w:t>Oxfordshire Eating Disorder Service</w:t>
      </w:r>
    </w:p>
    <w:p w14:paraId="5A9C6785" w14:textId="03D10998" w:rsidR="005A6802" w:rsidRDefault="003F7F92" w:rsidP="0053744E">
      <w:pPr>
        <w:rPr>
          <w:rFonts w:ascii="Segoe UI" w:hAnsi="Segoe UI" w:cs="Segoe UI"/>
          <w:b/>
          <w:lang w:val="en-GB"/>
        </w:rPr>
      </w:pPr>
      <w:r>
        <w:rPr>
          <w:rFonts w:ascii="Segoe UI" w:hAnsi="Segoe UI" w:cs="Segoe UI"/>
          <w:b/>
          <w:lang w:val="en-GB"/>
        </w:rPr>
        <w:t>Raglan House</w:t>
      </w:r>
    </w:p>
    <w:p w14:paraId="0569B5BC" w14:textId="5644E0DF" w:rsidR="003F7F92" w:rsidRDefault="003F7F92" w:rsidP="0053744E">
      <w:pPr>
        <w:rPr>
          <w:rFonts w:ascii="Segoe UI" w:hAnsi="Segoe UI" w:cs="Segoe UI"/>
          <w:b/>
          <w:lang w:val="en-GB"/>
        </w:rPr>
      </w:pPr>
      <w:r>
        <w:rPr>
          <w:rFonts w:ascii="Segoe UI" w:hAnsi="Segoe UI" w:cs="Segoe UI"/>
          <w:b/>
          <w:lang w:val="en-GB"/>
        </w:rPr>
        <w:t>23, Between Towns Road</w:t>
      </w:r>
    </w:p>
    <w:p w14:paraId="2B73A288" w14:textId="677460BC" w:rsidR="003F7F92" w:rsidRDefault="003F7F92" w:rsidP="0053744E">
      <w:pPr>
        <w:rPr>
          <w:rFonts w:ascii="Segoe UI" w:hAnsi="Segoe UI" w:cs="Segoe UI"/>
          <w:b/>
          <w:lang w:val="en-GB"/>
        </w:rPr>
      </w:pPr>
      <w:r w:rsidRPr="003F7F92">
        <w:rPr>
          <w:rFonts w:ascii="Segoe UI" w:hAnsi="Segoe UI" w:cs="Segoe UI"/>
          <w:b/>
          <w:lang w:val="en-GB"/>
        </w:rPr>
        <w:t>Oxford</w:t>
      </w:r>
      <w:r>
        <w:rPr>
          <w:rFonts w:ascii="Segoe UI" w:hAnsi="Segoe UI" w:cs="Segoe UI"/>
          <w:b/>
          <w:lang w:val="en-GB"/>
        </w:rPr>
        <w:t xml:space="preserve"> OX4 3LX</w:t>
      </w:r>
    </w:p>
    <w:p w14:paraId="76AFE7EE" w14:textId="55619B48" w:rsidR="003F7F92" w:rsidRDefault="003F7F92" w:rsidP="0053744E">
      <w:pPr>
        <w:rPr>
          <w:rFonts w:ascii="Segoe UI" w:hAnsi="Segoe UI" w:cs="Segoe UI"/>
          <w:b/>
          <w:lang w:val="en-GB"/>
        </w:rPr>
      </w:pPr>
    </w:p>
    <w:p w14:paraId="1C8F02E2" w14:textId="42FC12B9" w:rsidR="003F7F92" w:rsidRDefault="003F7F92" w:rsidP="0053744E">
      <w:pPr>
        <w:rPr>
          <w:rFonts w:ascii="Segoe UI" w:hAnsi="Segoe UI" w:cs="Segoe UI"/>
          <w:b/>
          <w:lang w:val="en-GB"/>
        </w:rPr>
      </w:pPr>
      <w:r>
        <w:rPr>
          <w:rFonts w:ascii="Segoe UI" w:hAnsi="Segoe UI" w:cs="Segoe UI"/>
          <w:b/>
          <w:lang w:val="en-GB"/>
        </w:rPr>
        <w:t>Tel: 01865 902 839</w:t>
      </w:r>
    </w:p>
    <w:p w14:paraId="192E0855" w14:textId="77777777" w:rsidR="0024757B" w:rsidRDefault="0024757B" w:rsidP="0053744E">
      <w:pPr>
        <w:rPr>
          <w:rFonts w:ascii="Segoe UI" w:hAnsi="Segoe UI" w:cs="Segoe UI"/>
          <w:b/>
          <w:lang w:val="en-GB"/>
        </w:rPr>
      </w:pPr>
    </w:p>
    <w:p w14:paraId="76B9020D" w14:textId="70A0705D" w:rsidR="0024757B" w:rsidRDefault="0024757B" w:rsidP="0053744E">
      <w:pPr>
        <w:rPr>
          <w:rFonts w:ascii="Segoe UI" w:hAnsi="Segoe UI" w:cs="Segoe UI"/>
          <w:lang w:val="en-GB"/>
        </w:rPr>
      </w:pPr>
      <w:r>
        <w:rPr>
          <w:rFonts w:ascii="Segoe UI" w:hAnsi="Segoe UI" w:cs="Segoe UI"/>
          <w:lang w:val="en-GB"/>
        </w:rPr>
        <w:t>Buckinghamshire Eating disorder Service</w:t>
      </w:r>
    </w:p>
    <w:p w14:paraId="32909B3E" w14:textId="35C43294" w:rsidR="0024757B" w:rsidRDefault="005A6802" w:rsidP="0053744E">
      <w:pPr>
        <w:rPr>
          <w:rFonts w:ascii="Segoe UI" w:hAnsi="Segoe UI" w:cs="Segoe UI"/>
          <w:b/>
          <w:lang w:val="en-GB"/>
        </w:rPr>
      </w:pPr>
      <w:r>
        <w:rPr>
          <w:rFonts w:ascii="Segoe UI" w:hAnsi="Segoe UI" w:cs="Segoe UI"/>
          <w:b/>
          <w:lang w:val="en-GB"/>
        </w:rPr>
        <w:t>Sue Nicholl’s C</w:t>
      </w:r>
      <w:r w:rsidR="0024757B">
        <w:rPr>
          <w:rFonts w:ascii="Segoe UI" w:hAnsi="Segoe UI" w:cs="Segoe UI"/>
          <w:b/>
          <w:lang w:val="en-GB"/>
        </w:rPr>
        <w:t>entre</w:t>
      </w:r>
    </w:p>
    <w:p w14:paraId="668E84E3" w14:textId="1C7C47EB" w:rsidR="0024757B" w:rsidRDefault="0024757B" w:rsidP="0053744E">
      <w:pPr>
        <w:rPr>
          <w:rFonts w:ascii="Segoe UI" w:hAnsi="Segoe UI" w:cs="Segoe UI"/>
          <w:b/>
          <w:lang w:val="en-GB"/>
        </w:rPr>
      </w:pPr>
      <w:r>
        <w:rPr>
          <w:rFonts w:ascii="Segoe UI" w:hAnsi="Segoe UI" w:cs="Segoe UI"/>
          <w:b/>
          <w:lang w:val="en-GB"/>
        </w:rPr>
        <w:t>Manor House</w:t>
      </w:r>
    </w:p>
    <w:p w14:paraId="2A44624F" w14:textId="31C87B0E" w:rsidR="0024757B" w:rsidRDefault="0024757B" w:rsidP="0053744E">
      <w:pPr>
        <w:rPr>
          <w:rFonts w:ascii="Segoe UI" w:hAnsi="Segoe UI" w:cs="Segoe UI"/>
          <w:b/>
          <w:lang w:val="en-GB"/>
        </w:rPr>
      </w:pPr>
      <w:proofErr w:type="spellStart"/>
      <w:r>
        <w:rPr>
          <w:rFonts w:ascii="Segoe UI" w:hAnsi="Segoe UI" w:cs="Segoe UI"/>
          <w:b/>
          <w:lang w:val="en-GB"/>
        </w:rPr>
        <w:t>Bierton</w:t>
      </w:r>
      <w:proofErr w:type="spellEnd"/>
      <w:r>
        <w:rPr>
          <w:rFonts w:ascii="Segoe UI" w:hAnsi="Segoe UI" w:cs="Segoe UI"/>
          <w:b/>
          <w:lang w:val="en-GB"/>
        </w:rPr>
        <w:t xml:space="preserve"> Road</w:t>
      </w:r>
    </w:p>
    <w:p w14:paraId="66DFC654" w14:textId="020D3D73" w:rsidR="0024757B" w:rsidRDefault="0024757B" w:rsidP="0053744E">
      <w:pPr>
        <w:rPr>
          <w:rFonts w:ascii="Segoe UI" w:hAnsi="Segoe UI" w:cs="Segoe UI"/>
          <w:b/>
          <w:lang w:val="en-GB"/>
        </w:rPr>
      </w:pPr>
      <w:r>
        <w:rPr>
          <w:rFonts w:ascii="Segoe UI" w:hAnsi="Segoe UI" w:cs="Segoe UI"/>
          <w:b/>
          <w:lang w:val="en-GB"/>
        </w:rPr>
        <w:t>Aylesbury</w:t>
      </w:r>
    </w:p>
    <w:p w14:paraId="73258932" w14:textId="4E622A51" w:rsidR="0024757B" w:rsidRDefault="0024757B" w:rsidP="0053744E">
      <w:pPr>
        <w:rPr>
          <w:rFonts w:ascii="Segoe UI" w:hAnsi="Segoe UI" w:cs="Segoe UI"/>
          <w:b/>
          <w:lang w:val="en-GB"/>
        </w:rPr>
      </w:pPr>
      <w:r>
        <w:rPr>
          <w:rFonts w:ascii="Segoe UI" w:hAnsi="Segoe UI" w:cs="Segoe UI"/>
          <w:b/>
          <w:lang w:val="en-GB"/>
        </w:rPr>
        <w:t>Bucks</w:t>
      </w:r>
    </w:p>
    <w:p w14:paraId="50FB2909" w14:textId="05D32297" w:rsidR="0024757B" w:rsidRDefault="0024757B" w:rsidP="0053744E">
      <w:pPr>
        <w:rPr>
          <w:rFonts w:ascii="Segoe UI" w:hAnsi="Segoe UI" w:cs="Segoe UI"/>
          <w:b/>
          <w:lang w:val="en-GB"/>
        </w:rPr>
      </w:pPr>
      <w:r>
        <w:rPr>
          <w:rFonts w:ascii="Segoe UI" w:hAnsi="Segoe UI" w:cs="Segoe UI"/>
          <w:b/>
          <w:lang w:val="en-GB"/>
        </w:rPr>
        <w:t>HP20 1EG</w:t>
      </w:r>
    </w:p>
    <w:p w14:paraId="06CDDE7A" w14:textId="77777777" w:rsidR="0024757B" w:rsidRDefault="0024757B" w:rsidP="0053744E">
      <w:pPr>
        <w:rPr>
          <w:rFonts w:ascii="Segoe UI" w:hAnsi="Segoe UI" w:cs="Segoe UI"/>
          <w:b/>
          <w:lang w:val="en-GB"/>
        </w:rPr>
      </w:pPr>
    </w:p>
    <w:p w14:paraId="26FE536C" w14:textId="0FE2B1DB" w:rsidR="0024757B" w:rsidRDefault="0024757B" w:rsidP="0053744E">
      <w:pPr>
        <w:rPr>
          <w:rFonts w:ascii="Segoe UI" w:hAnsi="Segoe UI" w:cs="Segoe UI"/>
          <w:b/>
          <w:lang w:val="en-GB"/>
        </w:rPr>
      </w:pPr>
      <w:r>
        <w:rPr>
          <w:rFonts w:ascii="Segoe UI" w:hAnsi="Segoe UI" w:cs="Segoe UI"/>
          <w:b/>
          <w:lang w:val="en-GB"/>
        </w:rPr>
        <w:t>Tel: 01865 901 325</w:t>
      </w:r>
    </w:p>
    <w:p w14:paraId="42D539B2" w14:textId="1196F652" w:rsidR="005A6802" w:rsidRPr="0024757B" w:rsidRDefault="005A6802" w:rsidP="0053744E">
      <w:pPr>
        <w:rPr>
          <w:rFonts w:ascii="Segoe UI" w:hAnsi="Segoe UI" w:cs="Segoe UI"/>
          <w:b/>
          <w:color w:val="0070C0"/>
          <w:lang w:val="en-GB"/>
        </w:rPr>
      </w:pPr>
    </w:p>
    <w:p w14:paraId="7AFC28B0" w14:textId="316AA751" w:rsidR="005005CA" w:rsidRPr="004937DB" w:rsidRDefault="005005CA" w:rsidP="0053744E">
      <w:pPr>
        <w:rPr>
          <w:rFonts w:ascii="Segoe UI" w:hAnsi="Segoe UI" w:cs="Segoe UI"/>
          <w:b/>
          <w:color w:val="0070C0"/>
          <w:lang w:val="en-GB"/>
        </w:rPr>
      </w:pPr>
      <w:r w:rsidRPr="004937DB">
        <w:rPr>
          <w:rFonts w:ascii="Segoe UI" w:hAnsi="Segoe UI" w:cs="Segoe UI"/>
          <w:b/>
          <w:color w:val="0070C0"/>
          <w:lang w:val="en-GB"/>
        </w:rPr>
        <w:t xml:space="preserve">  </w:t>
      </w:r>
    </w:p>
    <w:p w14:paraId="487E504C" w14:textId="77777777" w:rsidR="005005CA" w:rsidRPr="004937DB" w:rsidRDefault="005005CA" w:rsidP="0053744E">
      <w:pPr>
        <w:rPr>
          <w:rFonts w:ascii="Segoe UI" w:hAnsi="Segoe UI" w:cs="Segoe UI"/>
          <w:lang w:val="en-GB"/>
        </w:rPr>
      </w:pPr>
    </w:p>
    <w:p w14:paraId="3DFB87E6" w14:textId="77777777" w:rsidR="00583F0E" w:rsidRPr="004937DB" w:rsidRDefault="00583F0E" w:rsidP="0053744E">
      <w:pPr>
        <w:rPr>
          <w:rFonts w:ascii="Segoe UI" w:hAnsi="Segoe UI" w:cs="Segoe UI"/>
          <w:b/>
          <w:color w:val="0070C0"/>
          <w:lang w:val="en-GB"/>
        </w:rPr>
      </w:pPr>
      <w:r w:rsidRPr="004937DB">
        <w:rPr>
          <w:rFonts w:ascii="Segoe UI" w:hAnsi="Segoe UI" w:cs="Segoe UI"/>
          <w:b/>
          <w:color w:val="0070C0"/>
          <w:lang w:val="en-GB"/>
        </w:rPr>
        <w:lastRenderedPageBreak/>
        <w:t>Useful self-help material</w:t>
      </w:r>
    </w:p>
    <w:p w14:paraId="2E82DAF9" w14:textId="77777777" w:rsidR="00583F0E" w:rsidRPr="004937DB" w:rsidRDefault="00583F0E" w:rsidP="0053744E">
      <w:pPr>
        <w:rPr>
          <w:rFonts w:ascii="Segoe UI" w:hAnsi="Segoe UI" w:cs="Segoe UI"/>
          <w:lang w:val="en-GB"/>
        </w:rPr>
      </w:pPr>
      <w:r w:rsidRPr="004937DB">
        <w:rPr>
          <w:rFonts w:ascii="Segoe UI" w:hAnsi="Segoe UI" w:cs="Segoe UI"/>
          <w:lang w:val="en-GB"/>
        </w:rPr>
        <w:t>Royal College of Psychiatrist leaflet “help is at hand – eating disorders”</w:t>
      </w:r>
    </w:p>
    <w:p w14:paraId="4EC62599" w14:textId="77777777" w:rsidR="00D504AF" w:rsidRPr="004937DB" w:rsidRDefault="00D504AF" w:rsidP="0053744E">
      <w:pPr>
        <w:rPr>
          <w:rFonts w:ascii="Segoe UI" w:hAnsi="Segoe UI" w:cs="Segoe UI"/>
          <w:lang w:val="en-GB"/>
        </w:rPr>
      </w:pPr>
    </w:p>
    <w:p w14:paraId="6E7284E7" w14:textId="1AF6D342" w:rsidR="00583F0E" w:rsidRPr="004937DB" w:rsidRDefault="00583F0E" w:rsidP="0053744E">
      <w:pPr>
        <w:rPr>
          <w:rFonts w:ascii="Segoe UI" w:hAnsi="Segoe UI" w:cs="Segoe UI"/>
          <w:lang w:val="en-GB"/>
        </w:rPr>
      </w:pPr>
      <w:r w:rsidRPr="004937DB">
        <w:rPr>
          <w:rFonts w:ascii="Segoe UI" w:hAnsi="Segoe UI" w:cs="Segoe UI"/>
          <w:lang w:val="en-GB"/>
        </w:rPr>
        <w:t>Locke, J and Le Grange, D (2005)</w:t>
      </w:r>
      <w:r w:rsidR="000E1BB3" w:rsidRPr="004937DB">
        <w:rPr>
          <w:rFonts w:ascii="Segoe UI" w:hAnsi="Segoe UI" w:cs="Segoe UI"/>
          <w:lang w:val="en-GB"/>
        </w:rPr>
        <w:t>.</w:t>
      </w:r>
      <w:r w:rsidRPr="004937DB">
        <w:rPr>
          <w:rFonts w:ascii="Segoe UI" w:hAnsi="Segoe UI" w:cs="Segoe UI"/>
          <w:lang w:val="en-GB"/>
        </w:rPr>
        <w:t xml:space="preserve"> Help your teenager beat an eating disorder, Guildford Press</w:t>
      </w:r>
    </w:p>
    <w:p w14:paraId="229D2C0F" w14:textId="77777777" w:rsidR="00D504AF" w:rsidRPr="004937DB" w:rsidRDefault="00D504AF" w:rsidP="0053744E">
      <w:pPr>
        <w:rPr>
          <w:rFonts w:ascii="Segoe UI" w:hAnsi="Segoe UI" w:cs="Segoe UI"/>
          <w:lang w:val="en-GB"/>
        </w:rPr>
      </w:pPr>
    </w:p>
    <w:p w14:paraId="4702160F" w14:textId="77777777" w:rsidR="00583F0E" w:rsidRDefault="00583F0E" w:rsidP="0053744E">
      <w:pPr>
        <w:rPr>
          <w:rFonts w:ascii="Segoe UI" w:hAnsi="Segoe UI" w:cs="Segoe UI"/>
          <w:lang w:val="en-GB"/>
        </w:rPr>
      </w:pPr>
      <w:r w:rsidRPr="004937DB">
        <w:rPr>
          <w:rFonts w:ascii="Segoe UI" w:hAnsi="Segoe UI" w:cs="Segoe UI"/>
          <w:lang w:val="en-GB"/>
        </w:rPr>
        <w:t xml:space="preserve">Bryant-Waugh, R., &amp; </w:t>
      </w:r>
      <w:proofErr w:type="spellStart"/>
      <w:r w:rsidRPr="004937DB">
        <w:rPr>
          <w:rFonts w:ascii="Segoe UI" w:hAnsi="Segoe UI" w:cs="Segoe UI"/>
          <w:lang w:val="en-GB"/>
        </w:rPr>
        <w:t>Lask</w:t>
      </w:r>
      <w:proofErr w:type="spellEnd"/>
      <w:r w:rsidRPr="004937DB">
        <w:rPr>
          <w:rFonts w:ascii="Segoe UI" w:hAnsi="Segoe UI" w:cs="Segoe UI"/>
          <w:lang w:val="en-GB"/>
        </w:rPr>
        <w:t>, B. (2004) Eating disorders; a parents’ guide Brunner Routledge</w:t>
      </w:r>
    </w:p>
    <w:p w14:paraId="67CA0E4C" w14:textId="77777777" w:rsidR="0024757B" w:rsidRPr="004937DB" w:rsidRDefault="0024757B" w:rsidP="0053744E">
      <w:pPr>
        <w:rPr>
          <w:rFonts w:ascii="Segoe UI" w:hAnsi="Segoe UI" w:cs="Segoe UI"/>
          <w:lang w:val="en-GB"/>
        </w:rPr>
      </w:pPr>
    </w:p>
    <w:p w14:paraId="63E02FE5" w14:textId="26AE81E5" w:rsidR="00583F0E" w:rsidRPr="004937DB" w:rsidRDefault="00583F0E" w:rsidP="0053744E">
      <w:pPr>
        <w:rPr>
          <w:rFonts w:ascii="Segoe UI" w:hAnsi="Segoe UI" w:cs="Segoe UI"/>
          <w:lang w:val="en-GB"/>
        </w:rPr>
      </w:pPr>
      <w:r w:rsidRPr="004937DB">
        <w:rPr>
          <w:rFonts w:ascii="Segoe UI" w:hAnsi="Segoe UI" w:cs="Segoe UI"/>
          <w:lang w:val="en-GB"/>
        </w:rPr>
        <w:t>Treasure, J</w:t>
      </w:r>
      <w:r w:rsidR="0024757B">
        <w:rPr>
          <w:rFonts w:ascii="Segoe UI" w:hAnsi="Segoe UI" w:cs="Segoe UI"/>
          <w:lang w:val="en-GB"/>
        </w:rPr>
        <w:t xml:space="preserve">, Smith, G., Crane, A. (2007). Skills –based learning for caring for a loved one with an eating disorder. Routledge. </w:t>
      </w:r>
      <w:r w:rsidRPr="004937DB">
        <w:rPr>
          <w:rFonts w:ascii="Segoe UI" w:hAnsi="Segoe UI" w:cs="Segoe UI"/>
          <w:lang w:val="en-GB"/>
        </w:rPr>
        <w:t xml:space="preserve"> </w:t>
      </w:r>
    </w:p>
    <w:p w14:paraId="7E161EDD" w14:textId="77777777" w:rsidR="00583F0E" w:rsidRPr="004937DB" w:rsidRDefault="00583F0E" w:rsidP="0053744E">
      <w:pPr>
        <w:rPr>
          <w:rFonts w:ascii="Segoe UI" w:hAnsi="Segoe UI" w:cs="Segoe UI"/>
          <w:b/>
          <w:lang w:val="en-GB"/>
        </w:rPr>
      </w:pPr>
    </w:p>
    <w:p w14:paraId="0700965F" w14:textId="77777777" w:rsidR="00583F0E" w:rsidRPr="004937DB" w:rsidRDefault="00583F0E" w:rsidP="0053744E">
      <w:pPr>
        <w:rPr>
          <w:rFonts w:ascii="Segoe UI" w:hAnsi="Segoe UI" w:cs="Segoe UI"/>
          <w:color w:val="0070C0"/>
          <w:lang w:val="en-GB"/>
        </w:rPr>
      </w:pPr>
      <w:r w:rsidRPr="004937DB">
        <w:rPr>
          <w:rFonts w:ascii="Segoe UI" w:hAnsi="Segoe UI" w:cs="Segoe UI"/>
          <w:b/>
          <w:color w:val="0070C0"/>
          <w:lang w:val="en-GB"/>
        </w:rPr>
        <w:t>Useful references</w:t>
      </w:r>
      <w:r w:rsidRPr="004937DB">
        <w:rPr>
          <w:rFonts w:ascii="Segoe UI" w:hAnsi="Segoe UI" w:cs="Segoe UI"/>
          <w:color w:val="0070C0"/>
          <w:lang w:val="en-GB"/>
        </w:rPr>
        <w:t>.</w:t>
      </w:r>
    </w:p>
    <w:p w14:paraId="59383207" w14:textId="33575894" w:rsidR="00583F0E" w:rsidRPr="004937DB" w:rsidRDefault="00583F0E" w:rsidP="0053744E">
      <w:pPr>
        <w:rPr>
          <w:rFonts w:ascii="Segoe UI" w:hAnsi="Segoe UI" w:cs="Segoe UI"/>
          <w:lang w:val="en-GB"/>
        </w:rPr>
      </w:pPr>
      <w:proofErr w:type="spellStart"/>
      <w:r w:rsidRPr="004937DB">
        <w:rPr>
          <w:rFonts w:ascii="Segoe UI" w:hAnsi="Segoe UI" w:cs="Segoe UI"/>
          <w:lang w:val="en-GB"/>
        </w:rPr>
        <w:t>Lask</w:t>
      </w:r>
      <w:proofErr w:type="spellEnd"/>
      <w:r w:rsidRPr="004937DB">
        <w:rPr>
          <w:rFonts w:ascii="Segoe UI" w:hAnsi="Segoe UI" w:cs="Segoe UI"/>
          <w:lang w:val="en-GB"/>
        </w:rPr>
        <w:t xml:space="preserve">, B &amp; Bryant-Waugh, R. (2007) Eating disorders in childhood and adolescence. Routledge </w:t>
      </w:r>
    </w:p>
    <w:p w14:paraId="2FB50DE7" w14:textId="77777777" w:rsidR="00D504AF" w:rsidRPr="004937DB" w:rsidRDefault="00D504AF" w:rsidP="0053744E">
      <w:pPr>
        <w:rPr>
          <w:rFonts w:ascii="Segoe UI" w:hAnsi="Segoe UI" w:cs="Segoe UI"/>
          <w:lang w:val="en-GB"/>
        </w:rPr>
      </w:pPr>
    </w:p>
    <w:p w14:paraId="74A73835" w14:textId="333DE179" w:rsidR="00DC2C53" w:rsidRPr="004937DB" w:rsidRDefault="00583F0E" w:rsidP="0053744E">
      <w:pPr>
        <w:rPr>
          <w:rFonts w:ascii="Segoe UI" w:hAnsi="Segoe UI" w:cs="Segoe UI"/>
          <w:lang w:val="en-GB"/>
        </w:rPr>
      </w:pPr>
      <w:r w:rsidRPr="004937DB">
        <w:rPr>
          <w:rFonts w:ascii="Segoe UI" w:hAnsi="Segoe UI" w:cs="Segoe UI"/>
          <w:lang w:val="en-GB"/>
        </w:rPr>
        <w:t xml:space="preserve">Luck, A.J et al (2002) The SCOFF questionnaire and clinical interview for eating disorders in general practice.  </w:t>
      </w:r>
    </w:p>
    <w:p w14:paraId="4FE31662" w14:textId="77777777" w:rsidR="00D504AF" w:rsidRPr="004937DB" w:rsidRDefault="00D504AF" w:rsidP="0053744E">
      <w:pPr>
        <w:rPr>
          <w:rFonts w:ascii="Segoe UI" w:hAnsi="Segoe UI" w:cs="Segoe UI"/>
          <w:lang w:val="en-GB"/>
        </w:rPr>
      </w:pPr>
    </w:p>
    <w:p w14:paraId="55DE81AC" w14:textId="4D850932" w:rsidR="00D504AF" w:rsidRPr="004937DB" w:rsidRDefault="00D504AF" w:rsidP="0053744E">
      <w:pPr>
        <w:rPr>
          <w:rFonts w:ascii="Segoe UI" w:hAnsi="Segoe UI" w:cs="Segoe UI"/>
          <w:lang w:val="en-GB"/>
        </w:rPr>
      </w:pPr>
    </w:p>
    <w:sectPr w:rsidR="00D504AF" w:rsidRPr="004937DB" w:rsidSect="00343CB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4E"/>
    <w:rsid w:val="000B0BFE"/>
    <w:rsid w:val="000E1BB3"/>
    <w:rsid w:val="0018329B"/>
    <w:rsid w:val="00194171"/>
    <w:rsid w:val="001B6087"/>
    <w:rsid w:val="001E6131"/>
    <w:rsid w:val="001F5F9C"/>
    <w:rsid w:val="0024757B"/>
    <w:rsid w:val="00274237"/>
    <w:rsid w:val="002A3425"/>
    <w:rsid w:val="002E4D30"/>
    <w:rsid w:val="00343CBC"/>
    <w:rsid w:val="003C54E6"/>
    <w:rsid w:val="003F7F92"/>
    <w:rsid w:val="004937DB"/>
    <w:rsid w:val="004C7ACE"/>
    <w:rsid w:val="005005CA"/>
    <w:rsid w:val="0053744E"/>
    <w:rsid w:val="0056101E"/>
    <w:rsid w:val="00567C1C"/>
    <w:rsid w:val="00583F0E"/>
    <w:rsid w:val="005A6802"/>
    <w:rsid w:val="0069182E"/>
    <w:rsid w:val="006E6029"/>
    <w:rsid w:val="00782CEC"/>
    <w:rsid w:val="00787087"/>
    <w:rsid w:val="007C0116"/>
    <w:rsid w:val="007C0133"/>
    <w:rsid w:val="007E089C"/>
    <w:rsid w:val="008A01FE"/>
    <w:rsid w:val="009A6D22"/>
    <w:rsid w:val="00A5035A"/>
    <w:rsid w:val="00BA5162"/>
    <w:rsid w:val="00BB26F8"/>
    <w:rsid w:val="00BE18C2"/>
    <w:rsid w:val="00C66E70"/>
    <w:rsid w:val="00D07C72"/>
    <w:rsid w:val="00D504AF"/>
    <w:rsid w:val="00D841B0"/>
    <w:rsid w:val="00DB25AB"/>
    <w:rsid w:val="00DC2C53"/>
    <w:rsid w:val="00DE29C7"/>
    <w:rsid w:val="00E131AC"/>
    <w:rsid w:val="00E4032D"/>
    <w:rsid w:val="00E413FB"/>
    <w:rsid w:val="00EB0BAD"/>
    <w:rsid w:val="00EC1CDB"/>
    <w:rsid w:val="00F35063"/>
    <w:rsid w:val="00F9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E312"/>
  <w15:docId w15:val="{E67C086A-0492-4ABE-B2A6-9DAD5058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4E6"/>
    <w:rPr>
      <w:rFonts w:ascii="Tahoma" w:hAnsi="Tahoma" w:cs="Tahoma"/>
      <w:sz w:val="16"/>
      <w:szCs w:val="16"/>
    </w:rPr>
  </w:style>
  <w:style w:type="character" w:customStyle="1" w:styleId="BalloonTextChar">
    <w:name w:val="Balloon Text Char"/>
    <w:basedOn w:val="DefaultParagraphFont"/>
    <w:link w:val="BalloonText"/>
    <w:uiPriority w:val="99"/>
    <w:semiHidden/>
    <w:rsid w:val="003C54E6"/>
    <w:rPr>
      <w:rFonts w:ascii="Tahoma" w:hAnsi="Tahoma" w:cs="Tahoma"/>
      <w:sz w:val="16"/>
      <w:szCs w:val="16"/>
    </w:rPr>
  </w:style>
  <w:style w:type="character" w:styleId="Hyperlink">
    <w:name w:val="Hyperlink"/>
    <w:uiPriority w:val="99"/>
    <w:unhideWhenUsed/>
    <w:rsid w:val="00D50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cpsych.ac.uk/files/pdfversion/CR1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1661</Words>
  <Characters>9471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Stewart</dc:creator>
  <cp:lastModifiedBy>Stewart Anne (RNU) Oxford Health</cp:lastModifiedBy>
  <cp:revision>2</cp:revision>
  <dcterms:created xsi:type="dcterms:W3CDTF">2019-02-14T08:18:00Z</dcterms:created>
  <dcterms:modified xsi:type="dcterms:W3CDTF">2019-02-14T08:18:00Z</dcterms:modified>
</cp:coreProperties>
</file>