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C7508B" w:rsidRDefault="00214FDC" w:rsidP="00813842">
      <w:pPr>
        <w:jc w:val="right"/>
        <w:rPr>
          <w:rFonts w:ascii="Arial" w:hAnsi="Arial" w:cs="Arial"/>
          <w:lang w:val="en-GB"/>
        </w:rPr>
      </w:pPr>
      <w:r w:rsidRPr="00214FDC">
        <w:rPr>
          <w:rFonts w:ascii="Arial" w:hAnsi="Arial"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
            <v:imagedata r:id="rId8" o:title="Logo"/>
          </v:shape>
        </w:pict>
      </w:r>
    </w:p>
    <w:p w:rsidR="005D3499" w:rsidRPr="00C7508B" w:rsidRDefault="005D3499" w:rsidP="00813842">
      <w:pPr>
        <w:jc w:val="both"/>
        <w:rPr>
          <w:rFonts w:ascii="Arial" w:hAnsi="Arial" w:cs="Arial"/>
        </w:rPr>
      </w:pPr>
    </w:p>
    <w:p w:rsidR="005D3499" w:rsidRPr="00C7508B" w:rsidRDefault="00987AA4" w:rsidP="00813842">
      <w:pPr>
        <w:jc w:val="both"/>
        <w:rPr>
          <w:rFonts w:ascii="Arial" w:hAnsi="Arial" w:cs="Arial"/>
        </w:rPr>
      </w:pPr>
      <w:r w:rsidRPr="00C7508B">
        <w:rPr>
          <w:rFonts w:ascii="Arial" w:hAnsi="Arial" w:cs="Arial"/>
          <w:noProof/>
        </w:rPr>
        <w:pict>
          <v:rect id="_x0000_s1034" style="position:absolute;left:0;text-align:left;margin-left:324pt;margin-top:4.05pt;width:108pt;height:45pt;z-index:251657728">
            <v:textbox inset="0,0,0,0">
              <w:txbxContent>
                <w:p w:rsidR="00D33853" w:rsidRDefault="00D33853">
                  <w:pPr>
                    <w:pStyle w:val="Heading1"/>
                    <w:jc w:val="center"/>
                    <w:rPr>
                      <w:sz w:val="24"/>
                      <w:u w:val="none"/>
                    </w:rPr>
                  </w:pPr>
                  <w:r>
                    <w:rPr>
                      <w:sz w:val="24"/>
                      <w:u w:val="none"/>
                    </w:rPr>
                    <w:t>PAPER</w:t>
                  </w:r>
                </w:p>
                <w:p w:rsidR="00D33853" w:rsidRPr="00C8411C" w:rsidRDefault="00C8411C">
                  <w:pPr>
                    <w:pStyle w:val="BodyText"/>
                    <w:rPr>
                      <w:b w:val="0"/>
                      <w:sz w:val="22"/>
                    </w:rPr>
                  </w:pPr>
                  <w:r>
                    <w:rPr>
                      <w:b w:val="0"/>
                      <w:sz w:val="22"/>
                    </w:rPr>
                    <w:t>MC 10/2012</w:t>
                  </w:r>
                </w:p>
                <w:p w:rsidR="00D33853" w:rsidRDefault="00D33853">
                  <w:pPr>
                    <w:jc w:val="center"/>
                    <w:rPr>
                      <w:b/>
                    </w:rPr>
                  </w:pPr>
                </w:p>
              </w:txbxContent>
            </v:textbox>
          </v:rect>
        </w:pict>
      </w:r>
    </w:p>
    <w:p w:rsidR="005D3499" w:rsidRPr="00C7508B" w:rsidRDefault="005D3499" w:rsidP="00813842">
      <w:pPr>
        <w:pStyle w:val="Heading1"/>
        <w:jc w:val="both"/>
        <w:rPr>
          <w:rFonts w:cs="Arial"/>
          <w:sz w:val="24"/>
          <w:szCs w:val="24"/>
        </w:rPr>
      </w:pPr>
    </w:p>
    <w:p w:rsidR="005D3499" w:rsidRPr="00C7508B" w:rsidRDefault="005D3499" w:rsidP="00813842">
      <w:pPr>
        <w:pStyle w:val="Heading1"/>
        <w:jc w:val="both"/>
        <w:rPr>
          <w:rFonts w:cs="Arial"/>
          <w:sz w:val="24"/>
          <w:szCs w:val="24"/>
        </w:rPr>
      </w:pPr>
    </w:p>
    <w:p w:rsidR="005D3499" w:rsidRDefault="005D3499" w:rsidP="00813842">
      <w:pPr>
        <w:pStyle w:val="Heading1"/>
        <w:jc w:val="both"/>
        <w:rPr>
          <w:rFonts w:cs="Arial"/>
          <w:sz w:val="24"/>
          <w:szCs w:val="24"/>
        </w:rPr>
      </w:pPr>
    </w:p>
    <w:p w:rsidR="00F00EB3" w:rsidRDefault="00F00EB3" w:rsidP="00F00EB3">
      <w:pPr>
        <w:rPr>
          <w:lang w:val="en-GB"/>
        </w:rPr>
      </w:pPr>
    </w:p>
    <w:p w:rsidR="00F00EB3" w:rsidRPr="00F00EB3" w:rsidRDefault="00F00EB3" w:rsidP="00F00EB3">
      <w:pPr>
        <w:rPr>
          <w:lang w:val="en-GB"/>
        </w:rPr>
      </w:pPr>
    </w:p>
    <w:p w:rsidR="005D3499" w:rsidRPr="00C7508B" w:rsidRDefault="005D3499" w:rsidP="00813842">
      <w:pPr>
        <w:pStyle w:val="Heading1"/>
        <w:jc w:val="center"/>
        <w:rPr>
          <w:rFonts w:cs="Arial"/>
          <w:sz w:val="24"/>
          <w:szCs w:val="24"/>
          <w:u w:val="none"/>
        </w:rPr>
      </w:pPr>
    </w:p>
    <w:p w:rsidR="00D33853" w:rsidRDefault="005D0374" w:rsidP="00813842">
      <w:pPr>
        <w:pStyle w:val="Heading1"/>
        <w:jc w:val="center"/>
        <w:rPr>
          <w:rFonts w:cs="Arial"/>
          <w:sz w:val="28"/>
          <w:szCs w:val="28"/>
          <w:u w:val="none"/>
        </w:rPr>
      </w:pPr>
      <w:r w:rsidRPr="00E71713">
        <w:rPr>
          <w:rFonts w:cs="Arial"/>
          <w:sz w:val="28"/>
          <w:szCs w:val="28"/>
          <w:u w:val="none"/>
        </w:rPr>
        <w:t xml:space="preserve">Report to the Meeting of the </w:t>
      </w:r>
    </w:p>
    <w:p w:rsidR="005D0374" w:rsidRPr="00E71713" w:rsidRDefault="005D0374" w:rsidP="00813842">
      <w:pPr>
        <w:pStyle w:val="Heading1"/>
        <w:jc w:val="center"/>
        <w:rPr>
          <w:rFonts w:cs="Arial"/>
          <w:sz w:val="28"/>
          <w:szCs w:val="28"/>
          <w:u w:val="none"/>
        </w:rPr>
      </w:pPr>
      <w:r w:rsidRPr="00E71713">
        <w:rPr>
          <w:rFonts w:cs="Arial"/>
          <w:sz w:val="28"/>
          <w:szCs w:val="28"/>
        </w:rPr>
        <w:t>Members’ Council</w:t>
      </w:r>
    </w:p>
    <w:p w:rsidR="00C7508B" w:rsidRPr="00E71713" w:rsidRDefault="00C7508B" w:rsidP="00813842">
      <w:pPr>
        <w:jc w:val="center"/>
        <w:rPr>
          <w:rFonts w:ascii="Arial" w:hAnsi="Arial" w:cs="Arial"/>
          <w:b/>
          <w:sz w:val="28"/>
          <w:szCs w:val="28"/>
        </w:rPr>
      </w:pPr>
    </w:p>
    <w:p w:rsidR="005D3499" w:rsidRPr="00E71713" w:rsidRDefault="00C7508B" w:rsidP="00813842">
      <w:pPr>
        <w:jc w:val="center"/>
        <w:rPr>
          <w:rFonts w:ascii="Arial" w:hAnsi="Arial" w:cs="Arial"/>
          <w:b/>
          <w:sz w:val="28"/>
          <w:szCs w:val="28"/>
        </w:rPr>
      </w:pPr>
      <w:r w:rsidRPr="00E71713">
        <w:rPr>
          <w:rFonts w:ascii="Arial" w:hAnsi="Arial" w:cs="Arial"/>
          <w:b/>
          <w:sz w:val="28"/>
          <w:szCs w:val="28"/>
        </w:rPr>
        <w:t>9 February</w:t>
      </w:r>
      <w:r w:rsidR="004326BB" w:rsidRPr="00E71713">
        <w:rPr>
          <w:rFonts w:ascii="Arial" w:hAnsi="Arial" w:cs="Arial"/>
          <w:b/>
          <w:sz w:val="28"/>
          <w:szCs w:val="28"/>
        </w:rPr>
        <w:t xml:space="preserve"> 20</w:t>
      </w:r>
      <w:r w:rsidR="00D07064" w:rsidRPr="00E71713">
        <w:rPr>
          <w:rFonts w:ascii="Arial" w:hAnsi="Arial" w:cs="Arial"/>
          <w:b/>
          <w:sz w:val="28"/>
          <w:szCs w:val="28"/>
        </w:rPr>
        <w:t>1</w:t>
      </w:r>
      <w:r w:rsidRPr="00E71713">
        <w:rPr>
          <w:rFonts w:ascii="Arial" w:hAnsi="Arial" w:cs="Arial"/>
          <w:b/>
          <w:sz w:val="28"/>
          <w:szCs w:val="28"/>
        </w:rPr>
        <w:t>2</w:t>
      </w:r>
    </w:p>
    <w:p w:rsidR="005D3499" w:rsidRPr="00D33853" w:rsidRDefault="005D3499" w:rsidP="00813842">
      <w:pPr>
        <w:jc w:val="center"/>
        <w:rPr>
          <w:rFonts w:ascii="Arial" w:hAnsi="Arial" w:cs="Arial"/>
          <w:b/>
          <w:sz w:val="28"/>
          <w:szCs w:val="28"/>
        </w:rPr>
      </w:pPr>
    </w:p>
    <w:p w:rsidR="005D3499" w:rsidRPr="00D33853" w:rsidRDefault="00D33853" w:rsidP="00813842">
      <w:pPr>
        <w:jc w:val="center"/>
        <w:rPr>
          <w:rFonts w:ascii="Arial" w:hAnsi="Arial" w:cs="Arial"/>
          <w:b/>
          <w:sz w:val="28"/>
          <w:szCs w:val="28"/>
        </w:rPr>
      </w:pPr>
      <w:r w:rsidRPr="00D33853">
        <w:rPr>
          <w:rFonts w:ascii="Arial" w:hAnsi="Arial" w:cs="Arial"/>
          <w:b/>
          <w:sz w:val="28"/>
          <w:szCs w:val="28"/>
        </w:rPr>
        <w:t>Quality &amp; Safety Report</w:t>
      </w:r>
    </w:p>
    <w:p w:rsidR="005D3499" w:rsidRPr="00C7508B" w:rsidRDefault="005D3499" w:rsidP="00813842">
      <w:pPr>
        <w:jc w:val="both"/>
        <w:rPr>
          <w:rFonts w:ascii="Arial" w:hAnsi="Arial" w:cs="Arial"/>
          <w:b/>
        </w:rPr>
      </w:pPr>
    </w:p>
    <w:p w:rsidR="00F00EB3" w:rsidRDefault="00F00EB3" w:rsidP="00F00EB3">
      <w:pPr>
        <w:jc w:val="center"/>
        <w:rPr>
          <w:rFonts w:ascii="Arial" w:hAnsi="Arial" w:cs="Arial"/>
          <w:b/>
        </w:rPr>
      </w:pPr>
    </w:p>
    <w:p w:rsidR="00D33853" w:rsidRPr="00C7508B" w:rsidRDefault="00D33853" w:rsidP="00F00EB3">
      <w:pPr>
        <w:jc w:val="center"/>
        <w:rPr>
          <w:rFonts w:ascii="Arial" w:hAnsi="Arial" w:cs="Arial"/>
          <w:b/>
        </w:rPr>
      </w:pPr>
    </w:p>
    <w:p w:rsidR="00292613" w:rsidRPr="00C7508B" w:rsidRDefault="00F00EB3" w:rsidP="00F00EB3">
      <w:pPr>
        <w:jc w:val="center"/>
        <w:rPr>
          <w:rFonts w:ascii="Arial" w:hAnsi="Arial" w:cs="Arial"/>
        </w:rPr>
      </w:pPr>
      <w:r>
        <w:rPr>
          <w:rFonts w:ascii="Arial" w:hAnsi="Arial" w:cs="Arial"/>
          <w:b/>
          <w:u w:val="single"/>
        </w:rPr>
        <w:t>For: I</w:t>
      </w:r>
      <w:r w:rsidR="00292613" w:rsidRPr="00C7508B">
        <w:rPr>
          <w:rFonts w:ascii="Arial" w:hAnsi="Arial" w:cs="Arial"/>
          <w:b/>
          <w:u w:val="single"/>
        </w:rPr>
        <w:t>nformation</w:t>
      </w:r>
    </w:p>
    <w:p w:rsidR="0089486C" w:rsidRDefault="0089486C" w:rsidP="00813842">
      <w:pPr>
        <w:jc w:val="both"/>
        <w:rPr>
          <w:rFonts w:ascii="Arial" w:hAnsi="Arial" w:cs="Arial"/>
        </w:rPr>
      </w:pPr>
    </w:p>
    <w:p w:rsidR="00F00EB3" w:rsidRDefault="00F00EB3" w:rsidP="00813842">
      <w:pPr>
        <w:jc w:val="both"/>
        <w:rPr>
          <w:rFonts w:ascii="Arial" w:hAnsi="Arial" w:cs="Arial"/>
          <w:b/>
        </w:rPr>
      </w:pPr>
    </w:p>
    <w:p w:rsidR="00F00EB3" w:rsidRDefault="00F00EB3" w:rsidP="00813842">
      <w:pPr>
        <w:jc w:val="both"/>
        <w:rPr>
          <w:rFonts w:ascii="Arial" w:hAnsi="Arial" w:cs="Arial"/>
          <w:b/>
        </w:rPr>
      </w:pPr>
    </w:p>
    <w:p w:rsidR="00F00EB3" w:rsidRDefault="005D0374" w:rsidP="00813842">
      <w:pPr>
        <w:jc w:val="both"/>
        <w:rPr>
          <w:rFonts w:ascii="Arial" w:hAnsi="Arial" w:cs="Arial"/>
        </w:rPr>
      </w:pPr>
      <w:r w:rsidRPr="00C7508B">
        <w:rPr>
          <w:rFonts w:ascii="Arial" w:hAnsi="Arial" w:cs="Arial"/>
          <w:b/>
        </w:rPr>
        <w:t>Executive Summary</w:t>
      </w:r>
    </w:p>
    <w:p w:rsidR="00F00EB3" w:rsidRDefault="00F00EB3" w:rsidP="00813842">
      <w:pPr>
        <w:jc w:val="both"/>
        <w:rPr>
          <w:rFonts w:ascii="Arial" w:hAnsi="Arial" w:cs="Arial"/>
        </w:rPr>
      </w:pPr>
    </w:p>
    <w:p w:rsidR="00BA3B3E" w:rsidRPr="00C7508B" w:rsidRDefault="00F00EB3" w:rsidP="00813842">
      <w:pPr>
        <w:jc w:val="both"/>
        <w:rPr>
          <w:rFonts w:ascii="Arial" w:hAnsi="Arial" w:cs="Arial"/>
        </w:rPr>
      </w:pPr>
      <w:r>
        <w:rPr>
          <w:rFonts w:ascii="Arial" w:hAnsi="Arial" w:cs="Arial"/>
        </w:rPr>
        <w:t xml:space="preserve">The last Members Council report in November provided a briefing on the three domains of Quality and Safety, Effectiveness and Patient Experience. This report focuses predominantly on Safety and gives </w:t>
      </w:r>
      <w:r w:rsidR="00D33853">
        <w:rPr>
          <w:rFonts w:ascii="Arial" w:hAnsi="Arial" w:cs="Arial"/>
        </w:rPr>
        <w:t>more detail</w:t>
      </w:r>
      <w:r>
        <w:rPr>
          <w:rFonts w:ascii="Arial" w:hAnsi="Arial" w:cs="Arial"/>
        </w:rPr>
        <w:t xml:space="preserve"> for Members Council to review on aspects of the Quality Account. </w:t>
      </w:r>
    </w:p>
    <w:p w:rsidR="0089486C" w:rsidRDefault="0089486C" w:rsidP="00813842">
      <w:pPr>
        <w:jc w:val="both"/>
        <w:rPr>
          <w:rFonts w:ascii="Arial" w:hAnsi="Arial" w:cs="Arial"/>
        </w:rPr>
      </w:pPr>
    </w:p>
    <w:p w:rsidR="00F00EB3" w:rsidRDefault="00F00EB3" w:rsidP="00813842">
      <w:pPr>
        <w:jc w:val="both"/>
        <w:rPr>
          <w:rFonts w:ascii="Arial" w:hAnsi="Arial" w:cs="Arial"/>
          <w:b/>
        </w:rPr>
      </w:pPr>
    </w:p>
    <w:p w:rsidR="00F00EB3" w:rsidRPr="00C7508B" w:rsidRDefault="00F00EB3" w:rsidP="00813842">
      <w:pPr>
        <w:jc w:val="both"/>
        <w:rPr>
          <w:rFonts w:ascii="Arial" w:hAnsi="Arial" w:cs="Arial"/>
          <w:b/>
        </w:rPr>
      </w:pPr>
    </w:p>
    <w:p w:rsidR="0073522A" w:rsidRDefault="0073522A" w:rsidP="00813842">
      <w:pPr>
        <w:jc w:val="both"/>
        <w:rPr>
          <w:rFonts w:ascii="Arial" w:hAnsi="Arial" w:cs="Arial"/>
          <w:b/>
        </w:rPr>
      </w:pPr>
      <w:r w:rsidRPr="00C7508B">
        <w:rPr>
          <w:rFonts w:ascii="Arial" w:hAnsi="Arial" w:cs="Arial"/>
          <w:b/>
        </w:rPr>
        <w:t>Recommendation</w:t>
      </w:r>
      <w:r w:rsidR="00F00EB3">
        <w:rPr>
          <w:rFonts w:ascii="Arial" w:hAnsi="Arial" w:cs="Arial"/>
          <w:b/>
        </w:rPr>
        <w:t>: The M</w:t>
      </w:r>
      <w:r w:rsidR="00D33853">
        <w:rPr>
          <w:rFonts w:ascii="Arial" w:hAnsi="Arial" w:cs="Arial"/>
          <w:b/>
        </w:rPr>
        <w:t xml:space="preserve">embers Council is asked to note this report. </w:t>
      </w:r>
    </w:p>
    <w:p w:rsidR="00DA71B3" w:rsidRPr="00C7508B" w:rsidRDefault="00DA71B3" w:rsidP="00813842">
      <w:pPr>
        <w:jc w:val="both"/>
        <w:rPr>
          <w:rFonts w:ascii="Arial" w:hAnsi="Arial" w:cs="Arial"/>
          <w:b/>
        </w:rPr>
      </w:pPr>
    </w:p>
    <w:p w:rsidR="0073522A" w:rsidRDefault="0073522A" w:rsidP="00813842">
      <w:pPr>
        <w:jc w:val="both"/>
        <w:rPr>
          <w:rFonts w:ascii="Arial" w:hAnsi="Arial" w:cs="Arial"/>
        </w:rPr>
      </w:pPr>
    </w:p>
    <w:p w:rsidR="00F00EB3" w:rsidRDefault="00F00EB3" w:rsidP="00813842">
      <w:pPr>
        <w:jc w:val="both"/>
        <w:rPr>
          <w:rFonts w:ascii="Arial" w:hAnsi="Arial" w:cs="Arial"/>
        </w:rPr>
      </w:pPr>
    </w:p>
    <w:p w:rsidR="00F00EB3" w:rsidRDefault="00F00EB3" w:rsidP="00813842">
      <w:pPr>
        <w:jc w:val="both"/>
        <w:rPr>
          <w:rFonts w:ascii="Arial" w:hAnsi="Arial" w:cs="Arial"/>
        </w:rPr>
      </w:pPr>
    </w:p>
    <w:p w:rsidR="00F00EB3" w:rsidRDefault="00F00EB3" w:rsidP="00813842">
      <w:pPr>
        <w:jc w:val="both"/>
        <w:rPr>
          <w:rFonts w:ascii="Arial" w:hAnsi="Arial" w:cs="Arial"/>
        </w:rPr>
      </w:pPr>
    </w:p>
    <w:p w:rsidR="00F00EB3" w:rsidRDefault="00F00EB3" w:rsidP="00813842">
      <w:pPr>
        <w:jc w:val="both"/>
        <w:rPr>
          <w:rFonts w:ascii="Arial" w:hAnsi="Arial" w:cs="Arial"/>
        </w:rPr>
      </w:pPr>
    </w:p>
    <w:p w:rsidR="00F00EB3" w:rsidRDefault="00F00EB3" w:rsidP="00813842">
      <w:pPr>
        <w:jc w:val="both"/>
        <w:rPr>
          <w:rFonts w:ascii="Arial" w:hAnsi="Arial" w:cs="Arial"/>
        </w:rPr>
      </w:pPr>
    </w:p>
    <w:p w:rsidR="00F00EB3" w:rsidRPr="00C7508B" w:rsidRDefault="00F00EB3" w:rsidP="00813842">
      <w:pPr>
        <w:jc w:val="both"/>
        <w:rPr>
          <w:rFonts w:ascii="Arial" w:hAnsi="Arial" w:cs="Arial"/>
        </w:rPr>
      </w:pPr>
    </w:p>
    <w:p w:rsidR="00F00EB3" w:rsidRPr="00C7508B" w:rsidRDefault="00813842" w:rsidP="00F00EB3">
      <w:pPr>
        <w:jc w:val="both"/>
        <w:rPr>
          <w:rFonts w:ascii="Arial" w:hAnsi="Arial" w:cs="Arial"/>
          <w:b/>
        </w:rPr>
      </w:pPr>
      <w:r w:rsidRPr="00813842">
        <w:rPr>
          <w:rFonts w:ascii="Arial" w:hAnsi="Arial" w:cs="Arial"/>
          <w:b/>
        </w:rPr>
        <w:t xml:space="preserve">Author and Title: </w:t>
      </w:r>
      <w:r w:rsidR="00F00EB3" w:rsidRPr="00C7508B">
        <w:rPr>
          <w:rFonts w:ascii="Arial" w:hAnsi="Arial" w:cs="Arial"/>
          <w:b/>
        </w:rPr>
        <w:t>Ros Alstead, Director of Nursing &amp; Clinical Standards</w:t>
      </w:r>
    </w:p>
    <w:p w:rsidR="00AF0562" w:rsidRPr="00C7508B" w:rsidRDefault="0073522A" w:rsidP="00813842">
      <w:pPr>
        <w:jc w:val="both"/>
        <w:rPr>
          <w:rFonts w:ascii="Arial" w:hAnsi="Arial" w:cs="Arial"/>
          <w:b/>
        </w:rPr>
      </w:pPr>
      <w:r w:rsidRPr="00C7508B">
        <w:rPr>
          <w:rFonts w:ascii="Arial" w:hAnsi="Arial" w:cs="Arial"/>
          <w:b/>
        </w:rPr>
        <w:t>Lead Executive Director:</w:t>
      </w:r>
      <w:r w:rsidRPr="00C7508B">
        <w:rPr>
          <w:rFonts w:ascii="Arial" w:hAnsi="Arial" w:cs="Arial"/>
          <w:b/>
        </w:rPr>
        <w:tab/>
      </w:r>
      <w:r w:rsidR="00C7508B" w:rsidRPr="00C7508B">
        <w:rPr>
          <w:rFonts w:ascii="Arial" w:hAnsi="Arial" w:cs="Arial"/>
          <w:b/>
        </w:rPr>
        <w:t>Ros Alstead, Director of Nursing &amp; Clinical Standards</w:t>
      </w:r>
    </w:p>
    <w:p w:rsidR="00C7508B" w:rsidRPr="00C7508B" w:rsidRDefault="00C7508B" w:rsidP="00813842">
      <w:pPr>
        <w:jc w:val="both"/>
        <w:rPr>
          <w:rFonts w:ascii="Arial" w:hAnsi="Arial" w:cs="Arial"/>
          <w:b/>
        </w:rPr>
      </w:pPr>
    </w:p>
    <w:p w:rsidR="00F00EB3" w:rsidRDefault="00F00EB3" w:rsidP="00813842">
      <w:pPr>
        <w:jc w:val="both"/>
        <w:rPr>
          <w:rFonts w:ascii="Arial" w:hAnsi="Arial" w:cs="Arial"/>
          <w:b/>
        </w:rPr>
      </w:pPr>
    </w:p>
    <w:p w:rsidR="00813842" w:rsidRPr="00C7508B" w:rsidRDefault="00813842" w:rsidP="00813842">
      <w:pPr>
        <w:jc w:val="both"/>
        <w:rPr>
          <w:rFonts w:ascii="Arial" w:hAnsi="Arial" w:cs="Arial"/>
          <w:b/>
        </w:rPr>
      </w:pPr>
    </w:p>
    <w:p w:rsidR="00C7508B" w:rsidRPr="00C7508B" w:rsidRDefault="00C7508B" w:rsidP="00813842">
      <w:pPr>
        <w:jc w:val="both"/>
        <w:rPr>
          <w:rFonts w:ascii="Arial" w:hAnsi="Arial" w:cs="Arial"/>
          <w:b/>
          <w:u w:val="single"/>
        </w:rPr>
      </w:pPr>
      <w:r w:rsidRPr="00C7508B">
        <w:rPr>
          <w:rFonts w:ascii="Arial" w:hAnsi="Arial" w:cs="Arial"/>
          <w:b/>
          <w:u w:val="single"/>
        </w:rPr>
        <w:t>Introduction</w:t>
      </w:r>
    </w:p>
    <w:p w:rsidR="00C7508B" w:rsidRPr="00C7508B" w:rsidRDefault="00C7508B" w:rsidP="00813842">
      <w:pPr>
        <w:jc w:val="both"/>
        <w:rPr>
          <w:rFonts w:ascii="Arial" w:hAnsi="Arial" w:cs="Arial"/>
        </w:rPr>
      </w:pPr>
    </w:p>
    <w:p w:rsidR="00C7508B" w:rsidRPr="00C7508B" w:rsidRDefault="00C7508B" w:rsidP="00813842">
      <w:pPr>
        <w:jc w:val="both"/>
        <w:rPr>
          <w:rFonts w:ascii="Arial" w:hAnsi="Arial" w:cs="Arial"/>
        </w:rPr>
      </w:pPr>
      <w:r w:rsidRPr="00C7508B">
        <w:rPr>
          <w:rFonts w:ascii="Arial" w:hAnsi="Arial" w:cs="Arial"/>
        </w:rPr>
        <w:t xml:space="preserve">The Report gives information on the total number of incidents, Serious Incidents Requiring Investigation (SIRIs) and high level trends that have occurred over the last 4 quarters. </w:t>
      </w:r>
    </w:p>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b/>
          <w:noProof/>
          <w:u w:val="single"/>
        </w:rPr>
      </w:pPr>
      <w:r w:rsidRPr="00C7508B">
        <w:rPr>
          <w:rFonts w:ascii="Arial" w:hAnsi="Arial" w:cs="Arial"/>
          <w:b/>
          <w:noProof/>
          <w:u w:val="single"/>
        </w:rPr>
        <w:t>Total Number of Incidents by Quarter</w:t>
      </w:r>
    </w:p>
    <w:p w:rsidR="00C7508B" w:rsidRPr="00C7508B" w:rsidRDefault="00C7508B" w:rsidP="00813842">
      <w:pPr>
        <w:jc w:val="both"/>
        <w:rPr>
          <w:rFonts w:ascii="Arial" w:hAnsi="Arial" w:cs="Arial"/>
          <w:noProof/>
        </w:rPr>
      </w:pPr>
    </w:p>
    <w:tbl>
      <w:tblPr>
        <w:tblW w:w="4960"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40"/>
        <w:gridCol w:w="1240"/>
        <w:gridCol w:w="1240"/>
      </w:tblGrid>
      <w:tr w:rsidR="00C7508B" w:rsidRPr="00C7508B" w:rsidTr="00813842">
        <w:trPr>
          <w:trHeight w:val="300"/>
          <w:jc w:val="center"/>
        </w:trPr>
        <w:tc>
          <w:tcPr>
            <w:tcW w:w="1240" w:type="dxa"/>
            <w:shd w:val="clear" w:color="auto" w:fill="D9D9D9"/>
            <w:noWrap/>
            <w:vAlign w:val="bottom"/>
            <w:hideMark/>
          </w:tcPr>
          <w:p w:rsidR="00C7508B" w:rsidRPr="00C7508B" w:rsidRDefault="00C7508B" w:rsidP="00813842">
            <w:pPr>
              <w:jc w:val="center"/>
              <w:rPr>
                <w:rFonts w:ascii="Arial" w:hAnsi="Arial" w:cs="Arial"/>
                <w:b/>
                <w:bCs/>
                <w:color w:val="000000"/>
              </w:rPr>
            </w:pPr>
            <w:r w:rsidRPr="00C7508B">
              <w:rPr>
                <w:rFonts w:ascii="Arial" w:hAnsi="Arial" w:cs="Arial"/>
                <w:b/>
                <w:bCs/>
                <w:color w:val="000000"/>
              </w:rPr>
              <w:t>Q4 2010/11</w:t>
            </w:r>
          </w:p>
        </w:tc>
        <w:tc>
          <w:tcPr>
            <w:tcW w:w="1240" w:type="dxa"/>
            <w:shd w:val="clear" w:color="auto" w:fill="D9D9D9"/>
            <w:noWrap/>
            <w:vAlign w:val="bottom"/>
            <w:hideMark/>
          </w:tcPr>
          <w:p w:rsidR="00C7508B" w:rsidRPr="00C7508B" w:rsidRDefault="00C7508B" w:rsidP="00813842">
            <w:pPr>
              <w:jc w:val="center"/>
              <w:rPr>
                <w:rFonts w:ascii="Arial" w:hAnsi="Arial" w:cs="Arial"/>
                <w:b/>
                <w:bCs/>
                <w:color w:val="000000"/>
              </w:rPr>
            </w:pPr>
            <w:r w:rsidRPr="00C7508B">
              <w:rPr>
                <w:rFonts w:ascii="Arial" w:hAnsi="Arial" w:cs="Arial"/>
                <w:b/>
                <w:bCs/>
                <w:color w:val="000000"/>
              </w:rPr>
              <w:t>Q1 2011/12</w:t>
            </w:r>
          </w:p>
        </w:tc>
        <w:tc>
          <w:tcPr>
            <w:tcW w:w="1240" w:type="dxa"/>
            <w:shd w:val="clear" w:color="auto" w:fill="D9D9D9"/>
            <w:noWrap/>
            <w:vAlign w:val="bottom"/>
            <w:hideMark/>
          </w:tcPr>
          <w:p w:rsidR="00C7508B" w:rsidRPr="00C7508B" w:rsidRDefault="00C7508B" w:rsidP="00813842">
            <w:pPr>
              <w:jc w:val="center"/>
              <w:rPr>
                <w:rFonts w:ascii="Arial" w:hAnsi="Arial" w:cs="Arial"/>
                <w:b/>
                <w:bCs/>
                <w:color w:val="000000"/>
              </w:rPr>
            </w:pPr>
            <w:r w:rsidRPr="00C7508B">
              <w:rPr>
                <w:rFonts w:ascii="Arial" w:hAnsi="Arial" w:cs="Arial"/>
                <w:b/>
                <w:bCs/>
                <w:color w:val="000000"/>
              </w:rPr>
              <w:t>Q2 2011/12</w:t>
            </w:r>
          </w:p>
        </w:tc>
        <w:tc>
          <w:tcPr>
            <w:tcW w:w="1240" w:type="dxa"/>
            <w:shd w:val="clear" w:color="auto" w:fill="D9D9D9"/>
            <w:vAlign w:val="bottom"/>
          </w:tcPr>
          <w:p w:rsidR="00C7508B" w:rsidRPr="00C7508B" w:rsidRDefault="00C7508B" w:rsidP="00813842">
            <w:pPr>
              <w:jc w:val="center"/>
              <w:rPr>
                <w:rFonts w:ascii="Arial" w:hAnsi="Arial" w:cs="Arial"/>
                <w:b/>
                <w:bCs/>
                <w:color w:val="000000"/>
              </w:rPr>
            </w:pPr>
            <w:r w:rsidRPr="00C7508B">
              <w:rPr>
                <w:rFonts w:ascii="Arial" w:hAnsi="Arial" w:cs="Arial"/>
                <w:b/>
                <w:bCs/>
                <w:color w:val="000000"/>
              </w:rPr>
              <w:t>Q3 2011/12</w:t>
            </w:r>
          </w:p>
        </w:tc>
      </w:tr>
      <w:tr w:rsidR="00C7508B" w:rsidRPr="00C7508B" w:rsidTr="00E71713">
        <w:trPr>
          <w:trHeight w:val="300"/>
          <w:jc w:val="center"/>
        </w:trPr>
        <w:tc>
          <w:tcPr>
            <w:tcW w:w="1240" w:type="dxa"/>
            <w:shd w:val="clear" w:color="auto" w:fill="auto"/>
            <w:noWrap/>
            <w:vAlign w:val="bottom"/>
            <w:hideMark/>
          </w:tcPr>
          <w:p w:rsidR="00C7508B" w:rsidRPr="00C7508B" w:rsidRDefault="00C7508B" w:rsidP="00813842">
            <w:pPr>
              <w:jc w:val="center"/>
              <w:rPr>
                <w:rFonts w:ascii="Arial" w:hAnsi="Arial" w:cs="Arial"/>
                <w:color w:val="000000"/>
              </w:rPr>
            </w:pPr>
            <w:r w:rsidRPr="00C7508B">
              <w:rPr>
                <w:rFonts w:ascii="Arial" w:hAnsi="Arial" w:cs="Arial"/>
              </w:rPr>
              <w:t>1542</w:t>
            </w:r>
          </w:p>
        </w:tc>
        <w:tc>
          <w:tcPr>
            <w:tcW w:w="1240" w:type="dxa"/>
            <w:shd w:val="clear" w:color="auto" w:fill="auto"/>
            <w:noWrap/>
            <w:vAlign w:val="bottom"/>
            <w:hideMark/>
          </w:tcPr>
          <w:p w:rsidR="00C7508B" w:rsidRPr="00C7508B" w:rsidRDefault="00C7508B" w:rsidP="00813842">
            <w:pPr>
              <w:jc w:val="center"/>
              <w:rPr>
                <w:rFonts w:ascii="Arial" w:hAnsi="Arial" w:cs="Arial"/>
                <w:color w:val="000000"/>
              </w:rPr>
            </w:pPr>
            <w:r w:rsidRPr="00C7508B">
              <w:rPr>
                <w:rFonts w:ascii="Arial" w:hAnsi="Arial" w:cs="Arial"/>
              </w:rPr>
              <w:t>1620</w:t>
            </w:r>
          </w:p>
        </w:tc>
        <w:tc>
          <w:tcPr>
            <w:tcW w:w="1240" w:type="dxa"/>
            <w:shd w:val="clear" w:color="auto" w:fill="auto"/>
            <w:noWrap/>
            <w:vAlign w:val="bottom"/>
            <w:hideMark/>
          </w:tcPr>
          <w:p w:rsidR="00C7508B" w:rsidRPr="00C7508B" w:rsidRDefault="00C7508B" w:rsidP="00813842">
            <w:pPr>
              <w:jc w:val="center"/>
              <w:rPr>
                <w:rFonts w:ascii="Arial" w:hAnsi="Arial" w:cs="Arial"/>
                <w:color w:val="000000"/>
              </w:rPr>
            </w:pPr>
            <w:r w:rsidRPr="00C7508B">
              <w:rPr>
                <w:rFonts w:ascii="Arial" w:hAnsi="Arial" w:cs="Arial"/>
                <w:color w:val="000000"/>
              </w:rPr>
              <w:t>1481</w:t>
            </w:r>
          </w:p>
        </w:tc>
        <w:tc>
          <w:tcPr>
            <w:tcW w:w="1240" w:type="dxa"/>
          </w:tcPr>
          <w:p w:rsidR="00C7508B" w:rsidRPr="00C7508B" w:rsidRDefault="00C7508B" w:rsidP="00813842">
            <w:pPr>
              <w:jc w:val="center"/>
              <w:rPr>
                <w:rFonts w:ascii="Arial" w:hAnsi="Arial" w:cs="Arial"/>
              </w:rPr>
            </w:pPr>
          </w:p>
          <w:p w:rsidR="00C7508B" w:rsidRPr="00C7508B" w:rsidRDefault="00C7508B" w:rsidP="00813842">
            <w:pPr>
              <w:jc w:val="center"/>
              <w:rPr>
                <w:rFonts w:ascii="Arial" w:hAnsi="Arial" w:cs="Arial"/>
                <w:color w:val="000000"/>
              </w:rPr>
            </w:pPr>
            <w:r w:rsidRPr="00C7508B">
              <w:rPr>
                <w:rFonts w:ascii="Arial" w:hAnsi="Arial" w:cs="Arial"/>
              </w:rPr>
              <w:t>2072</w:t>
            </w:r>
          </w:p>
        </w:tc>
      </w:tr>
    </w:tbl>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b/>
          <w:u w:val="single"/>
        </w:rPr>
      </w:pPr>
      <w:r w:rsidRPr="00C7508B">
        <w:rPr>
          <w:rFonts w:ascii="Arial" w:hAnsi="Arial" w:cs="Arial"/>
          <w:b/>
          <w:u w:val="single"/>
        </w:rPr>
        <w:t xml:space="preserve">Incidents by Risk Rating for the last 4 quarters </w:t>
      </w:r>
    </w:p>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rPr>
      </w:pPr>
      <w:r w:rsidRPr="00C7508B">
        <w:rPr>
          <w:rFonts w:ascii="Arial" w:hAnsi="Arial" w:cs="Arial"/>
        </w:rPr>
        <w:t>The number of incidents initially graded as red by staff completing incident forms has gradually risen over the last year. This reflects</w:t>
      </w:r>
      <w:r w:rsidR="00F00EB3">
        <w:rPr>
          <w:rFonts w:ascii="Arial" w:hAnsi="Arial" w:cs="Arial"/>
        </w:rPr>
        <w:t xml:space="preserve"> training in the use of the Risk Matrix. </w:t>
      </w:r>
      <w:r w:rsidRPr="00C7508B">
        <w:rPr>
          <w:rFonts w:ascii="Arial" w:hAnsi="Arial" w:cs="Arial"/>
        </w:rPr>
        <w:t xml:space="preserve">The recent </w:t>
      </w:r>
      <w:r w:rsidR="00F00EB3">
        <w:rPr>
          <w:rFonts w:ascii="Arial" w:hAnsi="Arial" w:cs="Arial"/>
        </w:rPr>
        <w:t>increase</w:t>
      </w:r>
      <w:r w:rsidRPr="00C7508B">
        <w:rPr>
          <w:rFonts w:ascii="Arial" w:hAnsi="Arial" w:cs="Arial"/>
        </w:rPr>
        <w:t xml:space="preserve"> in overall numbers however is due to a large increase in green rated incidents (see chart below).</w:t>
      </w:r>
    </w:p>
    <w:p w:rsidR="00C7508B" w:rsidRDefault="00214FDC" w:rsidP="00813842">
      <w:pPr>
        <w:jc w:val="center"/>
        <w:rPr>
          <w:rFonts w:ascii="Arial" w:hAnsi="Arial" w:cs="Arial"/>
          <w:noProof/>
        </w:rPr>
      </w:pPr>
      <w:r w:rsidRPr="00214FDC">
        <w:rPr>
          <w:rFonts w:ascii="Arial" w:hAnsi="Arial" w:cs="Arial"/>
          <w:noProof/>
          <w:lang w:val="en-GB" w:eastAsia="en-GB"/>
        </w:rPr>
        <w:pict>
          <v:shape id="_x0000_i1026" type="#_x0000_t75" style="width:432.75pt;height:225pt;visibility:visible">
            <v:imagedata r:id="rId9" o:title="" croptop="20845f" cropbottom="8686f" cropleft="4266f" cropright="7229f"/>
          </v:shape>
        </w:pict>
      </w:r>
    </w:p>
    <w:p w:rsidR="00DA71B3" w:rsidRPr="00C7508B" w:rsidRDefault="00DA71B3" w:rsidP="00813842">
      <w:pPr>
        <w:jc w:val="center"/>
        <w:rPr>
          <w:rFonts w:ascii="Arial" w:hAnsi="Arial" w:cs="Arial"/>
          <w:noProof/>
        </w:rPr>
      </w:pPr>
    </w:p>
    <w:p w:rsidR="00C7508B" w:rsidRPr="00C7508B" w:rsidRDefault="00C7508B" w:rsidP="00813842">
      <w:pPr>
        <w:jc w:val="both"/>
        <w:rPr>
          <w:rFonts w:ascii="Arial" w:hAnsi="Arial" w:cs="Arial"/>
          <w:b/>
          <w:color w:val="FF0000"/>
          <w:u w:val="single"/>
        </w:rPr>
      </w:pPr>
      <w:r w:rsidRPr="00C7508B">
        <w:rPr>
          <w:rFonts w:ascii="Arial" w:hAnsi="Arial" w:cs="Arial"/>
          <w:b/>
          <w:u w:val="single"/>
        </w:rPr>
        <w:t>Progress against LIPS targets</w:t>
      </w:r>
    </w:p>
    <w:p w:rsidR="00C7508B" w:rsidRPr="00C7508B" w:rsidRDefault="00C7508B" w:rsidP="00813842">
      <w:pPr>
        <w:jc w:val="both"/>
        <w:rPr>
          <w:rFonts w:ascii="Arial" w:hAnsi="Arial" w:cs="Arial"/>
          <w:b/>
        </w:rPr>
      </w:pPr>
    </w:p>
    <w:p w:rsidR="00C7508B" w:rsidRDefault="00C7508B" w:rsidP="00813842">
      <w:pPr>
        <w:jc w:val="both"/>
        <w:rPr>
          <w:rFonts w:ascii="Arial" w:hAnsi="Arial" w:cs="Arial"/>
        </w:rPr>
      </w:pPr>
      <w:r w:rsidRPr="00C7508B">
        <w:rPr>
          <w:rFonts w:ascii="Arial" w:hAnsi="Arial" w:cs="Arial"/>
        </w:rPr>
        <w:t xml:space="preserve">In 2009, we set a target of </w:t>
      </w:r>
      <w:r w:rsidR="002E3CA4">
        <w:rPr>
          <w:rFonts w:ascii="Arial" w:hAnsi="Arial" w:cs="Arial"/>
        </w:rPr>
        <w:t>an increase of 50% in</w:t>
      </w:r>
      <w:r w:rsidRPr="00C7508B">
        <w:rPr>
          <w:rFonts w:ascii="Arial" w:hAnsi="Arial" w:cs="Arial"/>
        </w:rPr>
        <w:t xml:space="preserve"> the number of less serious (green and yellow) incident</w:t>
      </w:r>
      <w:r w:rsidR="002E3CA4">
        <w:rPr>
          <w:rFonts w:ascii="Arial" w:hAnsi="Arial" w:cs="Arial"/>
        </w:rPr>
        <w:t>s we reported by March</w:t>
      </w:r>
      <w:r w:rsidRPr="00C7508B">
        <w:rPr>
          <w:rFonts w:ascii="Arial" w:hAnsi="Arial" w:cs="Arial"/>
        </w:rPr>
        <w:t xml:space="preserve"> 2012. It is expected that a Trust with a good safety culture will report high levels of low level incidents and work to learn from incidents and reduce the number of serious incidents. The table below shows the figures for green and yellow reported incidents from 2009 to date.</w:t>
      </w:r>
    </w:p>
    <w:p w:rsidR="002E3CA4" w:rsidRPr="00C7508B" w:rsidRDefault="002E3CA4" w:rsidP="00813842">
      <w:pPr>
        <w:jc w:val="both"/>
        <w:rPr>
          <w:rFonts w:ascii="Arial" w:hAnsi="Arial" w:cs="Arial"/>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494"/>
      </w:tblGrid>
      <w:tr w:rsidR="00C7508B" w:rsidRPr="00C7508B" w:rsidTr="00214FDC">
        <w:trPr>
          <w:jc w:val="center"/>
        </w:trPr>
        <w:tc>
          <w:tcPr>
            <w:tcW w:w="4774" w:type="dxa"/>
            <w:shd w:val="clear" w:color="auto" w:fill="D9D9D9"/>
          </w:tcPr>
          <w:p w:rsidR="00C7508B" w:rsidRPr="00C7508B" w:rsidRDefault="00C7508B" w:rsidP="00813842">
            <w:pPr>
              <w:jc w:val="center"/>
              <w:rPr>
                <w:rFonts w:ascii="Arial" w:hAnsi="Arial" w:cs="Arial"/>
                <w:b/>
              </w:rPr>
            </w:pPr>
            <w:r w:rsidRPr="00C7508B">
              <w:rPr>
                <w:rFonts w:ascii="Arial" w:hAnsi="Arial" w:cs="Arial"/>
                <w:b/>
              </w:rPr>
              <w:lastRenderedPageBreak/>
              <w:t>Year</w:t>
            </w:r>
          </w:p>
        </w:tc>
        <w:tc>
          <w:tcPr>
            <w:tcW w:w="4494" w:type="dxa"/>
            <w:shd w:val="clear" w:color="auto" w:fill="D9D9D9"/>
          </w:tcPr>
          <w:p w:rsidR="00C7508B" w:rsidRPr="00C7508B" w:rsidRDefault="00C7508B" w:rsidP="00813842">
            <w:pPr>
              <w:jc w:val="center"/>
              <w:rPr>
                <w:rFonts w:ascii="Arial" w:hAnsi="Arial" w:cs="Arial"/>
                <w:b/>
              </w:rPr>
            </w:pPr>
            <w:r w:rsidRPr="00C7508B">
              <w:rPr>
                <w:rFonts w:ascii="Arial" w:hAnsi="Arial" w:cs="Arial"/>
                <w:b/>
              </w:rPr>
              <w:t>Total (Mental Health and CHO combined)</w:t>
            </w:r>
          </w:p>
        </w:tc>
      </w:tr>
      <w:tr w:rsidR="00C7508B" w:rsidRPr="00C7508B" w:rsidTr="00214FDC">
        <w:trPr>
          <w:jc w:val="center"/>
        </w:trPr>
        <w:tc>
          <w:tcPr>
            <w:tcW w:w="4774" w:type="dxa"/>
          </w:tcPr>
          <w:p w:rsidR="00C7508B" w:rsidRPr="00C7508B" w:rsidRDefault="00C7508B" w:rsidP="00813842">
            <w:pPr>
              <w:jc w:val="center"/>
              <w:rPr>
                <w:rFonts w:ascii="Arial" w:hAnsi="Arial" w:cs="Arial"/>
                <w:b/>
              </w:rPr>
            </w:pPr>
            <w:r w:rsidRPr="00C7508B">
              <w:rPr>
                <w:rFonts w:ascii="Arial" w:hAnsi="Arial" w:cs="Arial"/>
                <w:b/>
              </w:rPr>
              <w:t>2009/2010</w:t>
            </w:r>
          </w:p>
        </w:tc>
        <w:tc>
          <w:tcPr>
            <w:tcW w:w="4494" w:type="dxa"/>
          </w:tcPr>
          <w:p w:rsidR="00C7508B" w:rsidRPr="00C7508B" w:rsidRDefault="00C7508B" w:rsidP="00813842">
            <w:pPr>
              <w:jc w:val="center"/>
              <w:rPr>
                <w:rFonts w:ascii="Arial" w:hAnsi="Arial" w:cs="Arial"/>
                <w:b/>
              </w:rPr>
            </w:pPr>
            <w:r w:rsidRPr="00C7508B">
              <w:rPr>
                <w:rFonts w:ascii="Arial" w:hAnsi="Arial" w:cs="Arial"/>
                <w:b/>
              </w:rPr>
              <w:t>5981</w:t>
            </w:r>
          </w:p>
        </w:tc>
      </w:tr>
      <w:tr w:rsidR="00C7508B" w:rsidRPr="00C7508B" w:rsidTr="00214FDC">
        <w:trPr>
          <w:jc w:val="center"/>
        </w:trPr>
        <w:tc>
          <w:tcPr>
            <w:tcW w:w="4774" w:type="dxa"/>
          </w:tcPr>
          <w:p w:rsidR="00C7508B" w:rsidRPr="00C7508B" w:rsidRDefault="00C7508B" w:rsidP="00813842">
            <w:pPr>
              <w:jc w:val="center"/>
              <w:rPr>
                <w:rFonts w:ascii="Arial" w:hAnsi="Arial" w:cs="Arial"/>
                <w:b/>
              </w:rPr>
            </w:pPr>
            <w:r w:rsidRPr="00C7508B">
              <w:rPr>
                <w:rFonts w:ascii="Arial" w:hAnsi="Arial" w:cs="Arial"/>
                <w:b/>
              </w:rPr>
              <w:t>2010/2011</w:t>
            </w:r>
          </w:p>
        </w:tc>
        <w:tc>
          <w:tcPr>
            <w:tcW w:w="4494" w:type="dxa"/>
          </w:tcPr>
          <w:p w:rsidR="00C7508B" w:rsidRPr="00C7508B" w:rsidRDefault="00C7508B" w:rsidP="00813842">
            <w:pPr>
              <w:jc w:val="center"/>
              <w:rPr>
                <w:rFonts w:ascii="Arial" w:hAnsi="Arial" w:cs="Arial"/>
                <w:b/>
              </w:rPr>
            </w:pPr>
            <w:r w:rsidRPr="00C7508B">
              <w:rPr>
                <w:rFonts w:ascii="Arial" w:hAnsi="Arial" w:cs="Arial"/>
                <w:b/>
              </w:rPr>
              <w:t>6230</w:t>
            </w:r>
          </w:p>
        </w:tc>
      </w:tr>
      <w:tr w:rsidR="00C7508B" w:rsidRPr="00C7508B" w:rsidTr="00214FDC">
        <w:trPr>
          <w:jc w:val="center"/>
        </w:trPr>
        <w:tc>
          <w:tcPr>
            <w:tcW w:w="4774" w:type="dxa"/>
          </w:tcPr>
          <w:p w:rsidR="00C7508B" w:rsidRPr="00C7508B" w:rsidRDefault="00C7508B" w:rsidP="00813842">
            <w:pPr>
              <w:jc w:val="center"/>
              <w:rPr>
                <w:rFonts w:ascii="Arial" w:hAnsi="Arial" w:cs="Arial"/>
                <w:b/>
              </w:rPr>
            </w:pPr>
            <w:r w:rsidRPr="00C7508B">
              <w:rPr>
                <w:rFonts w:ascii="Arial" w:hAnsi="Arial" w:cs="Arial"/>
                <w:b/>
              </w:rPr>
              <w:t>2011/2012</w:t>
            </w:r>
          </w:p>
        </w:tc>
        <w:tc>
          <w:tcPr>
            <w:tcW w:w="4494" w:type="dxa"/>
          </w:tcPr>
          <w:p w:rsidR="00C7508B" w:rsidRPr="00C7508B" w:rsidRDefault="00C7508B" w:rsidP="00813842">
            <w:pPr>
              <w:jc w:val="center"/>
              <w:rPr>
                <w:rFonts w:ascii="Arial" w:hAnsi="Arial" w:cs="Arial"/>
                <w:b/>
              </w:rPr>
            </w:pPr>
            <w:r w:rsidRPr="00C7508B">
              <w:rPr>
                <w:rFonts w:ascii="Arial" w:hAnsi="Arial" w:cs="Arial"/>
                <w:b/>
              </w:rPr>
              <w:t>4704</w:t>
            </w:r>
          </w:p>
        </w:tc>
      </w:tr>
      <w:tr w:rsidR="00C7508B" w:rsidRPr="00C7508B" w:rsidTr="00214FDC">
        <w:trPr>
          <w:jc w:val="center"/>
        </w:trPr>
        <w:tc>
          <w:tcPr>
            <w:tcW w:w="4774" w:type="dxa"/>
          </w:tcPr>
          <w:p w:rsidR="00C7508B" w:rsidRPr="00C7508B" w:rsidRDefault="00C7508B" w:rsidP="00813842">
            <w:pPr>
              <w:jc w:val="center"/>
              <w:rPr>
                <w:rFonts w:ascii="Arial" w:hAnsi="Arial" w:cs="Arial"/>
                <w:b/>
              </w:rPr>
            </w:pPr>
            <w:r w:rsidRPr="00C7508B">
              <w:rPr>
                <w:rFonts w:ascii="Arial" w:hAnsi="Arial" w:cs="Arial"/>
                <w:b/>
              </w:rPr>
              <w:t>2011/2012 Projection</w:t>
            </w:r>
          </w:p>
        </w:tc>
        <w:tc>
          <w:tcPr>
            <w:tcW w:w="4494" w:type="dxa"/>
          </w:tcPr>
          <w:p w:rsidR="00C7508B" w:rsidRPr="00C7508B" w:rsidRDefault="00C7508B" w:rsidP="00813842">
            <w:pPr>
              <w:jc w:val="center"/>
              <w:rPr>
                <w:rFonts w:ascii="Arial" w:hAnsi="Arial" w:cs="Arial"/>
                <w:b/>
              </w:rPr>
            </w:pPr>
            <w:r w:rsidRPr="00C7508B">
              <w:rPr>
                <w:rFonts w:ascii="Arial" w:hAnsi="Arial" w:cs="Arial"/>
                <w:b/>
              </w:rPr>
              <w:t>6776</w:t>
            </w:r>
          </w:p>
        </w:tc>
      </w:tr>
      <w:tr w:rsidR="00C7508B" w:rsidRPr="00C7508B" w:rsidTr="00214FDC">
        <w:trPr>
          <w:jc w:val="center"/>
        </w:trPr>
        <w:tc>
          <w:tcPr>
            <w:tcW w:w="4774" w:type="dxa"/>
          </w:tcPr>
          <w:p w:rsidR="00C7508B" w:rsidRPr="00C7508B" w:rsidRDefault="00C7508B" w:rsidP="00813842">
            <w:pPr>
              <w:jc w:val="center"/>
              <w:rPr>
                <w:rFonts w:ascii="Arial" w:hAnsi="Arial" w:cs="Arial"/>
                <w:b/>
              </w:rPr>
            </w:pPr>
            <w:r w:rsidRPr="00C7508B">
              <w:rPr>
                <w:rFonts w:ascii="Arial" w:hAnsi="Arial" w:cs="Arial"/>
                <w:b/>
              </w:rPr>
              <w:t>Target by March 2012 (increase of 50% on 2009 figure)</w:t>
            </w:r>
          </w:p>
        </w:tc>
        <w:tc>
          <w:tcPr>
            <w:tcW w:w="4494" w:type="dxa"/>
          </w:tcPr>
          <w:p w:rsidR="00C7508B" w:rsidRPr="00C7508B" w:rsidRDefault="00C7508B" w:rsidP="00813842">
            <w:pPr>
              <w:jc w:val="center"/>
              <w:rPr>
                <w:rFonts w:ascii="Arial" w:hAnsi="Arial" w:cs="Arial"/>
                <w:b/>
              </w:rPr>
            </w:pPr>
            <w:r w:rsidRPr="00C7508B">
              <w:rPr>
                <w:rFonts w:ascii="Arial" w:hAnsi="Arial" w:cs="Arial"/>
                <w:b/>
              </w:rPr>
              <w:t>8972</w:t>
            </w:r>
          </w:p>
        </w:tc>
      </w:tr>
    </w:tbl>
    <w:p w:rsidR="00C7508B" w:rsidRPr="00C7508B" w:rsidRDefault="00C7508B" w:rsidP="00813842">
      <w:pPr>
        <w:jc w:val="both"/>
        <w:rPr>
          <w:rFonts w:ascii="Arial" w:hAnsi="Arial" w:cs="Arial"/>
          <w:b/>
          <w:color w:val="FF0000"/>
        </w:rPr>
      </w:pPr>
    </w:p>
    <w:p w:rsidR="00C7508B" w:rsidRPr="00C7508B" w:rsidRDefault="00C7508B" w:rsidP="00813842">
      <w:pPr>
        <w:jc w:val="both"/>
        <w:rPr>
          <w:rFonts w:ascii="Arial" w:hAnsi="Arial" w:cs="Arial"/>
        </w:rPr>
      </w:pPr>
      <w:r w:rsidRPr="00C7508B">
        <w:rPr>
          <w:rFonts w:ascii="Arial" w:hAnsi="Arial" w:cs="Arial"/>
        </w:rPr>
        <w:t xml:space="preserve">The Trust is considerably short of hitting this target. It was expected that the widespread training programme that was delivered as part of introducing a new version of Safeguard across the new organisation would assist in encouraging reporting.  The number of reported incidents has increased considerably in quarter 3 – a rise of 40% on quarter two. As over 4,000 incidents would need to be reported in the next quarter to reach the target it is highly unlikely that </w:t>
      </w:r>
      <w:r w:rsidR="002E3CA4">
        <w:rPr>
          <w:rFonts w:ascii="Arial" w:hAnsi="Arial" w:cs="Arial"/>
        </w:rPr>
        <w:t>it</w:t>
      </w:r>
      <w:r w:rsidRPr="00C7508B">
        <w:rPr>
          <w:rFonts w:ascii="Arial" w:hAnsi="Arial" w:cs="Arial"/>
        </w:rPr>
        <w:t xml:space="preserve"> will be met. The last quarter rise is encouraging, but is not yet a trend. </w:t>
      </w:r>
    </w:p>
    <w:p w:rsidR="002E3CA4" w:rsidRDefault="002E3CA4" w:rsidP="00813842">
      <w:pPr>
        <w:jc w:val="both"/>
        <w:rPr>
          <w:rFonts w:ascii="Arial" w:hAnsi="Arial" w:cs="Arial"/>
          <w:color w:val="FF0000"/>
        </w:rPr>
      </w:pPr>
    </w:p>
    <w:p w:rsidR="00C7508B" w:rsidRPr="00C7508B" w:rsidRDefault="00C7508B" w:rsidP="00813842">
      <w:pPr>
        <w:jc w:val="both"/>
        <w:rPr>
          <w:rFonts w:ascii="Arial" w:hAnsi="Arial" w:cs="Arial"/>
          <w:b/>
          <w:color w:val="FF0000"/>
          <w:u w:val="single"/>
        </w:rPr>
      </w:pPr>
      <w:r w:rsidRPr="00C7508B">
        <w:rPr>
          <w:rFonts w:ascii="Arial" w:hAnsi="Arial" w:cs="Arial"/>
          <w:b/>
          <w:u w:val="single"/>
        </w:rPr>
        <w:t>Top 6 Categories of Incidents by Month over the last 4 quarters</w:t>
      </w:r>
    </w:p>
    <w:p w:rsidR="00C7508B" w:rsidRPr="00C7508B" w:rsidRDefault="00C7508B" w:rsidP="00813842">
      <w:pPr>
        <w:jc w:val="both"/>
        <w:rPr>
          <w:rFonts w:ascii="Arial" w:hAnsi="Arial" w:cs="Arial"/>
          <w:b/>
        </w:rPr>
      </w:pPr>
    </w:p>
    <w:p w:rsidR="00C7508B" w:rsidRDefault="00C7508B" w:rsidP="00813842">
      <w:pPr>
        <w:jc w:val="both"/>
        <w:rPr>
          <w:rFonts w:ascii="Arial" w:hAnsi="Arial" w:cs="Arial"/>
        </w:rPr>
      </w:pPr>
      <w:r w:rsidRPr="00C7508B">
        <w:rPr>
          <w:rFonts w:ascii="Arial" w:hAnsi="Arial" w:cs="Arial"/>
        </w:rPr>
        <w:t xml:space="preserve">The chart below shows reporting numbers for the main categories of incident over the last 15 months. The types of incident broadly show random variation over the months. Self harm has dropped in the last two months but in a way consistent with previous months’ erratic levels of reporting. The </w:t>
      </w:r>
      <w:r w:rsidR="002E3CA4" w:rsidRPr="00C7508B">
        <w:rPr>
          <w:rFonts w:ascii="Arial" w:hAnsi="Arial" w:cs="Arial"/>
        </w:rPr>
        <w:t xml:space="preserve">numbers of </w:t>
      </w:r>
      <w:r w:rsidR="00F00EB3">
        <w:rPr>
          <w:rFonts w:ascii="Arial" w:hAnsi="Arial" w:cs="Arial"/>
        </w:rPr>
        <w:t>Absent without Leave (</w:t>
      </w:r>
      <w:r w:rsidR="002E3CA4" w:rsidRPr="00C7508B">
        <w:rPr>
          <w:rFonts w:ascii="Arial" w:hAnsi="Arial" w:cs="Arial"/>
        </w:rPr>
        <w:t>AWOLs</w:t>
      </w:r>
      <w:r w:rsidR="00F00EB3">
        <w:rPr>
          <w:rFonts w:ascii="Arial" w:hAnsi="Arial" w:cs="Arial"/>
        </w:rPr>
        <w:t>)</w:t>
      </w:r>
      <w:r w:rsidR="002E3CA4" w:rsidRPr="00C7508B">
        <w:rPr>
          <w:rFonts w:ascii="Arial" w:hAnsi="Arial" w:cs="Arial"/>
        </w:rPr>
        <w:t xml:space="preserve"> have</w:t>
      </w:r>
      <w:r w:rsidRPr="00C7508B">
        <w:rPr>
          <w:rFonts w:ascii="Arial" w:hAnsi="Arial" w:cs="Arial"/>
        </w:rPr>
        <w:t xml:space="preserve"> dropped in the last two months, hopefully reflecting an improvement in physical security on acute wards. However, the top 3 reporters of </w:t>
      </w:r>
      <w:r w:rsidR="002E3CA4">
        <w:rPr>
          <w:rFonts w:ascii="Arial" w:hAnsi="Arial" w:cs="Arial"/>
        </w:rPr>
        <w:t>AWOL</w:t>
      </w:r>
      <w:r w:rsidRPr="00C7508B">
        <w:rPr>
          <w:rFonts w:ascii="Arial" w:hAnsi="Arial" w:cs="Arial"/>
        </w:rPr>
        <w:t>s ha</w:t>
      </w:r>
      <w:r w:rsidR="00F00EB3">
        <w:rPr>
          <w:rFonts w:ascii="Arial" w:hAnsi="Arial" w:cs="Arial"/>
        </w:rPr>
        <w:t>ve remained the same</w:t>
      </w:r>
      <w:r w:rsidRPr="00C7508B">
        <w:rPr>
          <w:rFonts w:ascii="Arial" w:hAnsi="Arial" w:cs="Arial"/>
        </w:rPr>
        <w:t>. The one apparent significant change is a rise in reported incidents of vio</w:t>
      </w:r>
      <w:r w:rsidR="002E3CA4">
        <w:rPr>
          <w:rFonts w:ascii="Arial" w:hAnsi="Arial" w:cs="Arial"/>
        </w:rPr>
        <w:t>lence in October and November</w:t>
      </w:r>
      <w:r w:rsidRPr="00C7508B">
        <w:rPr>
          <w:rFonts w:ascii="Arial" w:hAnsi="Arial" w:cs="Arial"/>
        </w:rPr>
        <w:t xml:space="preserve"> 2011.</w:t>
      </w:r>
    </w:p>
    <w:p w:rsidR="00F00EB3" w:rsidRPr="00C7508B" w:rsidRDefault="00F00EB3" w:rsidP="00813842">
      <w:pPr>
        <w:jc w:val="both"/>
        <w:rPr>
          <w:rFonts w:ascii="Arial" w:hAnsi="Arial" w:cs="Arial"/>
        </w:rPr>
      </w:pPr>
    </w:p>
    <w:p w:rsidR="00C7508B" w:rsidRPr="00C7508B" w:rsidRDefault="00214FDC" w:rsidP="00214FDC">
      <w:pPr>
        <w:jc w:val="center"/>
        <w:rPr>
          <w:rFonts w:ascii="Arial" w:hAnsi="Arial" w:cs="Arial"/>
          <w:b/>
        </w:rPr>
      </w:pPr>
      <w:r w:rsidRPr="00214FDC">
        <w:rPr>
          <w:rFonts w:ascii="Arial" w:hAnsi="Arial" w:cs="Arial"/>
          <w:noProof/>
          <w:lang w:val="en-GB" w:eastAsia="en-GB"/>
        </w:rPr>
        <w:pict>
          <v:shape id="Picture 2" o:spid="_x0000_i1027" type="#_x0000_t75" style="width:452.25pt;height:252pt;visibility:visible">
            <v:imagedata r:id="rId10" o:title="" croptop="11370f" cropbottom="6790f" cropleft="2844f" cropright="4385f"/>
          </v:shape>
        </w:pict>
      </w:r>
    </w:p>
    <w:p w:rsidR="00C7508B" w:rsidRPr="00C7508B" w:rsidRDefault="00C7508B" w:rsidP="00813842">
      <w:pPr>
        <w:jc w:val="both"/>
        <w:rPr>
          <w:rFonts w:ascii="Arial" w:hAnsi="Arial" w:cs="Arial"/>
          <w:b/>
          <w:u w:val="single"/>
        </w:rPr>
      </w:pPr>
      <w:r w:rsidRPr="00C7508B">
        <w:rPr>
          <w:rFonts w:ascii="Arial" w:hAnsi="Arial" w:cs="Arial"/>
          <w:b/>
          <w:u w:val="single"/>
        </w:rPr>
        <w:lastRenderedPageBreak/>
        <w:t>SIRIs</w:t>
      </w:r>
    </w:p>
    <w:p w:rsidR="00C7508B" w:rsidRPr="00C7508B" w:rsidRDefault="00C7508B" w:rsidP="00813842">
      <w:pPr>
        <w:jc w:val="both"/>
        <w:rPr>
          <w:rFonts w:ascii="Arial" w:hAnsi="Arial" w:cs="Arial"/>
          <w:b/>
          <w:u w:val="single"/>
        </w:rPr>
      </w:pPr>
    </w:p>
    <w:p w:rsidR="00C7508B" w:rsidRPr="00C7508B" w:rsidRDefault="002E3CA4" w:rsidP="00813842">
      <w:pPr>
        <w:jc w:val="both"/>
        <w:rPr>
          <w:rFonts w:ascii="Arial" w:hAnsi="Arial" w:cs="Arial"/>
          <w:b/>
          <w:color w:val="FF0000"/>
          <w:u w:val="single"/>
        </w:rPr>
      </w:pPr>
      <w:r>
        <w:rPr>
          <w:rFonts w:ascii="Arial" w:hAnsi="Arial" w:cs="Arial"/>
          <w:b/>
          <w:u w:val="single"/>
        </w:rPr>
        <w:t>Total n</w:t>
      </w:r>
      <w:r w:rsidR="00C7508B" w:rsidRPr="00C7508B">
        <w:rPr>
          <w:rFonts w:ascii="Arial" w:hAnsi="Arial" w:cs="Arial"/>
          <w:b/>
          <w:u w:val="single"/>
        </w:rPr>
        <w:t xml:space="preserve">umber of SIRIs by the last 4 quarters </w:t>
      </w:r>
    </w:p>
    <w:p w:rsidR="00C7508B" w:rsidRPr="00C7508B" w:rsidRDefault="00C7508B" w:rsidP="00813842">
      <w:pPr>
        <w:jc w:val="both"/>
        <w:rPr>
          <w:rFonts w:ascii="Arial" w:hAnsi="Arial" w:cs="Arial"/>
          <w:b/>
          <w:u w:val="single"/>
        </w:rPr>
      </w:pPr>
    </w:p>
    <w:p w:rsidR="00C7508B" w:rsidRPr="00C7508B" w:rsidRDefault="00C7508B" w:rsidP="00813842">
      <w:pPr>
        <w:jc w:val="both"/>
        <w:rPr>
          <w:rFonts w:ascii="Arial" w:hAnsi="Arial" w:cs="Arial"/>
        </w:rPr>
      </w:pPr>
      <w:r w:rsidRPr="00C7508B">
        <w:rPr>
          <w:rFonts w:ascii="Arial" w:hAnsi="Arial" w:cs="Arial"/>
        </w:rPr>
        <w:t>The table below shows the total number of red SIRIs by quar</w:t>
      </w:r>
      <w:r w:rsidR="002E3CA4">
        <w:rPr>
          <w:rFonts w:ascii="Arial" w:hAnsi="Arial" w:cs="Arial"/>
        </w:rPr>
        <w:t>ter. Part of the decrease from q</w:t>
      </w:r>
      <w:r w:rsidRPr="00C7508B">
        <w:rPr>
          <w:rFonts w:ascii="Arial" w:hAnsi="Arial" w:cs="Arial"/>
        </w:rPr>
        <w:t xml:space="preserve">uarter </w:t>
      </w:r>
      <w:r w:rsidR="002E3CA4">
        <w:rPr>
          <w:rFonts w:ascii="Arial" w:hAnsi="Arial" w:cs="Arial"/>
        </w:rPr>
        <w:t>2</w:t>
      </w:r>
      <w:r w:rsidRPr="00C7508B">
        <w:rPr>
          <w:rFonts w:ascii="Arial" w:hAnsi="Arial" w:cs="Arial"/>
        </w:rPr>
        <w:t xml:space="preserve"> onwards is because from June 2011, it was agreed (in the then CHO) to only progress </w:t>
      </w:r>
      <w:r w:rsidRPr="00C7508B">
        <w:rPr>
          <w:rFonts w:ascii="Arial" w:hAnsi="Arial" w:cs="Arial"/>
          <w:b/>
        </w:rPr>
        <w:t>avoidable</w:t>
      </w:r>
      <w:r w:rsidRPr="00C7508B">
        <w:rPr>
          <w:rFonts w:ascii="Arial" w:hAnsi="Arial" w:cs="Arial"/>
        </w:rPr>
        <w:t xml:space="preserve"> pressure ulcers as SIRIs. Grade 3 and 4 pressure ulcers are assessed against national criteria, with only the avoidable ulcers progressing through the SIRI process.</w:t>
      </w:r>
    </w:p>
    <w:p w:rsidR="00C7508B" w:rsidRPr="00C7508B" w:rsidRDefault="00C7508B" w:rsidP="00813842">
      <w:pPr>
        <w:jc w:val="both"/>
        <w:rPr>
          <w:rFonts w:ascii="Arial" w:hAnsi="Arial" w:cs="Arial"/>
          <w:b/>
          <w:u w:val="single"/>
        </w:rPr>
      </w:pPr>
    </w:p>
    <w:p w:rsidR="00C7508B" w:rsidRPr="00C7508B" w:rsidRDefault="00214FDC" w:rsidP="00214FDC">
      <w:pPr>
        <w:jc w:val="center"/>
        <w:rPr>
          <w:rFonts w:ascii="Arial" w:hAnsi="Arial" w:cs="Arial"/>
          <w:b/>
          <w:noProof/>
          <w:u w:val="single"/>
        </w:rPr>
      </w:pPr>
      <w:r w:rsidRPr="00214FDC">
        <w:rPr>
          <w:rFonts w:ascii="Arial" w:hAnsi="Arial" w:cs="Arial"/>
          <w:noProof/>
          <w:lang w:val="en-GB" w:eastAsia="en-GB"/>
        </w:rPr>
        <w:pict>
          <v:shape id="_x0000_i1028" type="#_x0000_t75" style="width:310.5pt;height:175.5pt;visibility:visible">
            <v:imagedata r:id="rId11" r:href="rId12"/>
          </v:shape>
        </w:pict>
      </w:r>
    </w:p>
    <w:p w:rsidR="00813842" w:rsidRDefault="00813842" w:rsidP="00813842">
      <w:pPr>
        <w:jc w:val="both"/>
        <w:rPr>
          <w:rFonts w:ascii="Arial" w:hAnsi="Arial" w:cs="Arial"/>
          <w:b/>
          <w:u w:val="single"/>
        </w:rPr>
      </w:pPr>
    </w:p>
    <w:p w:rsidR="00C7508B" w:rsidRPr="00C7508B" w:rsidRDefault="00C7508B" w:rsidP="00813842">
      <w:pPr>
        <w:jc w:val="both"/>
        <w:rPr>
          <w:rFonts w:ascii="Arial" w:hAnsi="Arial" w:cs="Arial"/>
          <w:b/>
          <w:color w:val="FF0000"/>
          <w:u w:val="single"/>
        </w:rPr>
      </w:pPr>
      <w:r w:rsidRPr="00C7508B">
        <w:rPr>
          <w:rFonts w:ascii="Arial" w:hAnsi="Arial" w:cs="Arial"/>
          <w:b/>
          <w:u w:val="single"/>
        </w:rPr>
        <w:t>Type of SIRI – Q1/2 2011/12</w:t>
      </w:r>
    </w:p>
    <w:p w:rsidR="00C7508B" w:rsidRPr="00C7508B" w:rsidRDefault="00C7508B" w:rsidP="00813842">
      <w:pPr>
        <w:jc w:val="both"/>
        <w:rPr>
          <w:rFonts w:ascii="Arial" w:hAnsi="Arial" w:cs="Arial"/>
          <w:b/>
          <w:color w:val="FF0000"/>
          <w:u w:val="single"/>
        </w:rPr>
      </w:pPr>
    </w:p>
    <w:p w:rsidR="00214FDC" w:rsidRDefault="00214FDC" w:rsidP="00214FDC">
      <w:pPr>
        <w:jc w:val="center"/>
        <w:rPr>
          <w:rFonts w:ascii="Arial" w:hAnsi="Arial" w:cs="Arial"/>
        </w:rPr>
      </w:pPr>
      <w:r w:rsidRPr="00214FDC">
        <w:rPr>
          <w:rFonts w:ascii="Arial" w:hAnsi="Arial" w:cs="Arial"/>
          <w:noProof/>
          <w:lang w:val="en-GB" w:eastAsia="en-GB"/>
        </w:rPr>
        <w:pict>
          <v:shape id="Chart 6" o:spid="_x0000_i1029" type="#_x0000_t75" style="width:453.75pt;height:247.5pt;visibility:visible">
            <v:imagedata r:id="rId13" o:title="" croptop="-1943f" cropbottom="-3652f" cropleft="-1569f" cropright="-1307f"/>
          </v:shape>
        </w:pict>
      </w:r>
    </w:p>
    <w:p w:rsidR="00214FDC" w:rsidRDefault="00214FDC" w:rsidP="00813842">
      <w:pPr>
        <w:jc w:val="both"/>
        <w:rPr>
          <w:rFonts w:ascii="Arial" w:hAnsi="Arial" w:cs="Arial"/>
        </w:rPr>
      </w:pPr>
    </w:p>
    <w:p w:rsidR="00C7508B" w:rsidRDefault="00C7508B" w:rsidP="00813842">
      <w:pPr>
        <w:jc w:val="both"/>
        <w:rPr>
          <w:rFonts w:ascii="Arial" w:hAnsi="Arial" w:cs="Arial"/>
        </w:rPr>
      </w:pPr>
    </w:p>
    <w:p w:rsidR="00F00EB3" w:rsidRPr="00C7508B" w:rsidRDefault="00F00EB3" w:rsidP="00813842">
      <w:pPr>
        <w:jc w:val="both"/>
        <w:rPr>
          <w:rFonts w:ascii="Arial" w:hAnsi="Arial" w:cs="Arial"/>
          <w:b/>
          <w:u w:val="single"/>
        </w:rPr>
      </w:pPr>
    </w:p>
    <w:p w:rsidR="00C7508B" w:rsidRPr="00C7508B" w:rsidRDefault="00C7508B" w:rsidP="00813842">
      <w:pPr>
        <w:jc w:val="both"/>
        <w:rPr>
          <w:rFonts w:ascii="Arial" w:hAnsi="Arial" w:cs="Arial"/>
          <w:b/>
          <w:color w:val="FF0000"/>
          <w:u w:val="single"/>
        </w:rPr>
      </w:pPr>
      <w:r w:rsidRPr="00C7508B">
        <w:rPr>
          <w:rFonts w:ascii="Arial" w:hAnsi="Arial" w:cs="Arial"/>
          <w:b/>
          <w:u w:val="single"/>
        </w:rPr>
        <w:lastRenderedPageBreak/>
        <w:t xml:space="preserve">Apparent suicides by quarter for the last 2 years </w:t>
      </w:r>
    </w:p>
    <w:p w:rsidR="00C7508B" w:rsidRPr="00C7508B" w:rsidRDefault="00C7508B" w:rsidP="00813842">
      <w:pPr>
        <w:jc w:val="both"/>
        <w:rPr>
          <w:rFonts w:ascii="Arial" w:hAnsi="Arial" w:cs="Arial"/>
          <w:b/>
          <w:color w:val="FF0000"/>
          <w:u w:val="single"/>
        </w:rPr>
      </w:pPr>
    </w:p>
    <w:p w:rsidR="00C7508B" w:rsidRPr="00C7508B" w:rsidRDefault="00C7508B" w:rsidP="00813842">
      <w:pPr>
        <w:jc w:val="both"/>
        <w:rPr>
          <w:rFonts w:ascii="Arial" w:hAnsi="Arial" w:cs="Arial"/>
        </w:rPr>
      </w:pPr>
      <w:r w:rsidRPr="00C7508B">
        <w:rPr>
          <w:rFonts w:ascii="Arial" w:hAnsi="Arial" w:cs="Arial"/>
        </w:rPr>
        <w:t>The chart below shows apparent suicides. They are apparent in that many will not yet have an inquest verdict.</w:t>
      </w:r>
    </w:p>
    <w:p w:rsidR="00C7508B" w:rsidRPr="00C7508B" w:rsidRDefault="00C7508B" w:rsidP="00813842">
      <w:pPr>
        <w:jc w:val="both"/>
        <w:rPr>
          <w:rFonts w:ascii="Arial" w:hAnsi="Arial" w:cs="Arial"/>
          <w:b/>
          <w:u w:val="single"/>
        </w:rPr>
      </w:pPr>
    </w:p>
    <w:p w:rsidR="00C7508B" w:rsidRPr="00C7508B" w:rsidRDefault="00214FDC" w:rsidP="00813842">
      <w:pPr>
        <w:jc w:val="center"/>
        <w:rPr>
          <w:rFonts w:ascii="Arial" w:hAnsi="Arial" w:cs="Arial"/>
          <w:b/>
          <w:u w:val="single"/>
        </w:rPr>
      </w:pPr>
      <w:r w:rsidRPr="00214FDC">
        <w:rPr>
          <w:rFonts w:ascii="Arial" w:hAnsi="Arial" w:cs="Arial"/>
          <w:noProof/>
          <w:lang w:val="en-GB" w:eastAsia="en-GB"/>
        </w:rPr>
        <w:pict>
          <v:shape id="_x0000_i1030" type="#_x0000_t75" style="width:417pt;height:238.5pt;visibility:visible">
            <v:imagedata r:id="rId14" r:href="rId15"/>
          </v:shape>
        </w:pict>
      </w:r>
    </w:p>
    <w:p w:rsidR="00C7508B" w:rsidRPr="00C7508B" w:rsidRDefault="00C7508B" w:rsidP="00813842">
      <w:pPr>
        <w:jc w:val="both"/>
        <w:rPr>
          <w:rFonts w:ascii="Arial" w:hAnsi="Arial" w:cs="Arial"/>
          <w:b/>
          <w:u w:val="single"/>
        </w:rPr>
      </w:pPr>
    </w:p>
    <w:p w:rsidR="00813842" w:rsidRDefault="00F00EB3" w:rsidP="00813842">
      <w:pPr>
        <w:jc w:val="both"/>
        <w:rPr>
          <w:rFonts w:ascii="Arial" w:hAnsi="Arial" w:cs="Arial"/>
          <w:b/>
          <w:u w:val="single"/>
        </w:rPr>
      </w:pPr>
      <w:r>
        <w:rPr>
          <w:rFonts w:ascii="Arial" w:hAnsi="Arial" w:cs="Arial"/>
          <w:b/>
          <w:u w:val="single"/>
        </w:rPr>
        <w:t>Leading Improvement in Patient Safety (</w:t>
      </w:r>
      <w:r w:rsidR="00813842">
        <w:rPr>
          <w:rFonts w:ascii="Arial" w:hAnsi="Arial" w:cs="Arial"/>
          <w:b/>
          <w:u w:val="single"/>
        </w:rPr>
        <w:t>LIPS</w:t>
      </w:r>
      <w:r>
        <w:rPr>
          <w:rFonts w:ascii="Arial" w:hAnsi="Arial" w:cs="Arial"/>
          <w:b/>
          <w:u w:val="single"/>
        </w:rPr>
        <w:t>)</w:t>
      </w:r>
      <w:r w:rsidR="00813842">
        <w:rPr>
          <w:rFonts w:ascii="Arial" w:hAnsi="Arial" w:cs="Arial"/>
          <w:b/>
          <w:u w:val="single"/>
        </w:rPr>
        <w:t xml:space="preserve"> Target:  reducing s</w:t>
      </w:r>
      <w:r w:rsidR="00C7508B" w:rsidRPr="00C7508B">
        <w:rPr>
          <w:rFonts w:ascii="Arial" w:hAnsi="Arial" w:cs="Arial"/>
          <w:b/>
          <w:u w:val="single"/>
        </w:rPr>
        <w:t>uicides</w:t>
      </w:r>
    </w:p>
    <w:p w:rsidR="00813842" w:rsidRDefault="00813842" w:rsidP="00813842">
      <w:pPr>
        <w:jc w:val="both"/>
        <w:rPr>
          <w:rFonts w:ascii="Arial" w:hAnsi="Arial" w:cs="Arial"/>
          <w:b/>
          <w:u w:val="single"/>
        </w:rPr>
      </w:pPr>
    </w:p>
    <w:p w:rsidR="00C7508B" w:rsidRPr="00813842" w:rsidRDefault="00C7508B" w:rsidP="00813842">
      <w:pPr>
        <w:jc w:val="both"/>
        <w:rPr>
          <w:rFonts w:ascii="Arial" w:hAnsi="Arial" w:cs="Arial"/>
          <w:b/>
          <w:u w:val="single"/>
        </w:rPr>
      </w:pPr>
      <w:r w:rsidRPr="00C7508B">
        <w:rPr>
          <w:rFonts w:ascii="Arial" w:hAnsi="Arial" w:cs="Arial"/>
        </w:rPr>
        <w:t xml:space="preserve">The LIPs programme has set a target </w:t>
      </w:r>
      <w:r w:rsidR="00813842">
        <w:rPr>
          <w:rFonts w:ascii="Arial" w:hAnsi="Arial" w:cs="Arial"/>
        </w:rPr>
        <w:t>to reduce both community and in-</w:t>
      </w:r>
      <w:r w:rsidRPr="00C7508B">
        <w:rPr>
          <w:rFonts w:ascii="Arial" w:hAnsi="Arial" w:cs="Arial"/>
        </w:rPr>
        <w:t xml:space="preserve">patient deaths towards zero. </w:t>
      </w:r>
    </w:p>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color w:val="000000"/>
        </w:rPr>
      </w:pPr>
      <w:r w:rsidRPr="00C7508B">
        <w:rPr>
          <w:rFonts w:ascii="Arial" w:hAnsi="Arial" w:cs="Arial"/>
          <w:color w:val="000000"/>
        </w:rPr>
        <w:t xml:space="preserve">The </w:t>
      </w:r>
      <w:r w:rsidR="00813842">
        <w:rPr>
          <w:rFonts w:ascii="Arial" w:hAnsi="Arial" w:cs="Arial"/>
          <w:color w:val="000000"/>
        </w:rPr>
        <w:t xml:space="preserve">below </w:t>
      </w:r>
      <w:r w:rsidRPr="00C7508B">
        <w:rPr>
          <w:rFonts w:ascii="Arial" w:hAnsi="Arial" w:cs="Arial"/>
          <w:color w:val="000000"/>
        </w:rPr>
        <w:t xml:space="preserve">figures are based on deaths that appear to be suicides. Not all these have been confirmed as ‘took own life’, or an open verdict by the coroner. Both the inpatient suicides were patients who were either </w:t>
      </w:r>
      <w:r w:rsidR="00F00EB3">
        <w:rPr>
          <w:rFonts w:ascii="Arial" w:hAnsi="Arial" w:cs="Arial"/>
          <w:color w:val="000000"/>
        </w:rPr>
        <w:t>Absent without Leave (</w:t>
      </w:r>
      <w:r w:rsidRPr="00C7508B">
        <w:rPr>
          <w:rFonts w:ascii="Arial" w:hAnsi="Arial" w:cs="Arial"/>
          <w:color w:val="000000"/>
        </w:rPr>
        <w:t>AWOL</w:t>
      </w:r>
      <w:r w:rsidR="00F00EB3">
        <w:rPr>
          <w:rFonts w:ascii="Arial" w:hAnsi="Arial" w:cs="Arial"/>
          <w:color w:val="000000"/>
        </w:rPr>
        <w:t>) or on S</w:t>
      </w:r>
      <w:r w:rsidRPr="00C7508B">
        <w:rPr>
          <w:rFonts w:ascii="Arial" w:hAnsi="Arial" w:cs="Arial"/>
          <w:color w:val="000000"/>
        </w:rPr>
        <w:t xml:space="preserve">ection 17 leave. </w:t>
      </w:r>
    </w:p>
    <w:p w:rsidR="00813842" w:rsidRDefault="00813842" w:rsidP="00813842">
      <w:pPr>
        <w:jc w:val="both"/>
        <w:rPr>
          <w:rFonts w:ascii="Arial" w:hAnsi="Arial" w:cs="Arial"/>
          <w:color w:val="000000"/>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4"/>
        <w:gridCol w:w="1350"/>
        <w:gridCol w:w="1670"/>
      </w:tblGrid>
      <w:tr w:rsidR="00813842" w:rsidRPr="00C7508B" w:rsidTr="00214FDC">
        <w:tc>
          <w:tcPr>
            <w:tcW w:w="2844" w:type="dxa"/>
            <w:shd w:val="clear" w:color="auto" w:fill="D9D9D9"/>
          </w:tcPr>
          <w:p w:rsidR="00813842" w:rsidRPr="00C7508B" w:rsidRDefault="00214FDC" w:rsidP="00813842">
            <w:pPr>
              <w:jc w:val="both"/>
              <w:rPr>
                <w:rFonts w:ascii="Arial" w:hAnsi="Arial" w:cs="Arial"/>
                <w:b/>
              </w:rPr>
            </w:pPr>
            <w:r>
              <w:rPr>
                <w:rFonts w:ascii="Arial" w:hAnsi="Arial" w:cs="Arial"/>
                <w:b/>
              </w:rPr>
              <w:t>Year</w:t>
            </w:r>
          </w:p>
        </w:tc>
        <w:tc>
          <w:tcPr>
            <w:tcW w:w="1350" w:type="dxa"/>
            <w:shd w:val="clear" w:color="auto" w:fill="D9D9D9"/>
          </w:tcPr>
          <w:p w:rsidR="00813842" w:rsidRPr="00C7508B" w:rsidRDefault="00813842" w:rsidP="00813842">
            <w:pPr>
              <w:jc w:val="both"/>
              <w:rPr>
                <w:rFonts w:ascii="Arial" w:hAnsi="Arial" w:cs="Arial"/>
                <w:b/>
              </w:rPr>
            </w:pPr>
            <w:r w:rsidRPr="00C7508B">
              <w:rPr>
                <w:rFonts w:ascii="Arial" w:hAnsi="Arial" w:cs="Arial"/>
                <w:b/>
              </w:rPr>
              <w:t>Inpatient</w:t>
            </w:r>
          </w:p>
        </w:tc>
        <w:tc>
          <w:tcPr>
            <w:tcW w:w="1670" w:type="dxa"/>
            <w:shd w:val="clear" w:color="auto" w:fill="D9D9D9"/>
          </w:tcPr>
          <w:p w:rsidR="00813842" w:rsidRDefault="00813842" w:rsidP="00813842">
            <w:pPr>
              <w:jc w:val="both"/>
              <w:rPr>
                <w:rFonts w:ascii="Arial" w:hAnsi="Arial" w:cs="Arial"/>
                <w:b/>
              </w:rPr>
            </w:pPr>
            <w:r w:rsidRPr="00C7508B">
              <w:rPr>
                <w:rFonts w:ascii="Arial" w:hAnsi="Arial" w:cs="Arial"/>
                <w:b/>
              </w:rPr>
              <w:t>Community</w:t>
            </w:r>
          </w:p>
          <w:p w:rsidR="00214FDC" w:rsidRPr="00C7508B" w:rsidRDefault="00214FDC" w:rsidP="00813842">
            <w:pPr>
              <w:jc w:val="both"/>
              <w:rPr>
                <w:rFonts w:ascii="Arial" w:hAnsi="Arial" w:cs="Arial"/>
                <w:b/>
              </w:rPr>
            </w:pPr>
          </w:p>
        </w:tc>
      </w:tr>
      <w:tr w:rsidR="00813842" w:rsidRPr="00C7508B" w:rsidTr="00214FDC">
        <w:tc>
          <w:tcPr>
            <w:tcW w:w="2844" w:type="dxa"/>
          </w:tcPr>
          <w:p w:rsidR="00813842" w:rsidRPr="00C7508B" w:rsidRDefault="00813842" w:rsidP="00813842">
            <w:pPr>
              <w:jc w:val="both"/>
              <w:rPr>
                <w:rFonts w:ascii="Arial" w:hAnsi="Arial" w:cs="Arial"/>
                <w:b/>
              </w:rPr>
            </w:pPr>
            <w:r w:rsidRPr="00C7508B">
              <w:rPr>
                <w:rFonts w:ascii="Arial" w:hAnsi="Arial" w:cs="Arial"/>
                <w:b/>
              </w:rPr>
              <w:t>2009/10</w:t>
            </w:r>
          </w:p>
        </w:tc>
        <w:tc>
          <w:tcPr>
            <w:tcW w:w="1350" w:type="dxa"/>
          </w:tcPr>
          <w:p w:rsidR="00813842" w:rsidRPr="00C7508B" w:rsidRDefault="00813842" w:rsidP="00813842">
            <w:pPr>
              <w:jc w:val="center"/>
              <w:rPr>
                <w:rFonts w:ascii="Arial" w:hAnsi="Arial" w:cs="Arial"/>
                <w:b/>
              </w:rPr>
            </w:pPr>
            <w:r w:rsidRPr="00C7508B">
              <w:rPr>
                <w:rFonts w:ascii="Arial" w:hAnsi="Arial" w:cs="Arial"/>
                <w:b/>
              </w:rPr>
              <w:t>1</w:t>
            </w:r>
          </w:p>
        </w:tc>
        <w:tc>
          <w:tcPr>
            <w:tcW w:w="1670" w:type="dxa"/>
          </w:tcPr>
          <w:p w:rsidR="00813842" w:rsidRPr="00C7508B" w:rsidRDefault="00813842" w:rsidP="00813842">
            <w:pPr>
              <w:jc w:val="center"/>
              <w:rPr>
                <w:rFonts w:ascii="Arial" w:hAnsi="Arial" w:cs="Arial"/>
                <w:b/>
              </w:rPr>
            </w:pPr>
            <w:r w:rsidRPr="00C7508B">
              <w:rPr>
                <w:rFonts w:ascii="Arial" w:hAnsi="Arial" w:cs="Arial"/>
                <w:b/>
              </w:rPr>
              <w:t>24</w:t>
            </w:r>
          </w:p>
        </w:tc>
      </w:tr>
      <w:tr w:rsidR="00813842" w:rsidRPr="00C7508B" w:rsidTr="00214FDC">
        <w:tc>
          <w:tcPr>
            <w:tcW w:w="2844" w:type="dxa"/>
          </w:tcPr>
          <w:p w:rsidR="00813842" w:rsidRPr="00C7508B" w:rsidRDefault="00813842" w:rsidP="00813842">
            <w:pPr>
              <w:jc w:val="both"/>
              <w:rPr>
                <w:rFonts w:ascii="Arial" w:hAnsi="Arial" w:cs="Arial"/>
                <w:b/>
              </w:rPr>
            </w:pPr>
            <w:r w:rsidRPr="00C7508B">
              <w:rPr>
                <w:rFonts w:ascii="Arial" w:hAnsi="Arial" w:cs="Arial"/>
                <w:b/>
              </w:rPr>
              <w:t>2010/11</w:t>
            </w:r>
          </w:p>
        </w:tc>
        <w:tc>
          <w:tcPr>
            <w:tcW w:w="1350" w:type="dxa"/>
          </w:tcPr>
          <w:p w:rsidR="00813842" w:rsidRPr="00C7508B" w:rsidRDefault="00813842" w:rsidP="00813842">
            <w:pPr>
              <w:jc w:val="center"/>
              <w:rPr>
                <w:rFonts w:ascii="Arial" w:hAnsi="Arial" w:cs="Arial"/>
                <w:b/>
              </w:rPr>
            </w:pPr>
            <w:r w:rsidRPr="00C7508B">
              <w:rPr>
                <w:rFonts w:ascii="Arial" w:hAnsi="Arial" w:cs="Arial"/>
                <w:b/>
              </w:rPr>
              <w:t>1</w:t>
            </w:r>
          </w:p>
        </w:tc>
        <w:tc>
          <w:tcPr>
            <w:tcW w:w="1670" w:type="dxa"/>
          </w:tcPr>
          <w:p w:rsidR="00813842" w:rsidRPr="00C7508B" w:rsidRDefault="00813842" w:rsidP="00813842">
            <w:pPr>
              <w:jc w:val="center"/>
              <w:rPr>
                <w:rFonts w:ascii="Arial" w:hAnsi="Arial" w:cs="Arial"/>
                <w:b/>
              </w:rPr>
            </w:pPr>
            <w:r w:rsidRPr="00C7508B">
              <w:rPr>
                <w:rFonts w:ascii="Arial" w:hAnsi="Arial" w:cs="Arial"/>
                <w:b/>
              </w:rPr>
              <w:t>36</w:t>
            </w:r>
          </w:p>
        </w:tc>
      </w:tr>
      <w:tr w:rsidR="00813842" w:rsidRPr="00C7508B" w:rsidTr="00214FDC">
        <w:tc>
          <w:tcPr>
            <w:tcW w:w="2844" w:type="dxa"/>
          </w:tcPr>
          <w:p w:rsidR="00813842" w:rsidRPr="00C7508B" w:rsidRDefault="00813842" w:rsidP="00813842">
            <w:pPr>
              <w:jc w:val="both"/>
              <w:rPr>
                <w:rFonts w:ascii="Arial" w:hAnsi="Arial" w:cs="Arial"/>
                <w:b/>
              </w:rPr>
            </w:pPr>
            <w:r w:rsidRPr="00C7508B">
              <w:rPr>
                <w:rFonts w:ascii="Arial" w:hAnsi="Arial" w:cs="Arial"/>
                <w:b/>
              </w:rPr>
              <w:t>2011/12</w:t>
            </w:r>
          </w:p>
        </w:tc>
        <w:tc>
          <w:tcPr>
            <w:tcW w:w="1350" w:type="dxa"/>
          </w:tcPr>
          <w:p w:rsidR="00813842" w:rsidRPr="00C7508B" w:rsidRDefault="00813842" w:rsidP="00813842">
            <w:pPr>
              <w:jc w:val="center"/>
              <w:rPr>
                <w:rFonts w:ascii="Arial" w:hAnsi="Arial" w:cs="Arial"/>
                <w:b/>
              </w:rPr>
            </w:pPr>
            <w:r w:rsidRPr="00C7508B">
              <w:rPr>
                <w:rFonts w:ascii="Arial" w:hAnsi="Arial" w:cs="Arial"/>
                <w:b/>
              </w:rPr>
              <w:t>0</w:t>
            </w:r>
          </w:p>
        </w:tc>
        <w:tc>
          <w:tcPr>
            <w:tcW w:w="1670" w:type="dxa"/>
          </w:tcPr>
          <w:p w:rsidR="00813842" w:rsidRPr="00C7508B" w:rsidRDefault="00813842" w:rsidP="00813842">
            <w:pPr>
              <w:jc w:val="center"/>
              <w:rPr>
                <w:rFonts w:ascii="Arial" w:hAnsi="Arial" w:cs="Arial"/>
                <w:b/>
              </w:rPr>
            </w:pPr>
            <w:r w:rsidRPr="00C7508B">
              <w:rPr>
                <w:rFonts w:ascii="Arial" w:hAnsi="Arial" w:cs="Arial"/>
                <w:b/>
              </w:rPr>
              <w:t>28</w:t>
            </w:r>
          </w:p>
        </w:tc>
      </w:tr>
      <w:tr w:rsidR="00813842" w:rsidRPr="00C7508B" w:rsidTr="00214FDC">
        <w:tc>
          <w:tcPr>
            <w:tcW w:w="2844" w:type="dxa"/>
          </w:tcPr>
          <w:p w:rsidR="00813842" w:rsidRPr="00C7508B" w:rsidRDefault="00813842" w:rsidP="00813842">
            <w:pPr>
              <w:jc w:val="both"/>
              <w:rPr>
                <w:rFonts w:ascii="Arial" w:hAnsi="Arial" w:cs="Arial"/>
                <w:b/>
              </w:rPr>
            </w:pPr>
            <w:r w:rsidRPr="00C7508B">
              <w:rPr>
                <w:rFonts w:ascii="Arial" w:hAnsi="Arial" w:cs="Arial"/>
                <w:b/>
              </w:rPr>
              <w:t>Projection for 2011/12</w:t>
            </w:r>
          </w:p>
        </w:tc>
        <w:tc>
          <w:tcPr>
            <w:tcW w:w="1350" w:type="dxa"/>
          </w:tcPr>
          <w:p w:rsidR="00813842" w:rsidRPr="00C7508B" w:rsidRDefault="00813842" w:rsidP="00813842">
            <w:pPr>
              <w:jc w:val="center"/>
              <w:rPr>
                <w:rFonts w:ascii="Arial" w:hAnsi="Arial" w:cs="Arial"/>
                <w:b/>
              </w:rPr>
            </w:pPr>
            <w:r w:rsidRPr="00C7508B">
              <w:rPr>
                <w:rFonts w:ascii="Arial" w:hAnsi="Arial" w:cs="Arial"/>
                <w:b/>
              </w:rPr>
              <w:t>0</w:t>
            </w:r>
          </w:p>
        </w:tc>
        <w:tc>
          <w:tcPr>
            <w:tcW w:w="1670" w:type="dxa"/>
          </w:tcPr>
          <w:p w:rsidR="00813842" w:rsidRPr="00C7508B" w:rsidRDefault="00813842" w:rsidP="00813842">
            <w:pPr>
              <w:jc w:val="center"/>
              <w:rPr>
                <w:rFonts w:ascii="Arial" w:hAnsi="Arial" w:cs="Arial"/>
                <w:b/>
              </w:rPr>
            </w:pPr>
            <w:r w:rsidRPr="00C7508B">
              <w:rPr>
                <w:rFonts w:ascii="Arial" w:hAnsi="Arial" w:cs="Arial"/>
                <w:b/>
              </w:rPr>
              <w:t>37</w:t>
            </w:r>
          </w:p>
        </w:tc>
      </w:tr>
    </w:tbl>
    <w:p w:rsidR="00813842" w:rsidRDefault="00813842" w:rsidP="00813842">
      <w:pPr>
        <w:jc w:val="both"/>
        <w:rPr>
          <w:rFonts w:ascii="Arial" w:hAnsi="Arial" w:cs="Arial"/>
          <w:color w:val="000000"/>
        </w:rPr>
      </w:pPr>
    </w:p>
    <w:p w:rsidR="00813842" w:rsidRDefault="00813842" w:rsidP="00813842">
      <w:pPr>
        <w:jc w:val="both"/>
        <w:rPr>
          <w:rFonts w:ascii="Arial" w:hAnsi="Arial" w:cs="Arial"/>
          <w:color w:val="000000"/>
        </w:rPr>
      </w:pPr>
    </w:p>
    <w:p w:rsidR="00813842" w:rsidRDefault="00813842" w:rsidP="00813842">
      <w:pPr>
        <w:jc w:val="both"/>
        <w:rPr>
          <w:rFonts w:ascii="Arial" w:hAnsi="Arial" w:cs="Arial"/>
          <w:color w:val="000000"/>
        </w:rPr>
      </w:pPr>
    </w:p>
    <w:p w:rsidR="00813842" w:rsidRDefault="00813842" w:rsidP="00813842">
      <w:pPr>
        <w:jc w:val="both"/>
        <w:rPr>
          <w:rFonts w:ascii="Arial" w:hAnsi="Arial" w:cs="Arial"/>
          <w:color w:val="000000"/>
        </w:rPr>
      </w:pPr>
    </w:p>
    <w:p w:rsidR="00813842" w:rsidRDefault="00813842" w:rsidP="00813842">
      <w:pPr>
        <w:jc w:val="both"/>
        <w:rPr>
          <w:rFonts w:ascii="Arial" w:hAnsi="Arial" w:cs="Arial"/>
          <w:color w:val="000000"/>
        </w:rPr>
      </w:pPr>
    </w:p>
    <w:p w:rsidR="00813842" w:rsidRDefault="00813842" w:rsidP="00813842">
      <w:pPr>
        <w:jc w:val="both"/>
        <w:rPr>
          <w:rFonts w:ascii="Arial" w:hAnsi="Arial" w:cs="Arial"/>
          <w:color w:val="000000"/>
        </w:rPr>
      </w:pPr>
    </w:p>
    <w:p w:rsidR="00214FDC" w:rsidRDefault="00214FDC" w:rsidP="00813842">
      <w:pPr>
        <w:jc w:val="both"/>
        <w:rPr>
          <w:rFonts w:ascii="Arial" w:hAnsi="Arial" w:cs="Arial"/>
          <w:color w:val="000000"/>
        </w:rPr>
      </w:pPr>
    </w:p>
    <w:p w:rsidR="00C7508B" w:rsidRPr="00C7508B" w:rsidRDefault="00C7508B" w:rsidP="00813842">
      <w:pPr>
        <w:jc w:val="both"/>
        <w:rPr>
          <w:rFonts w:ascii="Arial" w:hAnsi="Arial" w:cs="Arial"/>
          <w:color w:val="000000"/>
        </w:rPr>
      </w:pPr>
      <w:r w:rsidRPr="00C7508B">
        <w:rPr>
          <w:rFonts w:ascii="Arial" w:hAnsi="Arial" w:cs="Arial"/>
          <w:color w:val="000000"/>
        </w:rPr>
        <w:t>The rate of apparent suicides has fallen over the last two years. With 28 apparent suicides this year already, a projection for the full year is around 37, so may be close to last year’s total.</w:t>
      </w:r>
    </w:p>
    <w:p w:rsidR="00C7508B" w:rsidRPr="00C7508B" w:rsidRDefault="00C7508B" w:rsidP="00813842">
      <w:pPr>
        <w:jc w:val="both"/>
        <w:rPr>
          <w:rFonts w:ascii="Arial" w:hAnsi="Arial" w:cs="Arial"/>
          <w:color w:val="000000"/>
        </w:rPr>
      </w:pPr>
    </w:p>
    <w:p w:rsidR="00C7508B" w:rsidRPr="00E71713" w:rsidRDefault="00C7508B" w:rsidP="00813842">
      <w:pPr>
        <w:jc w:val="both"/>
        <w:rPr>
          <w:rFonts w:ascii="Arial" w:hAnsi="Arial" w:cs="Arial"/>
          <w:color w:val="000000"/>
        </w:rPr>
      </w:pPr>
      <w:r w:rsidRPr="00C7508B">
        <w:rPr>
          <w:rFonts w:ascii="Arial" w:hAnsi="Arial" w:cs="Arial"/>
          <w:color w:val="000000"/>
        </w:rPr>
        <w:t>The LIPS Project Board</w:t>
      </w:r>
      <w:r w:rsidR="00813842">
        <w:rPr>
          <w:rFonts w:ascii="Arial" w:hAnsi="Arial" w:cs="Arial"/>
          <w:color w:val="000000"/>
        </w:rPr>
        <w:t>,</w:t>
      </w:r>
      <w:r w:rsidRPr="00C7508B">
        <w:rPr>
          <w:rFonts w:ascii="Arial" w:hAnsi="Arial" w:cs="Arial"/>
          <w:color w:val="000000"/>
        </w:rPr>
        <w:t xml:space="preserve"> chaired by the Director of Nursing</w:t>
      </w:r>
      <w:r w:rsidR="00E71713">
        <w:rPr>
          <w:rFonts w:ascii="Arial" w:hAnsi="Arial" w:cs="Arial"/>
          <w:color w:val="000000"/>
        </w:rPr>
        <w:t xml:space="preserve"> and Clinical Standards</w:t>
      </w:r>
      <w:r w:rsidRPr="00C7508B">
        <w:rPr>
          <w:rFonts w:ascii="Arial" w:hAnsi="Arial" w:cs="Arial"/>
          <w:color w:val="000000"/>
        </w:rPr>
        <w:t xml:space="preserve"> has now had its first meeting. Another dozen staff from Bucks adult services have attended </w:t>
      </w:r>
      <w:r w:rsidRPr="00C7508B">
        <w:rPr>
          <w:rFonts w:ascii="Arial" w:hAnsi="Arial" w:cs="Arial"/>
          <w:color w:val="000000"/>
        </w:rPr>
        <w:lastRenderedPageBreak/>
        <w:t xml:space="preserve">LIPS training. A number of initiatives and the creation of a wide ranging dashboard that covers many areas of patient safety as well as Suicide </w:t>
      </w:r>
      <w:r w:rsidR="00E71713" w:rsidRPr="00C7508B">
        <w:rPr>
          <w:rFonts w:ascii="Arial" w:hAnsi="Arial" w:cs="Arial"/>
          <w:color w:val="000000"/>
        </w:rPr>
        <w:t>are</w:t>
      </w:r>
      <w:r w:rsidRPr="00C7508B">
        <w:rPr>
          <w:rFonts w:ascii="Arial" w:hAnsi="Arial" w:cs="Arial"/>
          <w:color w:val="000000"/>
        </w:rPr>
        <w:t xml:space="preserve"> under preparation. All community teams have progressed implementing one service improvement aimed at reducing suicide (a CQUIN target). </w:t>
      </w:r>
    </w:p>
    <w:p w:rsidR="00C7508B" w:rsidRPr="00C7508B" w:rsidRDefault="00C7508B" w:rsidP="00813842">
      <w:pPr>
        <w:jc w:val="both"/>
        <w:rPr>
          <w:rFonts w:ascii="Arial" w:hAnsi="Arial" w:cs="Arial"/>
          <w:b/>
          <w:u w:val="single"/>
        </w:rPr>
      </w:pPr>
    </w:p>
    <w:p w:rsidR="00C7508B" w:rsidRPr="00C7508B" w:rsidRDefault="00214FDC" w:rsidP="00813842">
      <w:pPr>
        <w:jc w:val="both"/>
        <w:rPr>
          <w:rFonts w:ascii="Arial" w:hAnsi="Arial" w:cs="Arial"/>
          <w:b/>
          <w:color w:val="FF0000"/>
          <w:u w:val="single"/>
        </w:rPr>
      </w:pPr>
      <w:r>
        <w:rPr>
          <w:rFonts w:ascii="Arial" w:hAnsi="Arial" w:cs="Arial"/>
          <w:b/>
          <w:u w:val="single"/>
        </w:rPr>
        <w:t xml:space="preserve">Pressure Sores:  </w:t>
      </w:r>
      <w:r w:rsidR="00C7508B" w:rsidRPr="00C7508B">
        <w:rPr>
          <w:rFonts w:ascii="Arial" w:hAnsi="Arial" w:cs="Arial"/>
          <w:b/>
          <w:u w:val="single"/>
        </w:rPr>
        <w:t>October 2010 – December 2011</w:t>
      </w:r>
    </w:p>
    <w:p w:rsidR="00C7508B" w:rsidRPr="00C7508B" w:rsidRDefault="00C7508B" w:rsidP="00813842">
      <w:pPr>
        <w:jc w:val="both"/>
        <w:rPr>
          <w:rFonts w:ascii="Arial" w:hAnsi="Arial" w:cs="Arial"/>
          <w:b/>
        </w:rPr>
      </w:pPr>
    </w:p>
    <w:p w:rsidR="00C7508B" w:rsidRPr="00C7508B" w:rsidRDefault="00214FDC" w:rsidP="00813842">
      <w:pPr>
        <w:jc w:val="center"/>
        <w:rPr>
          <w:rFonts w:ascii="Arial" w:hAnsi="Arial" w:cs="Arial"/>
          <w:b/>
        </w:rPr>
      </w:pPr>
      <w:r w:rsidRPr="00214FDC">
        <w:rPr>
          <w:rFonts w:ascii="Arial" w:hAnsi="Arial" w:cs="Arial"/>
          <w:noProof/>
          <w:lang w:val="en-GB" w:eastAsia="en-GB"/>
        </w:rPr>
        <w:pict>
          <v:shape id="Picture 21" o:spid="_x0000_i1031" type="#_x0000_t75" style="width:420pt;height:213.75pt;visibility:visible">
            <v:imagedata r:id="rId16" o:title="" croptop="3480f" cropbottom="2900f" cropleft="2844f" cropright="1541f"/>
          </v:shape>
        </w:pict>
      </w:r>
    </w:p>
    <w:p w:rsidR="00C7508B" w:rsidRPr="00C7508B" w:rsidRDefault="00C7508B" w:rsidP="00813842">
      <w:pPr>
        <w:jc w:val="both"/>
        <w:rPr>
          <w:rFonts w:ascii="Arial" w:hAnsi="Arial" w:cs="Arial"/>
          <w:b/>
          <w:color w:val="FF0000"/>
        </w:rPr>
      </w:pPr>
    </w:p>
    <w:p w:rsidR="00214FDC" w:rsidRPr="00214FDC" w:rsidRDefault="00813842" w:rsidP="00813842">
      <w:pPr>
        <w:jc w:val="both"/>
        <w:rPr>
          <w:rFonts w:ascii="Arial" w:hAnsi="Arial" w:cs="Arial"/>
          <w:color w:val="000000"/>
        </w:rPr>
      </w:pPr>
      <w:r>
        <w:rPr>
          <w:rFonts w:ascii="Arial" w:hAnsi="Arial" w:cs="Arial"/>
          <w:color w:val="000000"/>
        </w:rPr>
        <w:t>There is a comprehensive over-</w:t>
      </w:r>
      <w:r w:rsidR="00C7508B" w:rsidRPr="00C7508B">
        <w:rPr>
          <w:rFonts w:ascii="Arial" w:hAnsi="Arial" w:cs="Arial"/>
          <w:color w:val="000000"/>
        </w:rPr>
        <w:t>arching pressure ulcer prevention action plan being monitored with the PCT. We are currently reviewing the number of pressure sores over time with the PCT to see whether numbers have fallen, bearing in mind that definitions and follow up arrangements have changed in the last year.</w:t>
      </w:r>
    </w:p>
    <w:p w:rsidR="00C7508B" w:rsidRPr="00C7508B" w:rsidRDefault="00C7508B" w:rsidP="00813842">
      <w:pPr>
        <w:jc w:val="both"/>
        <w:rPr>
          <w:rFonts w:ascii="Arial" w:hAnsi="Arial" w:cs="Arial"/>
          <w:b/>
        </w:rPr>
      </w:pPr>
    </w:p>
    <w:p w:rsidR="00C7508B" w:rsidRPr="00C7508B" w:rsidRDefault="00C7508B" w:rsidP="00813842">
      <w:pPr>
        <w:jc w:val="both"/>
        <w:rPr>
          <w:rFonts w:ascii="Arial" w:hAnsi="Arial" w:cs="Arial"/>
          <w:b/>
          <w:color w:val="FF0000"/>
          <w:u w:val="single"/>
        </w:rPr>
      </w:pPr>
      <w:r w:rsidRPr="00C7508B">
        <w:rPr>
          <w:rFonts w:ascii="Arial" w:hAnsi="Arial" w:cs="Arial"/>
          <w:b/>
          <w:u w:val="single"/>
        </w:rPr>
        <w:t>Location of SIRIs by Division</w:t>
      </w:r>
    </w:p>
    <w:p w:rsidR="00C7508B" w:rsidRPr="00C7508B" w:rsidRDefault="00C7508B" w:rsidP="00813842">
      <w:pPr>
        <w:jc w:val="both"/>
        <w:rPr>
          <w:rFonts w:ascii="Arial" w:hAnsi="Arial" w:cs="Arial"/>
          <w:b/>
        </w:rPr>
      </w:pPr>
    </w:p>
    <w:p w:rsidR="00C7508B" w:rsidRPr="00C7508B" w:rsidRDefault="00214FDC" w:rsidP="00813842">
      <w:pPr>
        <w:jc w:val="center"/>
        <w:rPr>
          <w:rFonts w:ascii="Arial" w:hAnsi="Arial" w:cs="Arial"/>
          <w:b/>
        </w:rPr>
      </w:pPr>
      <w:r w:rsidRPr="00214FDC">
        <w:rPr>
          <w:rFonts w:ascii="Arial" w:hAnsi="Arial" w:cs="Arial"/>
          <w:noProof/>
          <w:lang w:val="en-GB" w:eastAsia="en-GB"/>
        </w:rPr>
        <w:pict>
          <v:shape id="_x0000_i1032" type="#_x0000_t75" style="width:401.25pt;height:210pt;visibility:visible">
            <v:imagedata r:id="rId17" r:href="rId18"/>
          </v:shape>
        </w:pict>
      </w:r>
    </w:p>
    <w:p w:rsidR="00C7508B" w:rsidRPr="00C7508B" w:rsidRDefault="00C7508B" w:rsidP="00813842">
      <w:pPr>
        <w:jc w:val="both"/>
        <w:rPr>
          <w:rFonts w:ascii="Arial" w:hAnsi="Arial" w:cs="Arial"/>
        </w:rPr>
      </w:pPr>
    </w:p>
    <w:p w:rsidR="00C7508B" w:rsidRPr="00C7508B" w:rsidRDefault="00C7508B" w:rsidP="00813842">
      <w:pPr>
        <w:jc w:val="both"/>
        <w:rPr>
          <w:rFonts w:ascii="Arial" w:hAnsi="Arial" w:cs="Arial"/>
          <w:b/>
          <w:color w:val="FF0000"/>
        </w:rPr>
      </w:pPr>
      <w:r w:rsidRPr="00C7508B">
        <w:rPr>
          <w:rFonts w:ascii="Arial" w:hAnsi="Arial" w:cs="Arial"/>
          <w:b/>
          <w:u w:val="single"/>
        </w:rPr>
        <w:lastRenderedPageBreak/>
        <w:t xml:space="preserve">Emerging themes 2010/11 </w:t>
      </w:r>
    </w:p>
    <w:p w:rsidR="00C7508B" w:rsidRPr="00C7508B" w:rsidRDefault="00C7508B" w:rsidP="00813842">
      <w:pPr>
        <w:jc w:val="both"/>
        <w:rPr>
          <w:rFonts w:ascii="Arial" w:hAnsi="Arial" w:cs="Arial"/>
          <w:b/>
          <w:color w:val="FF0000"/>
        </w:rPr>
      </w:pPr>
    </w:p>
    <w:p w:rsidR="00214FDC" w:rsidRDefault="00C7508B" w:rsidP="00214FDC">
      <w:pPr>
        <w:spacing w:after="200" w:line="276" w:lineRule="auto"/>
        <w:jc w:val="both"/>
        <w:rPr>
          <w:rFonts w:ascii="Arial" w:hAnsi="Arial" w:cs="Arial"/>
        </w:rPr>
      </w:pPr>
      <w:r w:rsidRPr="00C7508B">
        <w:rPr>
          <w:rFonts w:ascii="Arial" w:hAnsi="Arial" w:cs="Arial"/>
        </w:rPr>
        <w:t xml:space="preserve">Following the review of themes reported in the last report, </w:t>
      </w:r>
      <w:r w:rsidR="00E71713">
        <w:rPr>
          <w:rFonts w:ascii="Arial" w:hAnsi="Arial" w:cs="Arial"/>
        </w:rPr>
        <w:t>four</w:t>
      </w:r>
      <w:r w:rsidRPr="00C7508B">
        <w:rPr>
          <w:rFonts w:ascii="Arial" w:hAnsi="Arial" w:cs="Arial"/>
        </w:rPr>
        <w:t xml:space="preserve"> additional recommendations and actions have been added all of which are currently being addressed.  They include:</w:t>
      </w:r>
    </w:p>
    <w:p w:rsidR="00C7508B" w:rsidRPr="00214FDC" w:rsidRDefault="00C7508B" w:rsidP="00214FDC">
      <w:pPr>
        <w:pStyle w:val="ListParagraph"/>
        <w:numPr>
          <w:ilvl w:val="0"/>
          <w:numId w:val="3"/>
        </w:numPr>
        <w:spacing w:after="200" w:line="276" w:lineRule="auto"/>
        <w:jc w:val="both"/>
        <w:rPr>
          <w:rFonts w:ascii="Arial" w:hAnsi="Arial" w:cs="Arial"/>
        </w:rPr>
      </w:pPr>
      <w:r w:rsidRPr="00214FDC">
        <w:rPr>
          <w:rFonts w:ascii="Arial" w:hAnsi="Arial" w:cs="Arial"/>
        </w:rPr>
        <w:t xml:space="preserve">Addressing referral waiting times in particular </w:t>
      </w:r>
      <w:r w:rsidR="00E71713" w:rsidRPr="00214FDC">
        <w:rPr>
          <w:rFonts w:ascii="Arial" w:hAnsi="Arial" w:cs="Arial"/>
        </w:rPr>
        <w:t>for</w:t>
      </w:r>
      <w:r w:rsidRPr="00214FDC">
        <w:rPr>
          <w:rFonts w:ascii="Arial" w:hAnsi="Arial" w:cs="Arial"/>
        </w:rPr>
        <w:t xml:space="preserve"> psychological therapies.</w:t>
      </w:r>
    </w:p>
    <w:p w:rsidR="00C7508B" w:rsidRPr="00214FDC" w:rsidRDefault="00C7508B" w:rsidP="00214FDC">
      <w:pPr>
        <w:pStyle w:val="ListParagraph"/>
        <w:numPr>
          <w:ilvl w:val="0"/>
          <w:numId w:val="3"/>
        </w:numPr>
        <w:spacing w:after="200" w:line="276" w:lineRule="auto"/>
        <w:jc w:val="both"/>
        <w:rPr>
          <w:rFonts w:ascii="Arial" w:hAnsi="Arial" w:cs="Arial"/>
        </w:rPr>
      </w:pPr>
      <w:r w:rsidRPr="00214FDC">
        <w:rPr>
          <w:rFonts w:ascii="Arial" w:hAnsi="Arial" w:cs="Arial"/>
        </w:rPr>
        <w:t>Ensuring rigorous governance p</w:t>
      </w:r>
      <w:r w:rsidR="00E71713" w:rsidRPr="00214FDC">
        <w:rPr>
          <w:rFonts w:ascii="Arial" w:hAnsi="Arial" w:cs="Arial"/>
        </w:rPr>
        <w:t>rocesses are in place in P</w:t>
      </w:r>
      <w:r w:rsidRPr="00214FDC">
        <w:rPr>
          <w:rFonts w:ascii="Arial" w:hAnsi="Arial" w:cs="Arial"/>
        </w:rPr>
        <w:t>risons through a range of targeted work streams.</w:t>
      </w:r>
    </w:p>
    <w:p w:rsidR="00C7508B" w:rsidRPr="00214FDC" w:rsidRDefault="00C7508B" w:rsidP="00214FDC">
      <w:pPr>
        <w:pStyle w:val="ListParagraph"/>
        <w:numPr>
          <w:ilvl w:val="0"/>
          <w:numId w:val="3"/>
        </w:numPr>
        <w:spacing w:after="200" w:line="276" w:lineRule="auto"/>
        <w:jc w:val="both"/>
        <w:rPr>
          <w:rFonts w:ascii="Arial" w:hAnsi="Arial" w:cs="Arial"/>
        </w:rPr>
      </w:pPr>
      <w:r w:rsidRPr="00214FDC">
        <w:rPr>
          <w:rFonts w:ascii="Arial" w:hAnsi="Arial" w:cs="Arial"/>
        </w:rPr>
        <w:t>Increasing the level of safeguarding awareness and reporting.</w:t>
      </w:r>
    </w:p>
    <w:p w:rsidR="00C7508B" w:rsidRPr="00214FDC" w:rsidRDefault="00C7508B" w:rsidP="00214FDC">
      <w:pPr>
        <w:pStyle w:val="ListParagraph"/>
        <w:numPr>
          <w:ilvl w:val="0"/>
          <w:numId w:val="3"/>
        </w:numPr>
        <w:spacing w:after="200" w:line="276" w:lineRule="auto"/>
        <w:jc w:val="both"/>
        <w:rPr>
          <w:rFonts w:ascii="Arial" w:hAnsi="Arial" w:cs="Arial"/>
        </w:rPr>
      </w:pPr>
      <w:r w:rsidRPr="00214FDC">
        <w:rPr>
          <w:rFonts w:ascii="Arial" w:hAnsi="Arial" w:cs="Arial"/>
        </w:rPr>
        <w:t xml:space="preserve">Improving the continuity of care co-ordination. </w:t>
      </w:r>
    </w:p>
    <w:p w:rsidR="00C7508B" w:rsidRPr="00C7508B" w:rsidRDefault="00813842" w:rsidP="00813842">
      <w:pPr>
        <w:spacing w:after="200" w:line="276" w:lineRule="auto"/>
        <w:jc w:val="both"/>
        <w:rPr>
          <w:rFonts w:ascii="Arial" w:hAnsi="Arial" w:cs="Arial"/>
        </w:rPr>
      </w:pPr>
      <w:r>
        <w:rPr>
          <w:rFonts w:ascii="Arial" w:hAnsi="Arial" w:cs="Arial"/>
          <w:b/>
          <w:u w:val="single"/>
        </w:rPr>
        <w:t>Bucks S</w:t>
      </w:r>
      <w:r w:rsidR="00C7508B" w:rsidRPr="00C7508B">
        <w:rPr>
          <w:rFonts w:ascii="Arial" w:hAnsi="Arial" w:cs="Arial"/>
          <w:b/>
          <w:u w:val="single"/>
        </w:rPr>
        <w:t>afety Workshop</w:t>
      </w:r>
    </w:p>
    <w:p w:rsidR="00C7508B" w:rsidRPr="00C7508B" w:rsidRDefault="00E71713" w:rsidP="00813842">
      <w:pPr>
        <w:jc w:val="both"/>
        <w:rPr>
          <w:rFonts w:ascii="Arial" w:hAnsi="Arial" w:cs="Arial"/>
        </w:rPr>
      </w:pPr>
      <w:r>
        <w:rPr>
          <w:rFonts w:ascii="Arial" w:hAnsi="Arial" w:cs="Arial"/>
        </w:rPr>
        <w:t xml:space="preserve">A </w:t>
      </w:r>
      <w:r w:rsidR="00813842">
        <w:rPr>
          <w:rFonts w:ascii="Arial" w:hAnsi="Arial" w:cs="Arial"/>
        </w:rPr>
        <w:t>second Safety W</w:t>
      </w:r>
      <w:r w:rsidR="00C7508B" w:rsidRPr="00C7508B">
        <w:rPr>
          <w:rFonts w:ascii="Arial" w:hAnsi="Arial" w:cs="Arial"/>
        </w:rPr>
        <w:t>orkshop was held</w:t>
      </w:r>
      <w:r>
        <w:rPr>
          <w:rFonts w:ascii="Arial" w:hAnsi="Arial" w:cs="Arial"/>
        </w:rPr>
        <w:t xml:space="preserve"> in November</w:t>
      </w:r>
      <w:r w:rsidR="00C7508B" w:rsidRPr="00C7508B">
        <w:rPr>
          <w:rFonts w:ascii="Arial" w:hAnsi="Arial" w:cs="Arial"/>
        </w:rPr>
        <w:t xml:space="preserve"> in Bucks with community and in-patient teams from the mental health division. The workshop offered an opportunity for managers to share local patient safety initiatives and discuss issues impacting on safe working.  </w:t>
      </w:r>
    </w:p>
    <w:p w:rsidR="00C7508B" w:rsidRPr="00C7508B" w:rsidRDefault="00C7508B" w:rsidP="00813842">
      <w:pPr>
        <w:jc w:val="both"/>
        <w:rPr>
          <w:rFonts w:ascii="Arial" w:hAnsi="Arial" w:cs="Arial"/>
        </w:rPr>
      </w:pPr>
    </w:p>
    <w:p w:rsidR="00C7508B" w:rsidRPr="00C7508B" w:rsidRDefault="00C7508B" w:rsidP="00813842">
      <w:pPr>
        <w:jc w:val="both"/>
        <w:rPr>
          <w:rFonts w:ascii="Arial" w:hAnsi="Arial" w:cs="Arial"/>
          <w:b/>
          <w:u w:val="single"/>
        </w:rPr>
      </w:pPr>
      <w:r w:rsidRPr="00C7508B">
        <w:rPr>
          <w:rFonts w:ascii="Arial" w:hAnsi="Arial" w:cs="Arial"/>
          <w:b/>
          <w:u w:val="single"/>
        </w:rPr>
        <w:t>Newsletter</w:t>
      </w:r>
    </w:p>
    <w:p w:rsidR="00C7508B" w:rsidRPr="00C7508B" w:rsidRDefault="00C7508B" w:rsidP="00813842">
      <w:pPr>
        <w:jc w:val="both"/>
        <w:rPr>
          <w:rFonts w:ascii="Arial" w:hAnsi="Arial" w:cs="Arial"/>
          <w:b/>
          <w:u w:val="single"/>
        </w:rPr>
      </w:pPr>
    </w:p>
    <w:p w:rsidR="00C7508B" w:rsidRPr="00C7508B" w:rsidRDefault="00C7508B" w:rsidP="00813842">
      <w:pPr>
        <w:jc w:val="both"/>
        <w:rPr>
          <w:rFonts w:ascii="Arial" w:hAnsi="Arial" w:cs="Arial"/>
        </w:rPr>
      </w:pPr>
      <w:r w:rsidRPr="00C7508B">
        <w:rPr>
          <w:rFonts w:ascii="Arial" w:hAnsi="Arial" w:cs="Arial"/>
        </w:rPr>
        <w:t>The Fourth Learning from Incidents Newsletter was published in October 2011.  The contents included an article on Human Factors and accident causation, resuscitation developments, divisional updates and some of the findings from the Trust clinical audit programme that re</w:t>
      </w:r>
      <w:r w:rsidR="00E71713">
        <w:rPr>
          <w:rFonts w:ascii="Arial" w:hAnsi="Arial" w:cs="Arial"/>
        </w:rPr>
        <w:t>sonate with findings from SIRIs.</w:t>
      </w:r>
    </w:p>
    <w:p w:rsidR="00C7508B" w:rsidRPr="00C7508B" w:rsidRDefault="00C7508B" w:rsidP="00813842">
      <w:pPr>
        <w:jc w:val="both"/>
        <w:rPr>
          <w:rFonts w:ascii="Arial" w:hAnsi="Arial" w:cs="Arial"/>
        </w:rPr>
      </w:pPr>
    </w:p>
    <w:p w:rsidR="00C7508B" w:rsidRPr="00C7508B" w:rsidRDefault="00C7508B" w:rsidP="00813842">
      <w:pPr>
        <w:jc w:val="both"/>
        <w:rPr>
          <w:rFonts w:ascii="Arial" w:hAnsi="Arial" w:cs="Arial"/>
          <w:b/>
          <w:u w:val="single"/>
        </w:rPr>
      </w:pPr>
      <w:r w:rsidRPr="00C7508B">
        <w:rPr>
          <w:rFonts w:ascii="Arial" w:hAnsi="Arial" w:cs="Arial"/>
          <w:b/>
          <w:u w:val="single"/>
        </w:rPr>
        <w:t>Risk Notes</w:t>
      </w:r>
    </w:p>
    <w:p w:rsidR="00C7508B" w:rsidRPr="00C7508B" w:rsidRDefault="00C7508B" w:rsidP="00813842">
      <w:pPr>
        <w:jc w:val="both"/>
        <w:rPr>
          <w:rFonts w:ascii="Arial" w:hAnsi="Arial" w:cs="Arial"/>
          <w:b/>
          <w:u w:val="single"/>
        </w:rPr>
      </w:pPr>
    </w:p>
    <w:p w:rsidR="00C7508B" w:rsidRPr="00C7508B" w:rsidRDefault="00C7508B" w:rsidP="00813842">
      <w:pPr>
        <w:jc w:val="both"/>
        <w:rPr>
          <w:rFonts w:ascii="Arial" w:hAnsi="Arial" w:cs="Arial"/>
        </w:rPr>
      </w:pPr>
      <w:r w:rsidRPr="00C7508B">
        <w:rPr>
          <w:rFonts w:ascii="Arial" w:hAnsi="Arial" w:cs="Arial"/>
        </w:rPr>
        <w:t>There have been a further 4 risk notes issued since the last report. They have related to physical health monitoring (examinations and assessments); a recall notice for a particular brand of fire heater; follow up of patients who have failed to attend appointments and preventing injury when using PMVA.</w:t>
      </w:r>
    </w:p>
    <w:p w:rsidR="00C7508B" w:rsidRPr="00C7508B" w:rsidRDefault="00C7508B" w:rsidP="00813842">
      <w:pPr>
        <w:jc w:val="both"/>
        <w:rPr>
          <w:rFonts w:ascii="Arial" w:hAnsi="Arial" w:cs="Arial"/>
          <w:u w:val="single"/>
        </w:rPr>
      </w:pPr>
    </w:p>
    <w:p w:rsidR="00C7508B" w:rsidRPr="00C7508B" w:rsidRDefault="00C7508B" w:rsidP="00813842">
      <w:pPr>
        <w:jc w:val="both"/>
        <w:rPr>
          <w:rFonts w:ascii="Arial" w:hAnsi="Arial" w:cs="Arial"/>
          <w:b/>
          <w:u w:val="single"/>
        </w:rPr>
      </w:pPr>
      <w:r w:rsidRPr="00C7508B">
        <w:rPr>
          <w:rFonts w:ascii="Arial" w:hAnsi="Arial" w:cs="Arial"/>
          <w:b/>
          <w:u w:val="single"/>
        </w:rPr>
        <w:t>Being Open</w:t>
      </w:r>
    </w:p>
    <w:p w:rsidR="00C7508B" w:rsidRPr="00C7508B" w:rsidRDefault="00C7508B" w:rsidP="00813842">
      <w:pPr>
        <w:jc w:val="both"/>
        <w:rPr>
          <w:rFonts w:ascii="Arial" w:hAnsi="Arial" w:cs="Arial"/>
        </w:rPr>
      </w:pPr>
    </w:p>
    <w:p w:rsidR="00C7508B" w:rsidRPr="00C7508B" w:rsidRDefault="00C7508B" w:rsidP="00813842">
      <w:pPr>
        <w:jc w:val="both"/>
        <w:rPr>
          <w:rFonts w:ascii="Arial" w:hAnsi="Arial" w:cs="Arial"/>
        </w:rPr>
      </w:pPr>
      <w:r w:rsidRPr="00C7508B">
        <w:rPr>
          <w:rFonts w:ascii="Arial" w:hAnsi="Arial" w:cs="Arial"/>
        </w:rPr>
        <w:t xml:space="preserve">In Q3 of 2011/12 </w:t>
      </w:r>
      <w:r w:rsidR="00E71713">
        <w:rPr>
          <w:rFonts w:ascii="Arial" w:hAnsi="Arial" w:cs="Arial"/>
        </w:rPr>
        <w:t xml:space="preserve">there were </w:t>
      </w:r>
      <w:r w:rsidRPr="00C7508B">
        <w:rPr>
          <w:rFonts w:ascii="Arial" w:hAnsi="Arial" w:cs="Arial"/>
        </w:rPr>
        <w:t xml:space="preserve">18 </w:t>
      </w:r>
      <w:r w:rsidR="00E71713">
        <w:rPr>
          <w:rFonts w:ascii="Arial" w:hAnsi="Arial" w:cs="Arial"/>
        </w:rPr>
        <w:t>RCA investigations completed that</w:t>
      </w:r>
      <w:r w:rsidRPr="00C7508B">
        <w:rPr>
          <w:rFonts w:ascii="Arial" w:hAnsi="Arial" w:cs="Arial"/>
        </w:rPr>
        <w:t xml:space="preserve"> went to panel, all actively involved or considered the involvement of family, carers or patients. </w:t>
      </w:r>
    </w:p>
    <w:p w:rsidR="00C7508B" w:rsidRPr="00C7508B" w:rsidRDefault="00C7508B" w:rsidP="00813842">
      <w:pPr>
        <w:jc w:val="both"/>
        <w:rPr>
          <w:rFonts w:ascii="Arial" w:hAnsi="Arial" w:cs="Arial"/>
          <w:b/>
        </w:rPr>
      </w:pPr>
    </w:p>
    <w:p w:rsidR="00C7508B" w:rsidRPr="00F20371" w:rsidRDefault="00D33853" w:rsidP="00C8411C">
      <w:pPr>
        <w:shd w:val="clear" w:color="auto" w:fill="FFFFFF" w:themeFill="background1"/>
        <w:jc w:val="both"/>
        <w:rPr>
          <w:rFonts w:ascii="Arial" w:hAnsi="Arial" w:cs="Arial"/>
          <w:b/>
          <w:u w:val="single"/>
        </w:rPr>
      </w:pPr>
      <w:r>
        <w:rPr>
          <w:rFonts w:ascii="Arial" w:hAnsi="Arial" w:cs="Arial"/>
          <w:b/>
          <w:u w:val="single"/>
        </w:rPr>
        <w:t>Quality Risk Profile (</w:t>
      </w:r>
      <w:r w:rsidR="00C7508B" w:rsidRPr="00F20371">
        <w:rPr>
          <w:rFonts w:ascii="Arial" w:hAnsi="Arial" w:cs="Arial"/>
          <w:b/>
          <w:u w:val="single"/>
        </w:rPr>
        <w:t>QRP</w:t>
      </w:r>
      <w:r>
        <w:rPr>
          <w:rFonts w:ascii="Arial" w:hAnsi="Arial" w:cs="Arial"/>
          <w:b/>
          <w:u w:val="single"/>
        </w:rPr>
        <w:t>)</w:t>
      </w:r>
      <w:r w:rsidR="00C7508B" w:rsidRPr="00F20371">
        <w:rPr>
          <w:rFonts w:ascii="Arial" w:hAnsi="Arial" w:cs="Arial"/>
          <w:b/>
          <w:u w:val="single"/>
        </w:rPr>
        <w:t xml:space="preserve"> Summary</w:t>
      </w:r>
    </w:p>
    <w:p w:rsidR="00C7508B" w:rsidRPr="00F20371" w:rsidRDefault="00C7508B" w:rsidP="00C8411C">
      <w:pPr>
        <w:shd w:val="clear" w:color="auto" w:fill="FFFFFF" w:themeFill="background1"/>
        <w:jc w:val="both"/>
        <w:rPr>
          <w:rFonts w:ascii="Arial" w:hAnsi="Arial" w:cs="Arial"/>
        </w:rPr>
      </w:pPr>
    </w:p>
    <w:p w:rsidR="00F20371" w:rsidRPr="00F20371" w:rsidRDefault="00F20371" w:rsidP="00C8411C">
      <w:pPr>
        <w:shd w:val="clear" w:color="auto" w:fill="FFFFFF" w:themeFill="background1"/>
        <w:jc w:val="both"/>
        <w:rPr>
          <w:rFonts w:ascii="Arial" w:hAnsi="Arial" w:cs="Arial"/>
          <w:b/>
          <w:lang w:val="en-GB"/>
        </w:rPr>
      </w:pPr>
      <w:r w:rsidRPr="00F20371">
        <w:rPr>
          <w:rFonts w:ascii="Arial" w:hAnsi="Arial" w:cs="Arial"/>
          <w:b/>
          <w:lang w:val="en-GB"/>
        </w:rPr>
        <w:t xml:space="preserve">CQC’s </w:t>
      </w:r>
      <w:r w:rsidR="00D33853">
        <w:rPr>
          <w:rFonts w:ascii="Arial" w:hAnsi="Arial" w:cs="Arial"/>
          <w:b/>
          <w:lang w:val="en-GB"/>
        </w:rPr>
        <w:t>QRP</w:t>
      </w:r>
      <w:r w:rsidRPr="00F20371">
        <w:rPr>
          <w:rFonts w:ascii="Arial" w:hAnsi="Arial" w:cs="Arial"/>
          <w:b/>
          <w:lang w:val="en-GB"/>
        </w:rPr>
        <w:t xml:space="preserve"> November 2011 (published 8</w:t>
      </w:r>
      <w:r w:rsidRPr="00F20371">
        <w:rPr>
          <w:rFonts w:ascii="Arial" w:hAnsi="Arial" w:cs="Arial"/>
          <w:b/>
          <w:vertAlign w:val="superscript"/>
          <w:lang w:val="en-GB"/>
        </w:rPr>
        <w:t xml:space="preserve">th </w:t>
      </w:r>
      <w:r w:rsidRPr="00F20371">
        <w:rPr>
          <w:rFonts w:ascii="Arial" w:hAnsi="Arial" w:cs="Arial"/>
          <w:b/>
          <w:lang w:val="en-GB"/>
        </w:rPr>
        <w:t>December 2011)</w:t>
      </w:r>
      <w:r w:rsidR="00D33853">
        <w:rPr>
          <w:rFonts w:ascii="Arial" w:hAnsi="Arial" w:cs="Arial"/>
          <w:b/>
          <w:lang w:val="en-GB"/>
        </w:rPr>
        <w:t>.</w: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t xml:space="preserve">The Trust’s profile now includes Oxfordshire Community Services. The CQC published the latest Quality Risk Profile (QRP) in November 2011. </w: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t xml:space="preserve">The following are key data sources used within the QRP: </w:t>
      </w:r>
    </w:p>
    <w:p w:rsidR="00F20371" w:rsidRPr="00F20371" w:rsidRDefault="00F20371" w:rsidP="00C8411C">
      <w:pPr>
        <w:numPr>
          <w:ilvl w:val="0"/>
          <w:numId w:val="8"/>
        </w:numPr>
        <w:shd w:val="clear" w:color="auto" w:fill="FFFFFF" w:themeFill="background1"/>
        <w:jc w:val="both"/>
        <w:rPr>
          <w:rFonts w:ascii="Arial" w:hAnsi="Arial" w:cs="Arial"/>
          <w:bCs/>
          <w:lang w:val="en-GB"/>
        </w:rPr>
      </w:pPr>
      <w:r w:rsidRPr="00F20371">
        <w:rPr>
          <w:rFonts w:ascii="Arial" w:hAnsi="Arial" w:cs="Arial"/>
          <w:bCs/>
          <w:lang w:val="en-GB"/>
        </w:rPr>
        <w:t>2010/ 2011 Staff Survey</w:t>
      </w:r>
    </w:p>
    <w:p w:rsidR="00F20371" w:rsidRPr="00F20371" w:rsidRDefault="00F20371" w:rsidP="00C8411C">
      <w:pPr>
        <w:numPr>
          <w:ilvl w:val="0"/>
          <w:numId w:val="8"/>
        </w:numPr>
        <w:shd w:val="clear" w:color="auto" w:fill="FFFFFF" w:themeFill="background1"/>
        <w:jc w:val="both"/>
        <w:rPr>
          <w:rFonts w:ascii="Arial" w:hAnsi="Arial" w:cs="Arial"/>
          <w:bCs/>
          <w:lang w:val="en-GB"/>
        </w:rPr>
      </w:pPr>
      <w:r w:rsidRPr="00F20371">
        <w:rPr>
          <w:rFonts w:ascii="Arial" w:hAnsi="Arial" w:cs="Arial"/>
          <w:bCs/>
          <w:lang w:val="en-GB"/>
        </w:rPr>
        <w:lastRenderedPageBreak/>
        <w:t>NHSLA Risk Standard as at April 2011</w:t>
      </w:r>
    </w:p>
    <w:p w:rsidR="00F20371" w:rsidRPr="00F20371" w:rsidRDefault="00F20371" w:rsidP="00C8411C">
      <w:pPr>
        <w:numPr>
          <w:ilvl w:val="0"/>
          <w:numId w:val="8"/>
        </w:numPr>
        <w:shd w:val="clear" w:color="auto" w:fill="FFFFFF" w:themeFill="background1"/>
        <w:jc w:val="both"/>
        <w:rPr>
          <w:rFonts w:ascii="Arial" w:hAnsi="Arial" w:cs="Arial"/>
          <w:bCs/>
          <w:lang w:val="en-GB"/>
        </w:rPr>
      </w:pPr>
      <w:r w:rsidRPr="00F20371">
        <w:rPr>
          <w:rFonts w:ascii="Arial" w:hAnsi="Arial" w:cs="Arial"/>
          <w:bCs/>
          <w:lang w:val="en-GB"/>
        </w:rPr>
        <w:t>2010 National Community Patient Survey</w:t>
      </w:r>
    </w:p>
    <w:p w:rsidR="00F20371" w:rsidRPr="00F20371" w:rsidRDefault="00F20371" w:rsidP="00C8411C">
      <w:pPr>
        <w:numPr>
          <w:ilvl w:val="0"/>
          <w:numId w:val="8"/>
        </w:numPr>
        <w:shd w:val="clear" w:color="auto" w:fill="FFFFFF" w:themeFill="background1"/>
        <w:jc w:val="both"/>
        <w:rPr>
          <w:rFonts w:ascii="Arial" w:hAnsi="Arial" w:cs="Arial"/>
          <w:bCs/>
          <w:lang w:val="en-GB"/>
        </w:rPr>
      </w:pPr>
      <w:r w:rsidRPr="00F20371">
        <w:rPr>
          <w:rFonts w:ascii="Arial" w:hAnsi="Arial" w:cs="Arial"/>
          <w:bCs/>
          <w:lang w:val="en-GB"/>
        </w:rPr>
        <w:t>2011 Annual PEAT Assessment</w: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t>The QRP is</w:t>
      </w:r>
      <w:r w:rsidR="00D33853">
        <w:rPr>
          <w:rFonts w:ascii="Arial" w:hAnsi="Arial" w:cs="Arial"/>
          <w:lang w:val="en-GB"/>
        </w:rPr>
        <w:t xml:space="preserve"> a risk rating of the Trust by CQC O</w:t>
      </w:r>
      <w:r w:rsidRPr="00F20371">
        <w:rPr>
          <w:rFonts w:ascii="Arial" w:hAnsi="Arial" w:cs="Arial"/>
          <w:lang w:val="en-GB"/>
        </w:rPr>
        <w:t>utcome based on a scale from reducing risk of non-compliance (green) to increasing risk of non-compliance (red), see figure 1.</w: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i/>
          <w:lang w:val="en-GB"/>
        </w:rPr>
      </w:pPr>
      <w:r w:rsidRPr="00F20371">
        <w:rPr>
          <w:rFonts w:ascii="Arial" w:hAnsi="Arial" w:cs="Arial"/>
          <w:i/>
          <w:lang w:val="en-GB"/>
        </w:rPr>
        <w:t>Figure 1.</w: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6" o:spid="_x0000_i1033" type="#_x0000_t75" style="width:481.5pt;height:84pt;visibility:visible">
            <v:imagedata r:id="rId19" o:title=""/>
          </v:shape>
        </w:pic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t>Figure 2 shows a summary of the CQC’s risk ratings over time from May to November 2011, showing the number of outcomes (16 in total) rated against each of the areas of the risk rating scale.</w: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i/>
          <w:lang w:val="en-GB"/>
        </w:rPr>
      </w:pPr>
      <w:r w:rsidRPr="00F20371">
        <w:rPr>
          <w:rFonts w:ascii="Arial" w:hAnsi="Arial" w:cs="Arial"/>
          <w:i/>
          <w:lang w:val="en-GB"/>
        </w:rPr>
        <w:t>Figure 2.</w: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15" o:spid="_x0000_i1034" type="#_x0000_t75" style="width:451.5pt;height:145.5pt;visibility:visible">
            <v:imagedata r:id="rId20" o:title=""/>
          </v:shape>
        </w:pic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t>Figure 3 shows the CQC’s risk rating for the Trust by outcome over time from March to October 2011. The scale is the same as used in figure 1. None of the risk ratings for the outcomes has worsened between September and October 2011. Where insufficient data or no data is shown this means the CQC has none or some data available but it is not sufficient to make a risk estimate and assessment.</w:t>
      </w:r>
    </w:p>
    <w:p w:rsidR="00F20371" w:rsidRPr="00F20371" w:rsidRDefault="00F20371" w:rsidP="00C8411C">
      <w:pPr>
        <w:shd w:val="clear" w:color="auto" w:fill="FFFFFF" w:themeFill="background1"/>
        <w:jc w:val="both"/>
        <w:rPr>
          <w:rFonts w:ascii="Arial" w:hAnsi="Arial" w:cs="Arial"/>
          <w:lang w:val="en-GB"/>
        </w:rPr>
      </w:pPr>
    </w:p>
    <w:p w:rsidR="00F20371" w:rsidRPr="00F20371" w:rsidRDefault="00F20371" w:rsidP="00C8411C">
      <w:pPr>
        <w:shd w:val="clear" w:color="auto" w:fill="FFFFFF" w:themeFill="background1"/>
        <w:jc w:val="both"/>
        <w:rPr>
          <w:rFonts w:ascii="Arial" w:hAnsi="Arial" w:cs="Arial"/>
          <w:i/>
          <w:lang w:val="en-GB"/>
        </w:rPr>
      </w:pPr>
      <w:r w:rsidRPr="00F20371">
        <w:rPr>
          <w:rFonts w:ascii="Arial" w:hAnsi="Arial" w:cs="Arial"/>
          <w:i/>
          <w:lang w:val="en-GB"/>
        </w:rPr>
        <w:t>Figure 3.</w: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16" o:spid="_x0000_i1035" type="#_x0000_t75" style="width:451.5pt;height:33pt;visibility:visible">
            <v:imagedata r:id="rId21" o:title=""/>
          </v:shape>
        </w:pic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17" o:spid="_x0000_i1036" type="#_x0000_t75" style="width:451.5pt;height:42.75pt;visibility:visible">
            <v:imagedata r:id="rId22" o:title=""/>
          </v:shape>
        </w:pic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lastRenderedPageBreak/>
        <w:pict>
          <v:shape id="Picture 18" o:spid="_x0000_i1037" type="#_x0000_t75" style="width:451.5pt;height:64.5pt;visibility:visible">
            <v:imagedata r:id="rId23" o:title=""/>
          </v:shape>
        </w:pic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19" o:spid="_x0000_i1038" type="#_x0000_t75" style="width:451.5pt;height:42.75pt;visibility:visible">
            <v:imagedata r:id="rId24" o:title=""/>
          </v:shape>
        </w:pict>
      </w:r>
    </w:p>
    <w:p w:rsidR="00F20371" w:rsidRPr="00F20371" w:rsidRDefault="00F20371" w:rsidP="00C8411C">
      <w:pPr>
        <w:shd w:val="clear" w:color="auto" w:fill="FFFFFF" w:themeFill="background1"/>
        <w:jc w:val="both"/>
        <w:rPr>
          <w:rFonts w:ascii="Arial" w:hAnsi="Arial" w:cs="Arial"/>
          <w:lang w:val="en-GB"/>
        </w:rPr>
      </w:pPr>
      <w:r w:rsidRPr="00F20371">
        <w:rPr>
          <w:rFonts w:ascii="Arial" w:hAnsi="Arial" w:cs="Arial"/>
          <w:lang w:val="en-GB"/>
        </w:rPr>
        <w:pict>
          <v:shape id="Picture 20" o:spid="_x0000_i1039" type="#_x0000_t75" style="width:451.5pt;height:44.25pt;visibility:visible">
            <v:imagedata r:id="rId25" o:title=""/>
          </v:shape>
        </w:pict>
      </w:r>
    </w:p>
    <w:p w:rsidR="00F20371" w:rsidRPr="00F20371" w:rsidRDefault="00F20371" w:rsidP="00D33853">
      <w:pPr>
        <w:shd w:val="clear" w:color="auto" w:fill="D9D9D9"/>
        <w:jc w:val="both"/>
        <w:rPr>
          <w:rFonts w:ascii="Arial" w:hAnsi="Arial" w:cs="Arial"/>
          <w:lang w:val="en-GB"/>
        </w:rPr>
      </w:pPr>
    </w:p>
    <w:p w:rsidR="00F20371" w:rsidRPr="00F20371" w:rsidRDefault="00F20371" w:rsidP="00F20371">
      <w:pPr>
        <w:jc w:val="both"/>
        <w:rPr>
          <w:rFonts w:ascii="Arial" w:hAnsi="Arial" w:cs="Arial"/>
          <w:color w:val="FF0000"/>
          <w:lang w:val="en-GB"/>
        </w:rPr>
      </w:pPr>
    </w:p>
    <w:p w:rsidR="00337DF3" w:rsidRDefault="00337DF3" w:rsidP="00813842">
      <w:pPr>
        <w:jc w:val="both"/>
        <w:rPr>
          <w:rFonts w:ascii="Arial" w:hAnsi="Arial" w:cs="Arial"/>
        </w:rPr>
      </w:pPr>
    </w:p>
    <w:p w:rsidR="001E2EB6" w:rsidRDefault="001E2EB6" w:rsidP="00813842">
      <w:pPr>
        <w:jc w:val="both"/>
        <w:rPr>
          <w:rFonts w:ascii="Arial" w:hAnsi="Arial" w:cs="Arial"/>
          <w:b/>
          <w:u w:val="single"/>
        </w:rPr>
      </w:pPr>
      <w:r w:rsidRPr="001E2EB6">
        <w:rPr>
          <w:rFonts w:ascii="Arial" w:hAnsi="Arial" w:cs="Arial"/>
          <w:b/>
          <w:u w:val="single"/>
        </w:rPr>
        <w:t>NHS Litigation Authority Assessment</w:t>
      </w:r>
    </w:p>
    <w:p w:rsidR="001E2EB6" w:rsidRPr="001E2EB6" w:rsidRDefault="001E2EB6" w:rsidP="00813842">
      <w:pPr>
        <w:jc w:val="both"/>
        <w:rPr>
          <w:rFonts w:ascii="Arial" w:hAnsi="Arial" w:cs="Arial"/>
          <w:b/>
          <w:u w:val="single"/>
        </w:rPr>
      </w:pPr>
    </w:p>
    <w:p w:rsidR="001E2EB6" w:rsidRPr="00C7508B" w:rsidRDefault="001E2EB6" w:rsidP="00813842">
      <w:pPr>
        <w:jc w:val="both"/>
        <w:rPr>
          <w:rFonts w:ascii="Arial" w:hAnsi="Arial" w:cs="Arial"/>
        </w:rPr>
      </w:pPr>
      <w:r>
        <w:rPr>
          <w:rFonts w:ascii="Arial" w:hAnsi="Arial" w:cs="Arial"/>
        </w:rPr>
        <w:t xml:space="preserve">We are preparing for this Level 1 assessment which will take place in March 2012. Achievement of a minimum of Level 1 is important for Monitor Governance compliance and reduces the premiums paid to the Litigation Authority, who manage claims on behalf of NHS organisations. As a new organization this assessment has required a significant number of policies to be developed, reviewed and approved through Oxford Health NHS FT Governance Committees. </w:t>
      </w:r>
    </w:p>
    <w:sectPr w:rsidR="001E2EB6" w:rsidRPr="00C7508B" w:rsidSect="00337DF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1E" w:rsidRDefault="00941F1E" w:rsidP="005B3E3C">
      <w:r>
        <w:separator/>
      </w:r>
    </w:p>
  </w:endnote>
  <w:endnote w:type="continuationSeparator" w:id="1">
    <w:p w:rsidR="00941F1E" w:rsidRDefault="00941F1E"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1C" w:rsidRDefault="00C84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53" w:rsidRDefault="00D33853">
    <w:pPr>
      <w:pStyle w:val="Footer"/>
      <w:jc w:val="right"/>
    </w:pPr>
    <w:fldSimple w:instr=" PAGE   \* MERGEFORMAT ">
      <w:r w:rsidR="00C8411C">
        <w:rPr>
          <w:noProof/>
        </w:rPr>
        <w:t>6</w:t>
      </w:r>
    </w:fldSimple>
  </w:p>
  <w:p w:rsidR="00D33853" w:rsidRDefault="00D338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1C" w:rsidRDefault="00C84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1E" w:rsidRDefault="00941F1E" w:rsidP="005B3E3C">
      <w:r>
        <w:separator/>
      </w:r>
    </w:p>
  </w:footnote>
  <w:footnote w:type="continuationSeparator" w:id="1">
    <w:p w:rsidR="00941F1E" w:rsidRDefault="00941F1E"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1C" w:rsidRDefault="00C84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53" w:rsidRPr="005B3E3C" w:rsidRDefault="00D33853" w:rsidP="005B3E3C">
    <w:pPr>
      <w:pStyle w:val="Header"/>
      <w:jc w:val="center"/>
      <w:rPr>
        <w:rFonts w:ascii="Arial" w:hAnsi="Arial" w:cs="Arial"/>
      </w:rPr>
    </w:pPr>
    <w:r>
      <w:rPr>
        <w:rFonts w:ascii="Arial" w:hAnsi="Arial" w:cs="Arial"/>
      </w:rPr>
      <w:t>[</w:t>
    </w:r>
    <w:r>
      <w:rPr>
        <w:rFonts w:ascii="Arial" w:hAnsi="Arial" w:cs="Arial"/>
        <w:b/>
        <w:i/>
      </w:rPr>
      <w:t>PUBLIC</w:t>
    </w:r>
    <w:r>
      <w:rPr>
        <w:rFonts w:ascii="Arial" w:hAnsi="Arial" w:cs="Arial"/>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1C" w:rsidRDefault="00C84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A41"/>
    <w:multiLevelType w:val="hybridMultilevel"/>
    <w:tmpl w:val="04C2E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B6E5E99"/>
    <w:multiLevelType w:val="hybridMultilevel"/>
    <w:tmpl w:val="EE06255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2DB543E5"/>
    <w:multiLevelType w:val="hybridMultilevel"/>
    <w:tmpl w:val="CAACB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88450C3"/>
    <w:multiLevelType w:val="hybridMultilevel"/>
    <w:tmpl w:val="41828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BF15323"/>
    <w:multiLevelType w:val="hybridMultilevel"/>
    <w:tmpl w:val="1A56B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EE73A18"/>
    <w:multiLevelType w:val="hybridMultilevel"/>
    <w:tmpl w:val="E44CD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96E0CFE"/>
    <w:multiLevelType w:val="hybridMultilevel"/>
    <w:tmpl w:val="2C5AE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29552B"/>
    <w:multiLevelType w:val="hybridMultilevel"/>
    <w:tmpl w:val="4480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FB4C6A"/>
    <w:multiLevelType w:val="hybridMultilevel"/>
    <w:tmpl w:val="A3A0B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8F34291"/>
    <w:multiLevelType w:val="hybridMultilevel"/>
    <w:tmpl w:val="E2DE1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11"/>
  </w:num>
  <w:num w:numId="6">
    <w:abstractNumId w:val="4"/>
  </w:num>
  <w:num w:numId="7">
    <w:abstractNumId w:val="7"/>
  </w:num>
  <w:num w:numId="8">
    <w:abstractNumId w:val="8"/>
  </w:num>
  <w:num w:numId="9">
    <w:abstractNumId w:val="6"/>
  </w:num>
  <w:num w:numId="10">
    <w:abstractNumId w:val="10"/>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B0DF6"/>
    <w:rsid w:val="001E2EB6"/>
    <w:rsid w:val="001F76ED"/>
    <w:rsid w:val="00214FDC"/>
    <w:rsid w:val="00227FCE"/>
    <w:rsid w:val="002619EF"/>
    <w:rsid w:val="00264F67"/>
    <w:rsid w:val="002821F8"/>
    <w:rsid w:val="00292613"/>
    <w:rsid w:val="002A73E8"/>
    <w:rsid w:val="002C2F97"/>
    <w:rsid w:val="002E3CA4"/>
    <w:rsid w:val="002E6FC6"/>
    <w:rsid w:val="00337DF3"/>
    <w:rsid w:val="003971F6"/>
    <w:rsid w:val="003E43C3"/>
    <w:rsid w:val="004326BB"/>
    <w:rsid w:val="004F4BBA"/>
    <w:rsid w:val="005233AA"/>
    <w:rsid w:val="00551B0F"/>
    <w:rsid w:val="005659FB"/>
    <w:rsid w:val="005B3E3C"/>
    <w:rsid w:val="005C3FC1"/>
    <w:rsid w:val="005D0374"/>
    <w:rsid w:val="005D3499"/>
    <w:rsid w:val="0073522A"/>
    <w:rsid w:val="007976E7"/>
    <w:rsid w:val="007A57C6"/>
    <w:rsid w:val="00813842"/>
    <w:rsid w:val="0086436B"/>
    <w:rsid w:val="0089486C"/>
    <w:rsid w:val="00894B97"/>
    <w:rsid w:val="00941F1E"/>
    <w:rsid w:val="00946E6E"/>
    <w:rsid w:val="00987AA4"/>
    <w:rsid w:val="009E2D63"/>
    <w:rsid w:val="00A66D2D"/>
    <w:rsid w:val="00A85311"/>
    <w:rsid w:val="00AC3814"/>
    <w:rsid w:val="00AF0562"/>
    <w:rsid w:val="00B26E1A"/>
    <w:rsid w:val="00B50D5E"/>
    <w:rsid w:val="00BA3B3E"/>
    <w:rsid w:val="00BF5367"/>
    <w:rsid w:val="00C7508B"/>
    <w:rsid w:val="00C76B3B"/>
    <w:rsid w:val="00C8411C"/>
    <w:rsid w:val="00C97F77"/>
    <w:rsid w:val="00D07064"/>
    <w:rsid w:val="00D279FC"/>
    <w:rsid w:val="00D33853"/>
    <w:rsid w:val="00D540EA"/>
    <w:rsid w:val="00D55ADD"/>
    <w:rsid w:val="00DA0FA6"/>
    <w:rsid w:val="00DA71B3"/>
    <w:rsid w:val="00DD33DF"/>
    <w:rsid w:val="00DE1293"/>
    <w:rsid w:val="00E71713"/>
    <w:rsid w:val="00E71C82"/>
    <w:rsid w:val="00F00EB3"/>
    <w:rsid w:val="00F20371"/>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BalloonText">
    <w:name w:val="Balloon Text"/>
    <w:basedOn w:val="Normal"/>
    <w:link w:val="BalloonTextChar"/>
    <w:rsid w:val="0089486C"/>
    <w:rPr>
      <w:rFonts w:ascii="Tahoma" w:hAnsi="Tahoma" w:cs="Tahoma"/>
      <w:sz w:val="16"/>
      <w:szCs w:val="16"/>
    </w:rPr>
  </w:style>
  <w:style w:type="character" w:customStyle="1" w:styleId="BalloonTextChar">
    <w:name w:val="Balloon Text Char"/>
    <w:basedOn w:val="DefaultParagraphFont"/>
    <w:link w:val="BalloonText"/>
    <w:rsid w:val="0089486C"/>
    <w:rPr>
      <w:rFonts w:ascii="Tahoma" w:hAnsi="Tahoma" w:cs="Tahoma"/>
      <w:sz w:val="16"/>
      <w:szCs w:val="16"/>
      <w:lang w:val="en-US" w:eastAsia="en-US"/>
    </w:rPr>
  </w:style>
  <w:style w:type="paragraph" w:styleId="ListParagraph">
    <w:name w:val="List Paragraph"/>
    <w:basedOn w:val="Normal"/>
    <w:uiPriority w:val="34"/>
    <w:qFormat/>
    <w:rsid w:val="00C750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cid:image001.png@01CCCC87.D0A2993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cid:image001.png@01CCCC84.6AD75CB0" TargetMode="External"/><Relationship Id="rId17" Type="http://schemas.openxmlformats.org/officeDocument/2006/relationships/image" Target="media/image8.png"/><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png@01CCCC85.B6B73B40" TargetMode="External"/><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e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F19D-A256-49DD-A87E-29F07215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1402</Words>
  <Characters>7489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2012-01-31T12:11:00Z</cp:lastPrinted>
  <dcterms:created xsi:type="dcterms:W3CDTF">2012-02-02T10:28:00Z</dcterms:created>
  <dcterms:modified xsi:type="dcterms:W3CDTF">2012-02-02T10:28:00Z</dcterms:modified>
</cp:coreProperties>
</file>