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D181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1101AA">
                            <w:pPr>
                              <w:jc w:val="center"/>
                              <w:rPr>
                                <w:b/>
                              </w:rPr>
                            </w:pPr>
                          </w:p>
                          <w:p w:rsidR="00B00CD9" w:rsidRDefault="004F546C">
                            <w:pPr>
                              <w:jc w:val="center"/>
                              <w:rPr>
                                <w:rFonts w:ascii="Arial" w:hAnsi="Arial" w:cs="Arial"/>
                              </w:rPr>
                            </w:pPr>
                            <w:r>
                              <w:rPr>
                                <w:rFonts w:ascii="Arial" w:hAnsi="Arial" w:cs="Arial"/>
                                <w:b/>
                              </w:rPr>
                              <w:t>CG 10</w:t>
                            </w:r>
                            <w:r w:rsidR="00B00CD9">
                              <w:rPr>
                                <w:rFonts w:ascii="Arial" w:hAnsi="Arial" w:cs="Arial"/>
                                <w:b/>
                              </w:rPr>
                              <w:t>/2016</w:t>
                            </w:r>
                          </w:p>
                          <w:p w:rsidR="00B00CD9" w:rsidRPr="00B00CD9" w:rsidRDefault="00B00CD9">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101AA" w:rsidRDefault="001101AA">
                      <w:pPr>
                        <w:jc w:val="center"/>
                        <w:rPr>
                          <w:b/>
                        </w:rPr>
                      </w:pPr>
                    </w:p>
                    <w:p w:rsidR="00B00CD9" w:rsidRDefault="004F546C">
                      <w:pPr>
                        <w:jc w:val="center"/>
                        <w:rPr>
                          <w:rFonts w:ascii="Arial" w:hAnsi="Arial" w:cs="Arial"/>
                        </w:rPr>
                      </w:pPr>
                      <w:r>
                        <w:rPr>
                          <w:rFonts w:ascii="Arial" w:hAnsi="Arial" w:cs="Arial"/>
                          <w:b/>
                        </w:rPr>
                        <w:t>CG 10</w:t>
                      </w:r>
                      <w:r w:rsidR="00B00CD9">
                        <w:rPr>
                          <w:rFonts w:ascii="Arial" w:hAnsi="Arial" w:cs="Arial"/>
                          <w:b/>
                        </w:rPr>
                        <w:t>/2016</w:t>
                      </w:r>
                    </w:p>
                    <w:p w:rsidR="00B00CD9" w:rsidRPr="00B00CD9" w:rsidRDefault="00B00CD9">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16)</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5D3499" w:rsidP="00A85311">
      <w:pPr>
        <w:rPr>
          <w:rFonts w:ascii="Arial" w:hAnsi="Arial" w:cs="Arial"/>
          <w:b/>
        </w:rPr>
      </w:pPr>
    </w:p>
    <w:p w:rsidR="005D3499" w:rsidRDefault="00B00CD9">
      <w:pPr>
        <w:jc w:val="center"/>
        <w:rPr>
          <w:rFonts w:ascii="Arial" w:hAnsi="Arial" w:cs="Arial"/>
          <w:b/>
        </w:rPr>
      </w:pPr>
      <w:r>
        <w:rPr>
          <w:rFonts w:ascii="Arial" w:hAnsi="Arial" w:cs="Arial"/>
          <w:b/>
        </w:rPr>
        <w:t>0</w:t>
      </w:r>
      <w:r w:rsidR="00431086">
        <w:rPr>
          <w:rFonts w:ascii="Arial" w:hAnsi="Arial" w:cs="Arial"/>
          <w:b/>
        </w:rPr>
        <w:t>9 March</w:t>
      </w:r>
      <w:r w:rsidR="004326BB">
        <w:rPr>
          <w:rFonts w:ascii="Arial" w:hAnsi="Arial" w:cs="Arial"/>
          <w:b/>
        </w:rPr>
        <w:t xml:space="preserve"> 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5D3499" w:rsidRDefault="004A746E">
      <w:pPr>
        <w:jc w:val="center"/>
        <w:rPr>
          <w:rFonts w:ascii="Arial" w:hAnsi="Arial" w:cs="Arial"/>
          <w:b/>
        </w:rPr>
      </w:pPr>
      <w:r>
        <w:rPr>
          <w:rFonts w:ascii="Arial" w:hAnsi="Arial" w:cs="Arial"/>
          <w:b/>
        </w:rPr>
        <w:t xml:space="preserve"> Governor Development Programme</w:t>
      </w:r>
    </w:p>
    <w:p w:rsidR="005D3499" w:rsidRDefault="005D3499">
      <w:pPr>
        <w:rPr>
          <w:rFonts w:ascii="Arial" w:hAnsi="Arial" w:cs="Arial"/>
          <w:b/>
        </w:rPr>
      </w:pPr>
    </w:p>
    <w:p w:rsidR="00292613" w:rsidRPr="006C2656" w:rsidRDefault="00292613" w:rsidP="00292613">
      <w:pPr>
        <w:rPr>
          <w:rFonts w:ascii="Arial" w:hAnsi="Arial" w:cs="Arial"/>
          <w:b/>
          <w:u w:val="single"/>
        </w:rPr>
      </w:pPr>
      <w:r w:rsidRPr="006C2656">
        <w:rPr>
          <w:rFonts w:ascii="Arial" w:hAnsi="Arial" w:cs="Arial"/>
          <w:b/>
          <w:u w:val="single"/>
        </w:rPr>
        <w:t>For</w:t>
      </w:r>
      <w:r w:rsidR="001101AA" w:rsidRPr="006C2656">
        <w:rPr>
          <w:rFonts w:ascii="Arial" w:hAnsi="Arial" w:cs="Arial"/>
          <w:b/>
          <w:u w:val="single"/>
        </w:rPr>
        <w:t xml:space="preserve"> </w:t>
      </w:r>
      <w:r w:rsidR="006C2656" w:rsidRPr="006C2656">
        <w:rPr>
          <w:rFonts w:ascii="Arial" w:hAnsi="Arial" w:cs="Arial"/>
          <w:b/>
          <w:u w:val="single"/>
        </w:rPr>
        <w:t>Approval</w:t>
      </w:r>
    </w:p>
    <w:p w:rsidR="004A746E" w:rsidRDefault="004A746E" w:rsidP="004A746E">
      <w:pPr>
        <w:pStyle w:val="Title"/>
        <w:spacing w:before="120" w:after="120"/>
        <w:jc w:val="left"/>
        <w:rPr>
          <w:sz w:val="24"/>
        </w:rPr>
      </w:pPr>
      <w:r>
        <w:rPr>
          <w:sz w:val="24"/>
        </w:rPr>
        <w:tab/>
      </w:r>
      <w:r>
        <w:rPr>
          <w:sz w:val="24"/>
        </w:rPr>
        <w:tab/>
      </w:r>
    </w:p>
    <w:tbl>
      <w:tblPr>
        <w:tblW w:w="0" w:type="auto"/>
        <w:tblLook w:val="0000" w:firstRow="0" w:lastRow="0" w:firstColumn="0" w:lastColumn="0" w:noHBand="0" w:noVBand="0"/>
      </w:tblPr>
      <w:tblGrid>
        <w:gridCol w:w="8856"/>
      </w:tblGrid>
      <w:tr w:rsidR="004A746E" w:rsidTr="004A746E">
        <w:tc>
          <w:tcPr>
            <w:tcW w:w="9828" w:type="dxa"/>
          </w:tcPr>
          <w:p w:rsidR="004A746E" w:rsidRPr="00AE7F9D" w:rsidRDefault="004A746E" w:rsidP="00863964">
            <w:pPr>
              <w:spacing w:before="120" w:after="120"/>
              <w:rPr>
                <w:rFonts w:ascii="Arial" w:hAnsi="Arial" w:cs="Arial"/>
                <w:b/>
                <w:bCs/>
              </w:rPr>
            </w:pPr>
            <w:r w:rsidRPr="00AE7F9D">
              <w:rPr>
                <w:rFonts w:ascii="Arial" w:hAnsi="Arial" w:cs="Arial"/>
                <w:b/>
                <w:bCs/>
              </w:rPr>
              <w:t>1. Purpose of the Report:</w:t>
            </w:r>
          </w:p>
        </w:tc>
      </w:tr>
      <w:tr w:rsidR="004A746E" w:rsidTr="004A746E">
        <w:tc>
          <w:tcPr>
            <w:tcW w:w="9828" w:type="dxa"/>
          </w:tcPr>
          <w:p w:rsidR="004A746E" w:rsidRPr="004203C4" w:rsidRDefault="004A746E" w:rsidP="00863964">
            <w:pPr>
              <w:spacing w:before="120" w:after="120"/>
              <w:rPr>
                <w:rFonts w:ascii="Arial" w:hAnsi="Arial" w:cs="Arial"/>
                <w:bCs/>
              </w:rPr>
            </w:pPr>
            <w:r w:rsidRPr="0036228B">
              <w:rPr>
                <w:rFonts w:ascii="Arial" w:hAnsi="Arial" w:cs="Arial"/>
                <w:bCs/>
              </w:rPr>
              <w:t xml:space="preserve">To </w:t>
            </w:r>
            <w:r>
              <w:rPr>
                <w:rFonts w:ascii="Arial" w:hAnsi="Arial" w:cs="Arial"/>
                <w:bCs/>
              </w:rPr>
              <w:t>update all Governors on the progress made in the creation of a Governor Development Programme designed to take into account the requirements of such as the Health and Social Care Act 2012 and the collective needs of the Council of Governors (</w:t>
            </w:r>
            <w:proofErr w:type="spellStart"/>
            <w:r>
              <w:rPr>
                <w:rFonts w:ascii="Arial" w:hAnsi="Arial" w:cs="Arial"/>
                <w:bCs/>
              </w:rPr>
              <w:t>CoG</w:t>
            </w:r>
            <w:proofErr w:type="spellEnd"/>
            <w:r>
              <w:rPr>
                <w:rFonts w:ascii="Arial" w:hAnsi="Arial" w:cs="Arial"/>
                <w:bCs/>
              </w:rPr>
              <w:t>) as determined by the responses to the February 2016 Knowledge and Skills Audit (to which 16 governors responded)</w:t>
            </w:r>
            <w:r w:rsidR="00507C2D">
              <w:rPr>
                <w:rFonts w:ascii="Arial" w:hAnsi="Arial" w:cs="Arial"/>
                <w:bCs/>
              </w:rPr>
              <w:t>.</w:t>
            </w:r>
          </w:p>
        </w:tc>
      </w:tr>
      <w:tr w:rsidR="004A746E" w:rsidTr="004A746E">
        <w:tc>
          <w:tcPr>
            <w:tcW w:w="9828" w:type="dxa"/>
          </w:tcPr>
          <w:p w:rsidR="004A746E" w:rsidRDefault="004A746E" w:rsidP="00863964">
            <w:pPr>
              <w:spacing w:before="120" w:after="120"/>
              <w:rPr>
                <w:rFonts w:ascii="Arial" w:hAnsi="Arial" w:cs="Arial"/>
                <w:b/>
                <w:bCs/>
              </w:rPr>
            </w:pPr>
            <w:r>
              <w:rPr>
                <w:rFonts w:ascii="Arial" w:hAnsi="Arial" w:cs="Arial"/>
                <w:b/>
                <w:bCs/>
              </w:rPr>
              <w:t>2. Action Required:</w:t>
            </w:r>
          </w:p>
        </w:tc>
      </w:tr>
      <w:tr w:rsidR="004A746E" w:rsidTr="004A746E">
        <w:tc>
          <w:tcPr>
            <w:tcW w:w="9828" w:type="dxa"/>
          </w:tcPr>
          <w:p w:rsidR="004A746E" w:rsidRDefault="004A746E" w:rsidP="00863964">
            <w:pPr>
              <w:spacing w:before="120" w:after="120"/>
              <w:rPr>
                <w:rFonts w:ascii="Arial" w:hAnsi="Arial" w:cs="Arial"/>
                <w:bCs/>
              </w:rPr>
            </w:pPr>
            <w:r w:rsidRPr="00825B3F">
              <w:rPr>
                <w:rFonts w:ascii="Arial" w:hAnsi="Arial" w:cs="Arial"/>
                <w:bCs/>
              </w:rPr>
              <w:t xml:space="preserve">To </w:t>
            </w:r>
            <w:r>
              <w:rPr>
                <w:rFonts w:ascii="Arial" w:hAnsi="Arial" w:cs="Arial"/>
                <w:bCs/>
              </w:rPr>
              <w:t>consider</w:t>
            </w:r>
            <w:r w:rsidRPr="00825B3F">
              <w:rPr>
                <w:rFonts w:ascii="Arial" w:hAnsi="Arial" w:cs="Arial"/>
                <w:bCs/>
              </w:rPr>
              <w:t xml:space="preserve"> and approve the </w:t>
            </w:r>
            <w:r>
              <w:rPr>
                <w:rFonts w:ascii="Arial" w:hAnsi="Arial" w:cs="Arial"/>
                <w:bCs/>
              </w:rPr>
              <w:t xml:space="preserve">proposed design of the </w:t>
            </w:r>
            <w:r w:rsidRPr="00DB51A6">
              <w:rPr>
                <w:rFonts w:ascii="Arial" w:hAnsi="Arial" w:cs="Arial"/>
                <w:b/>
                <w:bCs/>
              </w:rPr>
              <w:t>mandatory</w:t>
            </w:r>
            <w:r>
              <w:rPr>
                <w:rFonts w:ascii="Arial" w:hAnsi="Arial" w:cs="Arial"/>
                <w:bCs/>
              </w:rPr>
              <w:t xml:space="preserve"> sessions of the  Oxford Health FT Governor Development Programme in the context of the development of the national Governor Development Programme by NHS Providers. </w:t>
            </w:r>
          </w:p>
          <w:p w:rsidR="004A746E" w:rsidRPr="0005757B" w:rsidRDefault="004A746E" w:rsidP="00863964">
            <w:pPr>
              <w:spacing w:before="120" w:after="120"/>
              <w:rPr>
                <w:rFonts w:ascii="Arial" w:hAnsi="Arial" w:cs="Arial"/>
                <w:bCs/>
              </w:rPr>
            </w:pPr>
            <w:r>
              <w:rPr>
                <w:rFonts w:ascii="Arial" w:hAnsi="Arial" w:cs="Arial"/>
                <w:bCs/>
              </w:rPr>
              <w:t xml:space="preserve">To consider and agree the topics to be included within the </w:t>
            </w:r>
            <w:r w:rsidRPr="00DB51A6">
              <w:rPr>
                <w:rFonts w:ascii="Arial" w:hAnsi="Arial" w:cs="Arial"/>
                <w:b/>
                <w:bCs/>
              </w:rPr>
              <w:t>optional</w:t>
            </w:r>
            <w:r>
              <w:rPr>
                <w:rFonts w:ascii="Arial" w:hAnsi="Arial" w:cs="Arial"/>
                <w:bCs/>
              </w:rPr>
              <w:t xml:space="preserve"> modules for enhancement of the Governor Development Programme.</w:t>
            </w:r>
          </w:p>
        </w:tc>
      </w:tr>
      <w:tr w:rsidR="004A746E" w:rsidTr="004A746E">
        <w:tc>
          <w:tcPr>
            <w:tcW w:w="9828" w:type="dxa"/>
          </w:tcPr>
          <w:p w:rsidR="004A746E" w:rsidRPr="008771E4" w:rsidRDefault="004A746E" w:rsidP="00863964">
            <w:pPr>
              <w:spacing w:before="120" w:after="120"/>
              <w:rPr>
                <w:rFonts w:ascii="Arial" w:hAnsi="Arial" w:cs="Arial"/>
                <w:b/>
                <w:bCs/>
              </w:rPr>
            </w:pPr>
            <w:r w:rsidRPr="008771E4">
              <w:rPr>
                <w:rFonts w:ascii="Arial" w:hAnsi="Arial" w:cs="Arial"/>
                <w:b/>
                <w:bCs/>
              </w:rPr>
              <w:t>3. Background</w:t>
            </w:r>
          </w:p>
        </w:tc>
      </w:tr>
      <w:tr w:rsidR="004A746E" w:rsidTr="004A746E">
        <w:tc>
          <w:tcPr>
            <w:tcW w:w="9828" w:type="dxa"/>
          </w:tcPr>
          <w:p w:rsidR="004A746E" w:rsidRDefault="004A746E" w:rsidP="00863964">
            <w:pPr>
              <w:spacing w:before="120" w:after="120"/>
              <w:rPr>
                <w:rFonts w:ascii="Arial" w:hAnsi="Arial" w:cs="Arial"/>
                <w:bCs/>
              </w:rPr>
            </w:pPr>
            <w:r>
              <w:rPr>
                <w:rFonts w:ascii="Arial" w:hAnsi="Arial" w:cs="Arial"/>
                <w:bCs/>
              </w:rPr>
              <w:t>The Governor Knowledge and Skills (K&amp;S) Audit in February 2016</w:t>
            </w:r>
            <w:r w:rsidR="00507C2D">
              <w:rPr>
                <w:rFonts w:ascii="Arial" w:hAnsi="Arial" w:cs="Arial"/>
                <w:bCs/>
              </w:rPr>
              <w:t xml:space="preserve"> (see Appendix 1) </w:t>
            </w:r>
            <w:bookmarkStart w:id="0" w:name="_GoBack"/>
            <w:bookmarkEnd w:id="0"/>
            <w:r>
              <w:rPr>
                <w:rFonts w:ascii="Arial" w:hAnsi="Arial" w:cs="Arial"/>
                <w:bCs/>
              </w:rPr>
              <w:t xml:space="preserve">assessed Governors’ current knowledge of the key functional areas within which Governors are expected to possess the knowledge and skills to fulfill statutory responsibilities including an ability to hold the Board of Directors, via the Non-Executive Directors, to account under the Health and Social Care Act and associated statute/regulation.  The results of this assessment have been used to inform the content of the </w:t>
            </w:r>
            <w:r w:rsidRPr="00B61799">
              <w:rPr>
                <w:rFonts w:ascii="Arial" w:hAnsi="Arial" w:cs="Arial"/>
                <w:b/>
                <w:bCs/>
              </w:rPr>
              <w:t>mandatory</w:t>
            </w:r>
            <w:r>
              <w:rPr>
                <w:rFonts w:ascii="Arial" w:hAnsi="Arial" w:cs="Arial"/>
                <w:bCs/>
              </w:rPr>
              <w:t xml:space="preserve"> sessions of the development programme and to identify the focus for the first Governor Assurance Prompts (GAPs).  These areas are:</w:t>
            </w:r>
          </w:p>
          <w:p w:rsidR="004A746E" w:rsidRDefault="004A746E" w:rsidP="004A746E">
            <w:pPr>
              <w:numPr>
                <w:ilvl w:val="0"/>
                <w:numId w:val="5"/>
              </w:numPr>
              <w:spacing w:before="120" w:after="120"/>
              <w:rPr>
                <w:rFonts w:ascii="Arial" w:hAnsi="Arial" w:cs="Arial"/>
                <w:bCs/>
              </w:rPr>
            </w:pPr>
            <w:r>
              <w:rPr>
                <w:rFonts w:ascii="Arial" w:hAnsi="Arial" w:cs="Arial"/>
                <w:bCs/>
              </w:rPr>
              <w:lastRenderedPageBreak/>
              <w:t>Governance and Regulation</w:t>
            </w:r>
          </w:p>
          <w:p w:rsidR="004A746E" w:rsidRDefault="004A746E" w:rsidP="004A746E">
            <w:pPr>
              <w:numPr>
                <w:ilvl w:val="0"/>
                <w:numId w:val="5"/>
              </w:numPr>
              <w:spacing w:before="120" w:after="120"/>
              <w:rPr>
                <w:rFonts w:ascii="Arial" w:hAnsi="Arial" w:cs="Arial"/>
                <w:bCs/>
              </w:rPr>
            </w:pPr>
            <w:r>
              <w:rPr>
                <w:rFonts w:ascii="Arial" w:hAnsi="Arial" w:cs="Arial"/>
                <w:bCs/>
              </w:rPr>
              <w:t>Quality and Safety, to include triangulation of the external assessments of care</w:t>
            </w:r>
          </w:p>
          <w:p w:rsidR="004A746E" w:rsidRDefault="004A746E" w:rsidP="004A746E">
            <w:pPr>
              <w:numPr>
                <w:ilvl w:val="0"/>
                <w:numId w:val="5"/>
              </w:numPr>
              <w:spacing w:before="120" w:after="120"/>
              <w:rPr>
                <w:rFonts w:ascii="Arial" w:hAnsi="Arial" w:cs="Arial"/>
                <w:bCs/>
              </w:rPr>
            </w:pPr>
            <w:r>
              <w:rPr>
                <w:rFonts w:ascii="Arial" w:hAnsi="Arial" w:cs="Arial"/>
                <w:bCs/>
              </w:rPr>
              <w:t>Patient Experience, to include triangulation of feedback sources</w:t>
            </w:r>
          </w:p>
          <w:p w:rsidR="004A746E" w:rsidRDefault="004A746E" w:rsidP="004A746E">
            <w:pPr>
              <w:numPr>
                <w:ilvl w:val="0"/>
                <w:numId w:val="5"/>
              </w:numPr>
              <w:spacing w:before="120" w:after="120"/>
              <w:rPr>
                <w:rFonts w:ascii="Arial" w:hAnsi="Arial" w:cs="Arial"/>
                <w:bCs/>
              </w:rPr>
            </w:pPr>
            <w:r w:rsidRPr="006479B9">
              <w:rPr>
                <w:rFonts w:ascii="Arial" w:hAnsi="Arial" w:cs="Arial"/>
                <w:bCs/>
              </w:rPr>
              <w:t>Finance, Performance</w:t>
            </w:r>
            <w:r>
              <w:rPr>
                <w:rFonts w:ascii="Arial" w:hAnsi="Arial" w:cs="Arial"/>
                <w:bCs/>
              </w:rPr>
              <w:t xml:space="preserve"> and Commissioning to include benchmarking sources</w:t>
            </w:r>
          </w:p>
          <w:p w:rsidR="0013112E" w:rsidRPr="006479B9" w:rsidRDefault="0013112E" w:rsidP="004A746E">
            <w:pPr>
              <w:numPr>
                <w:ilvl w:val="0"/>
                <w:numId w:val="5"/>
              </w:numPr>
              <w:spacing w:before="120" w:after="120"/>
              <w:rPr>
                <w:rFonts w:ascii="Arial" w:hAnsi="Arial" w:cs="Arial"/>
                <w:bCs/>
              </w:rPr>
            </w:pPr>
            <w:r>
              <w:rPr>
                <w:rFonts w:ascii="Arial" w:hAnsi="Arial" w:cs="Arial"/>
                <w:bCs/>
              </w:rPr>
              <w:t xml:space="preserve">Directorate structures/services </w:t>
            </w:r>
          </w:p>
          <w:p w:rsidR="004A746E" w:rsidRDefault="004A746E" w:rsidP="00863964">
            <w:pPr>
              <w:spacing w:before="120" w:after="120"/>
              <w:rPr>
                <w:rFonts w:ascii="Arial" w:hAnsi="Arial" w:cs="Arial"/>
                <w:bCs/>
              </w:rPr>
            </w:pPr>
            <w:r>
              <w:rPr>
                <w:rFonts w:ascii="Arial" w:hAnsi="Arial" w:cs="Arial"/>
                <w:bCs/>
              </w:rPr>
              <w:t>The aspects of each of these functional areas about which the analysis of the K&amp;S audit results suggest there would be value in further development have been combined with the results of a literature review to create the proposed final content for each mandatory session.</w:t>
            </w:r>
          </w:p>
          <w:p w:rsidR="004A746E" w:rsidRDefault="004A746E" w:rsidP="00863964">
            <w:pPr>
              <w:spacing w:before="120" w:after="120"/>
              <w:rPr>
                <w:rFonts w:ascii="Arial" w:hAnsi="Arial" w:cs="Arial"/>
                <w:bCs/>
              </w:rPr>
            </w:pPr>
            <w:r>
              <w:rPr>
                <w:rFonts w:ascii="Arial" w:hAnsi="Arial" w:cs="Arial"/>
                <w:bCs/>
              </w:rPr>
              <w:t xml:space="preserve">It is important to note that the Governor Development Programme will not replace the </w:t>
            </w:r>
            <w:proofErr w:type="gramStart"/>
            <w:r>
              <w:rPr>
                <w:rFonts w:ascii="Arial" w:hAnsi="Arial" w:cs="Arial"/>
                <w:bCs/>
              </w:rPr>
              <w:t>existing  Governor</w:t>
            </w:r>
            <w:proofErr w:type="gramEnd"/>
            <w:r>
              <w:rPr>
                <w:rFonts w:ascii="Arial" w:hAnsi="Arial" w:cs="Arial"/>
                <w:bCs/>
              </w:rPr>
              <w:t xml:space="preserve"> induction programme that follows each election, which itself is being reviewed by the Director of Corporate Affairs/Company Secretary.</w:t>
            </w:r>
          </w:p>
          <w:p w:rsidR="004A746E" w:rsidRDefault="004A746E" w:rsidP="00863964">
            <w:pPr>
              <w:spacing w:before="120" w:after="120"/>
              <w:rPr>
                <w:rFonts w:ascii="Arial" w:hAnsi="Arial" w:cs="Arial"/>
                <w:bCs/>
              </w:rPr>
            </w:pPr>
            <w:r>
              <w:rPr>
                <w:rFonts w:ascii="Arial" w:hAnsi="Arial"/>
              </w:rPr>
              <w:t>Following each mandatory session the Governors who attend will be asked to complete an evaluation questionnaire to assess the extent to which each session has fulfilled its learning objectives.</w:t>
            </w:r>
          </w:p>
          <w:p w:rsidR="004A746E" w:rsidRPr="00B158F2" w:rsidRDefault="004A746E" w:rsidP="00863964">
            <w:pPr>
              <w:spacing w:before="120" w:after="120"/>
              <w:rPr>
                <w:rFonts w:ascii="Arial" w:hAnsi="Arial" w:cs="Arial"/>
                <w:bCs/>
              </w:rPr>
            </w:pPr>
            <w:r>
              <w:rPr>
                <w:rFonts w:ascii="Arial" w:hAnsi="Arial" w:cs="Arial"/>
                <w:bCs/>
              </w:rPr>
              <w:t>Attendance by individual Governors at all mandatory sessions and optional modules will be recorded and will be able to be reported upon as determined by the Council of Governors in the Trust’s Annual Report and Accounts.</w:t>
            </w:r>
          </w:p>
        </w:tc>
      </w:tr>
      <w:tr w:rsidR="004A746E" w:rsidTr="004A746E">
        <w:tc>
          <w:tcPr>
            <w:tcW w:w="9828" w:type="dxa"/>
          </w:tcPr>
          <w:p w:rsidR="004A746E" w:rsidRPr="00D26904" w:rsidRDefault="004A746E" w:rsidP="0013112E">
            <w:pPr>
              <w:spacing w:before="120" w:after="120"/>
              <w:rPr>
                <w:rFonts w:ascii="Arial" w:hAnsi="Arial" w:cs="Arial"/>
                <w:b/>
                <w:bCs/>
              </w:rPr>
            </w:pPr>
            <w:r>
              <w:rPr>
                <w:rFonts w:ascii="Arial" w:hAnsi="Arial" w:cs="Arial"/>
                <w:b/>
                <w:bCs/>
              </w:rPr>
              <w:lastRenderedPageBreak/>
              <w:t xml:space="preserve">Proposed </w:t>
            </w:r>
            <w:r w:rsidRPr="00D26904">
              <w:rPr>
                <w:rFonts w:ascii="Arial" w:hAnsi="Arial" w:cs="Arial"/>
                <w:b/>
                <w:bCs/>
              </w:rPr>
              <w:t>Content of Mandatory Governor Development Programme Sessions</w:t>
            </w:r>
          </w:p>
        </w:tc>
      </w:tr>
      <w:tr w:rsidR="004A746E" w:rsidTr="004A746E">
        <w:tc>
          <w:tcPr>
            <w:tcW w:w="9828" w:type="dxa"/>
          </w:tcPr>
          <w:p w:rsidR="004A746E" w:rsidRDefault="004A746E" w:rsidP="00863964">
            <w:pPr>
              <w:spacing w:before="120" w:after="120"/>
              <w:rPr>
                <w:rFonts w:ascii="Arial" w:hAnsi="Arial" w:cs="Arial"/>
                <w:b/>
                <w:bCs/>
              </w:rPr>
            </w:pPr>
            <w:r>
              <w:br w:type="page"/>
            </w:r>
            <w:r>
              <w:rPr>
                <w:rFonts w:ascii="Arial" w:hAnsi="Arial" w:cs="Arial"/>
                <w:b/>
                <w:bCs/>
              </w:rPr>
              <w:t xml:space="preserve">Session 1: Corporate Governance, </w:t>
            </w:r>
            <w:r w:rsidRPr="00397A78">
              <w:rPr>
                <w:rFonts w:ascii="Arial" w:hAnsi="Arial" w:cs="Arial"/>
                <w:b/>
                <w:bCs/>
              </w:rPr>
              <w:t>Regulation</w:t>
            </w:r>
            <w:r>
              <w:rPr>
                <w:rFonts w:ascii="Arial" w:hAnsi="Arial" w:cs="Arial"/>
                <w:b/>
                <w:bCs/>
              </w:rPr>
              <w:t xml:space="preserve"> and </w:t>
            </w:r>
            <w:r w:rsidRPr="00EF4642">
              <w:rPr>
                <w:rFonts w:ascii="Arial" w:hAnsi="Arial" w:cs="Arial"/>
                <w:b/>
                <w:bCs/>
              </w:rPr>
              <w:t>Assurance</w:t>
            </w:r>
            <w:r w:rsidRPr="00D14DA9">
              <w:rPr>
                <w:rFonts w:ascii="Arial" w:hAnsi="Arial" w:cs="Arial"/>
                <w:b/>
                <w:bCs/>
              </w:rPr>
              <w:t>:</w:t>
            </w:r>
          </w:p>
          <w:p w:rsidR="004A746E" w:rsidRDefault="004A746E" w:rsidP="004A746E">
            <w:pPr>
              <w:numPr>
                <w:ilvl w:val="0"/>
                <w:numId w:val="6"/>
              </w:numPr>
              <w:spacing w:before="120" w:after="120"/>
              <w:rPr>
                <w:rFonts w:ascii="Arial" w:hAnsi="Arial" w:cs="Arial"/>
                <w:bCs/>
              </w:rPr>
            </w:pPr>
            <w:r>
              <w:rPr>
                <w:rFonts w:ascii="Arial" w:hAnsi="Arial" w:cs="Arial"/>
                <w:bCs/>
              </w:rPr>
              <w:t>Role of Monitor in the new health landscape</w:t>
            </w:r>
          </w:p>
          <w:p w:rsidR="004A746E" w:rsidRDefault="004A746E" w:rsidP="004A746E">
            <w:pPr>
              <w:numPr>
                <w:ilvl w:val="1"/>
                <w:numId w:val="11"/>
              </w:numPr>
              <w:spacing w:before="120" w:after="120"/>
              <w:rPr>
                <w:rFonts w:ascii="Arial" w:hAnsi="Arial" w:cs="Arial"/>
                <w:bCs/>
              </w:rPr>
            </w:pPr>
            <w:r>
              <w:rPr>
                <w:rFonts w:ascii="Arial" w:hAnsi="Arial" w:cs="Arial"/>
                <w:bCs/>
              </w:rPr>
              <w:t xml:space="preserve">Explanation of the Risk Assessment Framework to include the Governance Risk Rating and </w:t>
            </w:r>
            <w:r w:rsidRPr="00EF4642">
              <w:rPr>
                <w:rFonts w:ascii="Arial" w:hAnsi="Arial" w:cs="Arial"/>
                <w:bCs/>
              </w:rPr>
              <w:t>Quality Governance</w:t>
            </w:r>
            <w:r>
              <w:rPr>
                <w:rFonts w:ascii="Arial" w:hAnsi="Arial" w:cs="Arial"/>
                <w:bCs/>
                <w:i/>
                <w:color w:val="0000FF"/>
              </w:rPr>
              <w:t xml:space="preserve"> </w:t>
            </w:r>
            <w:r>
              <w:rPr>
                <w:rFonts w:ascii="Arial" w:hAnsi="Arial" w:cs="Arial"/>
                <w:bCs/>
              </w:rPr>
              <w:t xml:space="preserve">– what do these ratings mean and </w:t>
            </w:r>
            <w:r w:rsidRPr="00397A78">
              <w:rPr>
                <w:rFonts w:ascii="Arial" w:hAnsi="Arial" w:cs="Arial"/>
                <w:bCs/>
              </w:rPr>
              <w:t xml:space="preserve">how </w:t>
            </w:r>
            <w:r>
              <w:rPr>
                <w:rFonts w:ascii="Arial" w:hAnsi="Arial" w:cs="Arial"/>
                <w:bCs/>
              </w:rPr>
              <w:t xml:space="preserve">does </w:t>
            </w:r>
            <w:r w:rsidRPr="00397A78">
              <w:rPr>
                <w:rFonts w:ascii="Arial" w:hAnsi="Arial" w:cs="Arial"/>
                <w:bCs/>
              </w:rPr>
              <w:t xml:space="preserve">this place </w:t>
            </w:r>
            <w:r>
              <w:rPr>
                <w:rFonts w:ascii="Arial" w:hAnsi="Arial" w:cs="Arial"/>
                <w:bCs/>
              </w:rPr>
              <w:t>OHFT</w:t>
            </w:r>
            <w:r w:rsidRPr="00397A78">
              <w:rPr>
                <w:rFonts w:ascii="Arial" w:hAnsi="Arial" w:cs="Arial"/>
                <w:bCs/>
              </w:rPr>
              <w:t xml:space="preserve"> in the broader context of other FTs</w:t>
            </w:r>
            <w:r>
              <w:rPr>
                <w:rFonts w:ascii="Arial" w:hAnsi="Arial" w:cs="Arial"/>
                <w:bCs/>
              </w:rPr>
              <w:t>?</w:t>
            </w:r>
            <w:r w:rsidRPr="00397A78">
              <w:rPr>
                <w:rFonts w:ascii="Arial" w:hAnsi="Arial" w:cs="Arial"/>
                <w:bCs/>
              </w:rPr>
              <w:t xml:space="preserve"> (providing some relativity)</w:t>
            </w:r>
          </w:p>
          <w:p w:rsidR="004A746E" w:rsidRPr="00EF4642" w:rsidRDefault="004A746E" w:rsidP="004A746E">
            <w:pPr>
              <w:numPr>
                <w:ilvl w:val="1"/>
                <w:numId w:val="11"/>
              </w:numPr>
              <w:spacing w:before="120" w:after="120"/>
              <w:rPr>
                <w:rFonts w:ascii="Arial" w:hAnsi="Arial" w:cs="Arial"/>
                <w:bCs/>
                <w:i/>
                <w:color w:val="0000FF"/>
              </w:rPr>
            </w:pPr>
            <w:r>
              <w:rPr>
                <w:rFonts w:ascii="Arial" w:hAnsi="Arial" w:cs="Arial"/>
                <w:bCs/>
              </w:rPr>
              <w:t>Monitor Licensing System</w:t>
            </w:r>
          </w:p>
          <w:p w:rsidR="004A746E" w:rsidRPr="00156627" w:rsidRDefault="004A746E" w:rsidP="004A746E">
            <w:pPr>
              <w:numPr>
                <w:ilvl w:val="1"/>
                <w:numId w:val="11"/>
              </w:numPr>
              <w:spacing w:before="120" w:after="120"/>
              <w:rPr>
                <w:rFonts w:ascii="Arial" w:hAnsi="Arial" w:cs="Arial"/>
                <w:bCs/>
                <w:i/>
                <w:color w:val="0000FF"/>
              </w:rPr>
            </w:pPr>
            <w:r>
              <w:rPr>
                <w:rFonts w:ascii="Arial" w:hAnsi="Arial" w:cs="Arial"/>
                <w:bCs/>
              </w:rPr>
              <w:t>Monitor Enforcement System</w:t>
            </w:r>
          </w:p>
          <w:p w:rsidR="004A746E" w:rsidRDefault="004A746E" w:rsidP="004A746E">
            <w:pPr>
              <w:numPr>
                <w:ilvl w:val="0"/>
                <w:numId w:val="6"/>
              </w:numPr>
              <w:spacing w:before="120" w:after="120"/>
              <w:rPr>
                <w:rFonts w:ascii="Arial" w:hAnsi="Arial" w:cs="Arial"/>
                <w:bCs/>
              </w:rPr>
            </w:pPr>
            <w:r>
              <w:rPr>
                <w:rFonts w:ascii="Arial" w:hAnsi="Arial" w:cs="Arial"/>
                <w:bCs/>
              </w:rPr>
              <w:t>Understanding of the areas on which OHFT is scrutinised by regulators (e.g. target and outcome measures)</w:t>
            </w:r>
          </w:p>
          <w:p w:rsidR="004A746E" w:rsidRDefault="004A746E" w:rsidP="004A746E">
            <w:pPr>
              <w:numPr>
                <w:ilvl w:val="0"/>
                <w:numId w:val="6"/>
              </w:numPr>
              <w:spacing w:before="120" w:after="120"/>
              <w:rPr>
                <w:rFonts w:ascii="Arial" w:hAnsi="Arial" w:cs="Arial"/>
                <w:bCs/>
              </w:rPr>
            </w:pPr>
            <w:r>
              <w:rPr>
                <w:rFonts w:ascii="Arial" w:hAnsi="Arial" w:cs="Arial"/>
                <w:bCs/>
              </w:rPr>
              <w:t>U</w:t>
            </w:r>
            <w:r w:rsidRPr="00397A78">
              <w:rPr>
                <w:rFonts w:ascii="Arial" w:hAnsi="Arial" w:cs="Arial"/>
                <w:bCs/>
              </w:rPr>
              <w:t>nderstanding of the Corporate Committee structure and h</w:t>
            </w:r>
            <w:r>
              <w:rPr>
                <w:rFonts w:ascii="Arial" w:hAnsi="Arial" w:cs="Arial"/>
                <w:bCs/>
              </w:rPr>
              <w:t>ow the Trust assures itself that it is</w:t>
            </w:r>
            <w:r w:rsidRPr="00397A78">
              <w:rPr>
                <w:rFonts w:ascii="Arial" w:hAnsi="Arial" w:cs="Arial"/>
                <w:bCs/>
              </w:rPr>
              <w:t xml:space="preserve"> de</w:t>
            </w:r>
            <w:r>
              <w:rPr>
                <w:rFonts w:ascii="Arial" w:hAnsi="Arial" w:cs="Arial"/>
                <w:bCs/>
              </w:rPr>
              <w:t>livering against its objectives to include an explanation of the Board Assurance Framework.</w:t>
            </w:r>
          </w:p>
          <w:p w:rsidR="004A746E" w:rsidRDefault="004A746E" w:rsidP="004A746E">
            <w:pPr>
              <w:numPr>
                <w:ilvl w:val="0"/>
                <w:numId w:val="6"/>
              </w:numPr>
              <w:spacing w:before="120" w:after="120"/>
              <w:rPr>
                <w:rFonts w:ascii="Arial" w:hAnsi="Arial" w:cs="Arial"/>
                <w:bCs/>
              </w:rPr>
            </w:pPr>
            <w:r>
              <w:rPr>
                <w:rFonts w:ascii="Arial" w:hAnsi="Arial" w:cs="Arial"/>
                <w:bCs/>
              </w:rPr>
              <w:t>Understanding of the</w:t>
            </w:r>
            <w:r w:rsidRPr="00397A78">
              <w:rPr>
                <w:rFonts w:ascii="Arial" w:hAnsi="Arial" w:cs="Arial"/>
                <w:bCs/>
              </w:rPr>
              <w:t xml:space="preserve"> overarching </w:t>
            </w:r>
            <w:proofErr w:type="spellStart"/>
            <w:r w:rsidRPr="00397A78">
              <w:rPr>
                <w:rFonts w:ascii="Arial" w:hAnsi="Arial" w:cs="Arial"/>
                <w:bCs/>
              </w:rPr>
              <w:t>organisational</w:t>
            </w:r>
            <w:proofErr w:type="spellEnd"/>
            <w:r w:rsidRPr="00397A78">
              <w:rPr>
                <w:rFonts w:ascii="Arial" w:hAnsi="Arial" w:cs="Arial"/>
                <w:bCs/>
              </w:rPr>
              <w:t xml:space="preserve"> structure </w:t>
            </w:r>
            <w:r>
              <w:rPr>
                <w:rFonts w:ascii="Arial" w:hAnsi="Arial" w:cs="Arial"/>
                <w:bCs/>
              </w:rPr>
              <w:t>-</w:t>
            </w:r>
            <w:r w:rsidRPr="00397A78">
              <w:rPr>
                <w:rFonts w:ascii="Arial" w:hAnsi="Arial" w:cs="Arial"/>
                <w:bCs/>
              </w:rPr>
              <w:t xml:space="preserve"> </w:t>
            </w:r>
            <w:proofErr w:type="gramStart"/>
            <w:r w:rsidRPr="00397A78">
              <w:rPr>
                <w:rFonts w:ascii="Arial" w:hAnsi="Arial" w:cs="Arial"/>
                <w:bCs/>
              </w:rPr>
              <w:t>who</w:t>
            </w:r>
            <w:proofErr w:type="gramEnd"/>
            <w:r w:rsidRPr="00397A78">
              <w:rPr>
                <w:rFonts w:ascii="Arial" w:hAnsi="Arial" w:cs="Arial"/>
                <w:bCs/>
              </w:rPr>
              <w:t xml:space="preserve"> has responsibility for what and where </w:t>
            </w:r>
            <w:r>
              <w:rPr>
                <w:rFonts w:ascii="Arial" w:hAnsi="Arial" w:cs="Arial"/>
                <w:bCs/>
              </w:rPr>
              <w:t>each fits</w:t>
            </w:r>
            <w:r w:rsidRPr="00397A78">
              <w:rPr>
                <w:rFonts w:ascii="Arial" w:hAnsi="Arial" w:cs="Arial"/>
                <w:bCs/>
              </w:rPr>
              <w:t xml:space="preserve"> into the </w:t>
            </w:r>
            <w:r>
              <w:rPr>
                <w:rFonts w:ascii="Arial" w:hAnsi="Arial" w:cs="Arial"/>
                <w:bCs/>
              </w:rPr>
              <w:t>‘</w:t>
            </w:r>
            <w:r w:rsidRPr="00397A78">
              <w:rPr>
                <w:rFonts w:ascii="Arial" w:hAnsi="Arial" w:cs="Arial"/>
                <w:bCs/>
              </w:rPr>
              <w:t>bigger picture</w:t>
            </w:r>
            <w:r>
              <w:rPr>
                <w:rFonts w:ascii="Arial" w:hAnsi="Arial" w:cs="Arial"/>
                <w:bCs/>
              </w:rPr>
              <w:t>’.</w:t>
            </w:r>
          </w:p>
          <w:p w:rsidR="004A746E" w:rsidRDefault="004A746E" w:rsidP="004A746E">
            <w:pPr>
              <w:numPr>
                <w:ilvl w:val="0"/>
                <w:numId w:val="6"/>
              </w:numPr>
              <w:spacing w:before="120" w:after="120"/>
              <w:rPr>
                <w:rFonts w:ascii="Arial" w:hAnsi="Arial" w:cs="Arial"/>
                <w:bCs/>
              </w:rPr>
            </w:pPr>
            <w:r>
              <w:rPr>
                <w:rFonts w:ascii="Arial" w:hAnsi="Arial" w:cs="Arial"/>
                <w:bCs/>
              </w:rPr>
              <w:t>Introduction</w:t>
            </w:r>
            <w:r w:rsidRPr="00397A78">
              <w:rPr>
                <w:rFonts w:ascii="Arial" w:hAnsi="Arial" w:cs="Arial"/>
                <w:bCs/>
              </w:rPr>
              <w:t xml:space="preserve"> to the Constitution, S</w:t>
            </w:r>
            <w:r>
              <w:rPr>
                <w:rFonts w:ascii="Arial" w:hAnsi="Arial" w:cs="Arial"/>
                <w:bCs/>
              </w:rPr>
              <w:t xml:space="preserve">tanding </w:t>
            </w:r>
            <w:r w:rsidRPr="00397A78">
              <w:rPr>
                <w:rFonts w:ascii="Arial" w:hAnsi="Arial" w:cs="Arial"/>
                <w:bCs/>
              </w:rPr>
              <w:t>O</w:t>
            </w:r>
            <w:r>
              <w:rPr>
                <w:rFonts w:ascii="Arial" w:hAnsi="Arial" w:cs="Arial"/>
                <w:bCs/>
              </w:rPr>
              <w:t>rder</w:t>
            </w:r>
            <w:r w:rsidRPr="00397A78">
              <w:rPr>
                <w:rFonts w:ascii="Arial" w:hAnsi="Arial" w:cs="Arial"/>
                <w:bCs/>
              </w:rPr>
              <w:t>s, S</w:t>
            </w:r>
            <w:r>
              <w:rPr>
                <w:rFonts w:ascii="Arial" w:hAnsi="Arial" w:cs="Arial"/>
                <w:bCs/>
              </w:rPr>
              <w:t xml:space="preserve">tanding </w:t>
            </w:r>
            <w:r w:rsidRPr="00397A78">
              <w:rPr>
                <w:rFonts w:ascii="Arial" w:hAnsi="Arial" w:cs="Arial"/>
                <w:bCs/>
              </w:rPr>
              <w:t>F</w:t>
            </w:r>
            <w:r>
              <w:rPr>
                <w:rFonts w:ascii="Arial" w:hAnsi="Arial" w:cs="Arial"/>
                <w:bCs/>
              </w:rPr>
              <w:t xml:space="preserve">inancial </w:t>
            </w:r>
            <w:r w:rsidRPr="00397A78">
              <w:rPr>
                <w:rFonts w:ascii="Arial" w:hAnsi="Arial" w:cs="Arial"/>
                <w:bCs/>
              </w:rPr>
              <w:lastRenderedPageBreak/>
              <w:t>I</w:t>
            </w:r>
            <w:r>
              <w:rPr>
                <w:rFonts w:ascii="Arial" w:hAnsi="Arial" w:cs="Arial"/>
                <w:bCs/>
              </w:rPr>
              <w:t>nstructions.</w:t>
            </w:r>
          </w:p>
          <w:p w:rsidR="004A746E" w:rsidRPr="00EF4642" w:rsidRDefault="004A746E" w:rsidP="004A746E">
            <w:pPr>
              <w:numPr>
                <w:ilvl w:val="0"/>
                <w:numId w:val="6"/>
              </w:numPr>
              <w:spacing w:before="120" w:after="120"/>
              <w:rPr>
                <w:rFonts w:ascii="Arial" w:hAnsi="Arial" w:cs="Arial"/>
                <w:bCs/>
              </w:rPr>
            </w:pPr>
            <w:r w:rsidRPr="00EF4642">
              <w:rPr>
                <w:rFonts w:ascii="Arial" w:hAnsi="Arial" w:cs="Arial"/>
                <w:bCs/>
              </w:rPr>
              <w:t>Information Governance</w:t>
            </w:r>
            <w:r>
              <w:rPr>
                <w:rFonts w:ascii="Arial" w:hAnsi="Arial" w:cs="Arial"/>
                <w:bCs/>
              </w:rPr>
              <w:t>.</w:t>
            </w:r>
          </w:p>
          <w:p w:rsidR="004A746E" w:rsidRPr="00EF4642" w:rsidRDefault="004A746E" w:rsidP="004A746E">
            <w:pPr>
              <w:numPr>
                <w:ilvl w:val="0"/>
                <w:numId w:val="6"/>
              </w:numPr>
              <w:spacing w:before="120" w:after="120"/>
              <w:rPr>
                <w:rFonts w:ascii="Arial" w:hAnsi="Arial" w:cs="Arial"/>
                <w:bCs/>
              </w:rPr>
            </w:pPr>
            <w:r w:rsidRPr="00EF4642">
              <w:rPr>
                <w:rFonts w:ascii="Arial" w:hAnsi="Arial" w:cs="Arial"/>
                <w:bCs/>
              </w:rPr>
              <w:t>Assurance: internal assurance processes and external assurance processes (e.g. Regulator inspections; Internal Audit, External Audit, Assurance Unit [link to finance session])</w:t>
            </w:r>
          </w:p>
        </w:tc>
      </w:tr>
      <w:tr w:rsidR="004A746E" w:rsidRPr="004A746E" w:rsidTr="004A746E">
        <w:tc>
          <w:tcPr>
            <w:tcW w:w="9828" w:type="dxa"/>
          </w:tcPr>
          <w:p w:rsidR="004A746E" w:rsidRPr="004A746E" w:rsidRDefault="004A746E" w:rsidP="00863964">
            <w:pPr>
              <w:spacing w:before="120" w:after="120"/>
              <w:rPr>
                <w:rFonts w:ascii="Arial" w:hAnsi="Arial"/>
                <w:b/>
              </w:rPr>
            </w:pPr>
            <w:r w:rsidRPr="004A746E">
              <w:rPr>
                <w:rFonts w:ascii="Arial" w:hAnsi="Arial"/>
                <w:b/>
              </w:rPr>
              <w:lastRenderedPageBreak/>
              <w:t>Session 1 to be led by the Director of Corporate &amp; Affairs supported by Assistant Trust Secretary and others (to be determined)</w:t>
            </w:r>
          </w:p>
        </w:tc>
      </w:tr>
      <w:tr w:rsidR="004A746E" w:rsidTr="004A746E">
        <w:tc>
          <w:tcPr>
            <w:tcW w:w="9828" w:type="dxa"/>
          </w:tcPr>
          <w:p w:rsidR="004A746E" w:rsidRPr="004A746E" w:rsidRDefault="004A746E" w:rsidP="00863964">
            <w:pPr>
              <w:spacing w:before="120" w:after="120"/>
              <w:rPr>
                <w:rFonts w:ascii="Arial" w:hAnsi="Arial" w:cs="Arial"/>
                <w:b/>
                <w:bCs/>
              </w:rPr>
            </w:pPr>
            <w:r w:rsidRPr="004A746E">
              <w:rPr>
                <w:rFonts w:ascii="Arial" w:hAnsi="Arial" w:cs="Arial"/>
                <w:b/>
                <w:bCs/>
              </w:rPr>
              <w:t>Session 2: Quality and Safety</w:t>
            </w:r>
          </w:p>
          <w:p w:rsidR="004A746E" w:rsidRPr="004A746E" w:rsidRDefault="004A746E" w:rsidP="004A746E">
            <w:pPr>
              <w:numPr>
                <w:ilvl w:val="0"/>
                <w:numId w:val="7"/>
              </w:numPr>
              <w:spacing w:before="120" w:after="120"/>
              <w:rPr>
                <w:rFonts w:ascii="Arial" w:hAnsi="Arial" w:cs="Arial"/>
                <w:bCs/>
              </w:rPr>
            </w:pPr>
            <w:r w:rsidRPr="004A746E">
              <w:rPr>
                <w:rFonts w:ascii="Arial" w:hAnsi="Arial" w:cs="Arial"/>
                <w:bCs/>
              </w:rPr>
              <w:t>Understanding of what Quality Improvement means at Oxford Health FT (to include metrics in the Quality Account)</w:t>
            </w:r>
          </w:p>
          <w:p w:rsidR="004A746E" w:rsidRPr="004A746E" w:rsidRDefault="004A746E" w:rsidP="004A746E">
            <w:pPr>
              <w:numPr>
                <w:ilvl w:val="0"/>
                <w:numId w:val="7"/>
              </w:numPr>
              <w:spacing w:before="120" w:after="120"/>
              <w:rPr>
                <w:rFonts w:ascii="Arial" w:hAnsi="Arial" w:cs="Arial"/>
                <w:bCs/>
              </w:rPr>
            </w:pPr>
            <w:r w:rsidRPr="004A746E">
              <w:rPr>
                <w:rFonts w:ascii="Arial" w:hAnsi="Arial" w:cs="Arial"/>
                <w:bCs/>
              </w:rPr>
              <w:t>Understanding of the Governors’ role in influencing the Trust’s quality improvement priorities within the Quality Account.</w:t>
            </w:r>
          </w:p>
          <w:p w:rsidR="004A746E" w:rsidRPr="004A746E" w:rsidRDefault="004A746E" w:rsidP="004A746E">
            <w:pPr>
              <w:numPr>
                <w:ilvl w:val="0"/>
                <w:numId w:val="7"/>
              </w:numPr>
              <w:spacing w:before="120" w:after="120"/>
              <w:rPr>
                <w:rFonts w:ascii="Arial" w:hAnsi="Arial" w:cs="Arial"/>
                <w:bCs/>
              </w:rPr>
            </w:pPr>
            <w:r w:rsidRPr="004A746E">
              <w:rPr>
                <w:rFonts w:ascii="Arial" w:hAnsi="Arial" w:cs="Arial"/>
                <w:bCs/>
              </w:rPr>
              <w:t>Understanding of CQC regulation and inspection and how the Trust assures compliance ‘ward/service to Board’</w:t>
            </w:r>
          </w:p>
          <w:p w:rsidR="004A746E" w:rsidRPr="004A746E" w:rsidRDefault="004A746E" w:rsidP="004A746E">
            <w:pPr>
              <w:numPr>
                <w:ilvl w:val="0"/>
                <w:numId w:val="7"/>
              </w:numPr>
              <w:spacing w:before="120" w:after="120"/>
              <w:rPr>
                <w:rFonts w:ascii="Arial" w:hAnsi="Arial" w:cs="Arial"/>
                <w:bCs/>
              </w:rPr>
            </w:pPr>
            <w:r w:rsidRPr="004A746E">
              <w:rPr>
                <w:rFonts w:ascii="Arial" w:hAnsi="Arial" w:cs="Arial"/>
                <w:bCs/>
              </w:rPr>
              <w:t>Understanding of Medical and Nursing workforce and links to quality</w:t>
            </w:r>
            <w:r w:rsidR="00E4238E">
              <w:rPr>
                <w:rFonts w:ascii="Arial" w:hAnsi="Arial" w:cs="Arial"/>
                <w:bCs/>
              </w:rPr>
              <w:t xml:space="preserve"> – to include peer review, revalidation/accreditation, supervision, safe staffing </w:t>
            </w:r>
          </w:p>
          <w:p w:rsidR="004A746E" w:rsidRPr="004A746E" w:rsidRDefault="004A746E" w:rsidP="004A746E">
            <w:pPr>
              <w:numPr>
                <w:ilvl w:val="0"/>
                <w:numId w:val="7"/>
              </w:numPr>
              <w:spacing w:before="120" w:after="120"/>
              <w:rPr>
                <w:rFonts w:ascii="Arial" w:hAnsi="Arial" w:cs="Arial"/>
                <w:bCs/>
              </w:rPr>
            </w:pPr>
            <w:r>
              <w:rPr>
                <w:rFonts w:ascii="Arial" w:hAnsi="Arial" w:cs="Arial"/>
                <w:bCs/>
              </w:rPr>
              <w:t>Triangulation – understanding the sources of assurance providing a more holistic view of quality and safety (to include how we use &amp; triangulate learning from incidents, claims and other intelligence in an integrated way)</w:t>
            </w:r>
          </w:p>
          <w:p w:rsidR="004A746E" w:rsidRPr="004A746E" w:rsidRDefault="004A746E" w:rsidP="004A746E">
            <w:pPr>
              <w:numPr>
                <w:ilvl w:val="0"/>
                <w:numId w:val="7"/>
              </w:numPr>
              <w:spacing w:before="120" w:after="120"/>
              <w:rPr>
                <w:rFonts w:ascii="Arial" w:hAnsi="Arial" w:cs="Arial"/>
                <w:bCs/>
              </w:rPr>
            </w:pPr>
            <w:r w:rsidRPr="004A746E">
              <w:rPr>
                <w:rFonts w:ascii="Arial" w:hAnsi="Arial" w:cs="Arial"/>
                <w:bCs/>
              </w:rPr>
              <w:t xml:space="preserve">Risk Management </w:t>
            </w:r>
            <w:r w:rsidRPr="004A746E">
              <w:rPr>
                <w:rFonts w:ascii="Arial" w:hAnsi="Arial" w:cs="Arial"/>
                <w:bCs/>
                <w:i/>
                <w:sz w:val="20"/>
                <w:szCs w:val="20"/>
              </w:rPr>
              <w:t>(to exclude Board Assurance Framework included in Corporate Governance Session)</w:t>
            </w:r>
          </w:p>
        </w:tc>
      </w:tr>
      <w:tr w:rsidR="004A746E" w:rsidRPr="004A746E" w:rsidTr="004A746E">
        <w:tc>
          <w:tcPr>
            <w:tcW w:w="9828" w:type="dxa"/>
          </w:tcPr>
          <w:p w:rsidR="004A746E" w:rsidRPr="004A746E" w:rsidRDefault="004A746E" w:rsidP="00863964">
            <w:pPr>
              <w:spacing w:before="120" w:after="120"/>
              <w:rPr>
                <w:rFonts w:ascii="Arial" w:hAnsi="Arial" w:cs="Arial"/>
                <w:b/>
                <w:bCs/>
              </w:rPr>
            </w:pPr>
            <w:r w:rsidRPr="004A746E">
              <w:rPr>
                <w:rFonts w:ascii="Arial" w:hAnsi="Arial"/>
                <w:b/>
              </w:rPr>
              <w:t>Session 2 to be led by Director of Nursing and Standards and Medical Director supported by others (to be determined)</w:t>
            </w:r>
          </w:p>
        </w:tc>
      </w:tr>
      <w:tr w:rsidR="004A746E" w:rsidTr="004A746E">
        <w:tc>
          <w:tcPr>
            <w:tcW w:w="9828" w:type="dxa"/>
          </w:tcPr>
          <w:p w:rsidR="004A746E" w:rsidRPr="007D0DDA" w:rsidRDefault="004A746E" w:rsidP="00863964">
            <w:pPr>
              <w:spacing w:before="120" w:after="120"/>
              <w:rPr>
                <w:rFonts w:ascii="Arial" w:hAnsi="Arial" w:cs="Arial"/>
                <w:b/>
                <w:bCs/>
              </w:rPr>
            </w:pPr>
            <w:r>
              <w:rPr>
                <w:rFonts w:ascii="Arial" w:hAnsi="Arial" w:cs="Arial"/>
                <w:b/>
                <w:bCs/>
              </w:rPr>
              <w:t xml:space="preserve">Session 3: </w:t>
            </w:r>
            <w:r w:rsidRPr="007D0DDA">
              <w:rPr>
                <w:rFonts w:ascii="Arial" w:hAnsi="Arial" w:cs="Arial"/>
                <w:b/>
                <w:bCs/>
              </w:rPr>
              <w:t>Patient Experience</w:t>
            </w:r>
            <w:r w:rsidR="00E4238E">
              <w:rPr>
                <w:rFonts w:ascii="Arial" w:hAnsi="Arial" w:cs="Arial"/>
                <w:b/>
                <w:bCs/>
              </w:rPr>
              <w:t xml:space="preserve"> and Involvement</w:t>
            </w:r>
          </w:p>
          <w:p w:rsidR="004A746E" w:rsidRPr="00E4238E" w:rsidRDefault="004A746E" w:rsidP="00E4238E">
            <w:pPr>
              <w:numPr>
                <w:ilvl w:val="0"/>
                <w:numId w:val="12"/>
              </w:numPr>
              <w:spacing w:before="120" w:after="120"/>
              <w:rPr>
                <w:rFonts w:ascii="Arial" w:hAnsi="Arial" w:cs="Arial"/>
                <w:bCs/>
              </w:rPr>
            </w:pPr>
            <w:r w:rsidRPr="00E4238E">
              <w:rPr>
                <w:rFonts w:ascii="Arial" w:hAnsi="Arial" w:cs="Arial"/>
                <w:bCs/>
              </w:rPr>
              <w:t xml:space="preserve">Understanding of how the Trust </w:t>
            </w:r>
            <w:r w:rsidR="00E4238E">
              <w:rPr>
                <w:rFonts w:ascii="Arial" w:hAnsi="Arial" w:cs="Arial"/>
                <w:bCs/>
              </w:rPr>
              <w:t xml:space="preserve">elicits and </w:t>
            </w:r>
            <w:r w:rsidRPr="00E4238E">
              <w:rPr>
                <w:rFonts w:ascii="Arial" w:hAnsi="Arial" w:cs="Arial"/>
                <w:bCs/>
              </w:rPr>
              <w:t>accesses feedback</w:t>
            </w:r>
            <w:r w:rsidR="00E4238E">
              <w:rPr>
                <w:rFonts w:ascii="Arial" w:hAnsi="Arial" w:cs="Arial"/>
                <w:bCs/>
              </w:rPr>
              <w:t xml:space="preserve">, </w:t>
            </w:r>
            <w:r w:rsidRPr="00E4238E">
              <w:rPr>
                <w:rFonts w:ascii="Arial" w:hAnsi="Arial" w:cs="Arial"/>
                <w:bCs/>
              </w:rPr>
              <w:t>encourages it, demonstrates action from it – could the Governors have more of a role in eliciting feedback from Members?</w:t>
            </w:r>
          </w:p>
          <w:p w:rsidR="004A746E" w:rsidRPr="007C27D4" w:rsidRDefault="004A746E" w:rsidP="004A746E">
            <w:pPr>
              <w:numPr>
                <w:ilvl w:val="0"/>
                <w:numId w:val="12"/>
              </w:numPr>
              <w:spacing w:before="120" w:after="120"/>
              <w:rPr>
                <w:rFonts w:ascii="Arial" w:hAnsi="Arial" w:cs="Arial"/>
                <w:bCs/>
              </w:rPr>
            </w:pPr>
            <w:r>
              <w:rPr>
                <w:rFonts w:ascii="Arial" w:hAnsi="Arial" w:cs="Arial"/>
                <w:bCs/>
              </w:rPr>
              <w:t>Understanding of how the Trust uses patient surveys – and the difference they make</w:t>
            </w:r>
          </w:p>
          <w:p w:rsidR="004A746E" w:rsidRPr="00536F50" w:rsidRDefault="00E4238E" w:rsidP="004A746E">
            <w:pPr>
              <w:numPr>
                <w:ilvl w:val="0"/>
                <w:numId w:val="12"/>
              </w:numPr>
              <w:spacing w:before="120" w:after="120"/>
              <w:rPr>
                <w:rFonts w:ascii="Arial" w:hAnsi="Arial" w:cs="Arial"/>
                <w:bCs/>
              </w:rPr>
            </w:pPr>
            <w:r>
              <w:rPr>
                <w:rFonts w:ascii="Arial" w:hAnsi="Arial" w:cs="Arial"/>
                <w:bCs/>
              </w:rPr>
              <w:t>Understanding of patient and user involvement in their own care and in wider pathway and service developments</w:t>
            </w:r>
          </w:p>
        </w:tc>
      </w:tr>
      <w:tr w:rsidR="004A746E" w:rsidRPr="00E4238E" w:rsidTr="004A746E">
        <w:tc>
          <w:tcPr>
            <w:tcW w:w="9828" w:type="dxa"/>
          </w:tcPr>
          <w:p w:rsidR="004A746E" w:rsidRPr="00E4238E" w:rsidRDefault="004A746E" w:rsidP="00863964">
            <w:pPr>
              <w:spacing w:before="120" w:after="120"/>
              <w:rPr>
                <w:rFonts w:ascii="Arial" w:hAnsi="Arial" w:cs="Arial"/>
                <w:b/>
                <w:bCs/>
              </w:rPr>
            </w:pPr>
            <w:r w:rsidRPr="00E4238E">
              <w:rPr>
                <w:rFonts w:ascii="Arial" w:hAnsi="Arial"/>
                <w:b/>
              </w:rPr>
              <w:t>Session 3 to be led by Medical Director and Director of Nursing &amp; Standards supported by others.</w:t>
            </w:r>
          </w:p>
        </w:tc>
      </w:tr>
      <w:tr w:rsidR="004A746E" w:rsidTr="004A746E">
        <w:tc>
          <w:tcPr>
            <w:tcW w:w="9828" w:type="dxa"/>
          </w:tcPr>
          <w:p w:rsidR="004A746E" w:rsidRPr="005033FA" w:rsidRDefault="004A746E" w:rsidP="00863964">
            <w:pPr>
              <w:spacing w:before="120" w:after="120"/>
              <w:rPr>
                <w:rFonts w:ascii="Arial" w:hAnsi="Arial" w:cs="Arial"/>
                <w:b/>
                <w:bCs/>
              </w:rPr>
            </w:pPr>
            <w:r>
              <w:rPr>
                <w:rFonts w:ascii="Arial" w:hAnsi="Arial" w:cs="Arial"/>
                <w:b/>
                <w:bCs/>
              </w:rPr>
              <w:t xml:space="preserve">Session 4: </w:t>
            </w:r>
            <w:r w:rsidRPr="005033FA">
              <w:rPr>
                <w:rFonts w:ascii="Arial" w:hAnsi="Arial" w:cs="Arial"/>
                <w:b/>
                <w:bCs/>
              </w:rPr>
              <w:t>Finance</w:t>
            </w:r>
            <w:r>
              <w:rPr>
                <w:rFonts w:ascii="Arial" w:hAnsi="Arial" w:cs="Arial"/>
                <w:b/>
                <w:bCs/>
              </w:rPr>
              <w:t xml:space="preserve">, </w:t>
            </w:r>
            <w:r w:rsidRPr="005033FA">
              <w:rPr>
                <w:rFonts w:ascii="Arial" w:hAnsi="Arial" w:cs="Arial"/>
                <w:b/>
                <w:bCs/>
              </w:rPr>
              <w:t>Performance</w:t>
            </w:r>
            <w:r>
              <w:rPr>
                <w:rFonts w:ascii="Arial" w:hAnsi="Arial" w:cs="Arial"/>
                <w:b/>
                <w:bCs/>
              </w:rPr>
              <w:t xml:space="preserve"> and Commissioning</w:t>
            </w:r>
          </w:p>
          <w:p w:rsidR="004A746E" w:rsidRPr="00FC3F5F" w:rsidRDefault="004A746E" w:rsidP="00863964">
            <w:pPr>
              <w:spacing w:before="120" w:after="120"/>
              <w:rPr>
                <w:rFonts w:ascii="Arial" w:hAnsi="Arial" w:cs="Arial"/>
                <w:bCs/>
                <w:u w:val="single"/>
              </w:rPr>
            </w:pPr>
            <w:r w:rsidRPr="00FC3F5F">
              <w:rPr>
                <w:rFonts w:ascii="Arial" w:hAnsi="Arial" w:cs="Arial"/>
                <w:bCs/>
                <w:u w:val="single"/>
              </w:rPr>
              <w:t>Finance:</w:t>
            </w:r>
          </w:p>
          <w:p w:rsidR="004A746E" w:rsidRDefault="004A746E" w:rsidP="004A746E">
            <w:pPr>
              <w:numPr>
                <w:ilvl w:val="0"/>
                <w:numId w:val="13"/>
              </w:numPr>
              <w:spacing w:before="120" w:after="120"/>
              <w:rPr>
                <w:rFonts w:ascii="Arial" w:hAnsi="Arial" w:cs="Arial"/>
                <w:bCs/>
              </w:rPr>
            </w:pPr>
            <w:r>
              <w:rPr>
                <w:rFonts w:ascii="Arial" w:hAnsi="Arial" w:cs="Arial"/>
                <w:bCs/>
              </w:rPr>
              <w:lastRenderedPageBreak/>
              <w:t>Understanding the</w:t>
            </w:r>
            <w:r w:rsidRPr="009363F9">
              <w:rPr>
                <w:rFonts w:ascii="Arial" w:hAnsi="Arial" w:cs="Arial"/>
                <w:bCs/>
              </w:rPr>
              <w:t xml:space="preserve"> format for presenting </w:t>
            </w:r>
            <w:r>
              <w:rPr>
                <w:rFonts w:ascii="Arial" w:hAnsi="Arial" w:cs="Arial"/>
                <w:bCs/>
              </w:rPr>
              <w:t>f</w:t>
            </w:r>
            <w:r w:rsidRPr="009363F9">
              <w:rPr>
                <w:rFonts w:ascii="Arial" w:hAnsi="Arial" w:cs="Arial"/>
                <w:bCs/>
              </w:rPr>
              <w:t xml:space="preserve">inancial performance </w:t>
            </w:r>
          </w:p>
          <w:p w:rsidR="004A746E" w:rsidRPr="00222C10" w:rsidRDefault="004A746E" w:rsidP="004A746E">
            <w:pPr>
              <w:numPr>
                <w:ilvl w:val="0"/>
                <w:numId w:val="13"/>
              </w:numPr>
              <w:spacing w:before="120" w:after="120"/>
              <w:rPr>
                <w:rFonts w:ascii="Arial" w:hAnsi="Arial" w:cs="Arial"/>
                <w:bCs/>
              </w:rPr>
            </w:pPr>
            <w:r w:rsidRPr="00222C10">
              <w:rPr>
                <w:rFonts w:ascii="Arial" w:hAnsi="Arial" w:cs="Arial"/>
                <w:bCs/>
              </w:rPr>
              <w:t>Role of Audit – Internal and External</w:t>
            </w:r>
          </w:p>
          <w:p w:rsidR="004A746E" w:rsidRPr="00222C10" w:rsidRDefault="004A746E" w:rsidP="004A746E">
            <w:pPr>
              <w:numPr>
                <w:ilvl w:val="0"/>
                <w:numId w:val="13"/>
              </w:numPr>
              <w:spacing w:before="120" w:after="120"/>
              <w:rPr>
                <w:rFonts w:ascii="Arial" w:hAnsi="Arial" w:cs="Arial"/>
                <w:bCs/>
              </w:rPr>
            </w:pPr>
            <w:r w:rsidRPr="00222C10">
              <w:rPr>
                <w:rFonts w:ascii="Arial" w:hAnsi="Arial" w:cs="Arial"/>
                <w:bCs/>
              </w:rPr>
              <w:t>Financial controls</w:t>
            </w:r>
          </w:p>
          <w:p w:rsidR="004A746E" w:rsidRPr="009363F9" w:rsidRDefault="00646C84" w:rsidP="004A746E">
            <w:pPr>
              <w:numPr>
                <w:ilvl w:val="0"/>
                <w:numId w:val="13"/>
              </w:numPr>
              <w:spacing w:before="120" w:after="120"/>
              <w:rPr>
                <w:rFonts w:ascii="Arial" w:hAnsi="Arial" w:cs="Arial"/>
                <w:bCs/>
              </w:rPr>
            </w:pPr>
            <w:r>
              <w:rPr>
                <w:rFonts w:ascii="Arial" w:hAnsi="Arial" w:cs="Arial"/>
                <w:bCs/>
              </w:rPr>
              <w:t>U</w:t>
            </w:r>
            <w:r w:rsidR="004A746E" w:rsidRPr="009363F9">
              <w:rPr>
                <w:rFonts w:ascii="Arial" w:hAnsi="Arial" w:cs="Arial"/>
                <w:bCs/>
              </w:rPr>
              <w:t>nderstand</w:t>
            </w:r>
            <w:r w:rsidR="004A746E">
              <w:rPr>
                <w:rFonts w:ascii="Arial" w:hAnsi="Arial" w:cs="Arial"/>
                <w:bCs/>
              </w:rPr>
              <w:t>ing of the Trust’s</w:t>
            </w:r>
            <w:r>
              <w:rPr>
                <w:rFonts w:ascii="Arial" w:hAnsi="Arial" w:cs="Arial"/>
                <w:bCs/>
              </w:rPr>
              <w:t xml:space="preserve"> performance </w:t>
            </w:r>
            <w:r w:rsidR="004A746E" w:rsidRPr="009363F9">
              <w:rPr>
                <w:rFonts w:ascii="Arial" w:hAnsi="Arial" w:cs="Arial"/>
                <w:bCs/>
              </w:rPr>
              <w:t xml:space="preserve">and </w:t>
            </w:r>
            <w:r w:rsidR="004A746E">
              <w:rPr>
                <w:rFonts w:ascii="Arial" w:hAnsi="Arial" w:cs="Arial"/>
                <w:bCs/>
              </w:rPr>
              <w:t>its Monitor Financial Sustainability Risk Rating (FS</w:t>
            </w:r>
            <w:r w:rsidR="004A746E" w:rsidRPr="009363F9">
              <w:rPr>
                <w:rFonts w:ascii="Arial" w:hAnsi="Arial" w:cs="Arial"/>
                <w:bCs/>
              </w:rPr>
              <w:t xml:space="preserve">RR) in </w:t>
            </w:r>
            <w:r w:rsidR="004A746E">
              <w:rPr>
                <w:rFonts w:ascii="Arial" w:hAnsi="Arial" w:cs="Arial"/>
                <w:bCs/>
              </w:rPr>
              <w:t xml:space="preserve">the </w:t>
            </w:r>
            <w:r w:rsidR="004A746E" w:rsidRPr="009363F9">
              <w:rPr>
                <w:rFonts w:ascii="Arial" w:hAnsi="Arial" w:cs="Arial"/>
                <w:bCs/>
              </w:rPr>
              <w:t>broader context of peer FTs</w:t>
            </w:r>
            <w:r w:rsidR="004A746E">
              <w:rPr>
                <w:rFonts w:ascii="Arial" w:hAnsi="Arial" w:cs="Arial"/>
                <w:bCs/>
              </w:rPr>
              <w:t>.</w:t>
            </w:r>
          </w:p>
          <w:p w:rsidR="004A746E" w:rsidRDefault="004A746E" w:rsidP="004A746E">
            <w:pPr>
              <w:numPr>
                <w:ilvl w:val="0"/>
                <w:numId w:val="13"/>
              </w:numPr>
              <w:spacing w:before="120" w:after="120"/>
              <w:rPr>
                <w:rFonts w:ascii="Arial" w:hAnsi="Arial" w:cs="Arial"/>
                <w:bCs/>
              </w:rPr>
            </w:pPr>
            <w:r w:rsidRPr="0026347B">
              <w:rPr>
                <w:rFonts w:ascii="Arial" w:hAnsi="Arial" w:cs="Arial"/>
                <w:bCs/>
              </w:rPr>
              <w:t xml:space="preserve">Understanding of Finance in the context of overall business performance – for example, what does EBITDA really mean as a measure of our success or not (rather than as an absolute number)?  What </w:t>
            </w:r>
            <w:r w:rsidR="00646C84">
              <w:rPr>
                <w:rFonts w:ascii="Arial" w:hAnsi="Arial" w:cs="Arial"/>
                <w:bCs/>
              </w:rPr>
              <w:t>is the difference between plan and forecast</w:t>
            </w:r>
            <w:r w:rsidRPr="0026347B">
              <w:rPr>
                <w:rFonts w:ascii="Arial" w:hAnsi="Arial" w:cs="Arial"/>
                <w:bCs/>
              </w:rPr>
              <w:t>?</w:t>
            </w:r>
          </w:p>
          <w:p w:rsidR="004A746E" w:rsidRDefault="004A746E" w:rsidP="004A746E">
            <w:pPr>
              <w:numPr>
                <w:ilvl w:val="0"/>
                <w:numId w:val="13"/>
              </w:numPr>
              <w:spacing w:before="120" w:after="120"/>
              <w:rPr>
                <w:rFonts w:ascii="Arial" w:hAnsi="Arial" w:cs="Arial"/>
                <w:bCs/>
              </w:rPr>
            </w:pPr>
            <w:r>
              <w:rPr>
                <w:rFonts w:ascii="Arial" w:hAnsi="Arial" w:cs="Arial"/>
                <w:bCs/>
              </w:rPr>
              <w:t xml:space="preserve">What can Service Line Reporting do for the Trust’s understanding of performance? </w:t>
            </w:r>
          </w:p>
          <w:p w:rsidR="004A746E" w:rsidRPr="00FC3F5F" w:rsidRDefault="004A746E" w:rsidP="00863964">
            <w:pPr>
              <w:spacing w:before="120" w:after="120"/>
              <w:rPr>
                <w:rFonts w:ascii="Arial" w:hAnsi="Arial" w:cs="Arial"/>
                <w:bCs/>
                <w:u w:val="single"/>
              </w:rPr>
            </w:pPr>
            <w:r w:rsidRPr="00FC3F5F">
              <w:rPr>
                <w:rFonts w:ascii="Arial" w:hAnsi="Arial" w:cs="Arial"/>
                <w:bCs/>
                <w:u w:val="single"/>
              </w:rPr>
              <w:t>Performance:</w:t>
            </w:r>
          </w:p>
          <w:p w:rsidR="004A746E" w:rsidRPr="00D0565F" w:rsidRDefault="004A746E" w:rsidP="004A746E">
            <w:pPr>
              <w:numPr>
                <w:ilvl w:val="0"/>
                <w:numId w:val="13"/>
              </w:numPr>
              <w:spacing w:before="120" w:after="120"/>
              <w:rPr>
                <w:rFonts w:ascii="Arial" w:hAnsi="Arial" w:cs="Arial"/>
                <w:bCs/>
              </w:rPr>
            </w:pPr>
            <w:r w:rsidRPr="00D0565F">
              <w:rPr>
                <w:rFonts w:ascii="Arial" w:hAnsi="Arial" w:cs="Arial"/>
                <w:bCs/>
              </w:rPr>
              <w:t xml:space="preserve">Against the Trust’s targets and standards </w:t>
            </w:r>
          </w:p>
          <w:p w:rsidR="004A746E" w:rsidRPr="00D0565F" w:rsidRDefault="004A746E" w:rsidP="004A746E">
            <w:pPr>
              <w:numPr>
                <w:ilvl w:val="0"/>
                <w:numId w:val="13"/>
              </w:numPr>
              <w:spacing w:before="120" w:after="120"/>
              <w:rPr>
                <w:rFonts w:ascii="Arial" w:hAnsi="Arial" w:cs="Arial"/>
                <w:bCs/>
              </w:rPr>
            </w:pPr>
            <w:r w:rsidRPr="00D0565F">
              <w:rPr>
                <w:rFonts w:ascii="Arial" w:hAnsi="Arial" w:cs="Arial"/>
                <w:bCs/>
              </w:rPr>
              <w:t>Implications of failing to achieve targets / standards</w:t>
            </w:r>
          </w:p>
          <w:p w:rsidR="004A746E" w:rsidRPr="00FC3F5F" w:rsidRDefault="004A746E" w:rsidP="00863964">
            <w:pPr>
              <w:spacing w:before="120" w:after="120"/>
              <w:rPr>
                <w:rFonts w:ascii="Arial" w:hAnsi="Arial" w:cs="Arial"/>
                <w:bCs/>
                <w:u w:val="single"/>
              </w:rPr>
            </w:pPr>
            <w:r w:rsidRPr="00FC3F5F">
              <w:rPr>
                <w:rFonts w:ascii="Arial" w:hAnsi="Arial" w:cs="Arial"/>
                <w:bCs/>
                <w:u w:val="single"/>
              </w:rPr>
              <w:t>Commissioning:</w:t>
            </w:r>
          </w:p>
          <w:p w:rsidR="004A746E" w:rsidRPr="001C075A" w:rsidRDefault="004A746E" w:rsidP="004A746E">
            <w:pPr>
              <w:numPr>
                <w:ilvl w:val="0"/>
                <w:numId w:val="13"/>
              </w:numPr>
              <w:spacing w:before="120" w:after="120"/>
              <w:rPr>
                <w:rFonts w:ascii="Arial" w:hAnsi="Arial" w:cs="Arial"/>
                <w:bCs/>
              </w:rPr>
            </w:pPr>
            <w:r w:rsidRPr="00AE44C5">
              <w:rPr>
                <w:rFonts w:ascii="Arial" w:hAnsi="Arial" w:cs="Arial"/>
                <w:bCs/>
              </w:rPr>
              <w:t xml:space="preserve">Understanding of </w:t>
            </w:r>
            <w:r>
              <w:rPr>
                <w:rFonts w:ascii="Arial" w:hAnsi="Arial" w:cs="Arial"/>
                <w:bCs/>
              </w:rPr>
              <w:t xml:space="preserve">the NHS </w:t>
            </w:r>
            <w:r w:rsidRPr="00AE44C5">
              <w:rPr>
                <w:rFonts w:ascii="Arial" w:hAnsi="Arial" w:cs="Arial"/>
                <w:bCs/>
              </w:rPr>
              <w:t>commissioning</w:t>
            </w:r>
            <w:r>
              <w:rPr>
                <w:rFonts w:ascii="Arial" w:hAnsi="Arial" w:cs="Arial"/>
                <w:bCs/>
              </w:rPr>
              <w:t xml:space="preserve"> system </w:t>
            </w:r>
            <w:r w:rsidRPr="00D0565F">
              <w:rPr>
                <w:rFonts w:ascii="Arial" w:hAnsi="Arial" w:cs="Arial"/>
                <w:bCs/>
              </w:rPr>
              <w:t>and its financial implications.</w:t>
            </w:r>
          </w:p>
          <w:p w:rsidR="004A746E" w:rsidRDefault="004A746E" w:rsidP="004A746E">
            <w:pPr>
              <w:numPr>
                <w:ilvl w:val="0"/>
                <w:numId w:val="13"/>
              </w:numPr>
              <w:spacing w:before="120" w:after="120"/>
              <w:rPr>
                <w:rFonts w:ascii="Arial" w:hAnsi="Arial" w:cs="Arial"/>
                <w:bCs/>
              </w:rPr>
            </w:pPr>
            <w:r>
              <w:rPr>
                <w:rFonts w:ascii="Arial" w:hAnsi="Arial" w:cs="Arial"/>
                <w:bCs/>
              </w:rPr>
              <w:t>E</w:t>
            </w:r>
            <w:r w:rsidRPr="00AE44C5">
              <w:rPr>
                <w:rFonts w:ascii="Arial" w:hAnsi="Arial" w:cs="Arial"/>
                <w:bCs/>
              </w:rPr>
              <w:t xml:space="preserve">xplanation of terms such as </w:t>
            </w:r>
            <w:r>
              <w:rPr>
                <w:rFonts w:ascii="Arial" w:hAnsi="Arial" w:cs="Arial"/>
                <w:bCs/>
              </w:rPr>
              <w:t>‘</w:t>
            </w:r>
            <w:r w:rsidRPr="00AE44C5">
              <w:rPr>
                <w:rFonts w:ascii="Arial" w:hAnsi="Arial" w:cs="Arial"/>
                <w:bCs/>
              </w:rPr>
              <w:t>QIPP</w:t>
            </w:r>
            <w:r>
              <w:rPr>
                <w:rFonts w:ascii="Arial" w:hAnsi="Arial" w:cs="Arial"/>
                <w:bCs/>
              </w:rPr>
              <w:t>’</w:t>
            </w:r>
            <w:r w:rsidRPr="00AE44C5">
              <w:rPr>
                <w:rFonts w:ascii="Arial" w:hAnsi="Arial" w:cs="Arial"/>
                <w:bCs/>
              </w:rPr>
              <w:t xml:space="preserve"> and </w:t>
            </w:r>
            <w:r>
              <w:rPr>
                <w:rFonts w:ascii="Arial" w:hAnsi="Arial" w:cs="Arial"/>
                <w:bCs/>
              </w:rPr>
              <w:t>‘</w:t>
            </w:r>
            <w:r w:rsidRPr="00AE44C5">
              <w:rPr>
                <w:rFonts w:ascii="Arial" w:hAnsi="Arial" w:cs="Arial"/>
                <w:bCs/>
              </w:rPr>
              <w:t>CQUIN</w:t>
            </w:r>
            <w:r>
              <w:rPr>
                <w:rFonts w:ascii="Arial" w:hAnsi="Arial" w:cs="Arial"/>
                <w:bCs/>
              </w:rPr>
              <w:t>’</w:t>
            </w:r>
            <w:r w:rsidRPr="00AE44C5">
              <w:rPr>
                <w:rFonts w:ascii="Arial" w:hAnsi="Arial" w:cs="Arial"/>
                <w:bCs/>
              </w:rPr>
              <w:t>.</w:t>
            </w:r>
          </w:p>
          <w:p w:rsidR="004A746E" w:rsidRPr="00D0565F" w:rsidRDefault="004A746E" w:rsidP="004A746E">
            <w:pPr>
              <w:numPr>
                <w:ilvl w:val="0"/>
                <w:numId w:val="13"/>
              </w:numPr>
              <w:spacing w:before="120" w:after="120"/>
              <w:rPr>
                <w:rFonts w:ascii="Arial" w:hAnsi="Arial" w:cs="Arial"/>
                <w:bCs/>
              </w:rPr>
            </w:pPr>
            <w:r w:rsidRPr="00D0565F">
              <w:rPr>
                <w:rFonts w:ascii="Arial" w:hAnsi="Arial" w:cs="Arial"/>
                <w:bCs/>
              </w:rPr>
              <w:t>Business planning</w:t>
            </w:r>
          </w:p>
        </w:tc>
      </w:tr>
      <w:tr w:rsidR="004A746E" w:rsidRPr="00AE6FEB" w:rsidTr="004A746E">
        <w:tc>
          <w:tcPr>
            <w:tcW w:w="9828" w:type="dxa"/>
          </w:tcPr>
          <w:p w:rsidR="004A746E" w:rsidRPr="00AE6FEB" w:rsidRDefault="004A746E" w:rsidP="00863964">
            <w:pPr>
              <w:spacing w:before="120" w:after="120"/>
              <w:rPr>
                <w:rFonts w:ascii="Arial" w:hAnsi="Arial"/>
                <w:b/>
              </w:rPr>
            </w:pPr>
            <w:r w:rsidRPr="00AE6FEB">
              <w:rPr>
                <w:rFonts w:ascii="Arial" w:hAnsi="Arial"/>
                <w:b/>
              </w:rPr>
              <w:lastRenderedPageBreak/>
              <w:t>Session 4 to be led by Director of Finance supported by Associate Director of Strategy and others (to be determined)</w:t>
            </w:r>
          </w:p>
        </w:tc>
      </w:tr>
      <w:tr w:rsidR="004A746E" w:rsidTr="004A746E">
        <w:tc>
          <w:tcPr>
            <w:tcW w:w="9828" w:type="dxa"/>
          </w:tcPr>
          <w:p w:rsidR="004A746E" w:rsidRPr="00AE6FEB" w:rsidRDefault="004A746E" w:rsidP="00863964">
            <w:pPr>
              <w:spacing w:before="120" w:after="120"/>
              <w:rPr>
                <w:rFonts w:ascii="Arial" w:hAnsi="Arial" w:cs="Arial"/>
                <w:bCs/>
              </w:rPr>
            </w:pPr>
            <w:r>
              <w:rPr>
                <w:rFonts w:ascii="Arial" w:hAnsi="Arial" w:cs="Arial"/>
                <w:b/>
                <w:bCs/>
              </w:rPr>
              <w:t xml:space="preserve">Session 5: </w:t>
            </w:r>
            <w:r w:rsidR="00AE6FEB">
              <w:rPr>
                <w:rFonts w:ascii="Arial" w:hAnsi="Arial" w:cs="Arial"/>
                <w:b/>
                <w:bCs/>
              </w:rPr>
              <w:t>Directorate Structures</w:t>
            </w:r>
          </w:p>
          <w:p w:rsidR="0013112E" w:rsidRPr="0095782A" w:rsidRDefault="004A746E" w:rsidP="00AE6FEB">
            <w:pPr>
              <w:spacing w:before="120" w:after="120"/>
              <w:rPr>
                <w:rFonts w:ascii="Arial" w:hAnsi="Arial" w:cs="Arial"/>
                <w:bCs/>
              </w:rPr>
            </w:pPr>
            <w:r w:rsidRPr="00AE6FEB">
              <w:rPr>
                <w:rFonts w:ascii="Arial" w:hAnsi="Arial" w:cs="Arial"/>
                <w:bCs/>
              </w:rPr>
              <w:t xml:space="preserve">This session </w:t>
            </w:r>
            <w:r w:rsidR="00AE6FEB">
              <w:rPr>
                <w:rFonts w:ascii="Arial" w:hAnsi="Arial" w:cs="Arial"/>
                <w:bCs/>
              </w:rPr>
              <w:t>is to help</w:t>
            </w:r>
            <w:r w:rsidRPr="00AE6FEB">
              <w:rPr>
                <w:rFonts w:ascii="Arial" w:hAnsi="Arial" w:cs="Arial"/>
                <w:bCs/>
              </w:rPr>
              <w:t xml:space="preserve"> Governors understand </w:t>
            </w:r>
            <w:r w:rsidR="00AE6FEB">
              <w:rPr>
                <w:rFonts w:ascii="Arial" w:hAnsi="Arial" w:cs="Arial"/>
                <w:bCs/>
              </w:rPr>
              <w:t>the different clinical services that sit within each Directorate along with a deeper understanding of their levels of activity and performance (finance and quality).</w:t>
            </w:r>
          </w:p>
        </w:tc>
      </w:tr>
      <w:tr w:rsidR="004A746E" w:rsidRPr="00AE6FEB" w:rsidTr="004A746E">
        <w:tc>
          <w:tcPr>
            <w:tcW w:w="9828" w:type="dxa"/>
          </w:tcPr>
          <w:p w:rsidR="004A746E" w:rsidRPr="00AE6FEB" w:rsidRDefault="004A746E" w:rsidP="00AE6FEB">
            <w:pPr>
              <w:spacing w:before="120" w:after="120"/>
              <w:rPr>
                <w:rFonts w:ascii="Arial" w:hAnsi="Arial"/>
                <w:b/>
              </w:rPr>
            </w:pPr>
            <w:r w:rsidRPr="00AE6FEB">
              <w:rPr>
                <w:rFonts w:ascii="Arial" w:hAnsi="Arial"/>
                <w:b/>
              </w:rPr>
              <w:t xml:space="preserve">Session 5 to be led by the </w:t>
            </w:r>
            <w:r w:rsidR="00AE6FEB" w:rsidRPr="00AE6FEB">
              <w:rPr>
                <w:rFonts w:ascii="Arial" w:hAnsi="Arial"/>
                <w:b/>
              </w:rPr>
              <w:t xml:space="preserve">Chief Operating Officer </w:t>
            </w:r>
            <w:r w:rsidRPr="00AE6FEB">
              <w:rPr>
                <w:rFonts w:ascii="Arial" w:hAnsi="Arial"/>
                <w:b/>
              </w:rPr>
              <w:t xml:space="preserve">supported </w:t>
            </w:r>
            <w:r w:rsidR="00AE6FEB" w:rsidRPr="00AE6FEB">
              <w:rPr>
                <w:rFonts w:ascii="Arial" w:hAnsi="Arial"/>
                <w:b/>
              </w:rPr>
              <w:t>by Clinical Directors and Service Directors as appropriate</w:t>
            </w:r>
          </w:p>
        </w:tc>
      </w:tr>
      <w:tr w:rsidR="004A746E" w:rsidTr="004A746E">
        <w:tc>
          <w:tcPr>
            <w:tcW w:w="9828" w:type="dxa"/>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630"/>
            </w:tblGrid>
            <w:tr w:rsidR="004A746E" w:rsidRPr="0095782A" w:rsidTr="00863964">
              <w:tc>
                <w:tcPr>
                  <w:tcW w:w="9828" w:type="dxa"/>
                </w:tcPr>
                <w:p w:rsidR="004A746E" w:rsidRDefault="004A746E" w:rsidP="00863964">
                  <w:pPr>
                    <w:spacing w:before="120" w:after="120"/>
                    <w:rPr>
                      <w:rFonts w:ascii="Arial" w:hAnsi="Arial" w:cs="Arial"/>
                      <w:bCs/>
                    </w:rPr>
                  </w:pPr>
                  <w:r>
                    <w:rPr>
                      <w:rFonts w:ascii="Arial" w:hAnsi="Arial" w:cs="Arial"/>
                      <w:b/>
                      <w:bCs/>
                    </w:rPr>
                    <w:t>Session 6: The Role of the Council of Governors</w:t>
                  </w:r>
                </w:p>
                <w:p w:rsidR="004A746E" w:rsidRPr="0095782A" w:rsidRDefault="004A746E" w:rsidP="00AE6FEB">
                  <w:pPr>
                    <w:spacing w:before="120" w:after="120"/>
                    <w:rPr>
                      <w:rFonts w:ascii="Arial" w:hAnsi="Arial" w:cs="Arial"/>
                      <w:bCs/>
                    </w:rPr>
                  </w:pPr>
                  <w:r>
                    <w:rPr>
                      <w:rFonts w:ascii="Arial" w:hAnsi="Arial" w:cs="Arial"/>
                      <w:bCs/>
                    </w:rPr>
                    <w:t xml:space="preserve">It is proposed that this session is </w:t>
                  </w:r>
                  <w:r w:rsidR="00AE6FEB">
                    <w:rPr>
                      <w:rFonts w:ascii="Arial" w:hAnsi="Arial" w:cs="Arial"/>
                      <w:bCs/>
                    </w:rPr>
                    <w:t xml:space="preserve">led by the Governors themselves.  </w:t>
                  </w:r>
                  <w:r>
                    <w:rPr>
                      <w:rFonts w:ascii="Arial" w:hAnsi="Arial" w:cs="Arial"/>
                      <w:bCs/>
                    </w:rPr>
                    <w:t>The main purpose of this session would be to explain to the Board of Directors the strengths and weaknesses in the Trust’s systems of engaging and inform</w:t>
                  </w:r>
                  <w:r w:rsidR="00AE6FEB">
                    <w:rPr>
                      <w:rFonts w:ascii="Arial" w:hAnsi="Arial" w:cs="Arial"/>
                      <w:bCs/>
                    </w:rPr>
                    <w:t>ing governors in fulfilling</w:t>
                  </w:r>
                  <w:r>
                    <w:rPr>
                      <w:rFonts w:ascii="Arial" w:hAnsi="Arial" w:cs="Arial"/>
                      <w:bCs/>
                    </w:rPr>
                    <w:t xml:space="preserve"> statutory duties.  Progress against actions to deliver improvement and enhancement to the Governor’s ability to hold the Board to account would be tracked through the formal </w:t>
                  </w:r>
                  <w:proofErr w:type="spellStart"/>
                  <w:r>
                    <w:rPr>
                      <w:rFonts w:ascii="Arial" w:hAnsi="Arial" w:cs="Arial"/>
                      <w:bCs/>
                    </w:rPr>
                    <w:t>CoG</w:t>
                  </w:r>
                  <w:proofErr w:type="spellEnd"/>
                  <w:r>
                    <w:rPr>
                      <w:rFonts w:ascii="Arial" w:hAnsi="Arial" w:cs="Arial"/>
                      <w:bCs/>
                    </w:rPr>
                    <w:t xml:space="preserve"> meeting. </w:t>
                  </w:r>
                </w:p>
              </w:tc>
            </w:tr>
            <w:tr w:rsidR="004A746E" w:rsidRPr="000070AC" w:rsidTr="00863964">
              <w:tc>
                <w:tcPr>
                  <w:tcW w:w="9828" w:type="dxa"/>
                </w:tcPr>
                <w:p w:rsidR="004A746E" w:rsidRPr="00AE6FEB" w:rsidRDefault="004A746E" w:rsidP="00AE6FEB">
                  <w:pPr>
                    <w:spacing w:before="120" w:after="120"/>
                    <w:rPr>
                      <w:rFonts w:ascii="Arial" w:hAnsi="Arial"/>
                      <w:b/>
                    </w:rPr>
                  </w:pPr>
                  <w:r w:rsidRPr="00AE6FEB">
                    <w:rPr>
                      <w:rFonts w:ascii="Arial" w:hAnsi="Arial"/>
                      <w:b/>
                    </w:rPr>
                    <w:t xml:space="preserve">Session 6 to be led by the Governors themselves supported by members </w:t>
                  </w:r>
                  <w:r w:rsidRPr="00AE6FEB">
                    <w:rPr>
                      <w:rFonts w:ascii="Arial" w:hAnsi="Arial"/>
                      <w:b/>
                    </w:rPr>
                    <w:lastRenderedPageBreak/>
                    <w:t xml:space="preserve">of Trust staff as required and attended by the Board of Directors.  </w:t>
                  </w:r>
                </w:p>
              </w:tc>
            </w:tr>
          </w:tbl>
          <w:p w:rsidR="004A746E" w:rsidRPr="001A3703" w:rsidRDefault="004A746E" w:rsidP="00863964">
            <w:pPr>
              <w:spacing w:before="120" w:after="120"/>
              <w:rPr>
                <w:rFonts w:ascii="Arial" w:hAnsi="Arial" w:cs="Arial"/>
                <w:b/>
                <w:bCs/>
              </w:rPr>
            </w:pPr>
          </w:p>
        </w:tc>
      </w:tr>
      <w:tr w:rsidR="004A746E" w:rsidTr="004A746E">
        <w:tc>
          <w:tcPr>
            <w:tcW w:w="9828" w:type="dxa"/>
          </w:tcPr>
          <w:p w:rsidR="004A746E" w:rsidRPr="001A3703" w:rsidRDefault="004A746E" w:rsidP="00863964">
            <w:pPr>
              <w:spacing w:before="120" w:after="120"/>
              <w:rPr>
                <w:rFonts w:ascii="Arial" w:hAnsi="Arial" w:cs="Arial"/>
                <w:b/>
                <w:bCs/>
              </w:rPr>
            </w:pPr>
            <w:r w:rsidRPr="001A3703">
              <w:rPr>
                <w:rFonts w:ascii="Arial" w:hAnsi="Arial" w:cs="Arial"/>
                <w:b/>
                <w:bCs/>
              </w:rPr>
              <w:lastRenderedPageBreak/>
              <w:t>Governor Development Prompts (GAPs)</w:t>
            </w:r>
          </w:p>
          <w:p w:rsidR="004A746E" w:rsidRDefault="004A746E" w:rsidP="00863964">
            <w:pPr>
              <w:spacing w:before="120" w:after="120"/>
              <w:rPr>
                <w:rFonts w:ascii="Arial" w:hAnsi="Arial" w:cs="Arial"/>
                <w:bCs/>
              </w:rPr>
            </w:pPr>
            <w:r>
              <w:rPr>
                <w:rFonts w:ascii="Arial" w:hAnsi="Arial" w:cs="Arial"/>
                <w:bCs/>
              </w:rPr>
              <w:t>It is proposed that in order to equip Governors with a set of questions that enable them to ask searching enquiries in order to hold the Board to account for the performance of the Trust whilst being mindful of the role of the NEDs in comparison to that of the Governors, a set of GAPs are developed.</w:t>
            </w:r>
          </w:p>
          <w:p w:rsidR="004A746E" w:rsidRPr="0095782A" w:rsidRDefault="004A746E" w:rsidP="00863964">
            <w:pPr>
              <w:spacing w:before="120" w:after="120"/>
              <w:rPr>
                <w:rFonts w:ascii="Arial" w:hAnsi="Arial" w:cs="Arial"/>
                <w:bCs/>
              </w:rPr>
            </w:pPr>
            <w:r>
              <w:rPr>
                <w:rFonts w:ascii="Arial" w:hAnsi="Arial" w:cs="Arial"/>
                <w:bCs/>
              </w:rPr>
              <w:t xml:space="preserve">Following an understanding of the types of questions Governors are asked by both Members and the general public, the focus of the first GAPs to be developed could be on </w:t>
            </w:r>
            <w:r w:rsidRPr="0028217B">
              <w:rPr>
                <w:rFonts w:ascii="Arial" w:hAnsi="Arial" w:cs="Arial"/>
                <w:bCs/>
              </w:rPr>
              <w:t xml:space="preserve">experiential issues – about the environment, the customer care, the attitudes and </w:t>
            </w:r>
            <w:proofErr w:type="spellStart"/>
            <w:r w:rsidRPr="0028217B">
              <w:rPr>
                <w:rFonts w:ascii="Arial" w:hAnsi="Arial" w:cs="Arial"/>
                <w:bCs/>
              </w:rPr>
              <w:t>behaviours</w:t>
            </w:r>
            <w:proofErr w:type="spellEnd"/>
            <w:r w:rsidRPr="0028217B">
              <w:rPr>
                <w:rFonts w:ascii="Arial" w:hAnsi="Arial" w:cs="Arial"/>
                <w:bCs/>
              </w:rPr>
              <w:t xml:space="preserve"> of staf</w:t>
            </w:r>
            <w:r>
              <w:rPr>
                <w:rFonts w:ascii="Arial" w:hAnsi="Arial" w:cs="Arial"/>
                <w:bCs/>
              </w:rPr>
              <w:t>f rather than about clinical care, but the Council of Governors are invited to influence the content and focus of the first GAPs</w:t>
            </w:r>
          </w:p>
        </w:tc>
      </w:tr>
      <w:tr w:rsidR="004A746E" w:rsidRPr="00745A3B" w:rsidTr="004A746E">
        <w:tc>
          <w:tcPr>
            <w:tcW w:w="9828" w:type="dxa"/>
          </w:tcPr>
          <w:p w:rsidR="004A746E" w:rsidRPr="00745A3B" w:rsidRDefault="004A746E" w:rsidP="00863964">
            <w:pPr>
              <w:spacing w:before="120" w:after="120"/>
              <w:rPr>
                <w:rFonts w:ascii="Arial" w:hAnsi="Arial" w:cs="Arial"/>
                <w:b/>
                <w:bCs/>
              </w:rPr>
            </w:pPr>
            <w:r w:rsidRPr="00745A3B">
              <w:rPr>
                <w:rFonts w:ascii="Arial" w:hAnsi="Arial" w:cs="Arial"/>
                <w:b/>
                <w:bCs/>
              </w:rPr>
              <w:t>GAPs will be developed by the Director of Corporate Affairs/Company Secretary in the first instance in conjunction with the Lead Governor and other Governors</w:t>
            </w:r>
          </w:p>
        </w:tc>
      </w:tr>
      <w:tr w:rsidR="004A746E" w:rsidTr="004A746E">
        <w:tc>
          <w:tcPr>
            <w:tcW w:w="9828" w:type="dxa"/>
          </w:tcPr>
          <w:p w:rsidR="004A746E" w:rsidRPr="00D26904" w:rsidRDefault="004A746E" w:rsidP="00863964">
            <w:pPr>
              <w:spacing w:before="120" w:after="120"/>
              <w:rPr>
                <w:rFonts w:ascii="Arial" w:hAnsi="Arial" w:cs="Arial"/>
                <w:b/>
                <w:bCs/>
              </w:rPr>
            </w:pPr>
            <w:r>
              <w:rPr>
                <w:rFonts w:ascii="Arial" w:hAnsi="Arial" w:cs="Arial"/>
                <w:b/>
                <w:bCs/>
              </w:rPr>
              <w:t>Optional</w:t>
            </w:r>
            <w:r w:rsidRPr="00D26904">
              <w:rPr>
                <w:rFonts w:ascii="Arial" w:hAnsi="Arial" w:cs="Arial"/>
                <w:b/>
                <w:bCs/>
              </w:rPr>
              <w:t xml:space="preserve"> Governor Development Programme Sessions</w:t>
            </w:r>
          </w:p>
        </w:tc>
      </w:tr>
      <w:tr w:rsidR="004A746E" w:rsidTr="004A746E">
        <w:tc>
          <w:tcPr>
            <w:tcW w:w="9828" w:type="dxa"/>
          </w:tcPr>
          <w:p w:rsidR="004A746E" w:rsidRDefault="00745A3B" w:rsidP="00863964">
            <w:pPr>
              <w:spacing w:before="120" w:after="120"/>
              <w:rPr>
                <w:rFonts w:ascii="Arial" w:hAnsi="Arial" w:cs="Arial"/>
                <w:bCs/>
              </w:rPr>
            </w:pPr>
            <w:r>
              <w:rPr>
                <w:rFonts w:ascii="Arial" w:hAnsi="Arial" w:cs="Arial"/>
                <w:bCs/>
              </w:rPr>
              <w:t>O</w:t>
            </w:r>
            <w:r w:rsidR="004A746E" w:rsidRPr="00D17520">
              <w:rPr>
                <w:rFonts w:ascii="Arial" w:hAnsi="Arial" w:cs="Arial"/>
                <w:bCs/>
              </w:rPr>
              <w:t xml:space="preserve">ptional </w:t>
            </w:r>
            <w:r w:rsidR="004A746E">
              <w:rPr>
                <w:rFonts w:ascii="Arial" w:hAnsi="Arial" w:cs="Arial"/>
                <w:bCs/>
              </w:rPr>
              <w:t>modules for Governors:</w:t>
            </w:r>
          </w:p>
          <w:p w:rsidR="004A746E" w:rsidRDefault="004A746E" w:rsidP="00863964">
            <w:pPr>
              <w:spacing w:before="120" w:after="120"/>
              <w:rPr>
                <w:rFonts w:ascii="Arial" w:hAnsi="Arial" w:cs="Arial"/>
                <w:bCs/>
              </w:rPr>
            </w:pPr>
            <w:r>
              <w:rPr>
                <w:rFonts w:ascii="Arial" w:hAnsi="Arial" w:cs="Arial"/>
                <w:bCs/>
              </w:rPr>
              <w:t>Module 1:</w:t>
            </w:r>
          </w:p>
          <w:p w:rsidR="004A746E" w:rsidRPr="00554DEC" w:rsidRDefault="004A746E" w:rsidP="004A746E">
            <w:pPr>
              <w:numPr>
                <w:ilvl w:val="0"/>
                <w:numId w:val="9"/>
              </w:numPr>
              <w:spacing w:before="120" w:after="120"/>
              <w:rPr>
                <w:rFonts w:ascii="Arial" w:hAnsi="Arial" w:cs="Arial"/>
                <w:bCs/>
                <w:i/>
              </w:rPr>
            </w:pPr>
            <w:r w:rsidRPr="00554DEC">
              <w:rPr>
                <w:rFonts w:ascii="Arial" w:hAnsi="Arial" w:cs="Arial"/>
                <w:bCs/>
                <w:i/>
              </w:rPr>
              <w:t xml:space="preserve">Communications: Media and PR and code of conduct (in which we could include media training recently requested by Governors involved in </w:t>
            </w:r>
            <w:r w:rsidR="00745A3B">
              <w:rPr>
                <w:rFonts w:ascii="Arial" w:hAnsi="Arial" w:cs="Arial"/>
                <w:bCs/>
                <w:i/>
              </w:rPr>
              <w:t xml:space="preserve">the </w:t>
            </w:r>
            <w:r w:rsidRPr="00554DEC">
              <w:rPr>
                <w:rFonts w:ascii="Arial" w:hAnsi="Arial" w:cs="Arial"/>
                <w:bCs/>
                <w:i/>
              </w:rPr>
              <w:t>election communications)</w:t>
            </w:r>
          </w:p>
          <w:p w:rsidR="004A746E" w:rsidRPr="00554DEC" w:rsidRDefault="004A746E" w:rsidP="004A746E">
            <w:pPr>
              <w:numPr>
                <w:ilvl w:val="0"/>
                <w:numId w:val="9"/>
              </w:numPr>
              <w:spacing w:before="120" w:after="120"/>
              <w:rPr>
                <w:rFonts w:ascii="Arial" w:hAnsi="Arial" w:cs="Arial"/>
                <w:bCs/>
                <w:i/>
              </w:rPr>
            </w:pPr>
            <w:r w:rsidRPr="00554DEC">
              <w:rPr>
                <w:rFonts w:ascii="Arial" w:hAnsi="Arial" w:cs="Arial"/>
                <w:bCs/>
                <w:i/>
              </w:rPr>
              <w:t xml:space="preserve">Stakeholders (Voluntary sector partners; </w:t>
            </w:r>
            <w:r w:rsidR="00745A3B">
              <w:rPr>
                <w:rFonts w:ascii="Arial" w:hAnsi="Arial" w:cs="Arial"/>
                <w:bCs/>
                <w:i/>
              </w:rPr>
              <w:t xml:space="preserve">CCG, Ambulance Service; </w:t>
            </w:r>
            <w:proofErr w:type="spellStart"/>
            <w:r w:rsidRPr="00554DEC">
              <w:rPr>
                <w:rFonts w:ascii="Arial" w:hAnsi="Arial" w:cs="Arial"/>
                <w:bCs/>
                <w:i/>
              </w:rPr>
              <w:t>Healthwatch</w:t>
            </w:r>
            <w:proofErr w:type="spellEnd"/>
            <w:r w:rsidRPr="00554DEC">
              <w:rPr>
                <w:rFonts w:ascii="Arial" w:hAnsi="Arial" w:cs="Arial"/>
                <w:bCs/>
                <w:i/>
              </w:rPr>
              <w:t>; County Council)</w:t>
            </w:r>
          </w:p>
          <w:p w:rsidR="004A746E" w:rsidRPr="00554DEC" w:rsidRDefault="004A746E" w:rsidP="004A746E">
            <w:pPr>
              <w:numPr>
                <w:ilvl w:val="0"/>
                <w:numId w:val="9"/>
              </w:numPr>
              <w:spacing w:before="120" w:after="120"/>
              <w:rPr>
                <w:rFonts w:ascii="Arial" w:hAnsi="Arial" w:cs="Arial"/>
                <w:bCs/>
                <w:i/>
              </w:rPr>
            </w:pPr>
            <w:r w:rsidRPr="00554DEC">
              <w:rPr>
                <w:rFonts w:ascii="Arial" w:hAnsi="Arial" w:cs="Arial"/>
                <w:bCs/>
                <w:i/>
              </w:rPr>
              <w:t>Clinical negligence, employer and public liability claims and inquests</w:t>
            </w:r>
          </w:p>
          <w:p w:rsidR="004A746E" w:rsidRPr="00554DEC" w:rsidRDefault="004A746E" w:rsidP="004A746E">
            <w:pPr>
              <w:numPr>
                <w:ilvl w:val="0"/>
                <w:numId w:val="9"/>
              </w:numPr>
              <w:spacing w:before="120" w:after="120"/>
              <w:rPr>
                <w:rFonts w:ascii="Arial" w:hAnsi="Arial" w:cs="Arial"/>
                <w:bCs/>
                <w:i/>
              </w:rPr>
            </w:pPr>
            <w:r w:rsidRPr="00554DEC">
              <w:rPr>
                <w:rFonts w:ascii="Arial" w:hAnsi="Arial" w:cs="Arial"/>
                <w:bCs/>
                <w:i/>
              </w:rPr>
              <w:t>Health and Safety</w:t>
            </w:r>
          </w:p>
          <w:p w:rsidR="004A746E" w:rsidRPr="00554DEC" w:rsidRDefault="004A746E" w:rsidP="00863964">
            <w:pPr>
              <w:spacing w:before="120" w:after="120"/>
              <w:rPr>
                <w:rFonts w:ascii="Arial" w:hAnsi="Arial" w:cs="Arial"/>
                <w:bCs/>
                <w:i/>
                <w:sz w:val="16"/>
                <w:szCs w:val="16"/>
              </w:rPr>
            </w:pPr>
          </w:p>
          <w:p w:rsidR="004A746E" w:rsidRPr="00554DEC" w:rsidRDefault="004A746E" w:rsidP="00863964">
            <w:pPr>
              <w:spacing w:before="120" w:after="120"/>
              <w:rPr>
                <w:rFonts w:ascii="Arial" w:hAnsi="Arial" w:cs="Arial"/>
                <w:bCs/>
              </w:rPr>
            </w:pPr>
            <w:r w:rsidRPr="00554DEC">
              <w:rPr>
                <w:rFonts w:ascii="Arial" w:hAnsi="Arial" w:cs="Arial"/>
                <w:bCs/>
              </w:rPr>
              <w:t>Module 2:</w:t>
            </w:r>
          </w:p>
          <w:p w:rsidR="004A746E" w:rsidRPr="00554DEC" w:rsidRDefault="00745A3B" w:rsidP="004A746E">
            <w:pPr>
              <w:numPr>
                <w:ilvl w:val="0"/>
                <w:numId w:val="9"/>
              </w:numPr>
              <w:spacing w:before="120" w:after="120"/>
              <w:rPr>
                <w:rFonts w:ascii="Arial" w:hAnsi="Arial" w:cs="Arial"/>
                <w:bCs/>
                <w:i/>
              </w:rPr>
            </w:pPr>
            <w:r>
              <w:rPr>
                <w:rFonts w:ascii="Arial" w:hAnsi="Arial" w:cs="Arial"/>
                <w:bCs/>
                <w:i/>
              </w:rPr>
              <w:t>Chairing</w:t>
            </w:r>
            <w:r w:rsidR="004A746E" w:rsidRPr="00554DEC">
              <w:rPr>
                <w:rFonts w:ascii="Arial" w:hAnsi="Arial" w:cs="Arial"/>
                <w:bCs/>
                <w:i/>
              </w:rPr>
              <w:t xml:space="preserve"> meetings</w:t>
            </w:r>
          </w:p>
          <w:p w:rsidR="004A746E" w:rsidRDefault="004A746E" w:rsidP="004A746E">
            <w:pPr>
              <w:numPr>
                <w:ilvl w:val="0"/>
                <w:numId w:val="9"/>
              </w:numPr>
              <w:spacing w:before="120" w:after="120"/>
              <w:rPr>
                <w:rFonts w:ascii="Arial" w:hAnsi="Arial" w:cs="Arial"/>
                <w:bCs/>
                <w:i/>
              </w:rPr>
            </w:pPr>
            <w:r w:rsidRPr="00554DEC">
              <w:rPr>
                <w:rFonts w:ascii="Arial" w:hAnsi="Arial" w:cs="Arial"/>
                <w:bCs/>
                <w:i/>
              </w:rPr>
              <w:t>Negotiation skills</w:t>
            </w:r>
          </w:p>
          <w:p w:rsidR="00745A3B" w:rsidRPr="00554DEC" w:rsidRDefault="00745A3B" w:rsidP="004A746E">
            <w:pPr>
              <w:numPr>
                <w:ilvl w:val="0"/>
                <w:numId w:val="9"/>
              </w:numPr>
              <w:spacing w:before="120" w:after="120"/>
              <w:rPr>
                <w:rFonts w:ascii="Arial" w:hAnsi="Arial" w:cs="Arial"/>
                <w:bCs/>
                <w:i/>
              </w:rPr>
            </w:pPr>
            <w:r>
              <w:rPr>
                <w:rFonts w:ascii="Arial" w:hAnsi="Arial" w:cs="Arial"/>
                <w:bCs/>
                <w:i/>
              </w:rPr>
              <w:t>IT skills</w:t>
            </w:r>
          </w:p>
          <w:p w:rsidR="00745A3B" w:rsidRDefault="00745A3B" w:rsidP="00863964">
            <w:pPr>
              <w:spacing w:before="120" w:after="120"/>
              <w:rPr>
                <w:rFonts w:ascii="Arial" w:hAnsi="Arial" w:cs="Arial"/>
                <w:bCs/>
              </w:rPr>
            </w:pPr>
          </w:p>
          <w:p w:rsidR="004A746E" w:rsidRPr="00554DEC" w:rsidRDefault="004A746E" w:rsidP="00863964">
            <w:pPr>
              <w:spacing w:before="120" w:after="120"/>
              <w:rPr>
                <w:rFonts w:ascii="Arial" w:hAnsi="Arial" w:cs="Arial"/>
                <w:bCs/>
              </w:rPr>
            </w:pPr>
            <w:r w:rsidRPr="00554DEC">
              <w:rPr>
                <w:rFonts w:ascii="Arial" w:hAnsi="Arial" w:cs="Arial"/>
                <w:bCs/>
              </w:rPr>
              <w:t xml:space="preserve">Module 3: </w:t>
            </w:r>
          </w:p>
          <w:p w:rsidR="004A746E" w:rsidRPr="00554DEC" w:rsidRDefault="004A746E" w:rsidP="004A746E">
            <w:pPr>
              <w:numPr>
                <w:ilvl w:val="0"/>
                <w:numId w:val="9"/>
              </w:numPr>
              <w:spacing w:before="120" w:after="120"/>
              <w:rPr>
                <w:rFonts w:ascii="Arial" w:hAnsi="Arial" w:cs="Arial"/>
                <w:bCs/>
              </w:rPr>
            </w:pPr>
            <w:r w:rsidRPr="00554DEC">
              <w:rPr>
                <w:rFonts w:ascii="Arial" w:hAnsi="Arial" w:cs="Arial"/>
                <w:bCs/>
                <w:i/>
              </w:rPr>
              <w:t>Recruitment and selection</w:t>
            </w:r>
          </w:p>
          <w:p w:rsidR="004A746E" w:rsidRPr="00554DEC" w:rsidRDefault="004A746E" w:rsidP="004A746E">
            <w:pPr>
              <w:numPr>
                <w:ilvl w:val="0"/>
                <w:numId w:val="9"/>
              </w:numPr>
              <w:spacing w:before="120" w:after="120"/>
              <w:rPr>
                <w:rFonts w:ascii="Arial" w:hAnsi="Arial" w:cs="Arial"/>
                <w:bCs/>
              </w:rPr>
            </w:pPr>
            <w:r w:rsidRPr="00554DEC">
              <w:rPr>
                <w:rFonts w:ascii="Arial" w:hAnsi="Arial" w:cs="Arial"/>
                <w:bCs/>
                <w:i/>
              </w:rPr>
              <w:t>Interviewing skills</w:t>
            </w:r>
            <w:r w:rsidRPr="00554DEC">
              <w:rPr>
                <w:rFonts w:ascii="Arial" w:hAnsi="Arial" w:cs="Arial"/>
                <w:bCs/>
              </w:rPr>
              <w:t xml:space="preserve"> </w:t>
            </w:r>
          </w:p>
          <w:p w:rsidR="004A746E" w:rsidRPr="005E13A5" w:rsidRDefault="004A746E" w:rsidP="00863964">
            <w:pPr>
              <w:spacing w:before="120" w:after="120"/>
              <w:rPr>
                <w:rFonts w:ascii="Arial" w:hAnsi="Arial" w:cs="Arial"/>
                <w:bCs/>
              </w:rPr>
            </w:pPr>
            <w:r>
              <w:rPr>
                <w:rFonts w:ascii="Arial" w:hAnsi="Arial" w:cs="Arial"/>
                <w:bCs/>
              </w:rPr>
              <w:t xml:space="preserve">This module would be </w:t>
            </w:r>
            <w:r w:rsidRPr="005E13A5">
              <w:rPr>
                <w:rFonts w:ascii="Arial" w:hAnsi="Arial" w:cs="Arial"/>
                <w:bCs/>
              </w:rPr>
              <w:t>mandatory for Governors who are m</w:t>
            </w:r>
            <w:r>
              <w:rPr>
                <w:rFonts w:ascii="Arial" w:hAnsi="Arial" w:cs="Arial"/>
                <w:bCs/>
              </w:rPr>
              <w:t xml:space="preserve">embers of the </w:t>
            </w:r>
            <w:r>
              <w:rPr>
                <w:rFonts w:ascii="Arial" w:hAnsi="Arial" w:cs="Arial"/>
                <w:bCs/>
              </w:rPr>
              <w:lastRenderedPageBreak/>
              <w:t>Nominations committee.</w:t>
            </w:r>
          </w:p>
          <w:p w:rsidR="004A746E" w:rsidRPr="0028733F" w:rsidRDefault="004A746E" w:rsidP="00863964">
            <w:pPr>
              <w:spacing w:before="120" w:after="120"/>
              <w:rPr>
                <w:rFonts w:ascii="Arial" w:hAnsi="Arial" w:cs="Arial"/>
                <w:bCs/>
              </w:rPr>
            </w:pPr>
            <w:r w:rsidRPr="0028733F">
              <w:rPr>
                <w:rFonts w:ascii="Arial" w:hAnsi="Arial" w:cs="Arial"/>
                <w:bCs/>
              </w:rPr>
              <w:t>These modules would be optional for governor</w:t>
            </w:r>
            <w:r>
              <w:rPr>
                <w:rFonts w:ascii="Arial" w:hAnsi="Arial" w:cs="Arial"/>
                <w:bCs/>
              </w:rPr>
              <w:t>s to attend.  Attendance at the mandatory sessions</w:t>
            </w:r>
            <w:r w:rsidRPr="0028733F">
              <w:rPr>
                <w:rFonts w:ascii="Arial" w:hAnsi="Arial" w:cs="Arial"/>
                <w:bCs/>
              </w:rPr>
              <w:t xml:space="preserve"> will be recorded and </w:t>
            </w:r>
            <w:r>
              <w:rPr>
                <w:rFonts w:ascii="Arial" w:hAnsi="Arial" w:cs="Arial"/>
                <w:bCs/>
              </w:rPr>
              <w:t xml:space="preserve">may be </w:t>
            </w:r>
            <w:r w:rsidRPr="0028733F">
              <w:rPr>
                <w:rFonts w:ascii="Arial" w:hAnsi="Arial" w:cs="Arial"/>
                <w:bCs/>
              </w:rPr>
              <w:t>reported upon</w:t>
            </w:r>
            <w:r>
              <w:rPr>
                <w:rFonts w:ascii="Arial" w:hAnsi="Arial" w:cs="Arial"/>
                <w:bCs/>
              </w:rPr>
              <w:t xml:space="preserve"> as required on the website and in the Annual Report.</w:t>
            </w:r>
          </w:p>
        </w:tc>
      </w:tr>
      <w:tr w:rsidR="004A746E" w:rsidTr="004A746E">
        <w:tc>
          <w:tcPr>
            <w:tcW w:w="9828" w:type="dxa"/>
          </w:tcPr>
          <w:p w:rsidR="004A746E" w:rsidRDefault="004A746E" w:rsidP="00863964">
            <w:pPr>
              <w:spacing w:before="120" w:after="120"/>
              <w:rPr>
                <w:rFonts w:ascii="Arial" w:hAnsi="Arial" w:cs="Arial"/>
                <w:b/>
                <w:bCs/>
              </w:rPr>
            </w:pPr>
            <w:r>
              <w:rPr>
                <w:rFonts w:ascii="Arial" w:hAnsi="Arial" w:cs="Arial"/>
                <w:b/>
                <w:bCs/>
              </w:rPr>
              <w:lastRenderedPageBreak/>
              <w:t>National Governor Development Programme provided by Foundation Trust Network</w:t>
            </w:r>
          </w:p>
          <w:p w:rsidR="004A746E" w:rsidRDefault="004A746E" w:rsidP="00863964">
            <w:pPr>
              <w:spacing w:before="120" w:after="120"/>
              <w:rPr>
                <w:rFonts w:ascii="Arial" w:hAnsi="Arial" w:cs="Arial"/>
                <w:bCs/>
              </w:rPr>
            </w:pPr>
            <w:r>
              <w:rPr>
                <w:rFonts w:ascii="Arial" w:hAnsi="Arial" w:cs="Arial"/>
                <w:bCs/>
              </w:rPr>
              <w:t>The NHS Leadership Academy commissioned NHS Providers</w:t>
            </w:r>
            <w:r>
              <w:rPr>
                <w:rStyle w:val="EndnoteReference"/>
                <w:rFonts w:ascii="Arial" w:hAnsi="Arial" w:cs="Arial"/>
                <w:bCs/>
              </w:rPr>
              <w:endnoteReference w:id="1"/>
            </w:r>
            <w:r>
              <w:rPr>
                <w:rFonts w:ascii="Arial" w:hAnsi="Arial" w:cs="Arial"/>
                <w:bCs/>
              </w:rPr>
              <w:t xml:space="preserve"> to develop a Governor Programme which focuses on induction, core skills and specialist skills for governors.  The package of modules has been available since April 2013.  </w:t>
            </w:r>
          </w:p>
          <w:p w:rsidR="004A746E" w:rsidRDefault="004A746E" w:rsidP="00863964">
            <w:pPr>
              <w:spacing w:before="120" w:after="120"/>
              <w:rPr>
                <w:rFonts w:ascii="Arial" w:hAnsi="Arial" w:cs="Arial"/>
                <w:bCs/>
              </w:rPr>
            </w:pPr>
            <w:r>
              <w:rPr>
                <w:rFonts w:ascii="Arial" w:hAnsi="Arial" w:cs="Arial"/>
                <w:bCs/>
              </w:rPr>
              <w:t>The training is provided across the country at both face-to-face sessions and using both on-line and published resources.  The materials created as part of the national development programme are available for FTs to download and tailor for their own use during bespoke in-house governor development sessions.</w:t>
            </w:r>
          </w:p>
          <w:p w:rsidR="004A746E" w:rsidRDefault="004A746E" w:rsidP="00863964">
            <w:pPr>
              <w:spacing w:before="120" w:after="120"/>
              <w:rPr>
                <w:rFonts w:ascii="Arial" w:hAnsi="Arial" w:cs="Arial"/>
                <w:bCs/>
              </w:rPr>
            </w:pPr>
            <w:r w:rsidRPr="00745A3B">
              <w:rPr>
                <w:rFonts w:ascii="Arial" w:hAnsi="Arial" w:cs="Arial"/>
                <w:bCs/>
              </w:rPr>
              <w:t>Core modules of the national programme include:</w:t>
            </w:r>
          </w:p>
          <w:p w:rsidR="004A746E" w:rsidRDefault="004A746E" w:rsidP="004A746E">
            <w:pPr>
              <w:numPr>
                <w:ilvl w:val="0"/>
                <w:numId w:val="8"/>
              </w:numPr>
              <w:spacing w:before="120" w:after="120"/>
              <w:rPr>
                <w:rFonts w:ascii="Arial" w:hAnsi="Arial" w:cs="Arial"/>
                <w:bCs/>
              </w:rPr>
            </w:pPr>
            <w:r>
              <w:rPr>
                <w:rFonts w:ascii="Arial" w:hAnsi="Arial" w:cs="Arial"/>
                <w:bCs/>
              </w:rPr>
              <w:t>The NHS and the role of the Governor (a one day module which will cover their statutory role, finance and accountability amongst other topics).</w:t>
            </w:r>
          </w:p>
          <w:p w:rsidR="004A746E" w:rsidRDefault="004A746E" w:rsidP="004A746E">
            <w:pPr>
              <w:numPr>
                <w:ilvl w:val="0"/>
                <w:numId w:val="8"/>
              </w:numPr>
              <w:spacing w:before="120" w:after="120"/>
              <w:rPr>
                <w:rFonts w:ascii="Arial" w:hAnsi="Arial" w:cs="Arial"/>
                <w:bCs/>
              </w:rPr>
            </w:pPr>
            <w:r>
              <w:rPr>
                <w:rFonts w:ascii="Arial" w:hAnsi="Arial" w:cs="Arial"/>
                <w:bCs/>
              </w:rPr>
              <w:t>Effective questioning and challenge</w:t>
            </w:r>
          </w:p>
          <w:p w:rsidR="004A746E" w:rsidRDefault="004A746E" w:rsidP="00863964">
            <w:pPr>
              <w:spacing w:before="120" w:after="120"/>
              <w:rPr>
                <w:rFonts w:ascii="Arial" w:hAnsi="Arial" w:cs="Arial"/>
                <w:bCs/>
              </w:rPr>
            </w:pPr>
            <w:r>
              <w:rPr>
                <w:rFonts w:ascii="Arial" w:hAnsi="Arial" w:cs="Arial"/>
                <w:bCs/>
              </w:rPr>
              <w:t>Specialist modules of the national programme will include:</w:t>
            </w:r>
          </w:p>
          <w:p w:rsidR="004A746E" w:rsidRDefault="004A746E" w:rsidP="004A746E">
            <w:pPr>
              <w:numPr>
                <w:ilvl w:val="0"/>
                <w:numId w:val="8"/>
              </w:numPr>
              <w:spacing w:before="120" w:after="120"/>
              <w:rPr>
                <w:rFonts w:ascii="Arial" w:hAnsi="Arial" w:cs="Arial"/>
                <w:bCs/>
              </w:rPr>
            </w:pPr>
            <w:r>
              <w:rPr>
                <w:rFonts w:ascii="Arial" w:hAnsi="Arial" w:cs="Arial"/>
                <w:bCs/>
              </w:rPr>
              <w:t>Accountability</w:t>
            </w:r>
          </w:p>
          <w:p w:rsidR="004A746E" w:rsidRDefault="004A746E" w:rsidP="004A746E">
            <w:pPr>
              <w:numPr>
                <w:ilvl w:val="0"/>
                <w:numId w:val="8"/>
              </w:numPr>
              <w:spacing w:before="120" w:after="120"/>
              <w:rPr>
                <w:rFonts w:ascii="Arial" w:hAnsi="Arial" w:cs="Arial"/>
                <w:bCs/>
              </w:rPr>
            </w:pPr>
            <w:r>
              <w:rPr>
                <w:rFonts w:ascii="Arial" w:hAnsi="Arial" w:cs="Arial"/>
                <w:bCs/>
              </w:rPr>
              <w:t>NHS finance</w:t>
            </w:r>
          </w:p>
          <w:p w:rsidR="004A746E" w:rsidRDefault="004A746E" w:rsidP="004A746E">
            <w:pPr>
              <w:numPr>
                <w:ilvl w:val="0"/>
                <w:numId w:val="8"/>
              </w:numPr>
              <w:spacing w:before="120" w:after="120"/>
              <w:rPr>
                <w:rFonts w:ascii="Arial" w:hAnsi="Arial" w:cs="Arial"/>
                <w:bCs/>
              </w:rPr>
            </w:pPr>
            <w:r>
              <w:rPr>
                <w:rFonts w:ascii="Arial" w:hAnsi="Arial" w:cs="Arial"/>
                <w:bCs/>
              </w:rPr>
              <w:t>Business skills</w:t>
            </w:r>
          </w:p>
          <w:p w:rsidR="004A746E" w:rsidRDefault="004A746E" w:rsidP="004A746E">
            <w:pPr>
              <w:numPr>
                <w:ilvl w:val="0"/>
                <w:numId w:val="8"/>
              </w:numPr>
              <w:spacing w:before="120" w:after="120"/>
              <w:rPr>
                <w:rFonts w:ascii="Arial" w:hAnsi="Arial" w:cs="Arial"/>
                <w:bCs/>
              </w:rPr>
            </w:pPr>
            <w:r>
              <w:rPr>
                <w:rFonts w:ascii="Arial" w:hAnsi="Arial" w:cs="Arial"/>
                <w:bCs/>
              </w:rPr>
              <w:t>Strategy and planning</w:t>
            </w:r>
          </w:p>
          <w:p w:rsidR="004A746E" w:rsidRDefault="004A746E" w:rsidP="004A746E">
            <w:pPr>
              <w:numPr>
                <w:ilvl w:val="0"/>
                <w:numId w:val="8"/>
              </w:numPr>
              <w:spacing w:before="120" w:after="120"/>
              <w:rPr>
                <w:rFonts w:ascii="Arial" w:hAnsi="Arial" w:cs="Arial"/>
                <w:bCs/>
              </w:rPr>
            </w:pPr>
            <w:r>
              <w:rPr>
                <w:rFonts w:ascii="Arial" w:hAnsi="Arial" w:cs="Arial"/>
                <w:bCs/>
              </w:rPr>
              <w:t xml:space="preserve">The Governor’s role in </w:t>
            </w:r>
            <w:proofErr w:type="spellStart"/>
            <w:r>
              <w:rPr>
                <w:rFonts w:ascii="Arial" w:hAnsi="Arial" w:cs="Arial"/>
                <w:bCs/>
              </w:rPr>
              <w:t>Non Executive</w:t>
            </w:r>
            <w:proofErr w:type="spellEnd"/>
            <w:r>
              <w:rPr>
                <w:rFonts w:ascii="Arial" w:hAnsi="Arial" w:cs="Arial"/>
                <w:bCs/>
              </w:rPr>
              <w:t xml:space="preserve"> Director (NED) appointments</w:t>
            </w:r>
          </w:p>
          <w:p w:rsidR="004A746E" w:rsidRPr="009E3C59" w:rsidRDefault="004A746E" w:rsidP="004A746E">
            <w:pPr>
              <w:numPr>
                <w:ilvl w:val="0"/>
                <w:numId w:val="8"/>
              </w:numPr>
              <w:spacing w:before="120" w:after="120"/>
              <w:rPr>
                <w:rFonts w:ascii="Arial" w:hAnsi="Arial" w:cs="Arial"/>
                <w:bCs/>
              </w:rPr>
            </w:pPr>
            <w:r>
              <w:rPr>
                <w:rFonts w:ascii="Arial" w:hAnsi="Arial" w:cs="Arial"/>
                <w:bCs/>
              </w:rPr>
              <w:t>Processes for determining NED remuneration</w:t>
            </w:r>
          </w:p>
        </w:tc>
      </w:tr>
      <w:tr w:rsidR="004A746E" w:rsidTr="004A746E">
        <w:tc>
          <w:tcPr>
            <w:tcW w:w="9828" w:type="dxa"/>
          </w:tcPr>
          <w:p w:rsidR="004A746E" w:rsidRDefault="004A746E" w:rsidP="00863964">
            <w:pPr>
              <w:spacing w:before="120" w:after="120"/>
              <w:rPr>
                <w:rFonts w:ascii="Arial" w:hAnsi="Arial" w:cs="Arial"/>
                <w:b/>
                <w:bCs/>
              </w:rPr>
            </w:pPr>
            <w:r>
              <w:rPr>
                <w:rFonts w:ascii="Arial" w:hAnsi="Arial" w:cs="Arial"/>
                <w:b/>
                <w:bCs/>
              </w:rPr>
              <w:t>4. Summary of Risk Implications:</w:t>
            </w:r>
          </w:p>
        </w:tc>
      </w:tr>
      <w:tr w:rsidR="004A746E" w:rsidTr="004A746E">
        <w:tc>
          <w:tcPr>
            <w:tcW w:w="9828" w:type="dxa"/>
          </w:tcPr>
          <w:p w:rsidR="004A746E" w:rsidRDefault="004A746E" w:rsidP="00863964">
            <w:pPr>
              <w:spacing w:before="120" w:after="120"/>
              <w:rPr>
                <w:rFonts w:ascii="Arial" w:hAnsi="Arial" w:cs="Arial"/>
                <w:bCs/>
              </w:rPr>
            </w:pPr>
            <w:r>
              <w:rPr>
                <w:rFonts w:ascii="Arial" w:hAnsi="Arial" w:cs="Arial"/>
                <w:bCs/>
              </w:rPr>
              <w:t xml:space="preserve">Without the required skills and knowledge the Governors would not be able to hold the Board of Directors to account and would be less able to fulfil their statutory responsibilities.  </w:t>
            </w:r>
          </w:p>
          <w:p w:rsidR="004A746E" w:rsidRDefault="004A746E" w:rsidP="00863964">
            <w:pPr>
              <w:spacing w:before="120" w:after="120"/>
              <w:rPr>
                <w:rFonts w:ascii="Arial" w:hAnsi="Arial" w:cs="Arial"/>
                <w:b/>
                <w:bCs/>
              </w:rPr>
            </w:pPr>
            <w:r>
              <w:rPr>
                <w:rFonts w:ascii="Arial" w:hAnsi="Arial" w:cs="Arial"/>
                <w:bCs/>
              </w:rPr>
              <w:t>This enhanced development programme is designed to ensure the Governors have not only the skills and knowledge to monitor the Trust’s performance and that of its Board of Directors but increased confidence to test the responses of Trust management in an appropriate way.</w:t>
            </w:r>
          </w:p>
        </w:tc>
      </w:tr>
      <w:tr w:rsidR="004A746E" w:rsidTr="004A746E">
        <w:tc>
          <w:tcPr>
            <w:tcW w:w="9828" w:type="dxa"/>
          </w:tcPr>
          <w:p w:rsidR="004A746E" w:rsidRDefault="004A746E" w:rsidP="00863964">
            <w:pPr>
              <w:spacing w:before="120" w:after="120"/>
              <w:rPr>
                <w:rFonts w:ascii="Arial" w:hAnsi="Arial" w:cs="Arial"/>
                <w:b/>
                <w:bCs/>
              </w:rPr>
            </w:pPr>
            <w:r>
              <w:rPr>
                <w:rFonts w:ascii="Arial" w:hAnsi="Arial" w:cs="Arial"/>
                <w:b/>
                <w:bCs/>
              </w:rPr>
              <w:t xml:space="preserve">5. Summary of Strategic Implications </w:t>
            </w:r>
          </w:p>
        </w:tc>
      </w:tr>
      <w:tr w:rsidR="004A746E" w:rsidTr="004A746E">
        <w:tc>
          <w:tcPr>
            <w:tcW w:w="9828" w:type="dxa"/>
          </w:tcPr>
          <w:p w:rsidR="004A746E" w:rsidRDefault="004A746E" w:rsidP="00745A3B">
            <w:pPr>
              <w:spacing w:before="120" w:after="120"/>
              <w:rPr>
                <w:rFonts w:ascii="Arial" w:hAnsi="Arial" w:cs="Arial"/>
                <w:b/>
                <w:bCs/>
              </w:rPr>
            </w:pPr>
            <w:r w:rsidRPr="00EA247B">
              <w:rPr>
                <w:rFonts w:ascii="Arial" w:hAnsi="Arial" w:cs="Arial"/>
                <w:bCs/>
              </w:rPr>
              <w:t xml:space="preserve">Without a consistent, integrated Governor Development Programme the Trust will not be able to evidence the way in which it has supported its Governors </w:t>
            </w:r>
            <w:r w:rsidR="00745A3B">
              <w:rPr>
                <w:rFonts w:ascii="Arial" w:hAnsi="Arial" w:cs="Arial"/>
                <w:bCs/>
              </w:rPr>
              <w:t xml:space="preserve">in </w:t>
            </w:r>
            <w:r w:rsidR="00745A3B">
              <w:rPr>
                <w:rFonts w:ascii="Arial" w:hAnsi="Arial" w:cs="Arial"/>
                <w:bCs/>
              </w:rPr>
              <w:lastRenderedPageBreak/>
              <w:t>being skilled to undertake their statutory duties.</w:t>
            </w:r>
          </w:p>
        </w:tc>
      </w:tr>
      <w:tr w:rsidR="004A746E" w:rsidTr="004A746E">
        <w:tc>
          <w:tcPr>
            <w:tcW w:w="9828" w:type="dxa"/>
          </w:tcPr>
          <w:p w:rsidR="004A746E" w:rsidRDefault="004A746E" w:rsidP="00863964">
            <w:pPr>
              <w:spacing w:before="120" w:after="120"/>
              <w:rPr>
                <w:rFonts w:ascii="Arial" w:hAnsi="Arial" w:cs="Arial"/>
                <w:b/>
                <w:bCs/>
              </w:rPr>
            </w:pPr>
            <w:r>
              <w:rPr>
                <w:rFonts w:ascii="Arial" w:hAnsi="Arial" w:cs="Arial"/>
                <w:b/>
                <w:bCs/>
              </w:rPr>
              <w:lastRenderedPageBreak/>
              <w:t>6.  Recommendations:</w:t>
            </w:r>
          </w:p>
        </w:tc>
      </w:tr>
      <w:tr w:rsidR="004A746E" w:rsidTr="004A746E">
        <w:tc>
          <w:tcPr>
            <w:tcW w:w="9828" w:type="dxa"/>
          </w:tcPr>
          <w:p w:rsidR="004A746E" w:rsidRDefault="004A746E" w:rsidP="00863964">
            <w:pPr>
              <w:spacing w:before="120" w:after="120"/>
              <w:rPr>
                <w:rFonts w:ascii="Arial" w:hAnsi="Arial" w:cs="Arial"/>
                <w:bCs/>
              </w:rPr>
            </w:pPr>
            <w:r>
              <w:rPr>
                <w:rFonts w:ascii="Arial" w:hAnsi="Arial" w:cs="Arial"/>
                <w:bCs/>
              </w:rPr>
              <w:t>The Governors are invited to:</w:t>
            </w:r>
          </w:p>
          <w:p w:rsidR="004A746E" w:rsidRDefault="004A746E" w:rsidP="004A746E">
            <w:pPr>
              <w:numPr>
                <w:ilvl w:val="0"/>
                <w:numId w:val="14"/>
              </w:numPr>
              <w:spacing w:before="120" w:after="120"/>
              <w:rPr>
                <w:rFonts w:ascii="Arial" w:hAnsi="Arial" w:cs="Arial"/>
                <w:bCs/>
              </w:rPr>
            </w:pPr>
            <w:r>
              <w:rPr>
                <w:rFonts w:ascii="Arial" w:hAnsi="Arial" w:cs="Arial"/>
                <w:bCs/>
              </w:rPr>
              <w:t>Reach agreement on the final content of the mandatory sessions of the Governor Development Programme and the focus of the first Governor Assurance Prompts (GAPs).</w:t>
            </w:r>
          </w:p>
          <w:p w:rsidR="004A746E" w:rsidRDefault="004A746E" w:rsidP="004A746E">
            <w:pPr>
              <w:numPr>
                <w:ilvl w:val="0"/>
                <w:numId w:val="14"/>
              </w:numPr>
              <w:spacing w:before="120" w:after="120"/>
              <w:rPr>
                <w:rFonts w:ascii="Arial" w:hAnsi="Arial" w:cs="Arial"/>
                <w:bCs/>
              </w:rPr>
            </w:pPr>
            <w:r>
              <w:rPr>
                <w:rFonts w:ascii="Arial" w:hAnsi="Arial" w:cs="Arial"/>
                <w:bCs/>
              </w:rPr>
              <w:t>Consider and approve the proposed topics to be included as optional modules within the enhanced Governor Development Programme.</w:t>
            </w:r>
          </w:p>
          <w:p w:rsidR="004A746E" w:rsidRPr="00732DF3" w:rsidRDefault="004A746E" w:rsidP="00863964">
            <w:pPr>
              <w:spacing w:before="120" w:after="120"/>
              <w:ind w:left="360"/>
              <w:rPr>
                <w:rFonts w:ascii="Arial" w:hAnsi="Arial" w:cs="Arial"/>
                <w:bCs/>
              </w:rPr>
            </w:pPr>
          </w:p>
        </w:tc>
      </w:tr>
      <w:tr w:rsidR="004A746E" w:rsidTr="004A746E">
        <w:tc>
          <w:tcPr>
            <w:tcW w:w="9828" w:type="dxa"/>
          </w:tcPr>
          <w:p w:rsidR="004A746E" w:rsidRDefault="004A746E" w:rsidP="00863964">
            <w:pPr>
              <w:spacing w:before="120" w:after="120"/>
              <w:rPr>
                <w:rFonts w:ascii="Arial" w:hAnsi="Arial" w:cs="Arial"/>
              </w:rPr>
            </w:pPr>
            <w:r>
              <w:rPr>
                <w:rFonts w:ascii="Arial" w:hAnsi="Arial" w:cs="Arial"/>
                <w:b/>
                <w:bCs/>
              </w:rPr>
              <w:t>7. Timescales, Deliverables and Lead Accountable Executive:</w:t>
            </w:r>
          </w:p>
        </w:tc>
      </w:tr>
      <w:tr w:rsidR="004A746E" w:rsidTr="004A746E">
        <w:tc>
          <w:tcPr>
            <w:tcW w:w="9828" w:type="dxa"/>
          </w:tcPr>
          <w:p w:rsidR="004A746E" w:rsidRDefault="004A746E" w:rsidP="00863964">
            <w:pPr>
              <w:spacing w:before="120" w:after="120"/>
              <w:rPr>
                <w:rFonts w:ascii="Arial" w:hAnsi="Arial" w:cs="Arial"/>
                <w:bCs/>
              </w:rPr>
            </w:pPr>
            <w:r>
              <w:rPr>
                <w:rFonts w:ascii="Arial" w:hAnsi="Arial" w:cs="Arial"/>
                <w:bCs/>
              </w:rPr>
              <w:t>Next steps:</w:t>
            </w:r>
          </w:p>
          <w:p w:rsidR="004A746E" w:rsidRDefault="004A746E" w:rsidP="004A746E">
            <w:pPr>
              <w:numPr>
                <w:ilvl w:val="0"/>
                <w:numId w:val="10"/>
              </w:numPr>
              <w:spacing w:before="120" w:after="120"/>
              <w:rPr>
                <w:rFonts w:ascii="Arial" w:hAnsi="Arial" w:cs="Arial"/>
                <w:bCs/>
              </w:rPr>
            </w:pPr>
            <w:r>
              <w:rPr>
                <w:rFonts w:ascii="Arial" w:hAnsi="Arial" w:cs="Arial"/>
                <w:bCs/>
              </w:rPr>
              <w:t>Director of Corporate Affairs/Company Secretary to agree dates for each of the mandatory modules for 2016/17 with the Governors and the session leads.  The first module will be planned if feasible, to take place before the end of April 2016.</w:t>
            </w:r>
          </w:p>
          <w:p w:rsidR="004A746E" w:rsidRDefault="004A746E" w:rsidP="004A746E">
            <w:pPr>
              <w:numPr>
                <w:ilvl w:val="0"/>
                <w:numId w:val="10"/>
              </w:numPr>
              <w:spacing w:before="120" w:after="120"/>
              <w:rPr>
                <w:rFonts w:ascii="Arial" w:hAnsi="Arial" w:cs="Arial"/>
                <w:bCs/>
              </w:rPr>
            </w:pPr>
            <w:r>
              <w:rPr>
                <w:rFonts w:ascii="Arial" w:hAnsi="Arial" w:cs="Arial"/>
                <w:bCs/>
              </w:rPr>
              <w:t>To support each Director lead to create the content for their session.</w:t>
            </w:r>
          </w:p>
          <w:p w:rsidR="004A746E" w:rsidRDefault="004A746E" w:rsidP="004A746E">
            <w:pPr>
              <w:numPr>
                <w:ilvl w:val="0"/>
                <w:numId w:val="10"/>
              </w:numPr>
              <w:spacing w:before="120" w:after="120"/>
              <w:rPr>
                <w:rFonts w:ascii="Arial" w:hAnsi="Arial" w:cs="Arial"/>
                <w:bCs/>
              </w:rPr>
            </w:pPr>
            <w:r>
              <w:rPr>
                <w:rFonts w:ascii="Arial" w:hAnsi="Arial" w:cs="Arial"/>
                <w:bCs/>
              </w:rPr>
              <w:t>To devise the first set of GAPs.</w:t>
            </w:r>
          </w:p>
          <w:p w:rsidR="004A746E" w:rsidRDefault="004A746E" w:rsidP="004A746E">
            <w:pPr>
              <w:numPr>
                <w:ilvl w:val="0"/>
                <w:numId w:val="10"/>
              </w:numPr>
              <w:spacing w:before="120" w:after="120"/>
              <w:rPr>
                <w:rFonts w:ascii="Arial" w:hAnsi="Arial" w:cs="Arial"/>
                <w:bCs/>
              </w:rPr>
            </w:pPr>
            <w:r>
              <w:rPr>
                <w:rFonts w:ascii="Arial" w:hAnsi="Arial" w:cs="Arial"/>
                <w:bCs/>
              </w:rPr>
              <w:t>To access the national Governor Development Programme training materials as they become available and tailor them for use within both OHFT’s mandatory and optional modules.</w:t>
            </w:r>
          </w:p>
          <w:p w:rsidR="004A746E" w:rsidRDefault="004A746E" w:rsidP="004A746E">
            <w:pPr>
              <w:numPr>
                <w:ilvl w:val="0"/>
                <w:numId w:val="10"/>
              </w:numPr>
              <w:spacing w:before="120" w:after="120"/>
              <w:rPr>
                <w:rFonts w:ascii="Arial" w:hAnsi="Arial" w:cs="Arial"/>
                <w:bCs/>
              </w:rPr>
            </w:pPr>
            <w:r>
              <w:rPr>
                <w:rFonts w:ascii="Arial" w:hAnsi="Arial" w:cs="Arial"/>
                <w:bCs/>
              </w:rPr>
              <w:t>To oversee the provision of the optional modules.</w:t>
            </w:r>
          </w:p>
          <w:p w:rsidR="004A746E" w:rsidRDefault="004A746E" w:rsidP="00863964">
            <w:pPr>
              <w:spacing w:before="120" w:after="120"/>
              <w:rPr>
                <w:rFonts w:ascii="Arial" w:hAnsi="Arial" w:cs="Arial"/>
                <w:b/>
                <w:bCs/>
              </w:rPr>
            </w:pPr>
          </w:p>
        </w:tc>
      </w:tr>
    </w:tbl>
    <w:p w:rsidR="00496F5B" w:rsidRDefault="00496F5B" w:rsidP="0073522A">
      <w:pPr>
        <w:ind w:left="1440" w:hanging="1440"/>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4A746E" w:rsidRPr="004A746E">
        <w:rPr>
          <w:rFonts w:ascii="Arial" w:hAnsi="Arial" w:cs="Arial"/>
          <w:sz w:val="22"/>
          <w:szCs w:val="22"/>
        </w:rPr>
        <w:t>Kerry Rogers, Director of Corporate Affairs &amp; Company Secretary</w:t>
      </w:r>
    </w:p>
    <w:p w:rsidR="00AF0562" w:rsidRPr="005D0374" w:rsidRDefault="00AF0562" w:rsidP="005D0374">
      <w:pPr>
        <w:jc w:val="both"/>
        <w:rPr>
          <w:rFonts w:ascii="Arial" w:hAnsi="Arial" w:cs="Arial"/>
          <w:b/>
        </w:rPr>
      </w:pPr>
    </w:p>
    <w:sectPr w:rsidR="00AF0562" w:rsidRPr="005D0374" w:rsidSect="009E2D63">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E4" w:rsidRDefault="006E3DE4" w:rsidP="005B3E3C">
      <w:r>
        <w:separator/>
      </w:r>
    </w:p>
  </w:endnote>
  <w:endnote w:type="continuationSeparator" w:id="0">
    <w:p w:rsidR="006E3DE4" w:rsidRDefault="006E3DE4" w:rsidP="005B3E3C">
      <w:r>
        <w:continuationSeparator/>
      </w:r>
    </w:p>
  </w:endnote>
  <w:endnote w:id="1">
    <w:p w:rsidR="004A746E" w:rsidRPr="00C23CE0" w:rsidRDefault="004A746E" w:rsidP="004A746E">
      <w:pPr>
        <w:pStyle w:val="EndnoteText"/>
        <w:rPr>
          <w:sz w:val="20"/>
        </w:rPr>
      </w:pPr>
      <w:r w:rsidRPr="00C23CE0">
        <w:rPr>
          <w:rStyle w:val="EndnoteReference"/>
          <w:sz w:val="20"/>
        </w:rPr>
        <w:endnoteRef/>
      </w:r>
      <w:r w:rsidRPr="00C23CE0">
        <w:rPr>
          <w:sz w:val="20"/>
        </w:rPr>
        <w:t xml:space="preserve"> </w:t>
      </w:r>
      <w:r>
        <w:rPr>
          <w:rFonts w:ascii="Arial" w:hAnsi="Arial"/>
          <w:sz w:val="20"/>
          <w:lang w:val="en-GB"/>
        </w:rPr>
        <w:t xml:space="preserve">NHS Providers </w:t>
      </w:r>
      <w:r w:rsidRPr="00C23CE0">
        <w:rPr>
          <w:rFonts w:ascii="Arial" w:hAnsi="Arial"/>
          <w:sz w:val="20"/>
        </w:rPr>
        <w:t>is the trade association for foundation trusts and NHS trusts. It is the voice of acute hospitals, mental health, ambulance and community services organisations.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E4" w:rsidRDefault="006E3DE4" w:rsidP="005B3E3C">
      <w:r>
        <w:separator/>
      </w:r>
    </w:p>
  </w:footnote>
  <w:footnote w:type="continuationSeparator" w:id="0">
    <w:p w:rsidR="006E3DE4" w:rsidRDefault="006E3DE4"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9FC"/>
    <w:multiLevelType w:val="hybridMultilevel"/>
    <w:tmpl w:val="99B644BA"/>
    <w:lvl w:ilvl="0" w:tplc="4FEEC87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655A7"/>
    <w:multiLevelType w:val="hybridMultilevel"/>
    <w:tmpl w:val="803E2D88"/>
    <w:lvl w:ilvl="0" w:tplc="3C6080D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A0805"/>
    <w:multiLevelType w:val="hybridMultilevel"/>
    <w:tmpl w:val="2BAA5D7C"/>
    <w:lvl w:ilvl="0" w:tplc="FD7C4B6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043904"/>
    <w:multiLevelType w:val="hybridMultilevel"/>
    <w:tmpl w:val="35A098BC"/>
    <w:lvl w:ilvl="0" w:tplc="3C6080D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A44ED"/>
    <w:multiLevelType w:val="hybridMultilevel"/>
    <w:tmpl w:val="C4B86D28"/>
    <w:lvl w:ilvl="0" w:tplc="4FEEC87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73F5B"/>
    <w:multiLevelType w:val="hybridMultilevel"/>
    <w:tmpl w:val="9ED851CE"/>
    <w:lvl w:ilvl="0" w:tplc="3C6080D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468C6"/>
    <w:multiLevelType w:val="hybridMultilevel"/>
    <w:tmpl w:val="5DC0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F5018"/>
    <w:multiLevelType w:val="hybridMultilevel"/>
    <w:tmpl w:val="CED4467C"/>
    <w:lvl w:ilvl="0" w:tplc="15A8407A">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C5C10"/>
    <w:multiLevelType w:val="hybridMultilevel"/>
    <w:tmpl w:val="20C81AC2"/>
    <w:lvl w:ilvl="0" w:tplc="F11C83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9">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8F060AA"/>
    <w:multiLevelType w:val="hybridMultilevel"/>
    <w:tmpl w:val="5FDE3A28"/>
    <w:lvl w:ilvl="0" w:tplc="5CB633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195921"/>
    <w:multiLevelType w:val="hybridMultilevel"/>
    <w:tmpl w:val="24D21890"/>
    <w:lvl w:ilvl="0" w:tplc="79D2F8E4">
      <w:start w:val="1"/>
      <w:numFmt w:val="lowerLetter"/>
      <w:lvlText w:val="%1."/>
      <w:lvlJc w:val="left"/>
      <w:pPr>
        <w:ind w:left="360" w:hanging="360"/>
      </w:pPr>
      <w:rPr>
        <w:rFonts w:hint="default"/>
      </w:rPr>
    </w:lvl>
    <w:lvl w:ilvl="1" w:tplc="3C6080D4">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E31CB7"/>
    <w:multiLevelType w:val="hybridMultilevel"/>
    <w:tmpl w:val="EACAD65E"/>
    <w:lvl w:ilvl="0" w:tplc="AF2216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6"/>
  </w:num>
  <w:num w:numId="4">
    <w:abstractNumId w:val="10"/>
  </w:num>
  <w:num w:numId="5">
    <w:abstractNumId w:val="8"/>
  </w:num>
  <w:num w:numId="6">
    <w:abstractNumId w:val="2"/>
  </w:num>
  <w:num w:numId="7">
    <w:abstractNumId w:val="4"/>
  </w:num>
  <w:num w:numId="8">
    <w:abstractNumId w:val="1"/>
  </w:num>
  <w:num w:numId="9">
    <w:abstractNumId w:val="3"/>
  </w:num>
  <w:num w:numId="10">
    <w:abstractNumId w:val="12"/>
  </w:num>
  <w:num w:numId="11">
    <w:abstractNumId w:val="11"/>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20ED2"/>
    <w:rsid w:val="0004158E"/>
    <w:rsid w:val="000D59A0"/>
    <w:rsid w:val="001101AA"/>
    <w:rsid w:val="0013112E"/>
    <w:rsid w:val="001A17D2"/>
    <w:rsid w:val="001F76ED"/>
    <w:rsid w:val="00227FCE"/>
    <w:rsid w:val="0026048F"/>
    <w:rsid w:val="002619EF"/>
    <w:rsid w:val="002821F8"/>
    <w:rsid w:val="00292613"/>
    <w:rsid w:val="002A73E8"/>
    <w:rsid w:val="002C2F97"/>
    <w:rsid w:val="002D1946"/>
    <w:rsid w:val="002E6FC6"/>
    <w:rsid w:val="00302C2E"/>
    <w:rsid w:val="0033630E"/>
    <w:rsid w:val="003971F6"/>
    <w:rsid w:val="003C65CE"/>
    <w:rsid w:val="00431086"/>
    <w:rsid w:val="004326BB"/>
    <w:rsid w:val="004452E6"/>
    <w:rsid w:val="00472637"/>
    <w:rsid w:val="00496F5B"/>
    <w:rsid w:val="004A5BBE"/>
    <w:rsid w:val="004A746E"/>
    <w:rsid w:val="004D181D"/>
    <w:rsid w:val="004F4BBA"/>
    <w:rsid w:val="004F546C"/>
    <w:rsid w:val="00507C2D"/>
    <w:rsid w:val="005233AA"/>
    <w:rsid w:val="00551B0F"/>
    <w:rsid w:val="005659FB"/>
    <w:rsid w:val="005B3E3C"/>
    <w:rsid w:val="005C3FC1"/>
    <w:rsid w:val="005D0374"/>
    <w:rsid w:val="005D3499"/>
    <w:rsid w:val="005E6945"/>
    <w:rsid w:val="006079C8"/>
    <w:rsid w:val="00643F12"/>
    <w:rsid w:val="00646C84"/>
    <w:rsid w:val="006C2656"/>
    <w:rsid w:val="006E3DE4"/>
    <w:rsid w:val="007249DD"/>
    <w:rsid w:val="0073522A"/>
    <w:rsid w:val="00745A3B"/>
    <w:rsid w:val="00747EDD"/>
    <w:rsid w:val="00772590"/>
    <w:rsid w:val="007976E7"/>
    <w:rsid w:val="007C690C"/>
    <w:rsid w:val="00814D26"/>
    <w:rsid w:val="0086436B"/>
    <w:rsid w:val="00894B97"/>
    <w:rsid w:val="00922A90"/>
    <w:rsid w:val="00946E6E"/>
    <w:rsid w:val="009E2D63"/>
    <w:rsid w:val="00A141F0"/>
    <w:rsid w:val="00A66D2D"/>
    <w:rsid w:val="00A85311"/>
    <w:rsid w:val="00AC3814"/>
    <w:rsid w:val="00AE6FEB"/>
    <w:rsid w:val="00AF0562"/>
    <w:rsid w:val="00B00CD9"/>
    <w:rsid w:val="00B26E1A"/>
    <w:rsid w:val="00B50D5E"/>
    <w:rsid w:val="00BA3B3E"/>
    <w:rsid w:val="00BB0184"/>
    <w:rsid w:val="00BF5367"/>
    <w:rsid w:val="00C36ED7"/>
    <w:rsid w:val="00D07064"/>
    <w:rsid w:val="00D279FC"/>
    <w:rsid w:val="00D55ADD"/>
    <w:rsid w:val="00D844C6"/>
    <w:rsid w:val="00DA0FA6"/>
    <w:rsid w:val="00DD33DF"/>
    <w:rsid w:val="00DE1293"/>
    <w:rsid w:val="00E4238E"/>
    <w:rsid w:val="00E77C2C"/>
    <w:rsid w:val="00EC791A"/>
    <w:rsid w:val="00EF0633"/>
    <w:rsid w:val="00F57119"/>
    <w:rsid w:val="00FC0383"/>
    <w:rsid w:val="00FD2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 w:type="paragraph" w:styleId="Title">
    <w:name w:val="Title"/>
    <w:basedOn w:val="Normal"/>
    <w:link w:val="TitleChar"/>
    <w:qFormat/>
    <w:rsid w:val="004A746E"/>
    <w:pPr>
      <w:jc w:val="center"/>
    </w:pPr>
    <w:rPr>
      <w:rFonts w:ascii="Arial" w:hAnsi="Arial" w:cs="Arial"/>
      <w:b/>
      <w:bCs/>
      <w:sz w:val="28"/>
      <w:lang w:val="en-GB"/>
    </w:rPr>
  </w:style>
  <w:style w:type="character" w:customStyle="1" w:styleId="TitleChar">
    <w:name w:val="Title Char"/>
    <w:basedOn w:val="DefaultParagraphFont"/>
    <w:link w:val="Title"/>
    <w:rsid w:val="004A746E"/>
    <w:rPr>
      <w:rFonts w:ascii="Arial" w:hAnsi="Arial" w:cs="Arial"/>
      <w:b/>
      <w:bCs/>
      <w:sz w:val="28"/>
      <w:szCs w:val="24"/>
      <w:lang w:eastAsia="en-US"/>
    </w:rPr>
  </w:style>
  <w:style w:type="paragraph" w:styleId="EndnoteText">
    <w:name w:val="endnote text"/>
    <w:basedOn w:val="Normal"/>
    <w:link w:val="EndnoteTextChar"/>
    <w:rsid w:val="004A746E"/>
    <w:rPr>
      <w:lang w:val="x-none" w:eastAsia="x-none"/>
    </w:rPr>
  </w:style>
  <w:style w:type="character" w:customStyle="1" w:styleId="EndnoteTextChar">
    <w:name w:val="Endnote Text Char"/>
    <w:basedOn w:val="DefaultParagraphFont"/>
    <w:link w:val="EndnoteText"/>
    <w:rsid w:val="004A746E"/>
    <w:rPr>
      <w:sz w:val="24"/>
      <w:szCs w:val="24"/>
      <w:lang w:val="x-none" w:eastAsia="x-none"/>
    </w:rPr>
  </w:style>
  <w:style w:type="character" w:styleId="EndnoteReference">
    <w:name w:val="endnote reference"/>
    <w:rsid w:val="004A74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 w:type="paragraph" w:styleId="Title">
    <w:name w:val="Title"/>
    <w:basedOn w:val="Normal"/>
    <w:link w:val="TitleChar"/>
    <w:qFormat/>
    <w:rsid w:val="004A746E"/>
    <w:pPr>
      <w:jc w:val="center"/>
    </w:pPr>
    <w:rPr>
      <w:rFonts w:ascii="Arial" w:hAnsi="Arial" w:cs="Arial"/>
      <w:b/>
      <w:bCs/>
      <w:sz w:val="28"/>
      <w:lang w:val="en-GB"/>
    </w:rPr>
  </w:style>
  <w:style w:type="character" w:customStyle="1" w:styleId="TitleChar">
    <w:name w:val="Title Char"/>
    <w:basedOn w:val="DefaultParagraphFont"/>
    <w:link w:val="Title"/>
    <w:rsid w:val="004A746E"/>
    <w:rPr>
      <w:rFonts w:ascii="Arial" w:hAnsi="Arial" w:cs="Arial"/>
      <w:b/>
      <w:bCs/>
      <w:sz w:val="28"/>
      <w:szCs w:val="24"/>
      <w:lang w:eastAsia="en-US"/>
    </w:rPr>
  </w:style>
  <w:style w:type="paragraph" w:styleId="EndnoteText">
    <w:name w:val="endnote text"/>
    <w:basedOn w:val="Normal"/>
    <w:link w:val="EndnoteTextChar"/>
    <w:rsid w:val="004A746E"/>
    <w:rPr>
      <w:lang w:val="x-none" w:eastAsia="x-none"/>
    </w:rPr>
  </w:style>
  <w:style w:type="character" w:customStyle="1" w:styleId="EndnoteTextChar">
    <w:name w:val="Endnote Text Char"/>
    <w:basedOn w:val="DefaultParagraphFont"/>
    <w:link w:val="EndnoteText"/>
    <w:rsid w:val="004A746E"/>
    <w:rPr>
      <w:sz w:val="24"/>
      <w:szCs w:val="24"/>
      <w:lang w:val="x-none" w:eastAsia="x-none"/>
    </w:rPr>
  </w:style>
  <w:style w:type="character" w:styleId="EndnoteReference">
    <w:name w:val="endnote reference"/>
    <w:rsid w:val="004A7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2</cp:revision>
  <cp:lastPrinted>2005-05-11T11:48:00Z</cp:lastPrinted>
  <dcterms:created xsi:type="dcterms:W3CDTF">2016-03-02T13:07:00Z</dcterms:created>
  <dcterms:modified xsi:type="dcterms:W3CDTF">2016-03-02T13:07:00Z</dcterms:modified>
</cp:coreProperties>
</file>