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32" w:rsidRDefault="007A0415" w:rsidP="00EB33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Appendix 1</w:t>
      </w:r>
    </w:p>
    <w:p w:rsidR="00B91D32" w:rsidRDefault="00B91D32" w:rsidP="00EB336B">
      <w:pPr>
        <w:jc w:val="both"/>
        <w:rPr>
          <w:b/>
        </w:rPr>
      </w:pPr>
    </w:p>
    <w:p w:rsidR="00215309" w:rsidRPr="00132274" w:rsidRDefault="00D0714F" w:rsidP="00EB336B">
      <w:pPr>
        <w:jc w:val="both"/>
      </w:pPr>
      <w:r w:rsidRPr="00132274">
        <w:rPr>
          <w:b/>
        </w:rPr>
        <w:t>Members Council Remuneration and Nominations Committee – 22</w:t>
      </w:r>
      <w:r w:rsidRPr="00132274">
        <w:rPr>
          <w:b/>
          <w:vertAlign w:val="superscript"/>
        </w:rPr>
        <w:t>nd</w:t>
      </w:r>
      <w:r w:rsidRPr="00132274">
        <w:rPr>
          <w:b/>
        </w:rPr>
        <w:t xml:space="preserve"> March 2012</w:t>
      </w:r>
    </w:p>
    <w:p w:rsidR="00D0714F" w:rsidRPr="00132274" w:rsidRDefault="00D0714F" w:rsidP="00EB336B">
      <w:pPr>
        <w:jc w:val="both"/>
      </w:pPr>
    </w:p>
    <w:p w:rsidR="00D0714F" w:rsidRPr="00132274" w:rsidRDefault="00D0714F" w:rsidP="00EB336B">
      <w:pPr>
        <w:jc w:val="both"/>
      </w:pPr>
      <w:r w:rsidRPr="00132274">
        <w:rPr>
          <w:b/>
        </w:rPr>
        <w:t>Non- Executive Directors - Appointment Process</w:t>
      </w:r>
    </w:p>
    <w:p w:rsidR="00D0714F" w:rsidRPr="00132274" w:rsidRDefault="00D0714F" w:rsidP="00EB336B">
      <w:pPr>
        <w:jc w:val="both"/>
      </w:pPr>
    </w:p>
    <w:p w:rsidR="00D0714F" w:rsidRPr="00132274" w:rsidRDefault="00D0714F" w:rsidP="00EB336B">
      <w:pPr>
        <w:jc w:val="both"/>
        <w:rPr>
          <w:rFonts w:cstheme="minorHAnsi"/>
        </w:rPr>
      </w:pPr>
      <w:r w:rsidRPr="00132274">
        <w:rPr>
          <w:rFonts w:cstheme="minorHAnsi"/>
          <w:b/>
        </w:rPr>
        <w:t>Introduction</w:t>
      </w:r>
    </w:p>
    <w:p w:rsidR="00215309" w:rsidRPr="00132274" w:rsidRDefault="00215309" w:rsidP="00EB336B">
      <w:pPr>
        <w:jc w:val="both"/>
        <w:rPr>
          <w:rFonts w:cstheme="minorHAnsi"/>
        </w:rPr>
      </w:pPr>
      <w:r w:rsidRPr="00132274">
        <w:rPr>
          <w:rFonts w:cstheme="minorHAnsi"/>
        </w:rPr>
        <w:t xml:space="preserve">The schedule of appointments </w:t>
      </w:r>
      <w:r w:rsidR="00EB336B" w:rsidRPr="00132274">
        <w:rPr>
          <w:rFonts w:cstheme="minorHAnsi"/>
        </w:rPr>
        <w:t xml:space="preserve">at </w:t>
      </w:r>
      <w:r w:rsidR="00EB336B" w:rsidRPr="00132274">
        <w:rPr>
          <w:rFonts w:cstheme="minorHAnsi"/>
          <w:b/>
          <w:i/>
        </w:rPr>
        <w:t>Table 1</w:t>
      </w:r>
      <w:r w:rsidR="00EB336B" w:rsidRPr="00132274">
        <w:rPr>
          <w:rFonts w:cstheme="minorHAnsi"/>
        </w:rPr>
        <w:t xml:space="preserve"> </w:t>
      </w:r>
      <w:r w:rsidRPr="00132274">
        <w:rPr>
          <w:rFonts w:cstheme="minorHAnsi"/>
        </w:rPr>
        <w:t xml:space="preserve">below shows that there are 2 posts to be appointed to within the next 12 months i.e. the re-appointment of the Chairman and appointment to the vacancy created from the ending of a Non-Executive’s final term of office.  </w:t>
      </w:r>
    </w:p>
    <w:p w:rsidR="00D0714F" w:rsidRPr="00132274" w:rsidRDefault="00215309" w:rsidP="00EB336B">
      <w:pPr>
        <w:jc w:val="both"/>
        <w:rPr>
          <w:rFonts w:cstheme="minorHAnsi"/>
        </w:rPr>
      </w:pPr>
      <w:r w:rsidRPr="00132274">
        <w:rPr>
          <w:rFonts w:cstheme="minorHAnsi"/>
        </w:rPr>
        <w:t>This being the case</w:t>
      </w:r>
      <w:r w:rsidR="005F22A6">
        <w:rPr>
          <w:rFonts w:cstheme="minorHAnsi"/>
        </w:rPr>
        <w:t>,</w:t>
      </w:r>
      <w:r w:rsidRPr="00132274">
        <w:rPr>
          <w:rFonts w:cstheme="minorHAnsi"/>
        </w:rPr>
        <w:t xml:space="preserve"> the Committee is being presented with an outline process for the reappointment/appointment of Chair and non-executive directors.  If agreed</w:t>
      </w:r>
      <w:r w:rsidR="005F22A6">
        <w:rPr>
          <w:rFonts w:cstheme="minorHAnsi"/>
        </w:rPr>
        <w:t>,</w:t>
      </w:r>
      <w:r w:rsidRPr="00132274">
        <w:rPr>
          <w:rFonts w:cstheme="minorHAnsi"/>
        </w:rPr>
        <w:t xml:space="preserve"> this process will then be used to ensure the roles </w:t>
      </w:r>
      <w:r w:rsidR="005F22A6">
        <w:rPr>
          <w:rFonts w:cstheme="minorHAnsi"/>
        </w:rPr>
        <w:t>for</w:t>
      </w:r>
      <w:r w:rsidR="00EB336B" w:rsidRPr="00132274">
        <w:rPr>
          <w:rFonts w:cstheme="minorHAnsi"/>
        </w:rPr>
        <w:t xml:space="preserve"> </w:t>
      </w:r>
      <w:r w:rsidRPr="00132274">
        <w:rPr>
          <w:rFonts w:cstheme="minorHAnsi"/>
        </w:rPr>
        <w:t>consideration this year</w:t>
      </w:r>
      <w:r w:rsidR="005F22A6">
        <w:rPr>
          <w:rFonts w:cstheme="minorHAnsi"/>
        </w:rPr>
        <w:t>,</w:t>
      </w:r>
      <w:r w:rsidRPr="00132274">
        <w:rPr>
          <w:rFonts w:cstheme="minorHAnsi"/>
        </w:rPr>
        <w:t xml:space="preserve"> are appointed to in </w:t>
      </w:r>
      <w:r w:rsidR="005F22A6">
        <w:rPr>
          <w:rFonts w:cstheme="minorHAnsi"/>
        </w:rPr>
        <w:t xml:space="preserve">a </w:t>
      </w:r>
      <w:r w:rsidR="00EB336B" w:rsidRPr="00132274">
        <w:rPr>
          <w:rFonts w:cstheme="minorHAnsi"/>
        </w:rPr>
        <w:t>time frame which ensures the Board remains properly constituted and allows for sufficient engagement/involvement of the Committee in their appointment.</w:t>
      </w:r>
      <w:r w:rsidRPr="00132274">
        <w:rPr>
          <w:rFonts w:cstheme="minorHAnsi"/>
        </w:rPr>
        <w:t xml:space="preserve"> </w:t>
      </w:r>
    </w:p>
    <w:p w:rsidR="00EB336B" w:rsidRDefault="00EB336B" w:rsidP="00EB336B">
      <w:pPr>
        <w:jc w:val="both"/>
        <w:rPr>
          <w:rFonts w:ascii="Arial" w:hAnsi="Arial" w:cs="Arial"/>
        </w:rPr>
      </w:pPr>
    </w:p>
    <w:p w:rsidR="00EB336B" w:rsidRPr="00EB336B" w:rsidRDefault="00EB336B" w:rsidP="00EB336B">
      <w:pPr>
        <w:jc w:val="both"/>
        <w:rPr>
          <w:rFonts w:ascii="Arial" w:hAnsi="Arial" w:cs="Arial"/>
          <w:b/>
          <w:i/>
        </w:rPr>
      </w:pPr>
      <w:r w:rsidRPr="00EB336B">
        <w:rPr>
          <w:rFonts w:ascii="Arial" w:hAnsi="Arial" w:cs="Arial"/>
          <w:b/>
          <w:i/>
        </w:rPr>
        <w:t>Table 1</w:t>
      </w: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  <w:b/>
              </w:rPr>
            </w:pPr>
            <w:r w:rsidRPr="00FB098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  <w:b/>
              </w:rPr>
            </w:pPr>
            <w:r w:rsidRPr="00FB098E">
              <w:rPr>
                <w:rFonts w:ascii="Arial" w:hAnsi="Arial" w:cs="Arial"/>
                <w:b/>
              </w:rPr>
              <w:t>Period of Office End Date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Martin Howell</w:t>
            </w:r>
          </w:p>
        </w:tc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31/03/13</w:t>
            </w:r>
            <w:r w:rsidR="00367C0D">
              <w:rPr>
                <w:rFonts w:ascii="Arial" w:hAnsi="Arial" w:cs="Arial"/>
              </w:rPr>
              <w:t>*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Mike Bellamy</w:t>
            </w:r>
          </w:p>
        </w:tc>
        <w:tc>
          <w:tcPr>
            <w:tcW w:w="4428" w:type="dxa"/>
          </w:tcPr>
          <w:p w:rsidR="00D0714F" w:rsidRPr="00FB098E" w:rsidRDefault="00367C0D" w:rsidP="00215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31/01/15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Dr Anne Grocock</w:t>
            </w:r>
          </w:p>
        </w:tc>
        <w:tc>
          <w:tcPr>
            <w:tcW w:w="4428" w:type="dxa"/>
          </w:tcPr>
          <w:p w:rsidR="00D0714F" w:rsidRPr="00FB098E" w:rsidRDefault="00367C0D" w:rsidP="00215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31/01/15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Roger Reed</w:t>
            </w:r>
          </w:p>
        </w:tc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30/04/13</w:t>
            </w:r>
            <w:r w:rsidR="00367C0D">
              <w:rPr>
                <w:rFonts w:ascii="Arial" w:hAnsi="Arial" w:cs="Arial"/>
              </w:rPr>
              <w:t>**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Cedric Scroggs</w:t>
            </w:r>
          </w:p>
        </w:tc>
        <w:tc>
          <w:tcPr>
            <w:tcW w:w="4428" w:type="dxa"/>
          </w:tcPr>
          <w:p w:rsidR="00D0714F" w:rsidRPr="00FB098E" w:rsidRDefault="00367C0D" w:rsidP="00215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31/03/14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 w:rsidRPr="00FB098E">
              <w:rPr>
                <w:rFonts w:ascii="Arial" w:hAnsi="Arial" w:cs="Arial"/>
              </w:rPr>
              <w:t>Lyn Williams</w:t>
            </w:r>
          </w:p>
        </w:tc>
        <w:tc>
          <w:tcPr>
            <w:tcW w:w="4428" w:type="dxa"/>
          </w:tcPr>
          <w:p w:rsidR="00D0714F" w:rsidRPr="00FB098E" w:rsidRDefault="00367C0D" w:rsidP="00215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31/03/14</w:t>
            </w: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Alyson Coates</w:t>
            </w:r>
          </w:p>
        </w:tc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</w:p>
        </w:tc>
      </w:tr>
      <w:tr w:rsidR="00D0714F" w:rsidRPr="00FB098E" w:rsidTr="00215309"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0714F" w:rsidRPr="00FB098E" w:rsidRDefault="00D0714F" w:rsidP="00215309">
            <w:pPr>
              <w:rPr>
                <w:rFonts w:ascii="Arial" w:hAnsi="Arial" w:cs="Arial"/>
              </w:rPr>
            </w:pPr>
          </w:p>
        </w:tc>
      </w:tr>
    </w:tbl>
    <w:p w:rsidR="00D0714F" w:rsidRDefault="00D0714F" w:rsidP="00D0714F">
      <w:pPr>
        <w:rPr>
          <w:rFonts w:ascii="Arial" w:hAnsi="Arial" w:cs="Arial"/>
        </w:rPr>
      </w:pPr>
    </w:p>
    <w:p w:rsidR="00367C0D" w:rsidRDefault="00367C0D" w:rsidP="00367C0D">
      <w:pPr>
        <w:rPr>
          <w:rFonts w:ascii="Arial" w:hAnsi="Arial" w:cs="Arial"/>
        </w:rPr>
      </w:pPr>
      <w:r>
        <w:rPr>
          <w:rFonts w:ascii="Arial" w:hAnsi="Arial" w:cs="Arial"/>
        </w:rPr>
        <w:t>NB: * will be proposed for re-appointment within the next 12 months</w:t>
      </w:r>
    </w:p>
    <w:p w:rsidR="00367C0D" w:rsidRPr="00367C0D" w:rsidRDefault="00367C0D" w:rsidP="00367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: ** have reached the end of their final term of office, and cannot be re-appointed</w:t>
      </w:r>
    </w:p>
    <w:p w:rsidR="00D0714F" w:rsidRDefault="00D0714F"/>
    <w:p w:rsidR="00EB336B" w:rsidRDefault="00EB336B">
      <w:r w:rsidRPr="00EB336B">
        <w:rPr>
          <w:b/>
        </w:rPr>
        <w:t>Appointment Process</w:t>
      </w:r>
    </w:p>
    <w:p w:rsidR="00EB336B" w:rsidRDefault="00EB336B">
      <w:r>
        <w:t>Outlined below are the key steps associated with appointment of future Chair and Non-Executive Directors.</w:t>
      </w:r>
    </w:p>
    <w:p w:rsidR="00EB336B" w:rsidRDefault="00EB336B" w:rsidP="00EB336B">
      <w:pPr>
        <w:pStyle w:val="ListParagraph"/>
        <w:numPr>
          <w:ilvl w:val="0"/>
          <w:numId w:val="2"/>
        </w:numPr>
      </w:pPr>
      <w:r>
        <w:t xml:space="preserve">Members Council </w:t>
      </w:r>
      <w:r w:rsidR="002F684C">
        <w:t xml:space="preserve">(MC) </w:t>
      </w:r>
      <w:r>
        <w:t>Remuneration and Nominations Committee to be presented in January each year with the schedule of appointments for Chair and Non-Executive Directors.  This wil</w:t>
      </w:r>
      <w:r w:rsidR="002F684C">
        <w:t>l</w:t>
      </w:r>
      <w:r>
        <w:t xml:space="preserve"> ensure sufficient time is allocated for the appointment process in any given year.</w:t>
      </w:r>
    </w:p>
    <w:p w:rsidR="00EB336B" w:rsidRDefault="00EB336B" w:rsidP="00EB336B">
      <w:pPr>
        <w:pStyle w:val="ListParagraph"/>
      </w:pPr>
    </w:p>
    <w:p w:rsidR="00EB336B" w:rsidRDefault="002F684C" w:rsidP="00EB336B">
      <w:pPr>
        <w:pStyle w:val="ListParagraph"/>
        <w:numPr>
          <w:ilvl w:val="0"/>
          <w:numId w:val="2"/>
        </w:numPr>
      </w:pPr>
      <w:r>
        <w:t xml:space="preserve">6 months prior to appointment / re-appointment the MC Remuneration and Nominations Committee will meet to agree appointments time table, advert and role outline.  Where a proposal is for re-appointment members will be provided with a </w:t>
      </w:r>
      <w:r w:rsidR="003A0FF2">
        <w:t>summary of the individual under consideration and an opportunity for a wider group of representatives from the MC to meet informally with the candidate</w:t>
      </w:r>
      <w:r w:rsidR="006C76D6">
        <w:t>.</w:t>
      </w:r>
      <w:r w:rsidR="003A0FF2">
        <w:t xml:space="preserve">  Views will be taken from both the latter and from the MC Remuneration and Nominations Committee to finalise the proposal and recommendation to the full MC.</w:t>
      </w:r>
    </w:p>
    <w:p w:rsidR="003A0FF2" w:rsidRDefault="003A0FF2" w:rsidP="003A0FF2">
      <w:pPr>
        <w:pStyle w:val="ListParagraph"/>
      </w:pPr>
    </w:p>
    <w:p w:rsidR="003A0FF2" w:rsidRDefault="003A0FF2" w:rsidP="00EB336B">
      <w:pPr>
        <w:pStyle w:val="ListParagraph"/>
        <w:numPr>
          <w:ilvl w:val="0"/>
          <w:numId w:val="2"/>
        </w:numPr>
      </w:pPr>
      <w:r>
        <w:t>New Chair / Non-Executive Director appointments will include an informal meeting of prospective candidates with the Board, MC and senior managers of the Trust.  This will be followed by a focus group session based on leading a discussion on a relevant topic affecting the Trust.  The final part of the process will be a panel interview to include; Chairman (Non-Executive Director appointments</w:t>
      </w:r>
      <w:r w:rsidR="00132274">
        <w:t>) and a representatives from the MC.</w:t>
      </w:r>
    </w:p>
    <w:p w:rsidR="00132274" w:rsidRDefault="00132274" w:rsidP="00132274">
      <w:pPr>
        <w:pStyle w:val="ListParagraph"/>
      </w:pPr>
    </w:p>
    <w:p w:rsidR="00132274" w:rsidRDefault="00132274" w:rsidP="00EB336B">
      <w:pPr>
        <w:pStyle w:val="ListParagraph"/>
        <w:numPr>
          <w:ilvl w:val="0"/>
          <w:numId w:val="2"/>
        </w:numPr>
      </w:pPr>
      <w:r>
        <w:t>In all cases i.e. appointment or re-appointment recommendations are made from the MC Remuneration and Nominations Committee to the next meeting of the MC.  Once ap</w:t>
      </w:r>
      <w:r w:rsidR="006C76D6">
        <w:t>proved and where appropriate a</w:t>
      </w:r>
      <w:r>
        <w:t xml:space="preserve"> formal induction programme will be agreed between the Chair, CEO and Director of HR to commence prior to the new appointees first day. </w:t>
      </w:r>
    </w:p>
    <w:p w:rsidR="00132274" w:rsidRDefault="00132274" w:rsidP="00132274">
      <w:pPr>
        <w:pStyle w:val="ListParagraph"/>
      </w:pPr>
    </w:p>
    <w:p w:rsidR="00132274" w:rsidRDefault="00132274" w:rsidP="00132274">
      <w:r>
        <w:t>In respect of the 2 posts to be appointed to this year the process outlined above will need to begin in September 2012.</w:t>
      </w:r>
    </w:p>
    <w:p w:rsidR="00132274" w:rsidRDefault="00132274" w:rsidP="00132274"/>
    <w:p w:rsidR="00132274" w:rsidRDefault="00132274" w:rsidP="00132274">
      <w:pPr>
        <w:rPr>
          <w:b/>
        </w:rPr>
      </w:pPr>
      <w:r w:rsidRPr="00132274">
        <w:rPr>
          <w:b/>
        </w:rPr>
        <w:t>Recommendation</w:t>
      </w:r>
    </w:p>
    <w:p w:rsidR="00132274" w:rsidRDefault="00132274" w:rsidP="00132274">
      <w:r>
        <w:t>The Committee is asked to consider this proposal and to approve the process for re-appointment and appointment to the Chair and Non-executive post identified for this year.</w:t>
      </w:r>
    </w:p>
    <w:p w:rsidR="00CF3A6D" w:rsidRDefault="00CF3A6D" w:rsidP="00132274"/>
    <w:p w:rsidR="00132274" w:rsidRDefault="00132274" w:rsidP="00132274"/>
    <w:p w:rsidR="00132274" w:rsidRPr="00132274" w:rsidRDefault="00132274" w:rsidP="00132274">
      <w:pPr>
        <w:rPr>
          <w:b/>
        </w:rPr>
      </w:pPr>
      <w:r w:rsidRPr="00132274">
        <w:rPr>
          <w:b/>
        </w:rPr>
        <w:t>Graeme Armitage</w:t>
      </w:r>
    </w:p>
    <w:p w:rsidR="00132274" w:rsidRPr="00132274" w:rsidRDefault="00132274" w:rsidP="00132274">
      <w:pPr>
        <w:rPr>
          <w:b/>
        </w:rPr>
      </w:pPr>
      <w:r w:rsidRPr="00132274">
        <w:rPr>
          <w:b/>
        </w:rPr>
        <w:t>Director of Human Resources and Organisational Development</w:t>
      </w:r>
    </w:p>
    <w:sectPr w:rsidR="00132274" w:rsidRPr="00132274" w:rsidSect="0070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4F34"/>
    <w:multiLevelType w:val="hybridMultilevel"/>
    <w:tmpl w:val="BCA81514"/>
    <w:lvl w:ilvl="0" w:tplc="0AC8D9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E1188"/>
    <w:multiLevelType w:val="hybridMultilevel"/>
    <w:tmpl w:val="7D9C6E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14F"/>
    <w:rsid w:val="00043FC9"/>
    <w:rsid w:val="000D2449"/>
    <w:rsid w:val="000F32D3"/>
    <w:rsid w:val="001024B0"/>
    <w:rsid w:val="00132274"/>
    <w:rsid w:val="001D5EFB"/>
    <w:rsid w:val="00215309"/>
    <w:rsid w:val="00251491"/>
    <w:rsid w:val="00294A02"/>
    <w:rsid w:val="002F684C"/>
    <w:rsid w:val="003230EC"/>
    <w:rsid w:val="00367C0D"/>
    <w:rsid w:val="003A0FF2"/>
    <w:rsid w:val="004272AC"/>
    <w:rsid w:val="00497B6C"/>
    <w:rsid w:val="00515C23"/>
    <w:rsid w:val="0053624A"/>
    <w:rsid w:val="005710C3"/>
    <w:rsid w:val="005D55A3"/>
    <w:rsid w:val="005F22A6"/>
    <w:rsid w:val="006A1724"/>
    <w:rsid w:val="006A4BF1"/>
    <w:rsid w:val="006C76D6"/>
    <w:rsid w:val="007018DD"/>
    <w:rsid w:val="00723E34"/>
    <w:rsid w:val="007261AE"/>
    <w:rsid w:val="007A0415"/>
    <w:rsid w:val="007B6216"/>
    <w:rsid w:val="008C27CF"/>
    <w:rsid w:val="00AA23EC"/>
    <w:rsid w:val="00B3288F"/>
    <w:rsid w:val="00B91D32"/>
    <w:rsid w:val="00BB3E09"/>
    <w:rsid w:val="00C12BE9"/>
    <w:rsid w:val="00C45335"/>
    <w:rsid w:val="00C71046"/>
    <w:rsid w:val="00C83A8A"/>
    <w:rsid w:val="00C8519E"/>
    <w:rsid w:val="00CF3A6D"/>
    <w:rsid w:val="00D0714F"/>
    <w:rsid w:val="00D75124"/>
    <w:rsid w:val="00DC4F2D"/>
    <w:rsid w:val="00E031C7"/>
    <w:rsid w:val="00E94A77"/>
    <w:rsid w:val="00EB336B"/>
    <w:rsid w:val="00EB5E95"/>
    <w:rsid w:val="00EC550D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graeme.armitage</dc:creator>
  <cp:lastModifiedBy>Habner Justinian (RNU) OBMH</cp:lastModifiedBy>
  <cp:revision>2</cp:revision>
  <dcterms:created xsi:type="dcterms:W3CDTF">2012-04-30T10:47:00Z</dcterms:created>
  <dcterms:modified xsi:type="dcterms:W3CDTF">2012-04-30T10:47:00Z</dcterms:modified>
</cp:coreProperties>
</file>