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A1" w:rsidRPr="00FE5FA1" w:rsidRDefault="00FE5FA1" w:rsidP="00FE5FA1">
      <w:pPr>
        <w:spacing w:after="0" w:line="240" w:lineRule="auto"/>
        <w:ind w:right="-900"/>
        <w:jc w:val="right"/>
        <w:rPr>
          <w:rFonts w:ascii="Times New Roman" w:eastAsia="Times New Roman" w:hAnsi="Times New Roman"/>
          <w:sz w:val="24"/>
          <w:szCs w:val="24"/>
        </w:rPr>
      </w:pPr>
      <w:r>
        <w:rPr>
          <w:rFonts w:ascii="Times New Roman" w:eastAsia="Times New Roman" w:hAnsi="Times New Roman"/>
          <w:noProof/>
          <w:sz w:val="24"/>
          <w:szCs w:val="24"/>
          <w:lang w:eastAsia="en-GB"/>
        </w:rPr>
        <w:drawing>
          <wp:inline distT="0" distB="0" distL="0" distR="0">
            <wp:extent cx="2553335" cy="501650"/>
            <wp:effectExtent l="19050" t="0" r="0" b="0"/>
            <wp:docPr id="22"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srcRect/>
                    <a:stretch>
                      <a:fillRect/>
                    </a:stretch>
                  </pic:blipFill>
                  <pic:spPr bwMode="auto">
                    <a:xfrm>
                      <a:off x="0" y="0"/>
                      <a:ext cx="2553335" cy="501650"/>
                    </a:xfrm>
                    <a:prstGeom prst="rect">
                      <a:avLst/>
                    </a:prstGeom>
                    <a:noFill/>
                    <a:ln w="9525">
                      <a:noFill/>
                      <a:miter lim="800000"/>
                      <a:headEnd/>
                      <a:tailEnd/>
                    </a:ln>
                  </pic:spPr>
                </pic:pic>
              </a:graphicData>
            </a:graphic>
          </wp:inline>
        </w:drawing>
      </w:r>
    </w:p>
    <w:p w:rsidR="00FE5FA1" w:rsidRPr="00FE5FA1" w:rsidRDefault="00FE5FA1" w:rsidP="00FE5FA1">
      <w:pPr>
        <w:spacing w:after="0" w:line="240" w:lineRule="auto"/>
        <w:rPr>
          <w:rFonts w:ascii="Times New Roman" w:eastAsia="Times New Roman" w:hAnsi="Times New Roman"/>
          <w:sz w:val="24"/>
          <w:szCs w:val="24"/>
          <w:lang w:val="en-US"/>
        </w:rPr>
      </w:pPr>
    </w:p>
    <w:p w:rsidR="00FE5FA1" w:rsidRPr="00FE5FA1" w:rsidRDefault="009C023F" w:rsidP="00FE5FA1">
      <w:pPr>
        <w:spacing w:after="0" w:line="240" w:lineRule="auto"/>
        <w:jc w:val="center"/>
        <w:rPr>
          <w:rFonts w:ascii="Frutiger" w:eastAsia="Times New Roman" w:hAnsi="Frutiger"/>
          <w:sz w:val="24"/>
          <w:szCs w:val="24"/>
          <w:lang w:val="en-US"/>
        </w:rPr>
      </w:pPr>
      <w:r w:rsidRPr="009C023F">
        <w:rPr>
          <w:rFonts w:ascii="Times New Roman" w:eastAsia="Times New Roman" w:hAnsi="Times New Roman"/>
          <w:noProof/>
          <w:sz w:val="20"/>
          <w:szCs w:val="24"/>
          <w:lang w:val="en-US"/>
        </w:rPr>
        <w:pict>
          <v:rect id="_x0000_s1027" style="position:absolute;left:0;text-align:left;margin-left:345.1pt;margin-top:4.05pt;width:108pt;height:68.2pt;z-index:251660288">
            <v:textbox inset="0,0,0,0">
              <w:txbxContent>
                <w:p w:rsidR="00FE5FA1" w:rsidRPr="002F4FAC" w:rsidRDefault="00FE5FA1" w:rsidP="002F4FAC">
                  <w:pPr>
                    <w:pStyle w:val="Heading1"/>
                    <w:jc w:val="center"/>
                    <w:rPr>
                      <w:rFonts w:ascii="Arial" w:hAnsi="Arial" w:cs="Arial"/>
                      <w:color w:val="auto"/>
                      <w:sz w:val="24"/>
                    </w:rPr>
                  </w:pPr>
                  <w:r w:rsidRPr="002F4FAC">
                    <w:rPr>
                      <w:rFonts w:ascii="Arial" w:hAnsi="Arial" w:cs="Arial"/>
                      <w:color w:val="auto"/>
                      <w:sz w:val="24"/>
                    </w:rPr>
                    <w:t>PAPER</w:t>
                  </w:r>
                </w:p>
                <w:p w:rsidR="00FE5FA1" w:rsidRPr="002F4FAC" w:rsidRDefault="002F4FAC" w:rsidP="002F4FAC">
                  <w:pPr>
                    <w:pStyle w:val="BodyText"/>
                    <w:jc w:val="center"/>
                    <w:rPr>
                      <w:rFonts w:ascii="Arial" w:hAnsi="Arial" w:cs="Arial"/>
                    </w:rPr>
                  </w:pPr>
                  <w:r>
                    <w:rPr>
                      <w:rFonts w:ascii="Arial" w:hAnsi="Arial" w:cs="Arial"/>
                    </w:rPr>
                    <w:t>BOD 162/2011</w:t>
                  </w:r>
                </w:p>
                <w:p w:rsidR="00FE5FA1" w:rsidRDefault="00FE5FA1" w:rsidP="00FE5FA1">
                  <w:pPr>
                    <w:jc w:val="center"/>
                    <w:rPr>
                      <w:b/>
                    </w:rPr>
                  </w:pPr>
                </w:p>
              </w:txbxContent>
            </v:textbox>
          </v:rect>
        </w:pict>
      </w:r>
    </w:p>
    <w:p w:rsidR="00FE5FA1" w:rsidRPr="00FE5FA1" w:rsidRDefault="00FE5FA1" w:rsidP="00FE5FA1">
      <w:pPr>
        <w:keepNext/>
        <w:overflowPunct w:val="0"/>
        <w:autoSpaceDE w:val="0"/>
        <w:autoSpaceDN w:val="0"/>
        <w:adjustRightInd w:val="0"/>
        <w:spacing w:after="0" w:line="240" w:lineRule="auto"/>
        <w:textAlignment w:val="baseline"/>
        <w:outlineLvl w:val="0"/>
        <w:rPr>
          <w:rFonts w:ascii="Arial" w:eastAsia="Times New Roman" w:hAnsi="Arial"/>
          <w:b/>
          <w:sz w:val="24"/>
          <w:szCs w:val="20"/>
          <w:u w:val="single"/>
        </w:rPr>
      </w:pPr>
    </w:p>
    <w:p w:rsidR="00FE5FA1" w:rsidRPr="00FE5FA1" w:rsidRDefault="00FE5FA1" w:rsidP="00FE5FA1">
      <w:pPr>
        <w:keepNext/>
        <w:overflowPunct w:val="0"/>
        <w:autoSpaceDE w:val="0"/>
        <w:autoSpaceDN w:val="0"/>
        <w:adjustRightInd w:val="0"/>
        <w:spacing w:after="0" w:line="240" w:lineRule="auto"/>
        <w:textAlignment w:val="baseline"/>
        <w:outlineLvl w:val="0"/>
        <w:rPr>
          <w:rFonts w:ascii="Arial" w:eastAsia="Times New Roman" w:hAnsi="Arial"/>
          <w:b/>
          <w:sz w:val="24"/>
          <w:szCs w:val="20"/>
          <w:u w:val="single"/>
        </w:rPr>
      </w:pPr>
    </w:p>
    <w:p w:rsidR="00FE5FA1" w:rsidRPr="00FE5FA1" w:rsidRDefault="00FE5FA1" w:rsidP="00FE5FA1">
      <w:pPr>
        <w:keepNext/>
        <w:overflowPunct w:val="0"/>
        <w:autoSpaceDE w:val="0"/>
        <w:autoSpaceDN w:val="0"/>
        <w:adjustRightInd w:val="0"/>
        <w:spacing w:after="0" w:line="240" w:lineRule="auto"/>
        <w:textAlignment w:val="baseline"/>
        <w:outlineLvl w:val="0"/>
        <w:rPr>
          <w:rFonts w:ascii="Arial" w:eastAsia="Times New Roman" w:hAnsi="Arial"/>
          <w:b/>
          <w:sz w:val="24"/>
          <w:szCs w:val="20"/>
          <w:u w:val="single"/>
        </w:rPr>
      </w:pPr>
    </w:p>
    <w:p w:rsidR="00FE5FA1" w:rsidRPr="00FE5FA1" w:rsidRDefault="00FE5FA1" w:rsidP="00FE5FA1">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4"/>
          <w:szCs w:val="24"/>
        </w:rPr>
      </w:pPr>
    </w:p>
    <w:p w:rsidR="00FE5FA1" w:rsidRDefault="00FE5FA1" w:rsidP="00FE5FA1">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4"/>
          <w:szCs w:val="24"/>
        </w:rPr>
      </w:pPr>
    </w:p>
    <w:p w:rsidR="00FE5FA1" w:rsidRPr="00FE5FA1" w:rsidRDefault="00FE5FA1" w:rsidP="00FE5FA1">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4"/>
          <w:szCs w:val="24"/>
        </w:rPr>
      </w:pPr>
      <w:r w:rsidRPr="00FE5FA1">
        <w:rPr>
          <w:rFonts w:ascii="Arial" w:eastAsia="Times New Roman" w:hAnsi="Arial" w:cs="Arial"/>
          <w:b/>
          <w:sz w:val="24"/>
          <w:szCs w:val="24"/>
        </w:rPr>
        <w:t xml:space="preserve">Report to the Meeting of the </w:t>
      </w:r>
    </w:p>
    <w:p w:rsidR="00FE5FA1" w:rsidRPr="00FE5FA1" w:rsidRDefault="00FE5FA1" w:rsidP="00FE5FA1">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4"/>
          <w:szCs w:val="24"/>
        </w:rPr>
      </w:pPr>
      <w:r w:rsidRPr="00FE5FA1">
        <w:rPr>
          <w:rFonts w:ascii="Arial" w:eastAsia="Times New Roman" w:hAnsi="Arial" w:cs="Arial"/>
          <w:b/>
          <w:sz w:val="24"/>
          <w:szCs w:val="24"/>
        </w:rPr>
        <w:t xml:space="preserve">Oxford Health NHS Foundation Trust </w:t>
      </w:r>
    </w:p>
    <w:p w:rsidR="00FE5FA1" w:rsidRPr="00FE5FA1" w:rsidRDefault="00FE5FA1" w:rsidP="00FE5FA1">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4"/>
          <w:szCs w:val="24"/>
        </w:rPr>
      </w:pPr>
      <w:r w:rsidRPr="00FE5FA1">
        <w:rPr>
          <w:rFonts w:ascii="Arial" w:eastAsia="Times New Roman" w:hAnsi="Arial" w:cs="Arial"/>
          <w:b/>
          <w:sz w:val="24"/>
          <w:szCs w:val="24"/>
        </w:rPr>
        <w:t>Board of Directors</w:t>
      </w:r>
    </w:p>
    <w:p w:rsidR="00FE5FA1" w:rsidRPr="00FE5FA1" w:rsidRDefault="00FE5FA1" w:rsidP="00FE5FA1">
      <w:pPr>
        <w:spacing w:after="0" w:line="240" w:lineRule="auto"/>
        <w:rPr>
          <w:rFonts w:ascii="Arial" w:eastAsia="Times New Roman" w:hAnsi="Arial" w:cs="Arial"/>
          <w:b/>
          <w:sz w:val="24"/>
          <w:szCs w:val="24"/>
          <w:lang w:val="en-US"/>
        </w:rPr>
      </w:pPr>
    </w:p>
    <w:p w:rsidR="00FE5FA1" w:rsidRPr="00FE5FA1" w:rsidRDefault="00FE5FA1" w:rsidP="00FE5FA1">
      <w:pPr>
        <w:spacing w:after="0" w:line="240" w:lineRule="auto"/>
        <w:jc w:val="center"/>
        <w:rPr>
          <w:rFonts w:ascii="Arial" w:eastAsia="Times New Roman" w:hAnsi="Arial" w:cs="Arial"/>
          <w:b/>
          <w:sz w:val="24"/>
          <w:szCs w:val="24"/>
          <w:lang w:val="en-US"/>
        </w:rPr>
      </w:pPr>
      <w:r w:rsidRPr="00FE5FA1">
        <w:rPr>
          <w:rFonts w:ascii="Arial" w:eastAsia="Times New Roman" w:hAnsi="Arial" w:cs="Arial"/>
          <w:b/>
          <w:sz w:val="24"/>
          <w:szCs w:val="24"/>
          <w:lang w:val="en-US"/>
        </w:rPr>
        <w:t>14 December 2011</w:t>
      </w:r>
    </w:p>
    <w:p w:rsidR="00FE5FA1" w:rsidRPr="00FE5FA1" w:rsidRDefault="00FE5FA1" w:rsidP="00FE5FA1">
      <w:pPr>
        <w:spacing w:after="0" w:line="240" w:lineRule="auto"/>
        <w:jc w:val="center"/>
        <w:rPr>
          <w:rFonts w:ascii="Arial" w:eastAsia="Times New Roman" w:hAnsi="Arial" w:cs="Arial"/>
          <w:b/>
          <w:sz w:val="24"/>
          <w:szCs w:val="24"/>
          <w:lang w:val="en-US"/>
        </w:rPr>
      </w:pPr>
    </w:p>
    <w:p w:rsidR="00FE5FA1" w:rsidRPr="00FE5FA1" w:rsidRDefault="002F4FAC" w:rsidP="00FE5FA1">
      <w:pPr>
        <w:spacing w:after="0" w:line="240" w:lineRule="auto"/>
        <w:jc w:val="center"/>
        <w:rPr>
          <w:rFonts w:ascii="Arial" w:eastAsia="Times New Roman" w:hAnsi="Arial" w:cs="Arial"/>
          <w:b/>
          <w:sz w:val="24"/>
          <w:szCs w:val="24"/>
          <w:lang w:val="en-US"/>
        </w:rPr>
      </w:pPr>
      <w:r>
        <w:rPr>
          <w:rFonts w:ascii="Arial" w:eastAsia="Times New Roman" w:hAnsi="Arial" w:cs="Arial"/>
          <w:noProof/>
          <w:sz w:val="24"/>
          <w:szCs w:val="24"/>
          <w:lang w:val="en-US"/>
        </w:rPr>
        <w:t>Q2</w:t>
      </w:r>
      <w:r w:rsidR="00FE5FA1" w:rsidRPr="00FE5FA1">
        <w:rPr>
          <w:rFonts w:ascii="Arial" w:eastAsia="Times New Roman" w:hAnsi="Arial" w:cs="Arial"/>
          <w:noProof/>
          <w:sz w:val="24"/>
          <w:szCs w:val="24"/>
          <w:lang w:val="en-US"/>
        </w:rPr>
        <w:t xml:space="preserve"> Quality Account Update</w:t>
      </w:r>
    </w:p>
    <w:p w:rsidR="00FE5FA1" w:rsidRPr="00FE5FA1" w:rsidRDefault="00FE5FA1" w:rsidP="00FE5FA1">
      <w:pPr>
        <w:spacing w:after="0" w:line="240" w:lineRule="auto"/>
        <w:rPr>
          <w:rFonts w:ascii="Arial" w:eastAsia="Times New Roman" w:hAnsi="Arial" w:cs="Arial"/>
          <w:b/>
          <w:sz w:val="24"/>
          <w:szCs w:val="24"/>
          <w:lang w:val="en-US"/>
        </w:rPr>
      </w:pPr>
    </w:p>
    <w:p w:rsidR="00FE5FA1" w:rsidRPr="00FE5FA1" w:rsidRDefault="00FE5FA1" w:rsidP="00FE5FA1">
      <w:pPr>
        <w:spacing w:after="0" w:line="240" w:lineRule="auto"/>
        <w:rPr>
          <w:rFonts w:ascii="Arial" w:eastAsia="Times New Roman" w:hAnsi="Arial" w:cs="Arial"/>
          <w:sz w:val="24"/>
          <w:szCs w:val="24"/>
          <w:lang w:val="en-US"/>
        </w:rPr>
      </w:pPr>
      <w:r w:rsidRPr="00FE5FA1">
        <w:rPr>
          <w:rFonts w:ascii="Arial" w:eastAsia="Times New Roman" w:hAnsi="Arial" w:cs="Arial"/>
          <w:b/>
          <w:sz w:val="24"/>
          <w:szCs w:val="24"/>
          <w:lang w:val="en-US"/>
        </w:rPr>
        <w:t>For: Information</w:t>
      </w:r>
      <w:r w:rsidRPr="00FE5FA1">
        <w:rPr>
          <w:rFonts w:ascii="Arial" w:eastAsia="Times New Roman" w:hAnsi="Arial" w:cs="Arial"/>
          <w:sz w:val="24"/>
          <w:szCs w:val="24"/>
          <w:lang w:val="en-US"/>
        </w:rPr>
        <w:t xml:space="preserve"> </w:t>
      </w:r>
    </w:p>
    <w:p w:rsidR="00FE5FA1" w:rsidRPr="00FE5FA1" w:rsidRDefault="00FE5FA1" w:rsidP="00FE5FA1">
      <w:pPr>
        <w:spacing w:after="0" w:line="240" w:lineRule="auto"/>
        <w:jc w:val="both"/>
        <w:rPr>
          <w:rFonts w:ascii="Arial" w:eastAsia="Times New Roman" w:hAnsi="Arial" w:cs="Arial"/>
          <w:b/>
          <w:sz w:val="24"/>
          <w:szCs w:val="24"/>
          <w:lang w:val="en-US"/>
        </w:rPr>
      </w:pPr>
    </w:p>
    <w:p w:rsidR="00FE5FA1" w:rsidRPr="00FE5FA1" w:rsidRDefault="00FE5FA1" w:rsidP="00FE5FA1">
      <w:pPr>
        <w:spacing w:after="0" w:line="240" w:lineRule="auto"/>
        <w:rPr>
          <w:rFonts w:ascii="Arial" w:eastAsia="Times New Roman" w:hAnsi="Arial" w:cs="Arial"/>
          <w:noProof/>
          <w:sz w:val="24"/>
          <w:szCs w:val="24"/>
          <w:lang w:val="en-US"/>
        </w:rPr>
      </w:pPr>
      <w:r w:rsidRPr="00FE5FA1">
        <w:rPr>
          <w:rFonts w:ascii="Arial" w:eastAsia="Times New Roman" w:hAnsi="Arial" w:cs="Arial"/>
          <w:noProof/>
          <w:sz w:val="24"/>
          <w:szCs w:val="24"/>
          <w:lang w:val="en-US"/>
        </w:rPr>
        <w:t>The accompanying document is the 2</w:t>
      </w:r>
      <w:r w:rsidRPr="00FE5FA1">
        <w:rPr>
          <w:rFonts w:ascii="Arial" w:eastAsia="Times New Roman" w:hAnsi="Arial" w:cs="Arial"/>
          <w:noProof/>
          <w:sz w:val="24"/>
          <w:szCs w:val="24"/>
          <w:vertAlign w:val="superscript"/>
          <w:lang w:val="en-US"/>
        </w:rPr>
        <w:t>nd</w:t>
      </w:r>
      <w:r w:rsidRPr="00FE5FA1">
        <w:rPr>
          <w:rFonts w:ascii="Arial" w:eastAsia="Times New Roman" w:hAnsi="Arial" w:cs="Arial"/>
          <w:noProof/>
          <w:sz w:val="24"/>
          <w:szCs w:val="24"/>
          <w:lang w:val="en-US"/>
        </w:rPr>
        <w:t xml:space="preserve"> quarter's update to the targets and objectives defined in the Quality Account.  This report is produced as a guide to the Board, Governors and other partners to give assurance in how we are progressing in our declared intentions to improve clinical quality.</w:t>
      </w:r>
    </w:p>
    <w:p w:rsidR="00FE5FA1" w:rsidRPr="00FE5FA1" w:rsidRDefault="00FE5FA1" w:rsidP="00FE5FA1">
      <w:pPr>
        <w:spacing w:after="0" w:line="240" w:lineRule="auto"/>
        <w:rPr>
          <w:rFonts w:ascii="Arial" w:eastAsia="Times New Roman" w:hAnsi="Arial" w:cs="Arial"/>
          <w:noProof/>
          <w:sz w:val="24"/>
          <w:szCs w:val="24"/>
          <w:lang w:val="en-US"/>
        </w:rPr>
      </w:pPr>
    </w:p>
    <w:p w:rsidR="00FE5FA1" w:rsidRPr="00FE5FA1" w:rsidRDefault="00FE5FA1" w:rsidP="00FE5FA1">
      <w:pPr>
        <w:spacing w:after="0" w:line="240" w:lineRule="auto"/>
        <w:jc w:val="both"/>
        <w:rPr>
          <w:rFonts w:ascii="Arial" w:eastAsia="Times New Roman" w:hAnsi="Arial" w:cs="Arial"/>
          <w:noProof/>
          <w:sz w:val="24"/>
          <w:szCs w:val="24"/>
          <w:lang w:val="en-US"/>
        </w:rPr>
      </w:pPr>
      <w:r w:rsidRPr="00FE5FA1">
        <w:rPr>
          <w:rFonts w:ascii="Arial" w:eastAsia="Times New Roman" w:hAnsi="Arial" w:cs="Arial"/>
          <w:noProof/>
          <w:sz w:val="24"/>
          <w:szCs w:val="24"/>
          <w:lang w:val="en-US"/>
        </w:rPr>
        <w:t>This quarter's update shows considerable progress from the 1</w:t>
      </w:r>
      <w:r w:rsidRPr="00FE5FA1">
        <w:rPr>
          <w:rFonts w:ascii="Arial" w:eastAsia="Times New Roman" w:hAnsi="Arial" w:cs="Arial"/>
          <w:noProof/>
          <w:sz w:val="24"/>
          <w:szCs w:val="24"/>
          <w:vertAlign w:val="superscript"/>
          <w:lang w:val="en-US"/>
        </w:rPr>
        <w:t>st</w:t>
      </w:r>
      <w:r w:rsidRPr="00FE5FA1">
        <w:rPr>
          <w:rFonts w:ascii="Arial" w:eastAsia="Times New Roman" w:hAnsi="Arial" w:cs="Arial"/>
          <w:noProof/>
          <w:sz w:val="24"/>
          <w:szCs w:val="24"/>
          <w:lang w:val="en-US"/>
        </w:rPr>
        <w:t xml:space="preserve"> quarter, both in the nature and quality of the reporting, but also in the actual progress being achieved.</w:t>
      </w:r>
    </w:p>
    <w:p w:rsidR="00FE5FA1" w:rsidRPr="00FE5FA1" w:rsidRDefault="00FE5FA1" w:rsidP="00FE5FA1">
      <w:pPr>
        <w:spacing w:after="0" w:line="240" w:lineRule="auto"/>
        <w:jc w:val="both"/>
        <w:rPr>
          <w:rFonts w:ascii="Arial" w:eastAsia="Times New Roman" w:hAnsi="Arial" w:cs="Arial"/>
          <w:b/>
          <w:sz w:val="24"/>
          <w:szCs w:val="24"/>
          <w:lang w:val="en-US"/>
        </w:rPr>
      </w:pPr>
    </w:p>
    <w:p w:rsidR="00FE5FA1" w:rsidRPr="00FE5FA1" w:rsidRDefault="00FE5FA1" w:rsidP="00FE5FA1">
      <w:pPr>
        <w:spacing w:after="0" w:line="240" w:lineRule="auto"/>
        <w:jc w:val="both"/>
        <w:rPr>
          <w:rFonts w:ascii="Arial" w:eastAsia="Times New Roman" w:hAnsi="Arial" w:cs="Arial"/>
          <w:b/>
          <w:sz w:val="24"/>
          <w:szCs w:val="24"/>
          <w:lang w:val="en-US"/>
        </w:rPr>
      </w:pPr>
    </w:p>
    <w:p w:rsidR="00FE5FA1" w:rsidRPr="00FE5FA1" w:rsidRDefault="00FE5FA1" w:rsidP="00FE5FA1">
      <w:pPr>
        <w:spacing w:after="0" w:line="240" w:lineRule="auto"/>
        <w:jc w:val="both"/>
        <w:rPr>
          <w:rFonts w:ascii="Arial" w:eastAsia="Times New Roman" w:hAnsi="Arial" w:cs="Arial"/>
          <w:b/>
          <w:sz w:val="24"/>
          <w:szCs w:val="24"/>
          <w:lang w:val="en-US"/>
        </w:rPr>
      </w:pPr>
      <w:r w:rsidRPr="00FE5FA1">
        <w:rPr>
          <w:rFonts w:ascii="Arial" w:eastAsia="Times New Roman" w:hAnsi="Arial" w:cs="Arial"/>
          <w:b/>
          <w:sz w:val="24"/>
          <w:szCs w:val="24"/>
          <w:lang w:val="en-US"/>
        </w:rPr>
        <w:t>Recommendation</w:t>
      </w:r>
    </w:p>
    <w:p w:rsidR="00FE5FA1" w:rsidRPr="00FE5FA1" w:rsidRDefault="00FE5FA1" w:rsidP="00FE5FA1">
      <w:pPr>
        <w:spacing w:after="0" w:line="240" w:lineRule="auto"/>
        <w:jc w:val="both"/>
        <w:rPr>
          <w:rFonts w:ascii="Arial" w:eastAsia="Times New Roman" w:hAnsi="Arial" w:cs="Arial"/>
          <w:sz w:val="24"/>
          <w:szCs w:val="24"/>
          <w:lang w:val="en-US"/>
        </w:rPr>
      </w:pPr>
      <w:r w:rsidRPr="00FE5FA1">
        <w:rPr>
          <w:rFonts w:ascii="Arial" w:eastAsia="Times New Roman" w:hAnsi="Arial" w:cs="Arial"/>
          <w:noProof/>
          <w:sz w:val="24"/>
          <w:szCs w:val="24"/>
          <w:lang w:val="en-US"/>
        </w:rPr>
        <w:t>The document is formally approved by the Board and may be shared with our partners.</w:t>
      </w:r>
    </w:p>
    <w:p w:rsidR="00FE5FA1" w:rsidRPr="00FE5FA1" w:rsidRDefault="00FE5FA1" w:rsidP="00FE5FA1">
      <w:pPr>
        <w:spacing w:after="0" w:line="240" w:lineRule="auto"/>
        <w:jc w:val="both"/>
        <w:rPr>
          <w:rFonts w:ascii="Arial" w:eastAsia="Times New Roman" w:hAnsi="Arial" w:cs="Arial"/>
          <w:b/>
          <w:sz w:val="24"/>
          <w:szCs w:val="24"/>
          <w:lang w:val="en-US"/>
        </w:rPr>
      </w:pPr>
    </w:p>
    <w:p w:rsidR="00FE5FA1" w:rsidRPr="00FE5FA1" w:rsidRDefault="00FE5FA1" w:rsidP="00FE5FA1">
      <w:pPr>
        <w:spacing w:after="0" w:line="240" w:lineRule="auto"/>
        <w:jc w:val="both"/>
        <w:rPr>
          <w:rFonts w:ascii="Arial" w:eastAsia="Times New Roman" w:hAnsi="Arial" w:cs="Arial"/>
          <w:b/>
          <w:sz w:val="24"/>
          <w:szCs w:val="24"/>
          <w:lang w:val="en-US"/>
        </w:rPr>
      </w:pPr>
    </w:p>
    <w:p w:rsidR="00FE5FA1" w:rsidRPr="00FE5FA1" w:rsidRDefault="00FE5FA1" w:rsidP="00FE5FA1">
      <w:pPr>
        <w:spacing w:after="0" w:line="240" w:lineRule="auto"/>
        <w:ind w:left="1440" w:hanging="1440"/>
        <w:jc w:val="both"/>
        <w:rPr>
          <w:rFonts w:ascii="Arial" w:eastAsia="Times New Roman" w:hAnsi="Arial" w:cs="Arial"/>
          <w:sz w:val="24"/>
          <w:szCs w:val="24"/>
          <w:lang w:val="en-US"/>
        </w:rPr>
      </w:pPr>
      <w:r w:rsidRPr="00FE5FA1">
        <w:rPr>
          <w:rFonts w:ascii="Arial" w:eastAsia="Times New Roman" w:hAnsi="Arial" w:cs="Arial"/>
          <w:b/>
          <w:sz w:val="24"/>
          <w:szCs w:val="24"/>
          <w:lang w:val="en-US"/>
        </w:rPr>
        <w:t>Author and Title:</w:t>
      </w:r>
      <w:r w:rsidRPr="00FE5FA1">
        <w:rPr>
          <w:rFonts w:ascii="Arial" w:eastAsia="Times New Roman" w:hAnsi="Arial" w:cs="Arial"/>
          <w:sz w:val="24"/>
          <w:szCs w:val="24"/>
          <w:lang w:val="en-US"/>
        </w:rPr>
        <w:t xml:space="preserve"> </w:t>
      </w:r>
      <w:r w:rsidRPr="00FE5FA1">
        <w:rPr>
          <w:rFonts w:ascii="Arial" w:eastAsia="Times New Roman" w:hAnsi="Arial" w:cs="Arial"/>
          <w:sz w:val="24"/>
          <w:szCs w:val="24"/>
          <w:lang w:val="en-US"/>
        </w:rPr>
        <w:tab/>
      </w:r>
      <w:r w:rsidRPr="00FE5FA1">
        <w:rPr>
          <w:rFonts w:ascii="Arial" w:eastAsia="Times New Roman" w:hAnsi="Arial" w:cs="Arial"/>
          <w:noProof/>
          <w:sz w:val="24"/>
          <w:szCs w:val="24"/>
          <w:lang w:val="en-US"/>
        </w:rPr>
        <w:t>David Allen, Management Consultant</w:t>
      </w:r>
    </w:p>
    <w:p w:rsidR="00FE5FA1" w:rsidRPr="00FE5FA1" w:rsidRDefault="00FE5FA1" w:rsidP="00FE5FA1">
      <w:pPr>
        <w:spacing w:after="0" w:line="240" w:lineRule="auto"/>
        <w:jc w:val="both"/>
        <w:rPr>
          <w:rFonts w:ascii="Arial" w:eastAsia="Times New Roman" w:hAnsi="Arial" w:cs="Arial"/>
          <w:b/>
          <w:sz w:val="24"/>
          <w:szCs w:val="24"/>
          <w:lang w:val="en-US"/>
        </w:rPr>
      </w:pPr>
      <w:r w:rsidRPr="00FE5FA1">
        <w:rPr>
          <w:rFonts w:ascii="Arial" w:eastAsia="Times New Roman" w:hAnsi="Arial" w:cs="Arial"/>
          <w:b/>
          <w:sz w:val="24"/>
          <w:szCs w:val="24"/>
          <w:lang w:val="en-US"/>
        </w:rPr>
        <w:t>Lead Executive Director:</w:t>
      </w:r>
      <w:r w:rsidRPr="00FE5FA1">
        <w:rPr>
          <w:rFonts w:ascii="Arial" w:eastAsia="Times New Roman" w:hAnsi="Arial" w:cs="Arial"/>
          <w:b/>
          <w:sz w:val="24"/>
          <w:szCs w:val="24"/>
          <w:lang w:val="en-US"/>
        </w:rPr>
        <w:tab/>
        <w:t>Ros Alstead, Director of Nursing and Clinical Standards</w:t>
      </w:r>
    </w:p>
    <w:p w:rsidR="00FE5FA1" w:rsidRPr="00FE5FA1" w:rsidRDefault="00FE5FA1" w:rsidP="00FE5FA1">
      <w:pPr>
        <w:spacing w:after="0" w:line="240" w:lineRule="auto"/>
        <w:jc w:val="both"/>
        <w:rPr>
          <w:rFonts w:ascii="Arial" w:eastAsia="Times New Roman" w:hAnsi="Arial" w:cs="Arial"/>
          <w:b/>
          <w:sz w:val="24"/>
          <w:szCs w:val="24"/>
          <w:lang w:val="en-US"/>
        </w:rPr>
      </w:pPr>
    </w:p>
    <w:p w:rsidR="00FE5FA1" w:rsidRPr="00FE5FA1" w:rsidRDefault="00FE5FA1" w:rsidP="00FE5FA1">
      <w:pPr>
        <w:spacing w:after="0" w:line="240" w:lineRule="auto"/>
        <w:jc w:val="both"/>
        <w:rPr>
          <w:rFonts w:ascii="Arial" w:eastAsia="Times New Roman" w:hAnsi="Arial" w:cs="Arial"/>
          <w:b/>
          <w:sz w:val="24"/>
          <w:szCs w:val="24"/>
          <w:lang w:val="en-US"/>
        </w:rPr>
      </w:pPr>
    </w:p>
    <w:p w:rsidR="00FE5FA1" w:rsidRPr="00FE5FA1" w:rsidRDefault="00FE5FA1" w:rsidP="00FE5FA1">
      <w:pPr>
        <w:numPr>
          <w:ilvl w:val="0"/>
          <w:numId w:val="29"/>
        </w:numPr>
        <w:spacing w:after="0" w:line="240" w:lineRule="auto"/>
        <w:jc w:val="both"/>
        <w:rPr>
          <w:rFonts w:ascii="Arial" w:eastAsia="Times New Roman" w:hAnsi="Arial" w:cs="Arial"/>
          <w:i/>
          <w:sz w:val="20"/>
          <w:szCs w:val="20"/>
          <w:lang w:val="en-US"/>
        </w:rPr>
      </w:pPr>
      <w:r w:rsidRPr="00FE5FA1">
        <w:rPr>
          <w:rFonts w:ascii="Arial" w:eastAsia="Times New Roman" w:hAnsi="Arial" w:cs="Arial"/>
          <w:i/>
          <w:sz w:val="20"/>
          <w:szCs w:val="20"/>
          <w:lang w:val="en-US"/>
        </w:rPr>
        <w:t>A risk assessment has been undertaken around the legal issues that this paper presents and there are no issues that need to be referred to the Trust Solicitors.</w:t>
      </w:r>
    </w:p>
    <w:p w:rsidR="00FE5FA1" w:rsidRPr="00FE5FA1" w:rsidRDefault="00FE5FA1" w:rsidP="00FE5FA1">
      <w:pPr>
        <w:numPr>
          <w:ilvl w:val="0"/>
          <w:numId w:val="29"/>
        </w:numPr>
        <w:spacing w:after="0" w:line="240" w:lineRule="auto"/>
        <w:jc w:val="both"/>
        <w:rPr>
          <w:rFonts w:ascii="Arial" w:eastAsia="Times New Roman" w:hAnsi="Arial" w:cs="Arial"/>
          <w:sz w:val="20"/>
          <w:szCs w:val="20"/>
          <w:lang w:val="en-US"/>
        </w:rPr>
      </w:pPr>
      <w:r w:rsidRPr="00FE5FA1">
        <w:rPr>
          <w:rFonts w:ascii="Arial" w:eastAsia="Times New Roman" w:hAnsi="Arial" w:cs="Arial"/>
          <w:i/>
          <w:sz w:val="20"/>
          <w:szCs w:val="20"/>
          <w:lang w:val="en-US"/>
        </w:rPr>
        <w:t xml:space="preserve">This paper provides assurance and evidence against the Care Quality Commission Outcome:  [Input Outcome number –  </w:t>
      </w:r>
      <w:proofErr w:type="spellStart"/>
      <w:r w:rsidRPr="00FE5FA1">
        <w:rPr>
          <w:rFonts w:ascii="Arial" w:eastAsia="Times New Roman" w:hAnsi="Arial" w:cs="Arial"/>
          <w:i/>
          <w:sz w:val="20"/>
          <w:szCs w:val="20"/>
          <w:lang w:val="en-US"/>
        </w:rPr>
        <w:t>ie</w:t>
      </w:r>
      <w:proofErr w:type="spellEnd"/>
      <w:r w:rsidRPr="00FE5FA1">
        <w:rPr>
          <w:rFonts w:ascii="Arial" w:eastAsia="Times New Roman" w:hAnsi="Arial" w:cs="Arial"/>
          <w:i/>
          <w:sz w:val="20"/>
          <w:szCs w:val="20"/>
          <w:lang w:val="en-US"/>
        </w:rPr>
        <w:t xml:space="preserve"> 7]</w:t>
      </w:r>
    </w:p>
    <w:p w:rsidR="0058221A" w:rsidRDefault="0058221A" w:rsidP="00637A68"/>
    <w:p w:rsidR="00FE5FA1" w:rsidRDefault="00FE5FA1" w:rsidP="00637A68"/>
    <w:p w:rsidR="00FE5FA1" w:rsidRDefault="00FE5FA1" w:rsidP="00637A68"/>
    <w:p w:rsidR="00FE5FA1" w:rsidRDefault="00FE5FA1" w:rsidP="00637A68"/>
    <w:p w:rsidR="0058221A" w:rsidRDefault="0058221A" w:rsidP="00637A68">
      <w:pPr>
        <w:autoSpaceDE w:val="0"/>
        <w:autoSpaceDN w:val="0"/>
        <w:adjustRightInd w:val="0"/>
        <w:rPr>
          <w:rFonts w:ascii="Arial" w:hAnsi="Arial" w:cs="Arial"/>
          <w:sz w:val="21"/>
          <w:szCs w:val="21"/>
        </w:rPr>
      </w:pPr>
    </w:p>
    <w:p w:rsidR="0058221A" w:rsidRDefault="00C6227D" w:rsidP="003E2064">
      <w:pPr>
        <w:autoSpaceDE w:val="0"/>
        <w:autoSpaceDN w:val="0"/>
        <w:adjustRightInd w:val="0"/>
        <w:jc w:val="right"/>
        <w:rPr>
          <w:rFonts w:ascii="Arial" w:hAnsi="Arial" w:cs="Arial"/>
          <w:sz w:val="21"/>
          <w:szCs w:val="21"/>
        </w:rPr>
      </w:pPr>
      <w:r>
        <w:rPr>
          <w:rFonts w:ascii="Arial" w:hAnsi="Arial" w:cs="Arial"/>
          <w:noProof/>
          <w:sz w:val="21"/>
          <w:szCs w:val="21"/>
          <w:lang w:eastAsia="en-GB"/>
        </w:rPr>
        <w:lastRenderedPageBreak/>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8221A" w:rsidRDefault="0058221A" w:rsidP="00637A68">
      <w:pPr>
        <w:autoSpaceDE w:val="0"/>
        <w:autoSpaceDN w:val="0"/>
        <w:adjustRightInd w:val="0"/>
        <w:rPr>
          <w:rFonts w:ascii="Arial" w:hAnsi="Arial" w:cs="Arial"/>
          <w:sz w:val="21"/>
          <w:szCs w:val="21"/>
        </w:rPr>
      </w:pPr>
    </w:p>
    <w:p w:rsidR="0058221A" w:rsidRPr="001F3C11" w:rsidRDefault="0058221A" w:rsidP="00637A68">
      <w:pPr>
        <w:autoSpaceDE w:val="0"/>
        <w:autoSpaceDN w:val="0"/>
        <w:adjustRightInd w:val="0"/>
        <w:rPr>
          <w:rFonts w:ascii="Arial" w:hAnsi="Arial" w:cs="Arial"/>
          <w:sz w:val="48"/>
          <w:szCs w:val="48"/>
        </w:rPr>
      </w:pPr>
    </w:p>
    <w:p w:rsidR="0058221A" w:rsidRPr="0046221F" w:rsidRDefault="0058221A" w:rsidP="002575E1">
      <w:pPr>
        <w:autoSpaceDE w:val="0"/>
        <w:autoSpaceDN w:val="0"/>
        <w:adjustRightInd w:val="0"/>
        <w:outlineLvl w:val="0"/>
        <w:rPr>
          <w:rFonts w:ascii="Arial" w:hAnsi="Arial" w:cs="Arial"/>
          <w:b/>
          <w:sz w:val="72"/>
          <w:szCs w:val="72"/>
        </w:rPr>
      </w:pPr>
      <w:r w:rsidRPr="0046221F">
        <w:rPr>
          <w:rFonts w:ascii="Arial" w:hAnsi="Arial" w:cs="Arial"/>
          <w:b/>
          <w:sz w:val="72"/>
          <w:szCs w:val="72"/>
        </w:rPr>
        <w:t>Quality Account 2011/12</w:t>
      </w:r>
    </w:p>
    <w:p w:rsidR="0058221A" w:rsidRDefault="0058221A" w:rsidP="00637A68">
      <w:pPr>
        <w:autoSpaceDE w:val="0"/>
        <w:autoSpaceDN w:val="0"/>
        <w:adjustRightInd w:val="0"/>
        <w:rPr>
          <w:rFonts w:ascii="Arial" w:hAnsi="Arial" w:cs="Arial"/>
          <w:sz w:val="48"/>
          <w:szCs w:val="48"/>
        </w:rPr>
      </w:pPr>
    </w:p>
    <w:p w:rsidR="0058221A" w:rsidRDefault="0058221A" w:rsidP="002575E1">
      <w:pPr>
        <w:autoSpaceDE w:val="0"/>
        <w:autoSpaceDN w:val="0"/>
        <w:adjustRightInd w:val="0"/>
        <w:outlineLvl w:val="0"/>
        <w:rPr>
          <w:rFonts w:ascii="Arial" w:hAnsi="Arial" w:cs="Arial"/>
          <w:sz w:val="48"/>
          <w:szCs w:val="48"/>
        </w:rPr>
      </w:pPr>
      <w:r>
        <w:rPr>
          <w:rFonts w:ascii="Arial" w:hAnsi="Arial" w:cs="Arial"/>
          <w:sz w:val="48"/>
          <w:szCs w:val="48"/>
        </w:rPr>
        <w:t xml:space="preserve">Report for </w:t>
      </w:r>
      <w:r w:rsidR="003B3EC7">
        <w:rPr>
          <w:rFonts w:ascii="Arial" w:hAnsi="Arial" w:cs="Arial"/>
          <w:sz w:val="48"/>
          <w:szCs w:val="48"/>
        </w:rPr>
        <w:t>2</w:t>
      </w:r>
      <w:r w:rsidR="003B3EC7" w:rsidRPr="003B3EC7">
        <w:rPr>
          <w:rFonts w:ascii="Arial" w:hAnsi="Arial" w:cs="Arial"/>
          <w:sz w:val="48"/>
          <w:szCs w:val="48"/>
          <w:vertAlign w:val="superscript"/>
        </w:rPr>
        <w:t>nd</w:t>
      </w:r>
      <w:r w:rsidR="003B3EC7">
        <w:rPr>
          <w:rFonts w:ascii="Arial" w:hAnsi="Arial" w:cs="Arial"/>
          <w:sz w:val="48"/>
          <w:szCs w:val="48"/>
        </w:rPr>
        <w:t xml:space="preserve"> </w:t>
      </w:r>
      <w:r>
        <w:rPr>
          <w:rFonts w:ascii="Arial" w:hAnsi="Arial" w:cs="Arial"/>
          <w:sz w:val="48"/>
          <w:szCs w:val="48"/>
        </w:rPr>
        <w:t>Quarter 2011/12</w:t>
      </w:r>
    </w:p>
    <w:p w:rsidR="0058221A" w:rsidRDefault="0058221A" w:rsidP="00637A68">
      <w:pPr>
        <w:autoSpaceDE w:val="0"/>
        <w:autoSpaceDN w:val="0"/>
        <w:adjustRightInd w:val="0"/>
        <w:rPr>
          <w:rFonts w:ascii="Arial" w:hAnsi="Arial" w:cs="Arial"/>
          <w:sz w:val="48"/>
          <w:szCs w:val="48"/>
        </w:rPr>
      </w:pPr>
    </w:p>
    <w:p w:rsidR="0058221A" w:rsidRDefault="0058221A" w:rsidP="00637A68">
      <w:pPr>
        <w:autoSpaceDE w:val="0"/>
        <w:autoSpaceDN w:val="0"/>
        <w:adjustRightInd w:val="0"/>
        <w:rPr>
          <w:rFonts w:ascii="Arial" w:hAnsi="Arial" w:cs="Arial"/>
          <w:sz w:val="48"/>
          <w:szCs w:val="48"/>
        </w:rPr>
      </w:pPr>
    </w:p>
    <w:p w:rsidR="0058221A" w:rsidRPr="004430B8" w:rsidRDefault="003B3EC7" w:rsidP="00637A68">
      <w:pPr>
        <w:autoSpaceDE w:val="0"/>
        <w:autoSpaceDN w:val="0"/>
        <w:adjustRightInd w:val="0"/>
        <w:rPr>
          <w:rFonts w:ascii="Arial" w:hAnsi="Arial" w:cs="Arial"/>
          <w:sz w:val="48"/>
          <w:szCs w:val="48"/>
        </w:rPr>
      </w:pPr>
      <w:r>
        <w:rPr>
          <w:rFonts w:ascii="Arial" w:hAnsi="Arial" w:cs="Arial"/>
          <w:sz w:val="48"/>
          <w:szCs w:val="48"/>
        </w:rPr>
        <w:t xml:space="preserve">October </w:t>
      </w:r>
      <w:r w:rsidR="0058221A">
        <w:rPr>
          <w:rFonts w:ascii="Arial" w:hAnsi="Arial" w:cs="Arial"/>
          <w:sz w:val="48"/>
          <w:szCs w:val="48"/>
        </w:rPr>
        <w:t>2011</w:t>
      </w:r>
    </w:p>
    <w:p w:rsidR="0058221A" w:rsidRDefault="0058221A" w:rsidP="00637A68">
      <w:pPr>
        <w:autoSpaceDE w:val="0"/>
        <w:autoSpaceDN w:val="0"/>
        <w:adjustRightInd w:val="0"/>
        <w:rPr>
          <w:rFonts w:ascii="Arial" w:hAnsi="Arial" w:cs="Arial"/>
          <w:sz w:val="48"/>
          <w:szCs w:val="48"/>
        </w:rPr>
      </w:pPr>
    </w:p>
    <w:p w:rsidR="00A92802" w:rsidRDefault="0058221A">
      <w:pPr>
        <w:pStyle w:val="Heading3"/>
      </w:pPr>
      <w:r>
        <w:br w:type="page"/>
      </w:r>
      <w:r w:rsidR="0027569B">
        <w:lastRenderedPageBreak/>
        <w:t>Introduction</w:t>
      </w:r>
    </w:p>
    <w:p w:rsidR="00A92802" w:rsidRDefault="00A92802"/>
    <w:p w:rsidR="00A92802" w:rsidRDefault="0027569B">
      <w:pPr>
        <w:spacing w:after="0"/>
      </w:pPr>
      <w:r>
        <w:t xml:space="preserve">This report represents an update on progress on the quality aims, </w:t>
      </w:r>
      <w:r w:rsidR="00874531">
        <w:t>actions</w:t>
      </w:r>
      <w:r>
        <w:t xml:space="preserve"> and targets described in the 2010/11 Quality Account for the </w:t>
      </w:r>
      <w:r w:rsidR="00031FA8">
        <w:t>second</w:t>
      </w:r>
      <w:r>
        <w:t xml:space="preserve"> quarter.</w:t>
      </w:r>
    </w:p>
    <w:p w:rsidR="00A92802" w:rsidRDefault="00A92802">
      <w:pPr>
        <w:spacing w:after="0"/>
      </w:pPr>
    </w:p>
    <w:p w:rsidR="00A92802" w:rsidRDefault="0027569B">
      <w:pPr>
        <w:spacing w:after="0"/>
      </w:pPr>
      <w:r>
        <w:t xml:space="preserve">The intention is that a similar report </w:t>
      </w:r>
      <w:r w:rsidR="00CE79A6">
        <w:t>is</w:t>
      </w:r>
      <w:r>
        <w:t xml:space="preserve"> produced at the end of every quarter so that progress can be tracked throughout the year</w:t>
      </w:r>
      <w:r w:rsidR="00AC65AE">
        <w:t xml:space="preserve"> and controlled by the Executive Team</w:t>
      </w:r>
      <w:r>
        <w:t xml:space="preserve">.  </w:t>
      </w:r>
      <w:r w:rsidR="00AC65AE">
        <w:t xml:space="preserve">Furthermore, it should help give assurance to </w:t>
      </w:r>
      <w:r>
        <w:t xml:space="preserve">the Board to help with their </w:t>
      </w:r>
      <w:r w:rsidR="00AC65AE">
        <w:t xml:space="preserve">quarterly </w:t>
      </w:r>
      <w:r>
        <w:t>declaration on Quality Assurance</w:t>
      </w:r>
      <w:r w:rsidR="00AC65AE">
        <w:t xml:space="preserve"> as well as</w:t>
      </w:r>
      <w:r>
        <w:t xml:space="preserve"> Governors and other partners such as </w:t>
      </w:r>
      <w:proofErr w:type="spellStart"/>
      <w:r>
        <w:t>LINk</w:t>
      </w:r>
      <w:proofErr w:type="spellEnd"/>
      <w:r>
        <w:t xml:space="preserve">, OSC and the PCT.  </w:t>
      </w:r>
      <w:r w:rsidR="00AC65AE">
        <w:t>Compiling</w:t>
      </w:r>
      <w:r>
        <w:t xml:space="preserve"> the final </w:t>
      </w:r>
      <w:r w:rsidR="00AC65AE">
        <w:t>Quality Report</w:t>
      </w:r>
      <w:r>
        <w:t xml:space="preserve"> at the end of the year </w:t>
      </w:r>
      <w:r w:rsidR="00AC65AE">
        <w:t xml:space="preserve">should also be </w:t>
      </w:r>
      <w:r w:rsidR="00CE79A6">
        <w:t xml:space="preserve">made </w:t>
      </w:r>
      <w:r w:rsidR="00AC65AE">
        <w:t>considerably easier.</w:t>
      </w:r>
    </w:p>
    <w:p w:rsidR="00A92802" w:rsidRDefault="00A92802">
      <w:pPr>
        <w:spacing w:after="0"/>
      </w:pPr>
    </w:p>
    <w:p w:rsidR="00A92802" w:rsidRDefault="00AC65AE">
      <w:pPr>
        <w:spacing w:after="0"/>
      </w:pPr>
      <w:r>
        <w:t xml:space="preserve">In the </w:t>
      </w:r>
      <w:r w:rsidR="00031FA8">
        <w:t>second</w:t>
      </w:r>
      <w:r>
        <w:t xml:space="preserve"> quarter, a lot of work has gone into </w:t>
      </w:r>
      <w:r w:rsidR="005934F5">
        <w:t>ensuring</w:t>
      </w:r>
      <w:r>
        <w:t xml:space="preserve"> the people responsible for </w:t>
      </w:r>
      <w:r w:rsidR="005934F5">
        <w:t xml:space="preserve">delivering the quality objectives </w:t>
      </w:r>
      <w:r w:rsidR="00031FA8">
        <w:t>are now regularly</w:t>
      </w:r>
      <w:r w:rsidR="005934F5">
        <w:t xml:space="preserve"> report</w:t>
      </w:r>
      <w:r w:rsidR="00031FA8">
        <w:t>ing</w:t>
      </w:r>
      <w:r w:rsidR="005934F5">
        <w:t xml:space="preserve"> in a timely manner and also that the information needed to monitor targets is being captured.</w:t>
      </w:r>
      <w:r w:rsidR="00A97D28">
        <w:t xml:space="preserve">  </w:t>
      </w:r>
    </w:p>
    <w:p w:rsidR="00A92802" w:rsidRDefault="00A92802">
      <w:pPr>
        <w:spacing w:after="0"/>
      </w:pPr>
    </w:p>
    <w:p w:rsidR="00A92802" w:rsidRDefault="005934F5">
      <w:pPr>
        <w:spacing w:after="0"/>
      </w:pPr>
      <w:r>
        <w:t xml:space="preserve">As the </w:t>
      </w:r>
      <w:r w:rsidR="00044F96">
        <w:t>second</w:t>
      </w:r>
      <w:r>
        <w:t xml:space="preserve"> quarter’s report, this document </w:t>
      </w:r>
      <w:r w:rsidR="00044F96">
        <w:t>fills in a number of gaps that were evident from the first quarter.  Unfortunately, some information is still lacking and the people responsible are being encouraged to be able to respond suitably in the 3</w:t>
      </w:r>
      <w:r w:rsidR="00044F96" w:rsidRPr="00044F96">
        <w:rPr>
          <w:vertAlign w:val="superscript"/>
        </w:rPr>
        <w:t>rd</w:t>
      </w:r>
      <w:r w:rsidR="00044F96">
        <w:t xml:space="preserve"> quarter account.  Nevertheless, it is encouraging to see that people are seeing the importance of continually monitoring the actions specified in the quality account and are able to change the status of each from “amber” to “green”</w:t>
      </w:r>
      <w:r w:rsidR="00CE79A6">
        <w:t xml:space="preserve"> as the year progresses.</w:t>
      </w:r>
    </w:p>
    <w:p w:rsidR="00A92802" w:rsidRDefault="00A92802">
      <w:pPr>
        <w:spacing w:after="0"/>
      </w:pPr>
    </w:p>
    <w:p w:rsidR="00A92802" w:rsidRDefault="00044F96">
      <w:pPr>
        <w:spacing w:after="0"/>
      </w:pPr>
      <w:r>
        <w:t>In this report, a</w:t>
      </w:r>
      <w:r w:rsidR="005934F5">
        <w:t xml:space="preserve"> colour code has been adopted to </w:t>
      </w:r>
      <w:r w:rsidR="00A97D28">
        <w:t>denote</w:t>
      </w:r>
      <w:r w:rsidR="005934F5">
        <w:t xml:space="preserve"> progress </w:t>
      </w:r>
      <w:r w:rsidR="00A97D28">
        <w:t>against</w:t>
      </w:r>
      <w:r w:rsidR="00874531">
        <w:t xml:space="preserve"> the planned actions:</w:t>
      </w:r>
    </w:p>
    <w:p w:rsidR="00A92802" w:rsidRDefault="00A92802">
      <w:pPr>
        <w:spacing w:after="0"/>
      </w:pPr>
    </w:p>
    <w:p w:rsidR="00A92802" w:rsidRDefault="00874531">
      <w:pPr>
        <w:spacing w:after="0"/>
        <w:ind w:firstLine="720"/>
      </w:pPr>
      <w:r>
        <w:t>Green:</w:t>
      </w:r>
      <w:r>
        <w:tab/>
        <w:t>Action has been completed</w:t>
      </w:r>
    </w:p>
    <w:p w:rsidR="00A92802" w:rsidRDefault="00874531">
      <w:pPr>
        <w:spacing w:after="0"/>
        <w:ind w:firstLine="720"/>
      </w:pPr>
      <w:r>
        <w:t>Amber:</w:t>
      </w:r>
      <w:r>
        <w:tab/>
        <w:t>Actions are underway but not yet completed</w:t>
      </w:r>
    </w:p>
    <w:p w:rsidR="00A92802" w:rsidRDefault="00874531">
      <w:pPr>
        <w:spacing w:after="0"/>
        <w:ind w:firstLine="720"/>
      </w:pPr>
      <w:r>
        <w:t>Red:</w:t>
      </w:r>
      <w:r>
        <w:tab/>
        <w:t>Actions not yet started</w:t>
      </w:r>
    </w:p>
    <w:p w:rsidR="00A92802" w:rsidRDefault="00874531">
      <w:pPr>
        <w:spacing w:after="0"/>
        <w:ind w:firstLine="720"/>
      </w:pPr>
      <w:r>
        <w:t>Black:</w:t>
      </w:r>
      <w:r>
        <w:tab/>
        <w:t>No information available at present</w:t>
      </w: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A92802" w:rsidRDefault="00A92802">
      <w:pPr>
        <w:spacing w:after="0" w:line="240" w:lineRule="auto"/>
        <w:rPr>
          <w:rFonts w:ascii="Arial" w:hAnsi="Arial" w:cs="Arial"/>
          <w:sz w:val="21"/>
          <w:szCs w:val="21"/>
        </w:rPr>
      </w:pPr>
    </w:p>
    <w:p w:rsidR="008B3D69" w:rsidRDefault="00884BE4">
      <w:pPr>
        <w:spacing w:after="0" w:line="240" w:lineRule="auto"/>
        <w:rPr>
          <w:rFonts w:ascii="Arial" w:hAnsi="Arial" w:cs="Arial"/>
          <w:sz w:val="21"/>
          <w:szCs w:val="21"/>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r>
        <w:rPr>
          <w:rFonts w:ascii="Arial" w:hAnsi="Arial" w:cs="Arial"/>
          <w:sz w:val="21"/>
          <w:szCs w:val="21"/>
        </w:rPr>
        <w:t xml:space="preserve"> </w:t>
      </w:r>
    </w:p>
    <w:p w:rsidR="00A92802" w:rsidRDefault="0027569B">
      <w:pPr>
        <w:spacing w:after="0" w:line="240" w:lineRule="auto"/>
        <w:rPr>
          <w:rFonts w:ascii="Arial" w:hAnsi="Arial" w:cs="Arial"/>
          <w:sz w:val="21"/>
          <w:szCs w:val="21"/>
        </w:rPr>
      </w:pPr>
      <w:r>
        <w:rPr>
          <w:rFonts w:ascii="Arial" w:hAnsi="Arial" w:cs="Arial"/>
          <w:sz w:val="21"/>
          <w:szCs w:val="21"/>
        </w:rPr>
        <w:br w:type="page"/>
      </w:r>
    </w:p>
    <w:tbl>
      <w:tblPr>
        <w:tblW w:w="10065" w:type="dxa"/>
        <w:tblInd w:w="-176" w:type="dxa"/>
        <w:tblBorders>
          <w:left w:val="single" w:sz="4" w:space="0" w:color="auto"/>
          <w:bottom w:val="single" w:sz="4" w:space="0" w:color="auto"/>
          <w:right w:val="single" w:sz="4" w:space="0" w:color="auto"/>
        </w:tblBorders>
        <w:tblLayout w:type="fixed"/>
        <w:tblLook w:val="00A0"/>
      </w:tblPr>
      <w:tblGrid>
        <w:gridCol w:w="10065"/>
      </w:tblGrid>
      <w:tr w:rsidR="0058221A" w:rsidRPr="00677B2B" w:rsidTr="00AE7AB3">
        <w:trPr>
          <w:trHeight w:val="300"/>
        </w:trPr>
        <w:tc>
          <w:tcPr>
            <w:tcW w:w="10065" w:type="dxa"/>
            <w:tcBorders>
              <w:bottom w:val="nil"/>
            </w:tcBorders>
            <w:shd w:val="clear" w:color="auto" w:fill="0070C0"/>
            <w:noWrap/>
            <w:vAlign w:val="center"/>
          </w:tcPr>
          <w:p w:rsidR="0058221A" w:rsidRPr="00187092" w:rsidRDefault="0058221A" w:rsidP="00AE7AB3">
            <w:pPr>
              <w:pStyle w:val="Heading2"/>
              <w:numPr>
                <w:ilvl w:val="0"/>
                <w:numId w:val="12"/>
              </w:numPr>
              <w:rPr>
                <w:rFonts w:ascii="Arial" w:hAnsi="Arial" w:cs="Arial"/>
                <w:b w:val="0"/>
                <w:caps/>
                <w:color w:val="FFFFFF"/>
                <w:szCs w:val="22"/>
                <w:lang w:eastAsia="en-GB"/>
              </w:rPr>
            </w:pPr>
            <w:r w:rsidRPr="00187092">
              <w:rPr>
                <w:rFonts w:ascii="Arial" w:hAnsi="Arial" w:cs="Arial"/>
                <w:caps/>
                <w:color w:val="FFFFFF"/>
                <w:lang w:eastAsia="en-GB"/>
              </w:rPr>
              <w:lastRenderedPageBreak/>
              <w:t>Patient Safety: Preventing people from dying premat</w:t>
            </w:r>
            <w:bookmarkStart w:id="0" w:name="RANGE!A4"/>
            <w:bookmarkEnd w:id="0"/>
            <w:r w:rsidRPr="00187092">
              <w:rPr>
                <w:rFonts w:ascii="Arial" w:hAnsi="Arial" w:cs="Arial"/>
                <w:caps/>
                <w:color w:val="FFFFFF"/>
                <w:lang w:eastAsia="en-GB"/>
              </w:rPr>
              <w:t>urely</w:t>
            </w:r>
          </w:p>
        </w:tc>
      </w:tr>
      <w:tr w:rsidR="0058221A" w:rsidRPr="00677B2B" w:rsidTr="00F828C8">
        <w:trPr>
          <w:trHeight w:val="731"/>
        </w:trPr>
        <w:tc>
          <w:tcPr>
            <w:tcW w:w="10065" w:type="dxa"/>
            <w:tcBorders>
              <w:bottom w:val="nil"/>
            </w:tcBorders>
            <w:shd w:val="clear" w:color="auto" w:fill="BFBFBF"/>
            <w:noWrap/>
            <w:vAlign w:val="center"/>
          </w:tcPr>
          <w:p w:rsidR="0058221A" w:rsidRPr="00677B2B" w:rsidRDefault="0058221A" w:rsidP="00F828C8">
            <w:pPr>
              <w:pStyle w:val="Heading2"/>
              <w:rPr>
                <w:sz w:val="24"/>
                <w:szCs w:val="24"/>
                <w:lang w:eastAsia="en-GB"/>
              </w:rPr>
            </w:pPr>
            <w:r w:rsidRPr="0046221F">
              <w:rPr>
                <w:rFonts w:ascii="Arial" w:hAnsi="Arial" w:cs="Arial"/>
                <w:color w:val="auto"/>
                <w:sz w:val="24"/>
                <w:szCs w:val="24"/>
                <w:lang w:eastAsia="en-GB"/>
              </w:rPr>
              <w:t>Aims</w:t>
            </w:r>
          </w:p>
        </w:tc>
      </w:tr>
      <w:tr w:rsidR="0058221A" w:rsidRPr="00677B2B" w:rsidTr="00AE7AB3">
        <w:trPr>
          <w:trHeight w:val="600"/>
        </w:trPr>
        <w:tc>
          <w:tcPr>
            <w:tcW w:w="10065" w:type="dxa"/>
            <w:tcBorders>
              <w:top w:val="nil"/>
            </w:tcBorders>
            <w:shd w:val="clear" w:color="000000" w:fill="C0C0C0"/>
            <w:vAlign w:val="center"/>
          </w:tcPr>
          <w:p w:rsidR="0058221A" w:rsidRPr="0046221F" w:rsidRDefault="0058221A" w:rsidP="0046221F">
            <w:pPr>
              <w:pStyle w:val="ListParagraph"/>
              <w:numPr>
                <w:ilvl w:val="0"/>
                <w:numId w:val="2"/>
              </w:numPr>
              <w:spacing w:after="0" w:line="240" w:lineRule="auto"/>
              <w:rPr>
                <w:rFonts w:cs="Arial"/>
                <w:b/>
                <w:bCs/>
                <w:lang w:eastAsia="en-GB"/>
              </w:rPr>
            </w:pPr>
            <w:r w:rsidRPr="0046221F">
              <w:rPr>
                <w:rFonts w:cs="Arial"/>
                <w:b/>
                <w:bCs/>
                <w:lang w:eastAsia="en-GB"/>
              </w:rPr>
              <w:t>To reduce towards zero the number of inpatient deaths from suicide by 2012</w:t>
            </w:r>
          </w:p>
          <w:p w:rsidR="0058221A" w:rsidRDefault="0058221A" w:rsidP="003E2064">
            <w:pPr>
              <w:spacing w:after="0" w:line="240" w:lineRule="auto"/>
              <w:rPr>
                <w:rFonts w:cs="Arial"/>
                <w:b/>
                <w:bCs/>
                <w:lang w:eastAsia="en-GB"/>
              </w:rPr>
            </w:pPr>
          </w:p>
          <w:p w:rsidR="0058221A" w:rsidRDefault="00A92802" w:rsidP="00A92802">
            <w:pPr>
              <w:spacing w:after="0" w:line="240" w:lineRule="auto"/>
              <w:jc w:val="center"/>
              <w:rPr>
                <w:rFonts w:cs="Arial"/>
                <w:b/>
                <w:bCs/>
                <w:lang w:eastAsia="en-GB"/>
              </w:rPr>
            </w:pPr>
            <w:r w:rsidRPr="00A92802">
              <w:rPr>
                <w:rFonts w:cs="Arial"/>
                <w:b/>
                <w:bCs/>
                <w:noProof/>
                <w:lang w:eastAsia="en-GB"/>
              </w:rPr>
              <w:drawing>
                <wp:inline distT="0" distB="0" distL="0" distR="0">
                  <wp:extent cx="4352925" cy="2847975"/>
                  <wp:effectExtent l="19050" t="0" r="9525"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40B4" w:rsidRDefault="004F40B4" w:rsidP="00A92802">
            <w:pPr>
              <w:spacing w:after="0" w:line="240" w:lineRule="auto"/>
              <w:ind w:left="743"/>
              <w:rPr>
                <w:rFonts w:cs="Arial"/>
                <w:b/>
                <w:bCs/>
                <w:lang w:eastAsia="en-GB"/>
              </w:rPr>
            </w:pPr>
          </w:p>
          <w:p w:rsidR="00A21FD8" w:rsidRPr="004F40B4" w:rsidRDefault="00A21FD8" w:rsidP="00A92802">
            <w:pPr>
              <w:spacing w:after="0" w:line="240" w:lineRule="auto"/>
              <w:ind w:left="743"/>
              <w:rPr>
                <w:rFonts w:cs="Arial"/>
                <w:bCs/>
                <w:lang w:eastAsia="en-GB"/>
              </w:rPr>
            </w:pPr>
            <w:r w:rsidRPr="004F40B4">
              <w:rPr>
                <w:rFonts w:cs="Arial"/>
                <w:bCs/>
                <w:lang w:eastAsia="en-GB"/>
              </w:rPr>
              <w:t xml:space="preserve">Note: </w:t>
            </w:r>
            <w:r w:rsidR="00A92802" w:rsidRPr="004F40B4">
              <w:rPr>
                <w:rFonts w:cs="Arial"/>
                <w:bCs/>
                <w:lang w:eastAsia="en-GB"/>
              </w:rPr>
              <w:t>2011/12 show zero suicides in the 1</w:t>
            </w:r>
            <w:r w:rsidR="00A92802" w:rsidRPr="004F40B4">
              <w:rPr>
                <w:rFonts w:cs="Arial"/>
                <w:bCs/>
                <w:vertAlign w:val="superscript"/>
                <w:lang w:eastAsia="en-GB"/>
              </w:rPr>
              <w:t>st</w:t>
            </w:r>
            <w:r w:rsidR="00A92802" w:rsidRPr="004F40B4">
              <w:rPr>
                <w:rFonts w:cs="Arial"/>
                <w:bCs/>
                <w:lang w:eastAsia="en-GB"/>
              </w:rPr>
              <w:t xml:space="preserve"> </w:t>
            </w:r>
            <w:r w:rsidR="003B3EC7" w:rsidRPr="004F40B4">
              <w:rPr>
                <w:rFonts w:cs="Arial"/>
                <w:bCs/>
                <w:lang w:eastAsia="en-GB"/>
              </w:rPr>
              <w:t>&amp; 2</w:t>
            </w:r>
            <w:r w:rsidR="003B3EC7" w:rsidRPr="004F40B4">
              <w:rPr>
                <w:rFonts w:cs="Arial"/>
                <w:bCs/>
                <w:vertAlign w:val="superscript"/>
                <w:lang w:eastAsia="en-GB"/>
              </w:rPr>
              <w:t>nd</w:t>
            </w:r>
            <w:r w:rsidR="003B3EC7" w:rsidRPr="004F40B4">
              <w:rPr>
                <w:rFonts w:cs="Arial"/>
                <w:bCs/>
                <w:lang w:eastAsia="en-GB"/>
              </w:rPr>
              <w:t xml:space="preserve"> </w:t>
            </w:r>
            <w:r w:rsidR="00A92802" w:rsidRPr="004F40B4">
              <w:rPr>
                <w:rFonts w:cs="Arial"/>
                <w:bCs/>
                <w:lang w:eastAsia="en-GB"/>
              </w:rPr>
              <w:t>quarter</w:t>
            </w:r>
          </w:p>
          <w:p w:rsidR="0058221A" w:rsidRPr="00637A68" w:rsidRDefault="0058221A" w:rsidP="003E2064">
            <w:pPr>
              <w:spacing w:after="0" w:line="240" w:lineRule="auto"/>
              <w:rPr>
                <w:rFonts w:cs="Arial"/>
                <w:b/>
                <w:bCs/>
                <w:lang w:eastAsia="en-GB"/>
              </w:rPr>
            </w:pPr>
          </w:p>
        </w:tc>
      </w:tr>
      <w:tr w:rsidR="0058221A" w:rsidRPr="00677B2B" w:rsidTr="00AE7AB3">
        <w:trPr>
          <w:trHeight w:val="600"/>
        </w:trPr>
        <w:tc>
          <w:tcPr>
            <w:tcW w:w="10065" w:type="dxa"/>
            <w:shd w:val="clear" w:color="000000" w:fill="C0C0C0"/>
            <w:vAlign w:val="center"/>
          </w:tcPr>
          <w:p w:rsidR="0058221A" w:rsidRDefault="0058221A" w:rsidP="003E2064">
            <w:pPr>
              <w:pStyle w:val="ListParagraph"/>
              <w:numPr>
                <w:ilvl w:val="0"/>
                <w:numId w:val="2"/>
              </w:numPr>
              <w:spacing w:after="0" w:line="240" w:lineRule="auto"/>
              <w:rPr>
                <w:rFonts w:cs="Arial"/>
                <w:b/>
                <w:bCs/>
                <w:lang w:eastAsia="en-GB"/>
              </w:rPr>
            </w:pPr>
            <w:r w:rsidRPr="004746F4">
              <w:rPr>
                <w:rFonts w:cs="Arial"/>
                <w:b/>
                <w:bCs/>
                <w:lang w:eastAsia="en-GB"/>
              </w:rPr>
              <w:t>To reduce towards zero preventable community suicides by 2014</w:t>
            </w:r>
            <w:r w:rsidR="001909CF" w:rsidRPr="004746F4">
              <w:rPr>
                <w:rFonts w:cs="Arial"/>
                <w:b/>
                <w:bCs/>
                <w:lang w:eastAsia="en-GB"/>
              </w:rPr>
              <w:t xml:space="preserve"> </w:t>
            </w:r>
          </w:p>
          <w:p w:rsidR="004746F4" w:rsidRPr="004746F4" w:rsidRDefault="004746F4" w:rsidP="005372D6">
            <w:pPr>
              <w:pStyle w:val="ListParagraph"/>
              <w:spacing w:after="0" w:line="240" w:lineRule="auto"/>
              <w:rPr>
                <w:rFonts w:cs="Arial"/>
                <w:b/>
                <w:bCs/>
                <w:lang w:eastAsia="en-GB"/>
              </w:rPr>
            </w:pPr>
          </w:p>
          <w:p w:rsidR="0058221A" w:rsidRDefault="001909CF" w:rsidP="00A92802">
            <w:pPr>
              <w:spacing w:after="0" w:line="240" w:lineRule="auto"/>
              <w:jc w:val="center"/>
              <w:rPr>
                <w:rFonts w:cs="Arial"/>
                <w:b/>
                <w:bCs/>
                <w:lang w:eastAsia="en-GB"/>
              </w:rPr>
            </w:pPr>
            <w:r w:rsidRPr="001909CF">
              <w:rPr>
                <w:rFonts w:cs="Arial"/>
                <w:b/>
                <w:bCs/>
                <w:noProof/>
                <w:lang w:eastAsia="en-GB"/>
              </w:rPr>
              <w:drawing>
                <wp:inline distT="0" distB="0" distL="0" distR="0">
                  <wp:extent cx="4772025" cy="2847975"/>
                  <wp:effectExtent l="1905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40B4" w:rsidRDefault="004F40B4" w:rsidP="004F40B4">
            <w:pPr>
              <w:spacing w:after="0" w:line="240" w:lineRule="auto"/>
              <w:rPr>
                <w:rFonts w:cs="Arial"/>
                <w:b/>
                <w:bCs/>
                <w:lang w:eastAsia="en-GB"/>
              </w:rPr>
            </w:pPr>
          </w:p>
          <w:p w:rsidR="0058221A" w:rsidRDefault="00CE5377" w:rsidP="00CE5377">
            <w:pPr>
              <w:spacing w:after="0" w:line="240" w:lineRule="auto"/>
              <w:ind w:left="743"/>
              <w:rPr>
                <w:rFonts w:cs="Arial"/>
                <w:bCs/>
                <w:lang w:eastAsia="en-GB"/>
              </w:rPr>
            </w:pPr>
            <w:r w:rsidRPr="004746F4">
              <w:rPr>
                <w:rFonts w:cs="Arial"/>
                <w:b/>
                <w:bCs/>
                <w:lang w:eastAsia="en-GB"/>
              </w:rPr>
              <w:t>Important note:</w:t>
            </w:r>
            <w:r w:rsidRPr="00CE5377">
              <w:rPr>
                <w:rFonts w:cs="Arial"/>
                <w:bCs/>
                <w:lang w:eastAsia="en-GB"/>
              </w:rPr>
              <w:t xml:space="preserve"> These figures are unverified and </w:t>
            </w:r>
            <w:r w:rsidR="005046E3">
              <w:rPr>
                <w:rFonts w:cs="Arial"/>
                <w:bCs/>
                <w:lang w:eastAsia="en-GB"/>
              </w:rPr>
              <w:t>may</w:t>
            </w:r>
            <w:r w:rsidRPr="00CE5377">
              <w:rPr>
                <w:rFonts w:cs="Arial"/>
                <w:bCs/>
                <w:lang w:eastAsia="en-GB"/>
              </w:rPr>
              <w:t xml:space="preserve"> be </w:t>
            </w:r>
            <w:r>
              <w:rPr>
                <w:rFonts w:cs="Arial"/>
                <w:bCs/>
                <w:lang w:eastAsia="en-GB"/>
              </w:rPr>
              <w:t>subject to change.  However, the general trend is believed to be accurate.</w:t>
            </w:r>
          </w:p>
          <w:p w:rsidR="00CE5377" w:rsidRDefault="00CE5377" w:rsidP="00CE5377">
            <w:pPr>
              <w:spacing w:after="0" w:line="240" w:lineRule="auto"/>
              <w:ind w:left="743"/>
              <w:rPr>
                <w:rFonts w:cs="Arial"/>
                <w:bCs/>
                <w:lang w:eastAsia="en-GB"/>
              </w:rPr>
            </w:pPr>
          </w:p>
          <w:p w:rsidR="00CE5377" w:rsidRPr="00CE5377" w:rsidRDefault="00CE5377" w:rsidP="00CE5377">
            <w:pPr>
              <w:spacing w:after="0" w:line="240" w:lineRule="auto"/>
              <w:ind w:left="743"/>
              <w:rPr>
                <w:rFonts w:cs="Arial"/>
                <w:bCs/>
                <w:lang w:eastAsia="en-GB"/>
              </w:rPr>
            </w:pPr>
          </w:p>
          <w:p w:rsidR="004F40B4" w:rsidRPr="00CE5377" w:rsidRDefault="004F40B4" w:rsidP="001909CF">
            <w:pPr>
              <w:spacing w:after="0" w:line="240" w:lineRule="auto"/>
              <w:rPr>
                <w:rFonts w:cs="Arial"/>
                <w:bCs/>
                <w:lang w:eastAsia="en-GB"/>
              </w:rPr>
            </w:pPr>
          </w:p>
          <w:p w:rsidR="004F40B4" w:rsidRPr="00637A68" w:rsidRDefault="004F40B4" w:rsidP="001909CF">
            <w:pPr>
              <w:spacing w:after="0" w:line="240" w:lineRule="auto"/>
              <w:rPr>
                <w:rFonts w:cs="Arial"/>
                <w:b/>
                <w:bCs/>
                <w:lang w:eastAsia="en-GB"/>
              </w:rPr>
            </w:pPr>
          </w:p>
        </w:tc>
      </w:tr>
      <w:tr w:rsidR="0058221A" w:rsidRPr="00677B2B" w:rsidTr="006A40E4">
        <w:trPr>
          <w:trHeight w:val="600"/>
        </w:trPr>
        <w:tc>
          <w:tcPr>
            <w:tcW w:w="10065" w:type="dxa"/>
            <w:tcBorders>
              <w:bottom w:val="single" w:sz="4" w:space="0" w:color="auto"/>
            </w:tcBorders>
            <w:shd w:val="clear" w:color="000000" w:fill="C0C0C0"/>
            <w:vAlign w:val="center"/>
          </w:tcPr>
          <w:p w:rsidR="0058221A" w:rsidRPr="00F828C8" w:rsidRDefault="0058221A" w:rsidP="003E2064">
            <w:pPr>
              <w:pStyle w:val="ListParagraph"/>
              <w:numPr>
                <w:ilvl w:val="0"/>
                <w:numId w:val="2"/>
              </w:numPr>
              <w:spacing w:after="0" w:line="240" w:lineRule="auto"/>
              <w:rPr>
                <w:rFonts w:cs="Arial"/>
                <w:b/>
                <w:bCs/>
                <w:lang w:eastAsia="en-GB"/>
              </w:rPr>
            </w:pPr>
            <w:r w:rsidRPr="00F828C8">
              <w:rPr>
                <w:rFonts w:cs="Arial"/>
                <w:b/>
                <w:bCs/>
                <w:lang w:eastAsia="en-GB"/>
              </w:rPr>
              <w:lastRenderedPageBreak/>
              <w:t>Increase reporting of no or minimal harm incidents by 50% by March 2012</w:t>
            </w:r>
          </w:p>
          <w:p w:rsidR="0058221A" w:rsidRDefault="0058221A" w:rsidP="003E2064">
            <w:pPr>
              <w:spacing w:after="0" w:line="240" w:lineRule="auto"/>
              <w:rPr>
                <w:rFonts w:cs="Arial"/>
                <w:b/>
                <w:bCs/>
                <w:lang w:eastAsia="en-GB"/>
              </w:rPr>
            </w:pPr>
          </w:p>
          <w:p w:rsidR="006A40E4" w:rsidRDefault="00B10886" w:rsidP="00F828C8">
            <w:pPr>
              <w:spacing w:after="0" w:line="240" w:lineRule="auto"/>
              <w:jc w:val="center"/>
              <w:rPr>
                <w:rFonts w:cs="Arial"/>
                <w:b/>
                <w:bCs/>
                <w:lang w:eastAsia="en-GB"/>
              </w:rPr>
            </w:pPr>
            <w:r w:rsidRPr="00B10886">
              <w:rPr>
                <w:rFonts w:cs="Arial"/>
                <w:b/>
                <w:bCs/>
                <w:noProof/>
                <w:lang w:eastAsia="en-GB"/>
              </w:rPr>
              <w:drawing>
                <wp:inline distT="0" distB="0" distL="0" distR="0">
                  <wp:extent cx="5400675" cy="2743200"/>
                  <wp:effectExtent l="19050" t="0" r="9525"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5377" w:rsidRDefault="00CE5377" w:rsidP="004F40B4">
            <w:pPr>
              <w:spacing w:after="0" w:line="240" w:lineRule="auto"/>
              <w:ind w:left="743"/>
              <w:rPr>
                <w:rFonts w:cs="Arial"/>
                <w:bCs/>
                <w:lang w:eastAsia="en-GB"/>
              </w:rPr>
            </w:pPr>
          </w:p>
          <w:p w:rsidR="00CE5377" w:rsidRDefault="00CE5377" w:rsidP="00CE5377">
            <w:pPr>
              <w:spacing w:after="0" w:line="240" w:lineRule="auto"/>
              <w:ind w:left="743"/>
              <w:rPr>
                <w:rFonts w:cs="Arial"/>
                <w:bCs/>
                <w:lang w:eastAsia="en-GB"/>
              </w:rPr>
            </w:pPr>
            <w:r>
              <w:rPr>
                <w:rFonts w:cs="Arial"/>
                <w:bCs/>
                <w:lang w:eastAsia="en-GB"/>
              </w:rPr>
              <w:t>In the second quarter, there was</w:t>
            </w:r>
            <w:r w:rsidR="00F828C8" w:rsidRPr="004F40B4">
              <w:rPr>
                <w:rFonts w:cs="Arial"/>
                <w:bCs/>
                <w:lang w:eastAsia="en-GB"/>
              </w:rPr>
              <w:t xml:space="preserve"> </w:t>
            </w:r>
            <w:r w:rsidR="004F40B4" w:rsidRPr="004F40B4">
              <w:rPr>
                <w:rFonts w:cs="Arial"/>
                <w:bCs/>
                <w:lang w:eastAsia="en-GB"/>
              </w:rPr>
              <w:t xml:space="preserve">a 1.4% increase in the number of no or minimal harm incidents (green and yellow) </w:t>
            </w:r>
            <w:r w:rsidR="004F40B4">
              <w:rPr>
                <w:rFonts w:cs="Arial"/>
                <w:bCs/>
                <w:lang w:eastAsia="en-GB"/>
              </w:rPr>
              <w:t>reported in the previous year, compared with the first quarter.</w:t>
            </w:r>
            <w:r>
              <w:rPr>
                <w:rFonts w:cs="Arial"/>
                <w:bCs/>
                <w:lang w:eastAsia="en-GB"/>
              </w:rPr>
              <w:t xml:space="preserve">  </w:t>
            </w:r>
          </w:p>
          <w:p w:rsidR="00CE5377" w:rsidRDefault="00CE5377" w:rsidP="00CE5377">
            <w:pPr>
              <w:spacing w:after="0" w:line="240" w:lineRule="auto"/>
              <w:ind w:left="743"/>
              <w:rPr>
                <w:rFonts w:cs="Arial"/>
                <w:bCs/>
                <w:lang w:eastAsia="en-GB"/>
              </w:rPr>
            </w:pPr>
          </w:p>
          <w:p w:rsidR="00F828C8" w:rsidRDefault="00CE5377" w:rsidP="00CE5377">
            <w:pPr>
              <w:spacing w:after="0" w:line="240" w:lineRule="auto"/>
              <w:ind w:left="743"/>
              <w:rPr>
                <w:rFonts w:cs="Arial"/>
                <w:bCs/>
                <w:lang w:eastAsia="en-GB"/>
              </w:rPr>
            </w:pPr>
            <w:r>
              <w:rPr>
                <w:rFonts w:cs="Arial"/>
                <w:bCs/>
                <w:lang w:eastAsia="en-GB"/>
              </w:rPr>
              <w:t>There was also a 7.2% increase on the equivalent period (2010 Q2) last year.</w:t>
            </w:r>
          </w:p>
          <w:p w:rsidR="00CE5377" w:rsidRPr="004F40B4" w:rsidRDefault="00CE5377" w:rsidP="00CE5377">
            <w:pPr>
              <w:spacing w:after="0" w:line="240" w:lineRule="auto"/>
              <w:ind w:left="743"/>
              <w:rPr>
                <w:rFonts w:cs="Arial"/>
                <w:bCs/>
                <w:lang w:eastAsia="en-GB"/>
              </w:rPr>
            </w:pPr>
          </w:p>
        </w:tc>
      </w:tr>
    </w:tbl>
    <w:p w:rsidR="0058221A" w:rsidRDefault="0058221A">
      <w:r>
        <w:br w:type="page"/>
      </w:r>
    </w:p>
    <w:tbl>
      <w:tblPr>
        <w:tblW w:w="10065" w:type="dxa"/>
        <w:tblInd w:w="-176" w:type="dxa"/>
        <w:tblBorders>
          <w:left w:val="single" w:sz="4" w:space="0" w:color="auto"/>
          <w:bottom w:val="single" w:sz="4" w:space="0" w:color="auto"/>
          <w:right w:val="single" w:sz="4" w:space="0" w:color="auto"/>
        </w:tblBorders>
        <w:tblLayout w:type="fixed"/>
        <w:tblLook w:val="00A0"/>
      </w:tblPr>
      <w:tblGrid>
        <w:gridCol w:w="4679"/>
        <w:gridCol w:w="4961"/>
        <w:gridCol w:w="425"/>
      </w:tblGrid>
      <w:tr w:rsidR="0058221A" w:rsidRPr="00677B2B" w:rsidTr="008B3D69">
        <w:trPr>
          <w:trHeight w:val="600"/>
        </w:trPr>
        <w:tc>
          <w:tcPr>
            <w:tcW w:w="4679" w:type="dxa"/>
            <w:tcBorders>
              <w:top w:val="single" w:sz="4" w:space="0" w:color="auto"/>
              <w:bottom w:val="single" w:sz="4" w:space="0" w:color="auto"/>
            </w:tcBorders>
            <w:shd w:val="clear" w:color="auto" w:fill="BFBFBF"/>
            <w:noWrap/>
            <w:vAlign w:val="center"/>
          </w:tcPr>
          <w:p w:rsidR="0058221A" w:rsidRPr="00637A68" w:rsidRDefault="0058221A" w:rsidP="003E2064">
            <w:pPr>
              <w:spacing w:after="0" w:line="240" w:lineRule="auto"/>
              <w:rPr>
                <w:rFonts w:ascii="Arial" w:hAnsi="Arial" w:cs="Arial"/>
                <w:b/>
                <w:bCs/>
                <w:sz w:val="24"/>
                <w:szCs w:val="24"/>
                <w:lang w:eastAsia="en-GB"/>
              </w:rPr>
            </w:pPr>
            <w:r w:rsidRPr="00637A68">
              <w:rPr>
                <w:rFonts w:ascii="Arial" w:hAnsi="Arial" w:cs="Arial"/>
                <w:b/>
                <w:bCs/>
                <w:sz w:val="24"/>
                <w:szCs w:val="24"/>
                <w:lang w:eastAsia="en-GB"/>
              </w:rPr>
              <w:lastRenderedPageBreak/>
              <w:t xml:space="preserve">Actions </w:t>
            </w:r>
          </w:p>
        </w:tc>
        <w:tc>
          <w:tcPr>
            <w:tcW w:w="4961" w:type="dxa"/>
            <w:tcBorders>
              <w:top w:val="single" w:sz="4" w:space="0" w:color="auto"/>
              <w:bottom w:val="single" w:sz="4" w:space="0" w:color="auto"/>
            </w:tcBorders>
            <w:shd w:val="clear" w:color="auto" w:fill="BFBFBF"/>
            <w:noWrap/>
            <w:vAlign w:val="center"/>
          </w:tcPr>
          <w:p w:rsidR="0058221A" w:rsidRPr="00637A68" w:rsidRDefault="0058221A" w:rsidP="003E2064">
            <w:pPr>
              <w:spacing w:after="0" w:line="240" w:lineRule="auto"/>
              <w:rPr>
                <w:rFonts w:ascii="Arial" w:hAnsi="Arial" w:cs="Arial"/>
                <w:b/>
                <w:bCs/>
                <w:sz w:val="24"/>
                <w:szCs w:val="24"/>
                <w:lang w:eastAsia="en-GB"/>
              </w:rPr>
            </w:pPr>
            <w:r w:rsidRPr="00637A68">
              <w:rPr>
                <w:rFonts w:ascii="Arial" w:hAnsi="Arial" w:cs="Arial"/>
                <w:b/>
                <w:bCs/>
                <w:sz w:val="24"/>
                <w:szCs w:val="24"/>
                <w:lang w:eastAsia="en-GB"/>
              </w:rPr>
              <w:t>Present Situation</w:t>
            </w:r>
          </w:p>
        </w:tc>
        <w:tc>
          <w:tcPr>
            <w:tcW w:w="425" w:type="dxa"/>
            <w:tcBorders>
              <w:top w:val="single" w:sz="4" w:space="0" w:color="auto"/>
              <w:bottom w:val="nil"/>
            </w:tcBorders>
            <w:shd w:val="clear" w:color="auto" w:fill="BFBFBF"/>
          </w:tcPr>
          <w:p w:rsidR="0058221A" w:rsidRPr="00637A68" w:rsidRDefault="0058221A" w:rsidP="003E2064">
            <w:pPr>
              <w:spacing w:after="0" w:line="240" w:lineRule="auto"/>
              <w:rPr>
                <w:rFonts w:ascii="Arial" w:hAnsi="Arial" w:cs="Arial"/>
                <w:b/>
                <w:bCs/>
                <w:sz w:val="24"/>
                <w:szCs w:val="24"/>
                <w:lang w:eastAsia="en-GB"/>
              </w:rPr>
            </w:pPr>
          </w:p>
        </w:tc>
      </w:tr>
      <w:tr w:rsidR="0058221A" w:rsidRPr="00677B2B" w:rsidTr="008B3D69">
        <w:trPr>
          <w:trHeight w:val="900"/>
        </w:trPr>
        <w:tc>
          <w:tcPr>
            <w:tcW w:w="4679" w:type="dxa"/>
            <w:tcBorders>
              <w:top w:val="single" w:sz="4" w:space="0" w:color="auto"/>
            </w:tcBorders>
          </w:tcPr>
          <w:p w:rsidR="0058221A" w:rsidRPr="00637A68" w:rsidRDefault="0058221A" w:rsidP="003F626B">
            <w:pPr>
              <w:spacing w:after="0" w:line="240" w:lineRule="auto"/>
              <w:rPr>
                <w:rFonts w:cs="Arial"/>
                <w:sz w:val="20"/>
                <w:szCs w:val="20"/>
                <w:lang w:eastAsia="en-GB"/>
              </w:rPr>
            </w:pPr>
            <w:r w:rsidRPr="00637A68">
              <w:rPr>
                <w:rFonts w:cs="Arial"/>
                <w:sz w:val="20"/>
                <w:szCs w:val="20"/>
                <w:lang w:eastAsia="en-GB"/>
              </w:rPr>
              <w:t>Increase the number of staff who have completed the Trust’s clinical risk assessment training from 79% to a minimum of 85% by August 2011</w:t>
            </w:r>
          </w:p>
        </w:tc>
        <w:tc>
          <w:tcPr>
            <w:tcW w:w="4961" w:type="dxa"/>
            <w:tcBorders>
              <w:top w:val="single" w:sz="4" w:space="0" w:color="auto"/>
            </w:tcBorders>
          </w:tcPr>
          <w:p w:rsidR="003F626B" w:rsidRPr="008B3D69" w:rsidRDefault="0058221A" w:rsidP="008B3D69">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 xml:space="preserve">At end of </w:t>
            </w:r>
            <w:r w:rsidR="00A97D28" w:rsidRPr="00451F19">
              <w:rPr>
                <w:rFonts w:cs="Arial"/>
                <w:sz w:val="20"/>
                <w:szCs w:val="20"/>
                <w:lang w:eastAsia="en-GB"/>
              </w:rPr>
              <w:t>q</w:t>
            </w:r>
            <w:r w:rsidR="008B3D69">
              <w:rPr>
                <w:rFonts w:cs="Arial"/>
                <w:sz w:val="20"/>
                <w:szCs w:val="20"/>
                <w:lang w:eastAsia="en-GB"/>
              </w:rPr>
              <w:t>uarter 2 82.5%</w:t>
            </w:r>
            <w:r w:rsidRPr="00451F19">
              <w:rPr>
                <w:rFonts w:cs="Arial"/>
                <w:sz w:val="20"/>
                <w:szCs w:val="20"/>
                <w:lang w:eastAsia="en-GB"/>
              </w:rPr>
              <w:t xml:space="preserve"> of staff had undertaken clinical risk assessment training</w:t>
            </w:r>
            <w:r w:rsidR="008B3D69">
              <w:rPr>
                <w:rFonts w:cs="Arial"/>
                <w:sz w:val="20"/>
                <w:szCs w:val="20"/>
                <w:lang w:eastAsia="en-GB"/>
              </w:rPr>
              <w:t xml:space="preserve"> (</w:t>
            </w:r>
            <w:r w:rsidR="008B3D69" w:rsidRPr="00451F19">
              <w:rPr>
                <w:rFonts w:cs="Arial"/>
                <w:sz w:val="20"/>
                <w:szCs w:val="20"/>
                <w:lang w:eastAsia="en-GB"/>
              </w:rPr>
              <w:t>81%</w:t>
            </w:r>
            <w:r w:rsidR="008B3D69">
              <w:rPr>
                <w:rFonts w:cs="Arial"/>
                <w:sz w:val="20"/>
                <w:szCs w:val="20"/>
                <w:lang w:eastAsia="en-GB"/>
              </w:rPr>
              <w:t xml:space="preserve"> in Q1)</w:t>
            </w:r>
            <w:r w:rsidRPr="00451F19">
              <w:rPr>
                <w:rFonts w:cs="Arial"/>
                <w:sz w:val="20"/>
                <w:szCs w:val="20"/>
                <w:lang w:eastAsia="en-GB"/>
              </w:rPr>
              <w:t>.</w:t>
            </w:r>
          </w:p>
        </w:tc>
        <w:tc>
          <w:tcPr>
            <w:tcW w:w="425" w:type="dxa"/>
            <w:tcBorders>
              <w:top w:val="nil"/>
              <w:bottom w:val="nil"/>
            </w:tcBorders>
            <w:shd w:val="clear" w:color="auto" w:fill="FFC000"/>
          </w:tcPr>
          <w:p w:rsidR="0058221A" w:rsidRPr="00D936C8" w:rsidRDefault="0058221A" w:rsidP="00D936C8">
            <w:pPr>
              <w:spacing w:after="0" w:line="240" w:lineRule="auto"/>
              <w:ind w:left="175"/>
              <w:rPr>
                <w:rFonts w:cs="Arial"/>
                <w:color w:val="FFC000"/>
                <w:sz w:val="20"/>
                <w:szCs w:val="20"/>
                <w:lang w:eastAsia="en-GB"/>
              </w:rPr>
            </w:pPr>
          </w:p>
        </w:tc>
      </w:tr>
      <w:tr w:rsidR="00E13A7D" w:rsidRPr="00677B2B" w:rsidTr="00D936C8">
        <w:trPr>
          <w:trHeight w:val="690"/>
        </w:trPr>
        <w:tc>
          <w:tcPr>
            <w:tcW w:w="4679" w:type="dxa"/>
            <w:vMerge w:val="restart"/>
          </w:tcPr>
          <w:p w:rsidR="00E13A7D" w:rsidRPr="00637A68" w:rsidRDefault="00E13A7D" w:rsidP="00187092">
            <w:pPr>
              <w:spacing w:after="0" w:line="240" w:lineRule="auto"/>
              <w:rPr>
                <w:rFonts w:cs="Arial"/>
                <w:sz w:val="20"/>
                <w:szCs w:val="20"/>
                <w:lang w:eastAsia="en-GB"/>
              </w:rPr>
            </w:pPr>
            <w:r w:rsidRPr="00637A68">
              <w:rPr>
                <w:rFonts w:cs="Arial"/>
                <w:sz w:val="20"/>
                <w:szCs w:val="20"/>
                <w:lang w:eastAsia="en-GB"/>
              </w:rPr>
              <w:t>Senior Managers and clinicians to receive training in the LIPS programme</w:t>
            </w:r>
          </w:p>
        </w:tc>
        <w:tc>
          <w:tcPr>
            <w:tcW w:w="4961" w:type="dxa"/>
            <w:noWrap/>
          </w:tcPr>
          <w:p w:rsidR="00E13A7D" w:rsidRPr="00451F19" w:rsidRDefault="00E13A7D" w:rsidP="00197B71">
            <w:pPr>
              <w:pStyle w:val="ListParagraph"/>
              <w:numPr>
                <w:ilvl w:val="0"/>
                <w:numId w:val="1"/>
              </w:numPr>
              <w:spacing w:after="0" w:line="240" w:lineRule="auto"/>
              <w:ind w:left="459" w:hanging="284"/>
              <w:rPr>
                <w:rFonts w:cs="Arial"/>
                <w:color w:val="000000" w:themeColor="text1"/>
                <w:sz w:val="20"/>
                <w:szCs w:val="20"/>
                <w:lang w:eastAsia="en-GB"/>
              </w:rPr>
            </w:pPr>
            <w:r w:rsidRPr="00451F19">
              <w:rPr>
                <w:rFonts w:cs="Arial"/>
                <w:color w:val="000000" w:themeColor="text1"/>
                <w:sz w:val="20"/>
                <w:szCs w:val="20"/>
                <w:lang w:eastAsia="en-GB"/>
              </w:rPr>
              <w:t>Training in LIPS has now concluded with a final day of presentations on 6th October.</w:t>
            </w:r>
          </w:p>
        </w:tc>
        <w:tc>
          <w:tcPr>
            <w:tcW w:w="425" w:type="dxa"/>
            <w:tcBorders>
              <w:top w:val="nil"/>
              <w:bottom w:val="nil"/>
            </w:tcBorders>
            <w:shd w:val="clear" w:color="auto" w:fill="00B050"/>
          </w:tcPr>
          <w:p w:rsidR="00E13A7D" w:rsidRPr="00D936C8" w:rsidRDefault="00E13A7D" w:rsidP="00D936C8">
            <w:pPr>
              <w:spacing w:after="0" w:line="240" w:lineRule="auto"/>
              <w:ind w:left="175"/>
              <w:rPr>
                <w:rFonts w:cs="Arial"/>
                <w:color w:val="00B050"/>
                <w:sz w:val="20"/>
                <w:szCs w:val="20"/>
                <w:lang w:eastAsia="en-GB"/>
              </w:rPr>
            </w:pPr>
          </w:p>
        </w:tc>
      </w:tr>
      <w:tr w:rsidR="00E13A7D" w:rsidRPr="00677B2B" w:rsidTr="00D936C8">
        <w:trPr>
          <w:trHeight w:val="690"/>
        </w:trPr>
        <w:tc>
          <w:tcPr>
            <w:tcW w:w="4679" w:type="dxa"/>
            <w:vMerge/>
          </w:tcPr>
          <w:p w:rsidR="00E13A7D" w:rsidRPr="00637A68" w:rsidRDefault="00E13A7D" w:rsidP="00187092">
            <w:pPr>
              <w:spacing w:after="0" w:line="240" w:lineRule="auto"/>
              <w:rPr>
                <w:rFonts w:cs="Arial"/>
                <w:sz w:val="20"/>
                <w:szCs w:val="20"/>
                <w:lang w:eastAsia="en-GB"/>
              </w:rPr>
            </w:pPr>
          </w:p>
        </w:tc>
        <w:tc>
          <w:tcPr>
            <w:tcW w:w="4961" w:type="dxa"/>
            <w:noWrap/>
          </w:tcPr>
          <w:p w:rsidR="00E13A7D" w:rsidRPr="00451F19" w:rsidRDefault="00E13A7D" w:rsidP="00197B71">
            <w:pPr>
              <w:pStyle w:val="ListParagraph"/>
              <w:numPr>
                <w:ilvl w:val="0"/>
                <w:numId w:val="1"/>
              </w:numPr>
              <w:spacing w:after="0" w:line="240" w:lineRule="auto"/>
              <w:ind w:left="459" w:hanging="284"/>
              <w:rPr>
                <w:rFonts w:cs="Arial"/>
                <w:color w:val="000000" w:themeColor="text1"/>
                <w:sz w:val="20"/>
                <w:szCs w:val="20"/>
                <w:lang w:eastAsia="en-GB"/>
              </w:rPr>
            </w:pPr>
            <w:r w:rsidRPr="00451F19">
              <w:rPr>
                <w:rFonts w:cs="Arial"/>
                <w:color w:val="000000" w:themeColor="text1"/>
                <w:sz w:val="20"/>
                <w:szCs w:val="20"/>
                <w:lang w:eastAsia="en-GB"/>
              </w:rPr>
              <w:t xml:space="preserve">We have approached the LIPS team at the Institute with a proposal that a course is put on locally, specifically for Oxford Health.  This remains under discussion.  </w:t>
            </w:r>
          </w:p>
        </w:tc>
        <w:tc>
          <w:tcPr>
            <w:tcW w:w="425" w:type="dxa"/>
            <w:tcBorders>
              <w:bottom w:val="nil"/>
            </w:tcBorders>
            <w:shd w:val="clear" w:color="auto" w:fill="FFC000"/>
          </w:tcPr>
          <w:p w:rsidR="00E13A7D" w:rsidRPr="00D936C8" w:rsidRDefault="00E13A7D" w:rsidP="00D936C8">
            <w:pPr>
              <w:spacing w:after="0" w:line="240" w:lineRule="auto"/>
              <w:ind w:left="175"/>
              <w:rPr>
                <w:rFonts w:cs="Arial"/>
                <w:color w:val="00B050"/>
                <w:sz w:val="20"/>
                <w:szCs w:val="20"/>
                <w:lang w:eastAsia="en-GB"/>
              </w:rPr>
            </w:pPr>
          </w:p>
        </w:tc>
      </w:tr>
      <w:tr w:rsidR="00E13A7D" w:rsidRPr="00677B2B" w:rsidTr="00D936C8">
        <w:trPr>
          <w:trHeight w:val="690"/>
        </w:trPr>
        <w:tc>
          <w:tcPr>
            <w:tcW w:w="4679" w:type="dxa"/>
            <w:vMerge/>
          </w:tcPr>
          <w:p w:rsidR="00E13A7D" w:rsidRPr="00637A68" w:rsidRDefault="00E13A7D" w:rsidP="00187092">
            <w:pPr>
              <w:spacing w:after="0" w:line="240" w:lineRule="auto"/>
              <w:rPr>
                <w:rFonts w:cs="Arial"/>
                <w:sz w:val="20"/>
                <w:szCs w:val="20"/>
                <w:lang w:eastAsia="en-GB"/>
              </w:rPr>
            </w:pPr>
          </w:p>
        </w:tc>
        <w:tc>
          <w:tcPr>
            <w:tcW w:w="4961" w:type="dxa"/>
            <w:noWrap/>
          </w:tcPr>
          <w:p w:rsidR="00E13A7D" w:rsidRPr="00451F19" w:rsidRDefault="00E13A7D" w:rsidP="00197B71">
            <w:pPr>
              <w:pStyle w:val="ListParagraph"/>
              <w:numPr>
                <w:ilvl w:val="0"/>
                <w:numId w:val="1"/>
              </w:numPr>
              <w:spacing w:after="0" w:line="240" w:lineRule="auto"/>
              <w:ind w:left="459" w:hanging="284"/>
              <w:rPr>
                <w:rFonts w:cs="Arial"/>
                <w:color w:val="000000" w:themeColor="text1"/>
                <w:sz w:val="20"/>
                <w:szCs w:val="20"/>
                <w:lang w:eastAsia="en-GB"/>
              </w:rPr>
            </w:pPr>
            <w:r w:rsidRPr="00451F19">
              <w:rPr>
                <w:rFonts w:cs="Arial"/>
                <w:color w:val="000000" w:themeColor="text1"/>
                <w:sz w:val="20"/>
                <w:szCs w:val="20"/>
                <w:lang w:eastAsia="en-GB"/>
              </w:rPr>
              <w:t xml:space="preserve">Cost of LIPS training has been re-negotiated with the Institute for a small cohort.  Agreement for funding is awaited.  </w:t>
            </w:r>
          </w:p>
          <w:p w:rsidR="00E13A7D" w:rsidRPr="00451F19" w:rsidRDefault="00E13A7D" w:rsidP="00E13A7D">
            <w:pPr>
              <w:pStyle w:val="ListParagraph"/>
              <w:spacing w:after="0" w:line="240" w:lineRule="auto"/>
              <w:ind w:left="459"/>
              <w:rPr>
                <w:rFonts w:cs="Arial"/>
                <w:color w:val="000000" w:themeColor="text1"/>
                <w:sz w:val="20"/>
                <w:szCs w:val="20"/>
                <w:lang w:eastAsia="en-GB"/>
              </w:rPr>
            </w:pPr>
            <w:r w:rsidRPr="00451F19">
              <w:rPr>
                <w:rFonts w:cs="Arial"/>
                <w:color w:val="000000" w:themeColor="text1"/>
                <w:sz w:val="20"/>
                <w:szCs w:val="20"/>
                <w:lang w:eastAsia="en-GB"/>
              </w:rPr>
              <w:t>Note: bespoke training delivered locally is not currently available</w:t>
            </w:r>
          </w:p>
          <w:p w:rsidR="00451F19" w:rsidRPr="00451F19" w:rsidRDefault="00451F19" w:rsidP="00E13A7D">
            <w:pPr>
              <w:pStyle w:val="ListParagraph"/>
              <w:spacing w:after="0" w:line="240" w:lineRule="auto"/>
              <w:ind w:left="459"/>
              <w:rPr>
                <w:rFonts w:cs="Arial"/>
                <w:color w:val="000000" w:themeColor="text1"/>
                <w:sz w:val="20"/>
                <w:szCs w:val="20"/>
                <w:lang w:eastAsia="en-GB"/>
              </w:rPr>
            </w:pPr>
          </w:p>
        </w:tc>
        <w:tc>
          <w:tcPr>
            <w:tcW w:w="425" w:type="dxa"/>
            <w:tcBorders>
              <w:bottom w:val="nil"/>
            </w:tcBorders>
            <w:shd w:val="clear" w:color="auto" w:fill="FFC000"/>
          </w:tcPr>
          <w:p w:rsidR="00E13A7D" w:rsidRPr="00D936C8" w:rsidRDefault="00E13A7D" w:rsidP="00D936C8">
            <w:pPr>
              <w:spacing w:after="0" w:line="240" w:lineRule="auto"/>
              <w:ind w:left="175"/>
              <w:rPr>
                <w:rFonts w:cs="Arial"/>
                <w:color w:val="00B050"/>
                <w:sz w:val="20"/>
                <w:szCs w:val="20"/>
                <w:lang w:eastAsia="en-GB"/>
              </w:rPr>
            </w:pPr>
          </w:p>
        </w:tc>
      </w:tr>
      <w:tr w:rsidR="00197B71" w:rsidRPr="00677B2B" w:rsidTr="00D936C8">
        <w:trPr>
          <w:trHeight w:val="1200"/>
        </w:trPr>
        <w:tc>
          <w:tcPr>
            <w:tcW w:w="4679" w:type="dxa"/>
          </w:tcPr>
          <w:p w:rsidR="00197B71" w:rsidRPr="00637A68" w:rsidRDefault="00197B71" w:rsidP="00187092">
            <w:pPr>
              <w:spacing w:after="0" w:line="240" w:lineRule="auto"/>
              <w:rPr>
                <w:rFonts w:cs="Arial"/>
                <w:sz w:val="20"/>
                <w:szCs w:val="20"/>
                <w:lang w:eastAsia="en-GB"/>
              </w:rPr>
            </w:pPr>
            <w:r w:rsidRPr="00637A68">
              <w:rPr>
                <w:rFonts w:cs="Arial"/>
                <w:sz w:val="20"/>
                <w:szCs w:val="20"/>
                <w:lang w:eastAsia="en-GB"/>
              </w:rPr>
              <w:t>Implement the use of SBARD (Situation, Background, Assessment, Recommendation, and Decision) in clinical teams. SBARD is a communication tool to assist staff in succinct and focused relaying of information</w:t>
            </w:r>
          </w:p>
        </w:tc>
        <w:tc>
          <w:tcPr>
            <w:tcW w:w="4961" w:type="dxa"/>
            <w:noWrap/>
          </w:tcPr>
          <w:p w:rsidR="00DD76FB" w:rsidRPr="00451F19" w:rsidRDefault="00DD76FB" w:rsidP="00DD76FB">
            <w:pPr>
              <w:pStyle w:val="ListParagraph"/>
              <w:numPr>
                <w:ilvl w:val="0"/>
                <w:numId w:val="1"/>
              </w:numPr>
              <w:spacing w:after="0" w:line="240" w:lineRule="auto"/>
              <w:ind w:left="459" w:hanging="284"/>
              <w:rPr>
                <w:sz w:val="20"/>
                <w:szCs w:val="20"/>
              </w:rPr>
            </w:pPr>
            <w:r w:rsidRPr="00451F19">
              <w:rPr>
                <w:rFonts w:cs="Arial"/>
                <w:sz w:val="20"/>
                <w:szCs w:val="20"/>
                <w:lang w:eastAsia="en-GB"/>
              </w:rPr>
              <w:t>Every</w:t>
            </w:r>
            <w:r w:rsidRPr="00451F19">
              <w:rPr>
                <w:sz w:val="20"/>
                <w:szCs w:val="20"/>
              </w:rPr>
              <w:t xml:space="preserve"> clinical team has had SBARD training. </w:t>
            </w:r>
          </w:p>
          <w:p w:rsidR="00197B71" w:rsidRPr="00451F19" w:rsidRDefault="00197B71" w:rsidP="00187092">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 xml:space="preserve">SBARD awareness </w:t>
            </w:r>
            <w:proofErr w:type="gramStart"/>
            <w:r w:rsidRPr="00451F19">
              <w:rPr>
                <w:rFonts w:cs="Arial"/>
                <w:sz w:val="20"/>
                <w:szCs w:val="20"/>
                <w:lang w:eastAsia="en-GB"/>
              </w:rPr>
              <w:t>raised</w:t>
            </w:r>
            <w:proofErr w:type="gramEnd"/>
            <w:r w:rsidRPr="00451F19">
              <w:rPr>
                <w:rFonts w:cs="Arial"/>
                <w:sz w:val="20"/>
                <w:szCs w:val="20"/>
                <w:lang w:eastAsia="en-GB"/>
              </w:rPr>
              <w:t xml:space="preserve"> during training by physical healthcare nurse. </w:t>
            </w:r>
          </w:p>
          <w:p w:rsidR="00197B71" w:rsidRPr="00451F19" w:rsidRDefault="00197B71" w:rsidP="00187092">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SBARD has been implemented in Oxon older adult team. Ashurst and Marlborough House Swindon are leading as showcase wards.</w:t>
            </w:r>
          </w:p>
          <w:p w:rsidR="001919EF" w:rsidRPr="00451F19" w:rsidRDefault="00DD76FB" w:rsidP="00DD76FB">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 xml:space="preserve">Funding for 12 participants from the MH Division has been agreed, plus two places from </w:t>
            </w:r>
            <w:proofErr w:type="gramStart"/>
            <w:r w:rsidRPr="00451F19">
              <w:rPr>
                <w:rFonts w:cs="Arial"/>
                <w:sz w:val="20"/>
                <w:szCs w:val="20"/>
                <w:lang w:eastAsia="en-GB"/>
              </w:rPr>
              <w:t>the I</w:t>
            </w:r>
            <w:proofErr w:type="gramEnd"/>
            <w:r w:rsidRPr="00451F19">
              <w:rPr>
                <w:rFonts w:cs="Arial"/>
                <w:sz w:val="20"/>
                <w:szCs w:val="20"/>
                <w:lang w:eastAsia="en-GB"/>
              </w:rPr>
              <w:t>&amp;I team starting at the end of November. The focus of the MH Division’s work will be the reduction of deaths by suicide and will target the community setting. The programme takes 9months.</w:t>
            </w:r>
          </w:p>
          <w:p w:rsidR="00451F19" w:rsidRPr="00451F19" w:rsidRDefault="00451F19" w:rsidP="00451F19">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00B050"/>
          </w:tcPr>
          <w:p w:rsidR="00197B71" w:rsidRPr="00D936C8" w:rsidRDefault="00197B71" w:rsidP="00D936C8">
            <w:pPr>
              <w:spacing w:after="0" w:line="240" w:lineRule="auto"/>
              <w:ind w:left="175"/>
              <w:rPr>
                <w:rFonts w:cs="Arial"/>
                <w:color w:val="00B050"/>
                <w:sz w:val="20"/>
                <w:szCs w:val="20"/>
                <w:lang w:eastAsia="en-GB"/>
              </w:rPr>
            </w:pPr>
          </w:p>
        </w:tc>
      </w:tr>
      <w:tr w:rsidR="00197B71" w:rsidRPr="00677B2B" w:rsidTr="00D936C8">
        <w:trPr>
          <w:trHeight w:val="600"/>
        </w:trPr>
        <w:tc>
          <w:tcPr>
            <w:tcW w:w="4679" w:type="dxa"/>
          </w:tcPr>
          <w:p w:rsidR="00197B71" w:rsidRPr="00637A68" w:rsidRDefault="00197B71" w:rsidP="00187092">
            <w:pPr>
              <w:spacing w:after="0" w:line="240" w:lineRule="auto"/>
              <w:rPr>
                <w:rFonts w:cs="Arial"/>
                <w:sz w:val="20"/>
                <w:szCs w:val="20"/>
                <w:lang w:eastAsia="en-GB"/>
              </w:rPr>
            </w:pPr>
            <w:r w:rsidRPr="00637A68">
              <w:rPr>
                <w:rFonts w:cs="Arial"/>
                <w:sz w:val="20"/>
                <w:szCs w:val="20"/>
                <w:lang w:eastAsia="en-GB"/>
              </w:rPr>
              <w:t>Implement guidelines to prevent absconding from inpatient mental health  wards</w:t>
            </w:r>
          </w:p>
        </w:tc>
        <w:tc>
          <w:tcPr>
            <w:tcW w:w="4961" w:type="dxa"/>
          </w:tcPr>
          <w:p w:rsidR="00197B71" w:rsidRPr="00451F19" w:rsidRDefault="00197B71" w:rsidP="00187092">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AWOL policy has been reviewed to incorporate guidance in prevention of AWOLs and is presently out to consultation with CEC members.</w:t>
            </w:r>
          </w:p>
          <w:p w:rsidR="00451F19" w:rsidRPr="00451F19" w:rsidRDefault="00451F19" w:rsidP="00451F19">
            <w:pPr>
              <w:pStyle w:val="ListParagraph"/>
              <w:spacing w:after="0" w:line="240" w:lineRule="auto"/>
              <w:ind w:left="459"/>
              <w:rPr>
                <w:rFonts w:cs="Arial"/>
                <w:sz w:val="20"/>
                <w:szCs w:val="20"/>
                <w:lang w:eastAsia="en-GB"/>
              </w:rPr>
            </w:pPr>
          </w:p>
        </w:tc>
        <w:tc>
          <w:tcPr>
            <w:tcW w:w="425" w:type="dxa"/>
            <w:tcBorders>
              <w:bottom w:val="nil"/>
            </w:tcBorders>
            <w:shd w:val="clear" w:color="auto" w:fill="FFC000"/>
          </w:tcPr>
          <w:p w:rsidR="00197B71" w:rsidRPr="00D936C8" w:rsidRDefault="00197B71" w:rsidP="00D936C8">
            <w:pPr>
              <w:spacing w:after="0" w:line="240" w:lineRule="auto"/>
              <w:ind w:left="175"/>
              <w:rPr>
                <w:rFonts w:cs="Arial"/>
                <w:color w:val="FFC000"/>
                <w:sz w:val="20"/>
                <w:szCs w:val="20"/>
                <w:lang w:eastAsia="en-GB"/>
              </w:rPr>
            </w:pPr>
          </w:p>
        </w:tc>
      </w:tr>
      <w:tr w:rsidR="00E13A7D" w:rsidRPr="00677B2B" w:rsidTr="00D936C8">
        <w:trPr>
          <w:trHeight w:val="900"/>
        </w:trPr>
        <w:tc>
          <w:tcPr>
            <w:tcW w:w="4679" w:type="dxa"/>
            <w:vMerge w:val="restart"/>
          </w:tcPr>
          <w:p w:rsidR="00E13A7D" w:rsidRPr="00637A68" w:rsidRDefault="00E13A7D" w:rsidP="00187092">
            <w:pPr>
              <w:spacing w:after="0" w:line="240" w:lineRule="auto"/>
              <w:rPr>
                <w:rFonts w:cs="Arial"/>
                <w:sz w:val="20"/>
                <w:szCs w:val="20"/>
                <w:lang w:eastAsia="en-GB"/>
              </w:rPr>
            </w:pPr>
            <w:r w:rsidRPr="00637A68">
              <w:rPr>
                <w:rFonts w:cs="Arial"/>
                <w:sz w:val="20"/>
                <w:szCs w:val="20"/>
                <w:lang w:eastAsia="en-GB"/>
              </w:rPr>
              <w:t>Implement new initiatives in every Community Mental Health Team to prevent  suicide</w:t>
            </w:r>
          </w:p>
        </w:tc>
        <w:tc>
          <w:tcPr>
            <w:tcW w:w="4961" w:type="dxa"/>
            <w:noWrap/>
          </w:tcPr>
          <w:p w:rsidR="00E13A7D" w:rsidRPr="00451F19" w:rsidRDefault="00E13A7D" w:rsidP="00187092">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All teams have been asked to identify their initiative. Workshop held with Bucks teams on suicide prevention with follow up date booked for 11/11/11.</w:t>
            </w:r>
          </w:p>
          <w:p w:rsidR="00451F19" w:rsidRPr="00451F19" w:rsidRDefault="00451F19" w:rsidP="00451F19">
            <w:pPr>
              <w:pStyle w:val="ListParagraph"/>
              <w:spacing w:after="0" w:line="240" w:lineRule="auto"/>
              <w:ind w:left="459"/>
              <w:rPr>
                <w:rFonts w:cs="Arial"/>
                <w:sz w:val="20"/>
                <w:szCs w:val="20"/>
                <w:lang w:eastAsia="en-GB"/>
              </w:rPr>
            </w:pPr>
          </w:p>
        </w:tc>
        <w:tc>
          <w:tcPr>
            <w:tcW w:w="425" w:type="dxa"/>
            <w:tcBorders>
              <w:bottom w:val="nil"/>
            </w:tcBorders>
            <w:shd w:val="clear" w:color="auto" w:fill="FFC000"/>
          </w:tcPr>
          <w:p w:rsidR="00E13A7D" w:rsidRPr="00D936C8" w:rsidRDefault="00E13A7D" w:rsidP="00D936C8">
            <w:pPr>
              <w:spacing w:after="0" w:line="240" w:lineRule="auto"/>
              <w:ind w:left="175"/>
              <w:rPr>
                <w:rFonts w:cs="Arial"/>
                <w:color w:val="FFC000"/>
                <w:sz w:val="20"/>
                <w:szCs w:val="20"/>
                <w:lang w:eastAsia="en-GB"/>
              </w:rPr>
            </w:pPr>
          </w:p>
        </w:tc>
      </w:tr>
      <w:tr w:rsidR="00E13A7D" w:rsidRPr="00677B2B" w:rsidTr="00D936C8">
        <w:trPr>
          <w:trHeight w:val="900"/>
        </w:trPr>
        <w:tc>
          <w:tcPr>
            <w:tcW w:w="4679" w:type="dxa"/>
            <w:vMerge/>
          </w:tcPr>
          <w:p w:rsidR="00E13A7D" w:rsidRPr="00637A68" w:rsidRDefault="00E13A7D" w:rsidP="00187092">
            <w:pPr>
              <w:spacing w:after="0" w:line="240" w:lineRule="auto"/>
              <w:rPr>
                <w:rFonts w:cs="Arial"/>
                <w:sz w:val="20"/>
                <w:szCs w:val="20"/>
                <w:lang w:eastAsia="en-GB"/>
              </w:rPr>
            </w:pPr>
          </w:p>
        </w:tc>
        <w:tc>
          <w:tcPr>
            <w:tcW w:w="4961" w:type="dxa"/>
            <w:noWrap/>
          </w:tcPr>
          <w:p w:rsidR="00E13A7D" w:rsidRDefault="00E13A7D" w:rsidP="00187092">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Buckinghamshire CMHTS are running the Advanced Assessment Skills training as well as ASIST (Applied Suicide Intervention Skills) training in suicide prevention programme.  The plan in the division is to roll the this Advanced Assessment Skills training across the Oxford teams as well</w:t>
            </w:r>
          </w:p>
          <w:p w:rsidR="00451F19" w:rsidRPr="00451F19" w:rsidRDefault="00451F19" w:rsidP="00451F19">
            <w:pPr>
              <w:pStyle w:val="ListParagraph"/>
              <w:spacing w:after="0" w:line="240" w:lineRule="auto"/>
              <w:ind w:left="459"/>
              <w:rPr>
                <w:rFonts w:cs="Arial"/>
                <w:sz w:val="20"/>
                <w:szCs w:val="20"/>
                <w:lang w:eastAsia="en-GB"/>
              </w:rPr>
            </w:pPr>
          </w:p>
        </w:tc>
        <w:tc>
          <w:tcPr>
            <w:tcW w:w="425" w:type="dxa"/>
            <w:tcBorders>
              <w:bottom w:val="nil"/>
            </w:tcBorders>
            <w:shd w:val="clear" w:color="auto" w:fill="FFC000"/>
          </w:tcPr>
          <w:p w:rsidR="00E13A7D" w:rsidRPr="00D936C8" w:rsidRDefault="00E13A7D" w:rsidP="00D936C8">
            <w:pPr>
              <w:spacing w:after="0" w:line="240" w:lineRule="auto"/>
              <w:ind w:left="175"/>
              <w:rPr>
                <w:rFonts w:cs="Arial"/>
                <w:color w:val="FFC000"/>
                <w:sz w:val="20"/>
                <w:szCs w:val="20"/>
                <w:lang w:eastAsia="en-GB"/>
              </w:rPr>
            </w:pPr>
          </w:p>
        </w:tc>
      </w:tr>
      <w:tr w:rsidR="00197B71" w:rsidRPr="00677B2B" w:rsidTr="00D936C8">
        <w:trPr>
          <w:trHeight w:val="600"/>
        </w:trPr>
        <w:tc>
          <w:tcPr>
            <w:tcW w:w="4679" w:type="dxa"/>
          </w:tcPr>
          <w:p w:rsidR="00197B71" w:rsidRPr="00637A68" w:rsidRDefault="00197B71" w:rsidP="00187092">
            <w:pPr>
              <w:spacing w:after="0" w:line="240" w:lineRule="auto"/>
              <w:rPr>
                <w:rFonts w:cs="Arial"/>
                <w:sz w:val="20"/>
                <w:szCs w:val="20"/>
                <w:lang w:eastAsia="en-GB"/>
              </w:rPr>
            </w:pPr>
            <w:r w:rsidRPr="00637A68">
              <w:rPr>
                <w:rFonts w:cs="Arial"/>
                <w:sz w:val="20"/>
                <w:szCs w:val="20"/>
                <w:lang w:eastAsia="en-GB"/>
              </w:rPr>
              <w:t xml:space="preserve">Audit against NICE guidelines and learn from the care of patients who present  to A&amp;E after self harming </w:t>
            </w:r>
          </w:p>
        </w:tc>
        <w:tc>
          <w:tcPr>
            <w:tcW w:w="4961" w:type="dxa"/>
          </w:tcPr>
          <w:p w:rsidR="00973D1A" w:rsidRDefault="00973D1A" w:rsidP="00973D1A">
            <w:pPr>
              <w:pStyle w:val="ListParagraph"/>
              <w:numPr>
                <w:ilvl w:val="0"/>
                <w:numId w:val="1"/>
              </w:numPr>
              <w:spacing w:after="0" w:line="240" w:lineRule="auto"/>
              <w:ind w:left="459" w:hanging="284"/>
              <w:rPr>
                <w:rFonts w:cs="Arial"/>
                <w:sz w:val="20"/>
                <w:szCs w:val="20"/>
                <w:lang w:eastAsia="en-GB"/>
              </w:rPr>
            </w:pPr>
            <w:r w:rsidRPr="00973D1A">
              <w:rPr>
                <w:rFonts w:cs="Arial"/>
                <w:sz w:val="20"/>
                <w:szCs w:val="20"/>
                <w:lang w:eastAsia="en-GB"/>
              </w:rPr>
              <w:t>Audit on self harm NICE CG completed in Oxon last year and implementing action plan now with re-audit in Dec 2011</w:t>
            </w:r>
          </w:p>
          <w:p w:rsidR="001919EF" w:rsidRPr="00973D1A" w:rsidRDefault="00973D1A" w:rsidP="00973D1A">
            <w:pPr>
              <w:pStyle w:val="ListParagraph"/>
              <w:numPr>
                <w:ilvl w:val="0"/>
                <w:numId w:val="1"/>
              </w:numPr>
              <w:spacing w:after="0" w:line="240" w:lineRule="auto"/>
              <w:ind w:left="459" w:hanging="284"/>
              <w:rPr>
                <w:rFonts w:cs="Arial"/>
                <w:sz w:val="20"/>
                <w:szCs w:val="20"/>
                <w:lang w:eastAsia="en-GB"/>
              </w:rPr>
            </w:pPr>
            <w:r w:rsidRPr="00973D1A">
              <w:rPr>
                <w:rFonts w:cs="Arial"/>
                <w:sz w:val="20"/>
                <w:szCs w:val="20"/>
                <w:lang w:eastAsia="en-GB"/>
              </w:rPr>
              <w:t>Bucks completed audit in Sept</w:t>
            </w:r>
            <w:r>
              <w:rPr>
                <w:rFonts w:cs="Arial"/>
                <w:sz w:val="20"/>
                <w:szCs w:val="20"/>
                <w:lang w:eastAsia="en-GB"/>
              </w:rPr>
              <w:t>ember</w:t>
            </w:r>
            <w:r w:rsidRPr="00973D1A">
              <w:rPr>
                <w:rFonts w:cs="Arial"/>
                <w:sz w:val="20"/>
                <w:szCs w:val="20"/>
                <w:lang w:eastAsia="en-GB"/>
              </w:rPr>
              <w:t xml:space="preserve"> 2011</w:t>
            </w:r>
            <w:r>
              <w:rPr>
                <w:rFonts w:cs="Arial"/>
                <w:sz w:val="20"/>
                <w:szCs w:val="20"/>
                <w:lang w:eastAsia="en-GB"/>
              </w:rPr>
              <w:t xml:space="preserve"> -</w:t>
            </w:r>
            <w:r w:rsidRPr="00973D1A">
              <w:rPr>
                <w:rFonts w:cs="Arial"/>
                <w:sz w:val="20"/>
                <w:szCs w:val="20"/>
                <w:lang w:eastAsia="en-GB"/>
              </w:rPr>
              <w:t xml:space="preserve"> need to finalise action plan.</w:t>
            </w:r>
          </w:p>
        </w:tc>
        <w:tc>
          <w:tcPr>
            <w:tcW w:w="425" w:type="dxa"/>
            <w:tcBorders>
              <w:bottom w:val="nil"/>
            </w:tcBorders>
            <w:shd w:val="clear" w:color="auto" w:fill="FFC000"/>
          </w:tcPr>
          <w:p w:rsidR="00197B71" w:rsidRPr="00D936C8" w:rsidRDefault="00197B71" w:rsidP="00D936C8">
            <w:pPr>
              <w:spacing w:after="0" w:line="240" w:lineRule="auto"/>
              <w:ind w:left="175"/>
              <w:rPr>
                <w:rFonts w:cs="Arial"/>
                <w:color w:val="FFC000"/>
                <w:sz w:val="20"/>
                <w:szCs w:val="20"/>
                <w:lang w:eastAsia="en-GB"/>
              </w:rPr>
            </w:pPr>
          </w:p>
        </w:tc>
      </w:tr>
      <w:tr w:rsidR="00F53123" w:rsidRPr="00677B2B" w:rsidTr="00D936C8">
        <w:trPr>
          <w:trHeight w:val="300"/>
        </w:trPr>
        <w:tc>
          <w:tcPr>
            <w:tcW w:w="4679" w:type="dxa"/>
            <w:vMerge w:val="restart"/>
            <w:noWrap/>
          </w:tcPr>
          <w:p w:rsidR="00F53123" w:rsidRPr="00637A68" w:rsidRDefault="00F53123" w:rsidP="00187092">
            <w:pPr>
              <w:spacing w:after="0" w:line="240" w:lineRule="auto"/>
              <w:rPr>
                <w:rFonts w:cs="Arial"/>
                <w:sz w:val="20"/>
                <w:szCs w:val="20"/>
                <w:lang w:eastAsia="en-GB"/>
              </w:rPr>
            </w:pPr>
            <w:r w:rsidRPr="00637A68">
              <w:rPr>
                <w:rFonts w:cs="Arial"/>
                <w:sz w:val="20"/>
                <w:szCs w:val="20"/>
                <w:lang w:eastAsia="en-GB"/>
              </w:rPr>
              <w:t>Integrate the work on developing care clusters with the LIPS programme</w:t>
            </w:r>
          </w:p>
        </w:tc>
        <w:tc>
          <w:tcPr>
            <w:tcW w:w="4961" w:type="dxa"/>
            <w:noWrap/>
          </w:tcPr>
          <w:p w:rsidR="00F53123" w:rsidRPr="00451F19" w:rsidRDefault="00F53123" w:rsidP="00E13A7D">
            <w:pPr>
              <w:pStyle w:val="ListParagraph"/>
              <w:numPr>
                <w:ilvl w:val="0"/>
                <w:numId w:val="1"/>
              </w:numPr>
              <w:spacing w:after="0" w:line="240" w:lineRule="auto"/>
              <w:ind w:left="459" w:hanging="284"/>
              <w:rPr>
                <w:rFonts w:cs="Arial"/>
                <w:color w:val="000000" w:themeColor="text1"/>
                <w:sz w:val="20"/>
                <w:szCs w:val="20"/>
                <w:lang w:eastAsia="en-GB"/>
              </w:rPr>
            </w:pPr>
            <w:r w:rsidRPr="00451F19">
              <w:rPr>
                <w:rFonts w:cs="Arial"/>
                <w:color w:val="000000" w:themeColor="text1"/>
                <w:sz w:val="20"/>
                <w:szCs w:val="20"/>
                <w:lang w:eastAsia="en-GB"/>
              </w:rPr>
              <w:t>LIPS overlap with Improvement and Innovation team's work has been mapped. Overlap is principally with Productive Wards rather than Care clusters.  Three steering boards to operate for: PW, Care Clusters and LIPS.</w:t>
            </w:r>
          </w:p>
        </w:tc>
        <w:tc>
          <w:tcPr>
            <w:tcW w:w="425" w:type="dxa"/>
            <w:tcBorders>
              <w:bottom w:val="nil"/>
            </w:tcBorders>
            <w:shd w:val="clear" w:color="auto" w:fill="FFC000"/>
          </w:tcPr>
          <w:p w:rsidR="00F53123" w:rsidRPr="00D936C8" w:rsidRDefault="00F53123" w:rsidP="00D936C8">
            <w:pPr>
              <w:spacing w:after="0" w:line="240" w:lineRule="auto"/>
              <w:ind w:left="175"/>
              <w:rPr>
                <w:rFonts w:cs="Arial"/>
                <w:color w:val="FFC000"/>
                <w:sz w:val="20"/>
                <w:szCs w:val="20"/>
                <w:lang w:eastAsia="en-GB"/>
              </w:rPr>
            </w:pPr>
          </w:p>
        </w:tc>
      </w:tr>
      <w:tr w:rsidR="00F53123" w:rsidRPr="00677B2B" w:rsidTr="00D936C8">
        <w:trPr>
          <w:trHeight w:val="300"/>
        </w:trPr>
        <w:tc>
          <w:tcPr>
            <w:tcW w:w="4679" w:type="dxa"/>
            <w:vMerge/>
            <w:noWrap/>
          </w:tcPr>
          <w:p w:rsidR="00F53123" w:rsidRPr="00637A68" w:rsidRDefault="00F53123" w:rsidP="00187092">
            <w:pPr>
              <w:spacing w:after="0" w:line="240" w:lineRule="auto"/>
              <w:rPr>
                <w:rFonts w:cs="Arial"/>
                <w:sz w:val="20"/>
                <w:szCs w:val="20"/>
                <w:lang w:eastAsia="en-GB"/>
              </w:rPr>
            </w:pPr>
          </w:p>
        </w:tc>
        <w:tc>
          <w:tcPr>
            <w:tcW w:w="4961" w:type="dxa"/>
            <w:noWrap/>
          </w:tcPr>
          <w:p w:rsidR="00F53123" w:rsidRDefault="00F53123" w:rsidP="00197B71">
            <w:pPr>
              <w:pStyle w:val="ListParagraph"/>
              <w:numPr>
                <w:ilvl w:val="0"/>
                <w:numId w:val="1"/>
              </w:numPr>
              <w:spacing w:after="0" w:line="240" w:lineRule="auto"/>
              <w:ind w:left="459" w:hanging="284"/>
              <w:rPr>
                <w:rFonts w:cs="Arial"/>
                <w:color w:val="000000" w:themeColor="text1"/>
                <w:sz w:val="20"/>
                <w:szCs w:val="20"/>
                <w:lang w:eastAsia="en-GB"/>
              </w:rPr>
            </w:pPr>
            <w:r w:rsidRPr="00451F19">
              <w:rPr>
                <w:rFonts w:cs="Arial"/>
                <w:color w:val="000000" w:themeColor="text1"/>
                <w:sz w:val="20"/>
                <w:szCs w:val="20"/>
                <w:lang w:eastAsia="en-GB"/>
              </w:rPr>
              <w:t>LIPS lead and Productive Lead working together to develop local and board level outcomes for both programmes to reflect the shared aspirations of both programme contacts. Steering board now arranged for 23rd Nov to be chaired by Ros Alstead.</w:t>
            </w:r>
          </w:p>
          <w:p w:rsidR="00451F19" w:rsidRPr="00451F19" w:rsidRDefault="00451F19" w:rsidP="00451F19">
            <w:pPr>
              <w:pStyle w:val="ListParagraph"/>
              <w:spacing w:after="0" w:line="240" w:lineRule="auto"/>
              <w:ind w:left="459"/>
              <w:rPr>
                <w:rFonts w:cs="Arial"/>
                <w:color w:val="000000" w:themeColor="text1"/>
                <w:sz w:val="20"/>
                <w:szCs w:val="20"/>
                <w:lang w:eastAsia="en-GB"/>
              </w:rPr>
            </w:pPr>
          </w:p>
        </w:tc>
        <w:tc>
          <w:tcPr>
            <w:tcW w:w="425" w:type="dxa"/>
            <w:tcBorders>
              <w:bottom w:val="nil"/>
            </w:tcBorders>
            <w:shd w:val="clear" w:color="auto" w:fill="FFC000"/>
          </w:tcPr>
          <w:p w:rsidR="00F53123" w:rsidRPr="00D936C8" w:rsidRDefault="00F53123" w:rsidP="00D936C8">
            <w:pPr>
              <w:spacing w:after="0" w:line="240" w:lineRule="auto"/>
              <w:ind w:left="175"/>
              <w:rPr>
                <w:rFonts w:cs="Arial"/>
                <w:color w:val="FFC000"/>
                <w:sz w:val="20"/>
                <w:szCs w:val="20"/>
                <w:lang w:eastAsia="en-GB"/>
              </w:rPr>
            </w:pPr>
          </w:p>
        </w:tc>
      </w:tr>
      <w:tr w:rsidR="00F53123" w:rsidRPr="00677B2B" w:rsidTr="00D936C8">
        <w:trPr>
          <w:trHeight w:val="300"/>
        </w:trPr>
        <w:tc>
          <w:tcPr>
            <w:tcW w:w="4679" w:type="dxa"/>
            <w:vMerge/>
            <w:noWrap/>
          </w:tcPr>
          <w:p w:rsidR="00F53123" w:rsidRPr="00637A68" w:rsidRDefault="00F53123" w:rsidP="00187092">
            <w:pPr>
              <w:spacing w:after="0" w:line="240" w:lineRule="auto"/>
              <w:rPr>
                <w:rFonts w:cs="Arial"/>
                <w:sz w:val="20"/>
                <w:szCs w:val="20"/>
                <w:lang w:eastAsia="en-GB"/>
              </w:rPr>
            </w:pPr>
          </w:p>
        </w:tc>
        <w:tc>
          <w:tcPr>
            <w:tcW w:w="4961" w:type="dxa"/>
            <w:noWrap/>
          </w:tcPr>
          <w:p w:rsidR="00F53123" w:rsidRDefault="00F53123" w:rsidP="00197B71">
            <w:pPr>
              <w:pStyle w:val="ListParagraph"/>
              <w:numPr>
                <w:ilvl w:val="0"/>
                <w:numId w:val="1"/>
              </w:numPr>
              <w:spacing w:after="0" w:line="240" w:lineRule="auto"/>
              <w:ind w:left="459" w:hanging="284"/>
              <w:rPr>
                <w:rFonts w:cs="Arial"/>
                <w:color w:val="000000" w:themeColor="text1"/>
                <w:sz w:val="20"/>
                <w:szCs w:val="20"/>
                <w:lang w:eastAsia="en-GB"/>
              </w:rPr>
            </w:pPr>
            <w:r w:rsidRPr="00451F19">
              <w:rPr>
                <w:rFonts w:cs="Arial"/>
                <w:color w:val="000000" w:themeColor="text1"/>
                <w:sz w:val="20"/>
                <w:szCs w:val="20"/>
                <w:lang w:eastAsia="en-GB"/>
              </w:rPr>
              <w:t xml:space="preserve">The LIPS dashboard is under development to interface with the </w:t>
            </w:r>
            <w:proofErr w:type="spellStart"/>
            <w:r w:rsidRPr="00451F19">
              <w:rPr>
                <w:rFonts w:cs="Arial"/>
                <w:color w:val="000000" w:themeColor="text1"/>
                <w:sz w:val="20"/>
                <w:szCs w:val="20"/>
                <w:lang w:eastAsia="en-GB"/>
              </w:rPr>
              <w:t>Productives</w:t>
            </w:r>
            <w:proofErr w:type="spellEnd"/>
            <w:r w:rsidRPr="00451F19">
              <w:rPr>
                <w:rFonts w:cs="Arial"/>
                <w:color w:val="000000" w:themeColor="text1"/>
                <w:sz w:val="20"/>
                <w:szCs w:val="20"/>
                <w:lang w:eastAsia="en-GB"/>
              </w:rPr>
              <w:t xml:space="preserve"> dashboard.  The LIPS lead is also leading work to develop the Board level dashboard in collaboration with the Productive Care lead to provide information at a glance on key LIPS and PC outcomes</w:t>
            </w:r>
          </w:p>
          <w:p w:rsidR="00451F19" w:rsidRPr="00451F19" w:rsidRDefault="00451F19" w:rsidP="00451F19">
            <w:pPr>
              <w:pStyle w:val="ListParagraph"/>
              <w:spacing w:after="0" w:line="240" w:lineRule="auto"/>
              <w:ind w:left="459"/>
              <w:rPr>
                <w:rFonts w:cs="Arial"/>
                <w:color w:val="000000" w:themeColor="text1"/>
                <w:sz w:val="20"/>
                <w:szCs w:val="20"/>
                <w:lang w:eastAsia="en-GB"/>
              </w:rPr>
            </w:pPr>
          </w:p>
        </w:tc>
        <w:tc>
          <w:tcPr>
            <w:tcW w:w="425" w:type="dxa"/>
            <w:tcBorders>
              <w:bottom w:val="nil"/>
            </w:tcBorders>
            <w:shd w:val="clear" w:color="auto" w:fill="FFC000"/>
          </w:tcPr>
          <w:p w:rsidR="00F53123" w:rsidRPr="00D936C8" w:rsidRDefault="00F53123" w:rsidP="00D936C8">
            <w:pPr>
              <w:spacing w:after="0" w:line="240" w:lineRule="auto"/>
              <w:ind w:left="175"/>
              <w:rPr>
                <w:rFonts w:cs="Arial"/>
                <w:color w:val="FFC000"/>
                <w:sz w:val="20"/>
                <w:szCs w:val="20"/>
                <w:lang w:eastAsia="en-GB"/>
              </w:rPr>
            </w:pPr>
          </w:p>
        </w:tc>
      </w:tr>
      <w:tr w:rsidR="00197B71" w:rsidRPr="00677B2B" w:rsidTr="00980611">
        <w:trPr>
          <w:trHeight w:val="300"/>
        </w:trPr>
        <w:tc>
          <w:tcPr>
            <w:tcW w:w="4679" w:type="dxa"/>
            <w:noWrap/>
          </w:tcPr>
          <w:p w:rsidR="00197B71" w:rsidRPr="00637A68" w:rsidRDefault="00197B71" w:rsidP="00187092">
            <w:pPr>
              <w:spacing w:after="0" w:line="240" w:lineRule="auto"/>
              <w:rPr>
                <w:rFonts w:cs="Arial"/>
                <w:sz w:val="20"/>
                <w:szCs w:val="20"/>
                <w:lang w:eastAsia="en-GB"/>
              </w:rPr>
            </w:pPr>
            <w:r w:rsidRPr="00637A68">
              <w:rPr>
                <w:rFonts w:cs="Arial"/>
                <w:sz w:val="20"/>
                <w:szCs w:val="20"/>
                <w:lang w:eastAsia="en-GB"/>
              </w:rPr>
              <w:t>Implement a schedule of Executive Safety Walkabouts</w:t>
            </w:r>
          </w:p>
        </w:tc>
        <w:tc>
          <w:tcPr>
            <w:tcW w:w="4961" w:type="dxa"/>
            <w:noWrap/>
          </w:tcPr>
          <w:p w:rsidR="00197B71" w:rsidRPr="00451F19" w:rsidRDefault="00197B71" w:rsidP="00793E2B">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 xml:space="preserve">These have started with all Exec Directors now having a list of sites to visits.  Individual PAs are setting up the visits for their respective Exec Directors and these are being logged on a central spreadsheet.  </w:t>
            </w:r>
          </w:p>
          <w:p w:rsidR="00197B71" w:rsidRPr="00451F19" w:rsidRDefault="00197B71" w:rsidP="00793E2B">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 xml:space="preserve">NEDs are being informed of the dates and can book to attend visits with Execs.  </w:t>
            </w:r>
          </w:p>
          <w:p w:rsidR="00197B71" w:rsidRDefault="00197B71" w:rsidP="00793E2B">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The feedback from any visits is reported back to the weekly Executive Board meeting.</w:t>
            </w:r>
          </w:p>
          <w:p w:rsidR="00451F19" w:rsidRPr="00451F19" w:rsidRDefault="00451F19" w:rsidP="00451F19">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FFC000"/>
          </w:tcPr>
          <w:p w:rsidR="00197B71" w:rsidRPr="00D936C8" w:rsidRDefault="00197B71" w:rsidP="00D936C8">
            <w:pPr>
              <w:spacing w:after="0" w:line="240" w:lineRule="auto"/>
              <w:ind w:left="175"/>
              <w:rPr>
                <w:rFonts w:cs="Arial"/>
                <w:color w:val="FFC000"/>
                <w:sz w:val="20"/>
                <w:szCs w:val="20"/>
                <w:lang w:eastAsia="en-GB"/>
              </w:rPr>
            </w:pPr>
          </w:p>
        </w:tc>
      </w:tr>
      <w:tr w:rsidR="00197B71" w:rsidRPr="00677B2B" w:rsidTr="00980611">
        <w:trPr>
          <w:trHeight w:val="300"/>
        </w:trPr>
        <w:tc>
          <w:tcPr>
            <w:tcW w:w="4679" w:type="dxa"/>
            <w:tcBorders>
              <w:bottom w:val="single" w:sz="4" w:space="0" w:color="auto"/>
            </w:tcBorders>
            <w:noWrap/>
          </w:tcPr>
          <w:p w:rsidR="00197B71" w:rsidRPr="00637A68" w:rsidRDefault="00197B71" w:rsidP="00187092">
            <w:pPr>
              <w:spacing w:after="0" w:line="240" w:lineRule="auto"/>
              <w:rPr>
                <w:rFonts w:cs="Arial"/>
                <w:sz w:val="20"/>
                <w:szCs w:val="20"/>
                <w:lang w:eastAsia="en-GB"/>
              </w:rPr>
            </w:pPr>
            <w:r w:rsidRPr="00637A68">
              <w:rPr>
                <w:rFonts w:cs="Arial"/>
                <w:sz w:val="20"/>
                <w:szCs w:val="20"/>
                <w:lang w:eastAsia="en-GB"/>
              </w:rPr>
              <w:t>Improve the quality of engagement with Carers</w:t>
            </w:r>
          </w:p>
        </w:tc>
        <w:tc>
          <w:tcPr>
            <w:tcW w:w="4961" w:type="dxa"/>
            <w:tcBorders>
              <w:bottom w:val="single" w:sz="4" w:space="0" w:color="auto"/>
            </w:tcBorders>
            <w:noWrap/>
          </w:tcPr>
          <w:p w:rsidR="00197B71" w:rsidRPr="00451F19" w:rsidRDefault="00980611" w:rsidP="00997399">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Following the Carer Survey last year, the resultant action plan is being implemented (note: adult &amp; older people Ox &amp; Bucks, not CAMHS &amp; Forensic)</w:t>
            </w:r>
          </w:p>
          <w:p w:rsidR="00980611" w:rsidRPr="00451F19" w:rsidRDefault="00980611" w:rsidP="00997399">
            <w:pPr>
              <w:pStyle w:val="ListParagraph"/>
              <w:numPr>
                <w:ilvl w:val="0"/>
                <w:numId w:val="1"/>
              </w:numPr>
              <w:spacing w:after="0" w:line="240" w:lineRule="auto"/>
              <w:ind w:left="459" w:hanging="284"/>
              <w:rPr>
                <w:rFonts w:cs="Arial"/>
                <w:sz w:val="20"/>
                <w:szCs w:val="20"/>
                <w:lang w:eastAsia="en-GB"/>
              </w:rPr>
            </w:pPr>
            <w:r w:rsidRPr="00451F19">
              <w:rPr>
                <w:rFonts w:cs="Arial"/>
                <w:sz w:val="20"/>
                <w:szCs w:val="20"/>
                <w:lang w:eastAsia="en-GB"/>
              </w:rPr>
              <w:t>A 6-monthly report is now prepared for Governors (from September 2011)</w:t>
            </w:r>
          </w:p>
        </w:tc>
        <w:tc>
          <w:tcPr>
            <w:tcW w:w="425" w:type="dxa"/>
            <w:tcBorders>
              <w:top w:val="nil"/>
              <w:bottom w:val="single" w:sz="4" w:space="0" w:color="auto"/>
            </w:tcBorders>
            <w:shd w:val="clear" w:color="auto" w:fill="FFC000"/>
          </w:tcPr>
          <w:p w:rsidR="00197B71" w:rsidRPr="00D936C8" w:rsidRDefault="00197B71" w:rsidP="00D936C8">
            <w:pPr>
              <w:spacing w:after="0" w:line="240" w:lineRule="auto"/>
              <w:ind w:left="175"/>
              <w:rPr>
                <w:rFonts w:cs="Arial"/>
                <w:sz w:val="20"/>
                <w:szCs w:val="20"/>
                <w:lang w:eastAsia="en-GB"/>
              </w:rPr>
            </w:pPr>
          </w:p>
        </w:tc>
      </w:tr>
    </w:tbl>
    <w:p w:rsidR="0058221A" w:rsidRDefault="0058221A"/>
    <w:p w:rsidR="0058221A" w:rsidRDefault="0058221A">
      <w:r>
        <w:br w:type="page"/>
      </w:r>
    </w:p>
    <w:p w:rsidR="0058221A" w:rsidRDefault="0058221A" w:rsidP="00187092">
      <w:pPr>
        <w:autoSpaceDE w:val="0"/>
        <w:autoSpaceDN w:val="0"/>
        <w:adjustRightInd w:val="0"/>
        <w:rPr>
          <w:rFonts w:ascii="Arial" w:hAnsi="Arial" w:cs="Arial"/>
          <w:sz w:val="21"/>
          <w:szCs w:val="21"/>
        </w:rPr>
      </w:pPr>
    </w:p>
    <w:tbl>
      <w:tblPr>
        <w:tblW w:w="10065" w:type="dxa"/>
        <w:tblInd w:w="-176" w:type="dxa"/>
        <w:tblBorders>
          <w:left w:val="single" w:sz="4" w:space="0" w:color="auto"/>
          <w:bottom w:val="single" w:sz="4" w:space="0" w:color="auto"/>
          <w:right w:val="single" w:sz="4" w:space="0" w:color="auto"/>
        </w:tblBorders>
        <w:tblLayout w:type="fixed"/>
        <w:tblLook w:val="00A0"/>
      </w:tblPr>
      <w:tblGrid>
        <w:gridCol w:w="10065"/>
      </w:tblGrid>
      <w:tr w:rsidR="0058221A" w:rsidRPr="00677B2B" w:rsidTr="00AE7AB3">
        <w:trPr>
          <w:trHeight w:val="300"/>
        </w:trPr>
        <w:tc>
          <w:tcPr>
            <w:tcW w:w="10065" w:type="dxa"/>
            <w:tcBorders>
              <w:bottom w:val="nil"/>
            </w:tcBorders>
            <w:shd w:val="clear" w:color="auto" w:fill="0070C0"/>
            <w:noWrap/>
            <w:vAlign w:val="center"/>
          </w:tcPr>
          <w:p w:rsidR="0058221A" w:rsidRPr="00187092" w:rsidRDefault="0058221A" w:rsidP="00AE7AB3">
            <w:pPr>
              <w:pStyle w:val="Heading2"/>
              <w:numPr>
                <w:ilvl w:val="0"/>
                <w:numId w:val="12"/>
              </w:numPr>
              <w:rPr>
                <w:rFonts w:ascii="Arial" w:hAnsi="Arial" w:cs="Arial"/>
                <w:b w:val="0"/>
                <w:caps/>
                <w:color w:val="FFFFFF"/>
                <w:szCs w:val="22"/>
                <w:lang w:eastAsia="en-GB"/>
              </w:rPr>
            </w:pPr>
            <w:r w:rsidRPr="00187092">
              <w:rPr>
                <w:rFonts w:ascii="Arial" w:hAnsi="Arial" w:cs="Arial"/>
                <w:caps/>
                <w:color w:val="FFFFFF"/>
                <w:lang w:eastAsia="en-GB"/>
              </w:rPr>
              <w:t>Patient Safety: Treating and caring for people in a safe environment and protecting them from avoidable harm</w:t>
            </w:r>
          </w:p>
        </w:tc>
      </w:tr>
      <w:tr w:rsidR="0058221A" w:rsidRPr="00677B2B" w:rsidTr="00AE7AB3">
        <w:trPr>
          <w:trHeight w:val="300"/>
        </w:trPr>
        <w:tc>
          <w:tcPr>
            <w:tcW w:w="10065" w:type="dxa"/>
            <w:tcBorders>
              <w:bottom w:val="nil"/>
            </w:tcBorders>
            <w:shd w:val="clear" w:color="auto" w:fill="BFBFBF"/>
            <w:noWrap/>
            <w:vAlign w:val="center"/>
          </w:tcPr>
          <w:p w:rsidR="0058221A" w:rsidRPr="0046221F" w:rsidRDefault="0058221A" w:rsidP="00997399">
            <w:pPr>
              <w:pStyle w:val="Heading2"/>
              <w:rPr>
                <w:rFonts w:ascii="Arial" w:hAnsi="Arial" w:cs="Arial"/>
                <w:color w:val="auto"/>
                <w:sz w:val="24"/>
                <w:szCs w:val="24"/>
                <w:lang w:eastAsia="en-GB"/>
              </w:rPr>
            </w:pPr>
            <w:r w:rsidRPr="0046221F">
              <w:rPr>
                <w:rFonts w:ascii="Arial" w:hAnsi="Arial" w:cs="Arial"/>
                <w:color w:val="auto"/>
                <w:sz w:val="24"/>
                <w:szCs w:val="24"/>
                <w:lang w:eastAsia="en-GB"/>
              </w:rPr>
              <w:t>Aims</w:t>
            </w:r>
          </w:p>
          <w:p w:rsidR="0058221A" w:rsidRPr="00677B2B" w:rsidRDefault="0058221A" w:rsidP="00997399">
            <w:pPr>
              <w:rPr>
                <w:sz w:val="24"/>
                <w:szCs w:val="24"/>
                <w:lang w:eastAsia="en-GB"/>
              </w:rPr>
            </w:pPr>
          </w:p>
        </w:tc>
      </w:tr>
      <w:tr w:rsidR="0058221A" w:rsidRPr="00677B2B" w:rsidTr="00AE7AB3">
        <w:trPr>
          <w:trHeight w:val="600"/>
        </w:trPr>
        <w:tc>
          <w:tcPr>
            <w:tcW w:w="10065" w:type="dxa"/>
            <w:tcBorders>
              <w:top w:val="nil"/>
            </w:tcBorders>
            <w:shd w:val="clear" w:color="000000" w:fill="C0C0C0"/>
            <w:vAlign w:val="center"/>
          </w:tcPr>
          <w:p w:rsidR="0058221A" w:rsidRPr="00187092" w:rsidRDefault="0058221A" w:rsidP="00187092">
            <w:pPr>
              <w:pStyle w:val="ListParagraph"/>
              <w:numPr>
                <w:ilvl w:val="0"/>
                <w:numId w:val="4"/>
              </w:numPr>
              <w:spacing w:after="0" w:line="240" w:lineRule="auto"/>
              <w:rPr>
                <w:rFonts w:cs="Arial"/>
                <w:b/>
                <w:bCs/>
                <w:lang w:eastAsia="en-GB"/>
              </w:rPr>
            </w:pPr>
            <w:r w:rsidRPr="00187092">
              <w:rPr>
                <w:rFonts w:cs="Arial"/>
                <w:b/>
                <w:bCs/>
                <w:lang w:eastAsia="en-GB"/>
              </w:rPr>
              <w:t>Preventing avoidable skin breakdown which can lead to pressure ulcers.  85% of patients will be assessed for pressure ulcer risk on first visit or within 6 hours of admission, and will have actions identified on the key risk factors and preventative measures implemented within 2 days (commissioning priority)</w:t>
            </w:r>
          </w:p>
          <w:p w:rsidR="0058221A" w:rsidRDefault="0058221A" w:rsidP="00997399">
            <w:pPr>
              <w:spacing w:after="0" w:line="240" w:lineRule="auto"/>
              <w:rPr>
                <w:rFonts w:cs="Arial"/>
                <w:b/>
                <w:bCs/>
                <w:lang w:eastAsia="en-GB"/>
              </w:rPr>
            </w:pPr>
          </w:p>
          <w:p w:rsidR="0058221A" w:rsidRDefault="00666C45" w:rsidP="00AD7279">
            <w:pPr>
              <w:spacing w:after="0" w:line="240" w:lineRule="auto"/>
              <w:jc w:val="center"/>
              <w:rPr>
                <w:rFonts w:cs="Arial"/>
                <w:b/>
                <w:bCs/>
                <w:lang w:eastAsia="en-GB"/>
              </w:rPr>
            </w:pPr>
            <w:r w:rsidRPr="00666C45">
              <w:rPr>
                <w:rFonts w:cs="Arial"/>
                <w:b/>
                <w:bCs/>
                <w:noProof/>
                <w:lang w:eastAsia="en-GB"/>
              </w:rPr>
              <w:drawing>
                <wp:inline distT="0" distB="0" distL="0" distR="0">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16D1" w:rsidRPr="00637A68" w:rsidRDefault="008616D1" w:rsidP="00AD7279">
            <w:pPr>
              <w:spacing w:after="0" w:line="240" w:lineRule="auto"/>
              <w:jc w:val="center"/>
              <w:rPr>
                <w:rFonts w:cs="Arial"/>
                <w:b/>
                <w:bCs/>
                <w:lang w:eastAsia="en-GB"/>
              </w:rPr>
            </w:pPr>
          </w:p>
        </w:tc>
      </w:tr>
      <w:tr w:rsidR="0058221A" w:rsidRPr="00677B2B" w:rsidTr="00AE7AB3">
        <w:trPr>
          <w:trHeight w:val="600"/>
        </w:trPr>
        <w:tc>
          <w:tcPr>
            <w:tcW w:w="10065" w:type="dxa"/>
            <w:shd w:val="clear" w:color="000000" w:fill="C0C0C0"/>
            <w:vAlign w:val="center"/>
          </w:tcPr>
          <w:p w:rsidR="0058221A" w:rsidRPr="00997399" w:rsidRDefault="0058221A" w:rsidP="00997399">
            <w:pPr>
              <w:pStyle w:val="ListParagraph"/>
              <w:numPr>
                <w:ilvl w:val="0"/>
                <w:numId w:val="4"/>
              </w:numPr>
              <w:spacing w:after="0" w:line="240" w:lineRule="auto"/>
              <w:rPr>
                <w:rFonts w:cs="Arial"/>
                <w:b/>
                <w:bCs/>
                <w:lang w:eastAsia="en-GB"/>
              </w:rPr>
            </w:pPr>
            <w:r w:rsidRPr="00997399">
              <w:rPr>
                <w:rFonts w:cs="Arial"/>
                <w:b/>
                <w:bCs/>
                <w:lang w:eastAsia="en-GB"/>
              </w:rPr>
              <w:t>Preventing avoidable serious drug errors in Community Health by 15% from  baseline 32 in 2010-11, target 27 (commissioning priority)</w:t>
            </w:r>
          </w:p>
          <w:p w:rsidR="0058221A" w:rsidRDefault="0058221A" w:rsidP="00997399">
            <w:pPr>
              <w:spacing w:after="0" w:line="240" w:lineRule="auto"/>
              <w:rPr>
                <w:rFonts w:cs="Arial"/>
                <w:b/>
                <w:bCs/>
                <w:lang w:eastAsia="en-GB"/>
              </w:rPr>
            </w:pPr>
          </w:p>
          <w:p w:rsidR="00874531" w:rsidRDefault="00A92802" w:rsidP="00C333CE">
            <w:pPr>
              <w:spacing w:after="0" w:line="240" w:lineRule="auto"/>
              <w:jc w:val="center"/>
              <w:rPr>
                <w:rFonts w:cs="Arial"/>
                <w:b/>
                <w:bCs/>
                <w:i/>
                <w:lang w:eastAsia="en-GB"/>
              </w:rPr>
            </w:pPr>
            <w:r>
              <w:rPr>
                <w:rFonts w:cs="Arial"/>
                <w:b/>
                <w:bCs/>
                <w:i/>
                <w:noProof/>
                <w:lang w:eastAsia="en-GB"/>
              </w:rPr>
              <w:drawing>
                <wp:inline distT="0" distB="0" distL="0" distR="0">
                  <wp:extent cx="4200525" cy="2286000"/>
                  <wp:effectExtent l="19050" t="0" r="9525"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A5444" w:rsidRPr="006A5444" w:rsidDel="00C333CE">
              <w:rPr>
                <w:rFonts w:cs="Arial"/>
                <w:b/>
                <w:bCs/>
                <w:i/>
                <w:lang w:eastAsia="en-GB"/>
              </w:rPr>
              <w:t xml:space="preserve"> </w:t>
            </w:r>
          </w:p>
          <w:p w:rsidR="00940B16" w:rsidRDefault="00940B16" w:rsidP="00C333CE">
            <w:pPr>
              <w:spacing w:after="0" w:line="240" w:lineRule="auto"/>
              <w:jc w:val="center"/>
              <w:rPr>
                <w:rFonts w:cs="Arial"/>
                <w:b/>
                <w:bCs/>
                <w:i/>
                <w:lang w:eastAsia="en-GB"/>
              </w:rPr>
            </w:pPr>
          </w:p>
          <w:p w:rsidR="00940B16" w:rsidRPr="00940B16" w:rsidRDefault="00940B16" w:rsidP="00940B16">
            <w:pPr>
              <w:spacing w:after="0" w:line="240" w:lineRule="auto"/>
              <w:ind w:left="743"/>
              <w:rPr>
                <w:rFonts w:cs="Arial"/>
                <w:bCs/>
                <w:lang w:eastAsia="en-GB"/>
              </w:rPr>
            </w:pPr>
            <w:r>
              <w:rPr>
                <w:rFonts w:cs="Arial"/>
                <w:bCs/>
                <w:lang w:eastAsia="en-GB"/>
              </w:rPr>
              <w:t xml:space="preserve">There has been a </w:t>
            </w:r>
            <w:r w:rsidR="00273284">
              <w:rPr>
                <w:rFonts w:cs="Arial"/>
                <w:bCs/>
                <w:lang w:eastAsia="en-GB"/>
              </w:rPr>
              <w:t>16</w:t>
            </w:r>
            <w:r>
              <w:rPr>
                <w:rFonts w:cs="Arial"/>
                <w:bCs/>
                <w:lang w:eastAsia="en-GB"/>
              </w:rPr>
              <w:t>% decrease in the number of serious drug errors in the previous 12 months</w:t>
            </w:r>
            <w:r w:rsidR="001F401C">
              <w:rPr>
                <w:rFonts w:cs="Arial"/>
                <w:bCs/>
                <w:lang w:eastAsia="en-GB"/>
              </w:rPr>
              <w:t xml:space="preserve"> after the 2</w:t>
            </w:r>
            <w:r w:rsidR="001F401C" w:rsidRPr="001F401C">
              <w:rPr>
                <w:rFonts w:cs="Arial"/>
                <w:bCs/>
                <w:vertAlign w:val="superscript"/>
                <w:lang w:eastAsia="en-GB"/>
              </w:rPr>
              <w:t>nd</w:t>
            </w:r>
            <w:r w:rsidR="001F401C">
              <w:rPr>
                <w:rFonts w:cs="Arial"/>
                <w:bCs/>
                <w:lang w:eastAsia="en-GB"/>
              </w:rPr>
              <w:t xml:space="preserve"> quarter (</w:t>
            </w:r>
            <w:r w:rsidR="00273284">
              <w:rPr>
                <w:rFonts w:cs="Arial"/>
                <w:bCs/>
                <w:lang w:eastAsia="en-GB"/>
              </w:rPr>
              <w:t>18</w:t>
            </w:r>
            <w:r w:rsidR="001F401C">
              <w:rPr>
                <w:rFonts w:cs="Arial"/>
                <w:bCs/>
                <w:lang w:eastAsia="en-GB"/>
              </w:rPr>
              <w:t>), compared to the previous 12 months after the 1</w:t>
            </w:r>
            <w:r w:rsidR="001F401C" w:rsidRPr="001F401C">
              <w:rPr>
                <w:rFonts w:cs="Arial"/>
                <w:bCs/>
                <w:vertAlign w:val="superscript"/>
                <w:lang w:eastAsia="en-GB"/>
              </w:rPr>
              <w:t>st</w:t>
            </w:r>
            <w:r w:rsidR="001F401C">
              <w:rPr>
                <w:rFonts w:cs="Arial"/>
                <w:bCs/>
                <w:lang w:eastAsia="en-GB"/>
              </w:rPr>
              <w:t xml:space="preserve"> quarter (</w:t>
            </w:r>
            <w:r w:rsidR="00273284">
              <w:rPr>
                <w:rFonts w:cs="Arial"/>
                <w:bCs/>
                <w:lang w:eastAsia="en-GB"/>
              </w:rPr>
              <w:t>21</w:t>
            </w:r>
            <w:r w:rsidR="001F401C">
              <w:rPr>
                <w:rFonts w:cs="Arial"/>
                <w:bCs/>
                <w:lang w:eastAsia="en-GB"/>
              </w:rPr>
              <w:t>).</w:t>
            </w:r>
          </w:p>
          <w:p w:rsidR="0058221A" w:rsidRPr="00637A68" w:rsidRDefault="0058221A" w:rsidP="00C333CE">
            <w:pPr>
              <w:spacing w:after="0" w:line="240" w:lineRule="auto"/>
              <w:jc w:val="center"/>
              <w:rPr>
                <w:rFonts w:cs="Arial"/>
                <w:b/>
                <w:bCs/>
                <w:lang w:eastAsia="en-GB"/>
              </w:rPr>
            </w:pPr>
          </w:p>
        </w:tc>
      </w:tr>
    </w:tbl>
    <w:p w:rsidR="00C333CE" w:rsidRDefault="00C333CE">
      <w:r>
        <w:br w:type="page"/>
      </w:r>
    </w:p>
    <w:tbl>
      <w:tblPr>
        <w:tblW w:w="10065" w:type="dxa"/>
        <w:tblInd w:w="-176" w:type="dxa"/>
        <w:tblBorders>
          <w:left w:val="single" w:sz="4" w:space="0" w:color="auto"/>
          <w:bottom w:val="single" w:sz="4" w:space="0" w:color="auto"/>
          <w:right w:val="single" w:sz="4" w:space="0" w:color="auto"/>
        </w:tblBorders>
        <w:tblLayout w:type="fixed"/>
        <w:tblLook w:val="00A0"/>
      </w:tblPr>
      <w:tblGrid>
        <w:gridCol w:w="10065"/>
      </w:tblGrid>
      <w:tr w:rsidR="0058221A" w:rsidRPr="00677B2B" w:rsidTr="00AE7AB3">
        <w:trPr>
          <w:trHeight w:val="600"/>
        </w:trPr>
        <w:tc>
          <w:tcPr>
            <w:tcW w:w="10065" w:type="dxa"/>
            <w:tcBorders>
              <w:bottom w:val="single" w:sz="4" w:space="0" w:color="auto"/>
            </w:tcBorders>
            <w:shd w:val="clear" w:color="000000" w:fill="C0C0C0"/>
            <w:vAlign w:val="center"/>
          </w:tcPr>
          <w:p w:rsidR="0058221A" w:rsidRPr="00997399" w:rsidRDefault="0058221A" w:rsidP="00997399">
            <w:pPr>
              <w:pStyle w:val="ListParagraph"/>
              <w:numPr>
                <w:ilvl w:val="0"/>
                <w:numId w:val="4"/>
              </w:numPr>
              <w:spacing w:after="0" w:line="240" w:lineRule="auto"/>
              <w:rPr>
                <w:rFonts w:cs="Arial"/>
                <w:b/>
                <w:bCs/>
                <w:lang w:eastAsia="en-GB"/>
              </w:rPr>
            </w:pPr>
            <w:r w:rsidRPr="00997399">
              <w:rPr>
                <w:rFonts w:cs="Arial"/>
                <w:b/>
                <w:bCs/>
                <w:lang w:eastAsia="en-GB"/>
              </w:rPr>
              <w:lastRenderedPageBreak/>
              <w:t>Reduce the number of falls in community hospitals and older people’s mental  health wards by 10% by March 2013 (national priority)</w:t>
            </w:r>
          </w:p>
          <w:p w:rsidR="0058221A" w:rsidRDefault="0058221A" w:rsidP="00997399">
            <w:pPr>
              <w:spacing w:after="0" w:line="240" w:lineRule="auto"/>
              <w:rPr>
                <w:rFonts w:cs="Arial"/>
                <w:b/>
                <w:bCs/>
                <w:lang w:eastAsia="en-GB"/>
              </w:rPr>
            </w:pPr>
          </w:p>
          <w:p w:rsidR="0058221A" w:rsidRDefault="00ED35B9" w:rsidP="00AD7279">
            <w:pPr>
              <w:spacing w:after="0" w:line="240" w:lineRule="auto"/>
              <w:jc w:val="center"/>
              <w:rPr>
                <w:rFonts w:cs="Arial"/>
                <w:b/>
                <w:bCs/>
                <w:lang w:eastAsia="en-GB"/>
              </w:rPr>
            </w:pPr>
            <w:r w:rsidRPr="00ED35B9">
              <w:rPr>
                <w:rFonts w:cs="Arial"/>
                <w:b/>
                <w:bCs/>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3B28" w:rsidRDefault="006B3B28" w:rsidP="006B3B28">
            <w:pPr>
              <w:spacing w:after="0" w:line="240" w:lineRule="auto"/>
              <w:ind w:left="743"/>
              <w:rPr>
                <w:rFonts w:cs="Arial"/>
                <w:b/>
                <w:bCs/>
                <w:lang w:eastAsia="en-GB"/>
              </w:rPr>
            </w:pPr>
          </w:p>
          <w:p w:rsidR="006B3B28" w:rsidRPr="006B3B28" w:rsidRDefault="006B3B28" w:rsidP="006B3B28">
            <w:pPr>
              <w:spacing w:after="0" w:line="240" w:lineRule="auto"/>
              <w:ind w:left="743"/>
              <w:rPr>
                <w:rFonts w:cs="Arial"/>
                <w:bCs/>
                <w:lang w:eastAsia="en-GB"/>
              </w:rPr>
            </w:pPr>
            <w:r w:rsidRPr="006B3B28">
              <w:rPr>
                <w:rFonts w:cs="Arial"/>
                <w:bCs/>
                <w:lang w:eastAsia="en-GB"/>
              </w:rPr>
              <w:t>Note</w:t>
            </w:r>
            <w:r>
              <w:rPr>
                <w:rFonts w:cs="Arial"/>
                <w:bCs/>
                <w:lang w:eastAsia="en-GB"/>
              </w:rPr>
              <w:t xml:space="preserve"> that since </w:t>
            </w:r>
            <w:r w:rsidR="00ED35B9">
              <w:rPr>
                <w:rFonts w:cs="Arial"/>
                <w:bCs/>
                <w:lang w:eastAsia="en-GB"/>
              </w:rPr>
              <w:t>7</w:t>
            </w:r>
            <w:r w:rsidRPr="006B3B28">
              <w:rPr>
                <w:rFonts w:cs="Arial"/>
                <w:bCs/>
                <w:vertAlign w:val="superscript"/>
                <w:lang w:eastAsia="en-GB"/>
              </w:rPr>
              <w:t>th</w:t>
            </w:r>
            <w:r>
              <w:rPr>
                <w:rFonts w:cs="Arial"/>
                <w:bCs/>
                <w:lang w:eastAsia="en-GB"/>
              </w:rPr>
              <w:t xml:space="preserve"> August, the same reporting system (Safeguard) is used for both mental health and community falls, replacing the previous separate </w:t>
            </w:r>
            <w:r w:rsidR="00ED35B9">
              <w:rPr>
                <w:rFonts w:cs="Arial"/>
                <w:bCs/>
                <w:lang w:eastAsia="en-GB"/>
              </w:rPr>
              <w:t>statistics</w:t>
            </w:r>
            <w:r>
              <w:rPr>
                <w:rFonts w:cs="Arial"/>
                <w:bCs/>
                <w:lang w:eastAsia="en-GB"/>
              </w:rPr>
              <w:t xml:space="preserve">.  The number of falls after that date is represented by the “combined” figure in the </w:t>
            </w:r>
            <w:r w:rsidR="00ED35B9">
              <w:rPr>
                <w:rFonts w:cs="Arial"/>
                <w:bCs/>
                <w:lang w:eastAsia="en-GB"/>
              </w:rPr>
              <w:t>second quarter for 2011/12.</w:t>
            </w:r>
          </w:p>
          <w:p w:rsidR="0058221A" w:rsidRPr="00637A68" w:rsidRDefault="0058221A" w:rsidP="00997399">
            <w:pPr>
              <w:spacing w:after="0" w:line="240" w:lineRule="auto"/>
              <w:rPr>
                <w:rFonts w:cs="Arial"/>
                <w:b/>
                <w:bCs/>
                <w:lang w:eastAsia="en-GB"/>
              </w:rPr>
            </w:pPr>
          </w:p>
        </w:tc>
      </w:tr>
    </w:tbl>
    <w:p w:rsidR="0058221A" w:rsidRDefault="0058221A" w:rsidP="00187092"/>
    <w:p w:rsidR="0058221A" w:rsidRDefault="0058221A" w:rsidP="00187092">
      <w:r>
        <w:br w:type="page"/>
      </w:r>
    </w:p>
    <w:p w:rsidR="0058221A" w:rsidRDefault="0058221A" w:rsidP="00187092"/>
    <w:tbl>
      <w:tblPr>
        <w:tblW w:w="10065" w:type="dxa"/>
        <w:tblInd w:w="-176" w:type="dxa"/>
        <w:tblBorders>
          <w:left w:val="single" w:sz="4" w:space="0" w:color="auto"/>
          <w:bottom w:val="single" w:sz="4" w:space="0" w:color="auto"/>
          <w:right w:val="single" w:sz="4" w:space="0" w:color="auto"/>
        </w:tblBorders>
        <w:tblLayout w:type="fixed"/>
        <w:tblLook w:val="00A0"/>
      </w:tblPr>
      <w:tblGrid>
        <w:gridCol w:w="4679"/>
        <w:gridCol w:w="4961"/>
        <w:gridCol w:w="425"/>
      </w:tblGrid>
      <w:tr w:rsidR="0058221A" w:rsidRPr="00677B2B" w:rsidTr="007331B5">
        <w:trPr>
          <w:trHeight w:val="600"/>
        </w:trPr>
        <w:tc>
          <w:tcPr>
            <w:tcW w:w="4679" w:type="dxa"/>
            <w:tcBorders>
              <w:top w:val="single" w:sz="4" w:space="0" w:color="auto"/>
              <w:bottom w:val="single" w:sz="4" w:space="0" w:color="auto"/>
            </w:tcBorders>
            <w:shd w:val="clear" w:color="auto" w:fill="BFBFBF"/>
            <w:noWrap/>
            <w:vAlign w:val="center"/>
          </w:tcPr>
          <w:p w:rsidR="0058221A" w:rsidRPr="00637A68" w:rsidRDefault="0058221A" w:rsidP="00997399">
            <w:pPr>
              <w:spacing w:after="0" w:line="240" w:lineRule="auto"/>
              <w:rPr>
                <w:rFonts w:ascii="Arial" w:hAnsi="Arial" w:cs="Arial"/>
                <w:b/>
                <w:bCs/>
                <w:sz w:val="24"/>
                <w:szCs w:val="24"/>
                <w:lang w:eastAsia="en-GB"/>
              </w:rPr>
            </w:pPr>
            <w:r w:rsidRPr="00637A68">
              <w:rPr>
                <w:rFonts w:ascii="Arial" w:hAnsi="Arial" w:cs="Arial"/>
                <w:b/>
                <w:bCs/>
                <w:sz w:val="24"/>
                <w:szCs w:val="24"/>
                <w:lang w:eastAsia="en-GB"/>
              </w:rPr>
              <w:t xml:space="preserve">Actions </w:t>
            </w:r>
          </w:p>
        </w:tc>
        <w:tc>
          <w:tcPr>
            <w:tcW w:w="4961" w:type="dxa"/>
            <w:tcBorders>
              <w:top w:val="single" w:sz="4" w:space="0" w:color="auto"/>
              <w:bottom w:val="single" w:sz="4" w:space="0" w:color="auto"/>
            </w:tcBorders>
            <w:shd w:val="clear" w:color="auto" w:fill="BFBFBF"/>
            <w:noWrap/>
            <w:vAlign w:val="center"/>
          </w:tcPr>
          <w:p w:rsidR="0058221A" w:rsidRPr="00637A68" w:rsidRDefault="0058221A" w:rsidP="00997399">
            <w:pPr>
              <w:spacing w:after="0" w:line="240" w:lineRule="auto"/>
              <w:rPr>
                <w:rFonts w:ascii="Arial" w:hAnsi="Arial" w:cs="Arial"/>
                <w:b/>
                <w:bCs/>
                <w:sz w:val="24"/>
                <w:szCs w:val="24"/>
                <w:lang w:eastAsia="en-GB"/>
              </w:rPr>
            </w:pPr>
            <w:r w:rsidRPr="00637A68">
              <w:rPr>
                <w:rFonts w:ascii="Arial" w:hAnsi="Arial" w:cs="Arial"/>
                <w:b/>
                <w:bCs/>
                <w:sz w:val="24"/>
                <w:szCs w:val="24"/>
                <w:lang w:eastAsia="en-GB"/>
              </w:rPr>
              <w:t>Present Situation</w:t>
            </w:r>
          </w:p>
        </w:tc>
        <w:tc>
          <w:tcPr>
            <w:tcW w:w="425" w:type="dxa"/>
            <w:tcBorders>
              <w:top w:val="single" w:sz="4" w:space="0" w:color="auto"/>
              <w:bottom w:val="nil"/>
            </w:tcBorders>
            <w:shd w:val="clear" w:color="auto" w:fill="BFBFBF"/>
          </w:tcPr>
          <w:p w:rsidR="0058221A" w:rsidRPr="00637A68" w:rsidRDefault="0058221A" w:rsidP="00997399">
            <w:pPr>
              <w:spacing w:after="0" w:line="240" w:lineRule="auto"/>
              <w:rPr>
                <w:rFonts w:ascii="Arial" w:hAnsi="Arial" w:cs="Arial"/>
                <w:b/>
                <w:bCs/>
                <w:sz w:val="24"/>
                <w:szCs w:val="24"/>
                <w:lang w:eastAsia="en-GB"/>
              </w:rPr>
            </w:pPr>
          </w:p>
        </w:tc>
      </w:tr>
      <w:tr w:rsidR="007331B5" w:rsidRPr="00677B2B" w:rsidTr="007331B5">
        <w:trPr>
          <w:trHeight w:val="573"/>
        </w:trPr>
        <w:tc>
          <w:tcPr>
            <w:tcW w:w="4679" w:type="dxa"/>
            <w:vMerge w:val="restart"/>
            <w:tcBorders>
              <w:top w:val="single" w:sz="4" w:space="0" w:color="auto"/>
            </w:tcBorders>
          </w:tcPr>
          <w:p w:rsidR="007331B5" w:rsidRPr="00677B2B" w:rsidRDefault="007331B5">
            <w:pPr>
              <w:rPr>
                <w:rFonts w:cs="Arial"/>
                <w:sz w:val="20"/>
                <w:szCs w:val="20"/>
              </w:rPr>
            </w:pPr>
            <w:r w:rsidRPr="00677B2B">
              <w:rPr>
                <w:rFonts w:cs="Arial"/>
                <w:sz w:val="20"/>
                <w:szCs w:val="20"/>
              </w:rPr>
              <w:t>Preventing avoidable skin breakdown which can lead to pressure ulcers.  85% of patients will be assessed for pressure ulcer risk on first visit or within 6 hours of admission, and will have actions identified on the key risk factors and preventative measures implemented within 2 days (commissioning priority)</w:t>
            </w:r>
          </w:p>
        </w:tc>
        <w:tc>
          <w:tcPr>
            <w:tcW w:w="4961" w:type="dxa"/>
            <w:tcBorders>
              <w:top w:val="single" w:sz="4" w:space="0" w:color="auto"/>
              <w:bottom w:val="nil"/>
            </w:tcBorders>
          </w:tcPr>
          <w:p w:rsidR="007331B5" w:rsidRPr="00B70CD3" w:rsidRDefault="007331B5" w:rsidP="007331B5">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Community Nursing: 95% of patients were assessed for PU risk on their first visit in Q2 </w:t>
            </w:r>
          </w:p>
        </w:tc>
        <w:tc>
          <w:tcPr>
            <w:tcW w:w="425" w:type="dxa"/>
            <w:tcBorders>
              <w:top w:val="nil"/>
              <w:bottom w:val="nil"/>
            </w:tcBorders>
            <w:shd w:val="clear" w:color="auto" w:fill="00B050"/>
          </w:tcPr>
          <w:p w:rsidR="007331B5" w:rsidRPr="00D936C8" w:rsidRDefault="007331B5" w:rsidP="00D936C8">
            <w:pPr>
              <w:spacing w:after="0" w:line="240" w:lineRule="auto"/>
              <w:ind w:left="175"/>
              <w:rPr>
                <w:rFonts w:cs="Arial"/>
                <w:color w:val="FFC000"/>
                <w:sz w:val="20"/>
                <w:szCs w:val="20"/>
                <w:lang w:eastAsia="en-GB"/>
              </w:rPr>
            </w:pPr>
          </w:p>
        </w:tc>
      </w:tr>
      <w:tr w:rsidR="007331B5" w:rsidRPr="00677B2B" w:rsidTr="007331B5">
        <w:trPr>
          <w:trHeight w:val="900"/>
        </w:trPr>
        <w:tc>
          <w:tcPr>
            <w:tcW w:w="4679" w:type="dxa"/>
            <w:vMerge/>
          </w:tcPr>
          <w:p w:rsidR="007331B5" w:rsidRPr="00677B2B" w:rsidRDefault="007331B5">
            <w:pPr>
              <w:rPr>
                <w:rFonts w:cs="Arial"/>
                <w:sz w:val="20"/>
                <w:szCs w:val="20"/>
              </w:rPr>
            </w:pPr>
          </w:p>
        </w:tc>
        <w:tc>
          <w:tcPr>
            <w:tcW w:w="4961" w:type="dxa"/>
            <w:tcBorders>
              <w:top w:val="nil"/>
              <w:bottom w:val="nil"/>
            </w:tcBorders>
          </w:tcPr>
          <w:p w:rsidR="007331B5" w:rsidRPr="00B70CD3" w:rsidRDefault="007331B5" w:rsidP="007331B5">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Community Hospitals: 84% of patients were assessed for PU risk within 6 hours of admission</w:t>
            </w:r>
          </w:p>
          <w:p w:rsidR="007331B5" w:rsidRPr="00B70CD3" w:rsidRDefault="007331B5" w:rsidP="007331B5">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Quarterly documentation audit (30 sets of notes) being carried out to identify compliance with this target. The KPI for this was set at 75%. </w:t>
            </w:r>
          </w:p>
          <w:p w:rsidR="007331B5" w:rsidRPr="00B70CD3" w:rsidRDefault="007331B5" w:rsidP="007331B5">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The Q1 audit has just been completed – Out of the 30 sets of notes only 33% of patients had been assessed within the recommended timescale’.  Key risk factors were not always addressed or there was no evidence of this in the notes. </w:t>
            </w:r>
          </w:p>
          <w:p w:rsidR="007331B5" w:rsidRPr="00B70CD3" w:rsidRDefault="007331B5" w:rsidP="007331B5">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An action plan is in place to address these issues. Previous audits (pre 2011/12) demonstrated compliance of 78% and 56% respectively. </w:t>
            </w:r>
          </w:p>
          <w:p w:rsidR="007331B5" w:rsidRPr="00B70CD3" w:rsidRDefault="007331B5" w:rsidP="007331B5">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The new risk tool format which will ‘simplify’ the risk assessment process may improve compliance figures.</w:t>
            </w:r>
          </w:p>
          <w:p w:rsidR="00451F19" w:rsidRPr="00B70CD3" w:rsidRDefault="00451F19" w:rsidP="00451F19">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FFC000"/>
          </w:tcPr>
          <w:p w:rsidR="007331B5" w:rsidRPr="00D936C8" w:rsidRDefault="007331B5" w:rsidP="00D936C8">
            <w:pPr>
              <w:spacing w:after="0" w:line="240" w:lineRule="auto"/>
              <w:ind w:left="175"/>
              <w:rPr>
                <w:rFonts w:cs="Arial"/>
                <w:color w:val="FFC000"/>
                <w:sz w:val="20"/>
                <w:szCs w:val="20"/>
                <w:lang w:eastAsia="en-GB"/>
              </w:rPr>
            </w:pPr>
          </w:p>
        </w:tc>
      </w:tr>
      <w:tr w:rsidR="0058221A" w:rsidRPr="00677B2B" w:rsidTr="007331B5">
        <w:trPr>
          <w:trHeight w:val="912"/>
        </w:trPr>
        <w:tc>
          <w:tcPr>
            <w:tcW w:w="4679" w:type="dxa"/>
          </w:tcPr>
          <w:p w:rsidR="0058221A" w:rsidRPr="00677B2B" w:rsidRDefault="0058221A">
            <w:pPr>
              <w:rPr>
                <w:rFonts w:cs="Arial"/>
                <w:sz w:val="20"/>
                <w:szCs w:val="20"/>
              </w:rPr>
            </w:pPr>
            <w:r w:rsidRPr="00677B2B">
              <w:rPr>
                <w:rFonts w:cs="Arial"/>
                <w:sz w:val="20"/>
                <w:szCs w:val="20"/>
              </w:rPr>
              <w:t>Preventing avoidable serious drug errors in Community Health by 15% from baseline 32 in 2010-11, target 27 (commissioning priority)</w:t>
            </w:r>
          </w:p>
        </w:tc>
        <w:tc>
          <w:tcPr>
            <w:tcW w:w="4961" w:type="dxa"/>
            <w:tcBorders>
              <w:top w:val="nil"/>
            </w:tcBorders>
            <w:noWrap/>
          </w:tcPr>
          <w:p w:rsidR="007331B5" w:rsidRPr="00B70CD3" w:rsidRDefault="007331B5" w:rsidP="00997399">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rPr>
              <w:t xml:space="preserve">There have been 15 severe drug error incidents at Q2 which represents </w:t>
            </w:r>
            <w:proofErr w:type="gramStart"/>
            <w:r w:rsidRPr="00B70CD3">
              <w:rPr>
                <w:rFonts w:cs="Arial"/>
                <w:sz w:val="20"/>
                <w:szCs w:val="20"/>
              </w:rPr>
              <w:t>a</w:t>
            </w:r>
            <w:proofErr w:type="gramEnd"/>
            <w:r w:rsidRPr="00B70CD3">
              <w:rPr>
                <w:rFonts w:cs="Arial"/>
                <w:sz w:val="20"/>
                <w:szCs w:val="20"/>
              </w:rPr>
              <w:t xml:space="preserve"> YTD reduction of 6% against last year’s baseline.  Performance in Q2 was affected by a comparatively high number of incidents in August (6).  </w:t>
            </w:r>
          </w:p>
          <w:p w:rsidR="007331B5" w:rsidRPr="00B70CD3" w:rsidRDefault="007331B5" w:rsidP="00997399">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rPr>
              <w:t xml:space="preserve">It is anticipated that performance will reconcile against plan in Q3.  </w:t>
            </w:r>
          </w:p>
          <w:p w:rsidR="007331B5" w:rsidRPr="00B70CD3" w:rsidRDefault="007331B5" w:rsidP="007331B5">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rPr>
              <w:t xml:space="preserve">An action plan is in place to support a reduction in errors which includes four key elements: </w:t>
            </w:r>
          </w:p>
          <w:p w:rsidR="007331B5" w:rsidRPr="00B70CD3" w:rsidRDefault="007331B5" w:rsidP="007331B5">
            <w:pPr>
              <w:pStyle w:val="ListParagraph"/>
              <w:spacing w:after="0" w:line="240" w:lineRule="auto"/>
              <w:ind w:left="459"/>
              <w:rPr>
                <w:rFonts w:cs="Arial"/>
                <w:sz w:val="20"/>
                <w:szCs w:val="20"/>
              </w:rPr>
            </w:pPr>
            <w:r w:rsidRPr="00B70CD3">
              <w:rPr>
                <w:rFonts w:cs="Arial"/>
                <w:sz w:val="20"/>
                <w:szCs w:val="20"/>
              </w:rPr>
              <w:t xml:space="preserve">(1) Strategy and Policy, </w:t>
            </w:r>
          </w:p>
          <w:p w:rsidR="007331B5" w:rsidRPr="00B70CD3" w:rsidRDefault="007331B5" w:rsidP="007331B5">
            <w:pPr>
              <w:pStyle w:val="ListParagraph"/>
              <w:spacing w:after="0" w:line="240" w:lineRule="auto"/>
              <w:ind w:left="459"/>
              <w:rPr>
                <w:rFonts w:cs="Arial"/>
                <w:sz w:val="20"/>
                <w:szCs w:val="20"/>
              </w:rPr>
            </w:pPr>
            <w:r w:rsidRPr="00B70CD3">
              <w:rPr>
                <w:rFonts w:cs="Arial"/>
                <w:sz w:val="20"/>
                <w:szCs w:val="20"/>
              </w:rPr>
              <w:t xml:space="preserve">(2) Workforce/Training and Competencies, </w:t>
            </w:r>
          </w:p>
          <w:p w:rsidR="007331B5" w:rsidRPr="00B70CD3" w:rsidRDefault="007331B5" w:rsidP="007331B5">
            <w:pPr>
              <w:pStyle w:val="ListParagraph"/>
              <w:spacing w:after="0" w:line="240" w:lineRule="auto"/>
              <w:ind w:left="459"/>
              <w:rPr>
                <w:rFonts w:cs="Arial"/>
                <w:sz w:val="20"/>
                <w:szCs w:val="20"/>
              </w:rPr>
            </w:pPr>
            <w:r w:rsidRPr="00B70CD3">
              <w:rPr>
                <w:rFonts w:cs="Arial"/>
                <w:sz w:val="20"/>
                <w:szCs w:val="20"/>
              </w:rPr>
              <w:t xml:space="preserve">(3) Communication, Management Discussion and Reviews and </w:t>
            </w:r>
          </w:p>
          <w:p w:rsidR="0058221A" w:rsidRPr="00B70CD3" w:rsidRDefault="007331B5" w:rsidP="007331B5">
            <w:pPr>
              <w:pStyle w:val="ListParagraph"/>
              <w:spacing w:after="0" w:line="240" w:lineRule="auto"/>
              <w:ind w:left="459"/>
              <w:rPr>
                <w:rFonts w:cs="Arial"/>
                <w:sz w:val="20"/>
                <w:szCs w:val="20"/>
              </w:rPr>
            </w:pPr>
            <w:r w:rsidRPr="00B70CD3">
              <w:rPr>
                <w:rFonts w:cs="Arial"/>
                <w:sz w:val="20"/>
                <w:szCs w:val="20"/>
              </w:rPr>
              <w:t>(4) Information and Audit.</w:t>
            </w:r>
          </w:p>
          <w:p w:rsidR="00451F19" w:rsidRPr="00B70CD3" w:rsidRDefault="00451F19" w:rsidP="00451F19">
            <w:pPr>
              <w:spacing w:after="0" w:line="240" w:lineRule="auto"/>
              <w:rPr>
                <w:rFonts w:cs="Arial"/>
                <w:sz w:val="20"/>
                <w:szCs w:val="20"/>
                <w:lang w:eastAsia="en-GB"/>
              </w:rPr>
            </w:pPr>
          </w:p>
        </w:tc>
        <w:tc>
          <w:tcPr>
            <w:tcW w:w="425" w:type="dxa"/>
            <w:tcBorders>
              <w:top w:val="nil"/>
              <w:bottom w:val="nil"/>
            </w:tcBorders>
            <w:shd w:val="clear" w:color="auto" w:fill="FFC000"/>
          </w:tcPr>
          <w:p w:rsidR="0058221A" w:rsidRPr="00D936C8" w:rsidRDefault="0058221A" w:rsidP="00D936C8">
            <w:pPr>
              <w:spacing w:after="0" w:line="240" w:lineRule="auto"/>
              <w:ind w:left="175"/>
              <w:rPr>
                <w:rFonts w:cs="Arial"/>
                <w:color w:val="00B050"/>
                <w:sz w:val="20"/>
                <w:szCs w:val="20"/>
                <w:lang w:eastAsia="en-GB"/>
              </w:rPr>
            </w:pPr>
          </w:p>
        </w:tc>
      </w:tr>
      <w:tr w:rsidR="0058221A" w:rsidRPr="00677B2B" w:rsidTr="00AC040C">
        <w:trPr>
          <w:trHeight w:val="1200"/>
        </w:trPr>
        <w:tc>
          <w:tcPr>
            <w:tcW w:w="4679" w:type="dxa"/>
          </w:tcPr>
          <w:p w:rsidR="0058221A" w:rsidRPr="00677B2B" w:rsidRDefault="0058221A" w:rsidP="00AC040C">
            <w:pPr>
              <w:spacing w:after="0"/>
              <w:rPr>
                <w:rFonts w:cs="Arial"/>
                <w:sz w:val="20"/>
                <w:szCs w:val="20"/>
              </w:rPr>
            </w:pPr>
            <w:r w:rsidRPr="00677B2B">
              <w:rPr>
                <w:rFonts w:cs="Arial"/>
                <w:sz w:val="20"/>
                <w:szCs w:val="20"/>
              </w:rPr>
              <w:t>Reduce the number of falls in community hospitals and older people’s mental health wards by 10% by March 2013 (national priority)</w:t>
            </w:r>
          </w:p>
        </w:tc>
        <w:tc>
          <w:tcPr>
            <w:tcW w:w="4961" w:type="dxa"/>
            <w:noWrap/>
          </w:tcPr>
          <w:p w:rsidR="0058221A" w:rsidRPr="00B70CD3" w:rsidRDefault="00AC040C" w:rsidP="00AC040C">
            <w:pPr>
              <w:pStyle w:val="ListParagraph"/>
              <w:numPr>
                <w:ilvl w:val="0"/>
                <w:numId w:val="1"/>
              </w:numPr>
              <w:spacing w:after="0" w:line="240" w:lineRule="auto"/>
              <w:ind w:left="459" w:hanging="284"/>
              <w:rPr>
                <w:rFonts w:cs="Arial"/>
                <w:sz w:val="20"/>
                <w:szCs w:val="20"/>
              </w:rPr>
            </w:pPr>
            <w:r w:rsidRPr="00B70CD3">
              <w:rPr>
                <w:rFonts w:cs="Arial"/>
                <w:sz w:val="20"/>
                <w:szCs w:val="20"/>
              </w:rPr>
              <w:t>Community Hospital falls have reduced by 6% YTD against the 10/11 baseline. This is a positive achievement as the number of reported falls per 1000 bed days is significantly below the national average.</w:t>
            </w:r>
          </w:p>
          <w:p w:rsidR="00451F19" w:rsidRPr="00B70CD3" w:rsidRDefault="00451F19" w:rsidP="00451F19">
            <w:pPr>
              <w:pStyle w:val="ListParagraph"/>
              <w:spacing w:after="0" w:line="240" w:lineRule="auto"/>
              <w:ind w:left="459"/>
              <w:rPr>
                <w:rFonts w:cs="Arial"/>
                <w:sz w:val="20"/>
                <w:szCs w:val="20"/>
              </w:rPr>
            </w:pPr>
          </w:p>
        </w:tc>
        <w:tc>
          <w:tcPr>
            <w:tcW w:w="425" w:type="dxa"/>
            <w:tcBorders>
              <w:bottom w:val="nil"/>
            </w:tcBorders>
            <w:shd w:val="clear" w:color="auto" w:fill="FFC000"/>
          </w:tcPr>
          <w:p w:rsidR="0058221A" w:rsidRPr="00D936C8" w:rsidRDefault="0058221A" w:rsidP="00D936C8">
            <w:pPr>
              <w:spacing w:after="0" w:line="240" w:lineRule="auto"/>
              <w:ind w:left="175"/>
              <w:rPr>
                <w:rFonts w:cs="Arial"/>
                <w:color w:val="FFC000"/>
                <w:sz w:val="20"/>
                <w:szCs w:val="20"/>
                <w:lang w:eastAsia="en-GB"/>
              </w:rPr>
            </w:pPr>
          </w:p>
        </w:tc>
      </w:tr>
      <w:tr w:rsidR="0058221A" w:rsidRPr="00677B2B" w:rsidTr="00451F19">
        <w:trPr>
          <w:trHeight w:val="788"/>
        </w:trPr>
        <w:tc>
          <w:tcPr>
            <w:tcW w:w="4679" w:type="dxa"/>
            <w:vMerge w:val="restart"/>
          </w:tcPr>
          <w:p w:rsidR="0058221A" w:rsidRPr="00677B2B" w:rsidRDefault="0058221A">
            <w:pPr>
              <w:rPr>
                <w:rFonts w:cs="Arial"/>
                <w:sz w:val="20"/>
                <w:szCs w:val="20"/>
              </w:rPr>
            </w:pPr>
            <w:r w:rsidRPr="00677B2B">
              <w:rPr>
                <w:rFonts w:cs="Arial"/>
                <w:sz w:val="20"/>
                <w:szCs w:val="20"/>
              </w:rPr>
              <w:t>To achieve falls prevention that is better than the national comparison for falls to 8.6 falls per 1000 bed days by 2014</w:t>
            </w:r>
          </w:p>
        </w:tc>
        <w:tc>
          <w:tcPr>
            <w:tcW w:w="4961" w:type="dxa"/>
          </w:tcPr>
          <w:p w:rsidR="00AC040C" w:rsidRPr="00B70CD3" w:rsidRDefault="0058221A" w:rsidP="00AC040C">
            <w:pPr>
              <w:pStyle w:val="ListParagraph"/>
              <w:numPr>
                <w:ilvl w:val="0"/>
                <w:numId w:val="1"/>
              </w:numPr>
              <w:spacing w:after="0" w:line="240" w:lineRule="auto"/>
              <w:ind w:left="459" w:hanging="284"/>
              <w:rPr>
                <w:rFonts w:cs="Arial"/>
                <w:sz w:val="20"/>
                <w:szCs w:val="20"/>
              </w:rPr>
            </w:pPr>
            <w:r w:rsidRPr="00B70CD3">
              <w:rPr>
                <w:rFonts w:cs="Arial"/>
                <w:sz w:val="20"/>
                <w:szCs w:val="20"/>
              </w:rPr>
              <w:t xml:space="preserve">All patients with 2 or more falls are referred to falls team for assessment.  </w:t>
            </w:r>
          </w:p>
          <w:p w:rsidR="0058221A" w:rsidRPr="00B70CD3" w:rsidRDefault="00AC040C" w:rsidP="00AC040C">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rPr>
              <w:t>Figures as above</w:t>
            </w:r>
          </w:p>
        </w:tc>
        <w:tc>
          <w:tcPr>
            <w:tcW w:w="425" w:type="dxa"/>
            <w:tcBorders>
              <w:bottom w:val="nil"/>
            </w:tcBorders>
            <w:shd w:val="clear" w:color="auto" w:fill="FFC000"/>
          </w:tcPr>
          <w:p w:rsidR="0058221A" w:rsidRPr="00D936C8" w:rsidRDefault="0058221A" w:rsidP="00D936C8">
            <w:pPr>
              <w:spacing w:after="0" w:line="240" w:lineRule="auto"/>
              <w:ind w:left="360"/>
              <w:rPr>
                <w:rFonts w:cs="Arial"/>
                <w:color w:val="FFC000"/>
                <w:sz w:val="20"/>
                <w:szCs w:val="20"/>
                <w:lang w:eastAsia="en-GB"/>
              </w:rPr>
            </w:pPr>
          </w:p>
        </w:tc>
      </w:tr>
      <w:tr w:rsidR="0058221A" w:rsidRPr="00677B2B" w:rsidTr="00451F19">
        <w:trPr>
          <w:trHeight w:val="559"/>
        </w:trPr>
        <w:tc>
          <w:tcPr>
            <w:tcW w:w="4679" w:type="dxa"/>
            <w:vMerge/>
          </w:tcPr>
          <w:p w:rsidR="0058221A" w:rsidRPr="00677B2B" w:rsidRDefault="0058221A">
            <w:pPr>
              <w:rPr>
                <w:rFonts w:cs="Arial"/>
                <w:sz w:val="20"/>
                <w:szCs w:val="20"/>
              </w:rPr>
            </w:pPr>
          </w:p>
        </w:tc>
        <w:tc>
          <w:tcPr>
            <w:tcW w:w="4961" w:type="dxa"/>
          </w:tcPr>
          <w:p w:rsidR="0058221A" w:rsidRPr="00B70CD3" w:rsidRDefault="00ED35B9" w:rsidP="00ED35B9">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Mental Health – MH older adults </w:t>
            </w:r>
            <w:proofErr w:type="gramStart"/>
            <w:r w:rsidRPr="00B70CD3">
              <w:rPr>
                <w:rFonts w:cs="Arial"/>
                <w:sz w:val="20"/>
                <w:szCs w:val="20"/>
                <w:lang w:eastAsia="en-GB"/>
              </w:rPr>
              <w:t>falls</w:t>
            </w:r>
            <w:proofErr w:type="gramEnd"/>
            <w:r w:rsidRPr="00B70CD3">
              <w:rPr>
                <w:rFonts w:cs="Arial"/>
                <w:sz w:val="20"/>
                <w:szCs w:val="20"/>
                <w:lang w:eastAsia="en-GB"/>
              </w:rPr>
              <w:t xml:space="preserve"> risk assessed on admission. Falls prevention planning in place.</w:t>
            </w:r>
          </w:p>
        </w:tc>
        <w:tc>
          <w:tcPr>
            <w:tcW w:w="425" w:type="dxa"/>
            <w:tcBorders>
              <w:top w:val="nil"/>
              <w:bottom w:val="nil"/>
            </w:tcBorders>
            <w:shd w:val="clear" w:color="auto" w:fill="FFC000"/>
          </w:tcPr>
          <w:p w:rsidR="0058221A" w:rsidRPr="00D936C8" w:rsidRDefault="0058221A" w:rsidP="00D936C8">
            <w:pPr>
              <w:spacing w:after="0" w:line="240" w:lineRule="auto"/>
              <w:ind w:left="360"/>
              <w:rPr>
                <w:rFonts w:cs="Arial"/>
                <w:color w:val="FFC000"/>
                <w:sz w:val="20"/>
                <w:szCs w:val="20"/>
                <w:lang w:eastAsia="en-GB"/>
              </w:rPr>
            </w:pPr>
          </w:p>
        </w:tc>
      </w:tr>
      <w:tr w:rsidR="0058221A" w:rsidRPr="00677B2B" w:rsidTr="00ED35B9">
        <w:trPr>
          <w:trHeight w:val="900"/>
        </w:trPr>
        <w:tc>
          <w:tcPr>
            <w:tcW w:w="4679" w:type="dxa"/>
            <w:vMerge w:val="restart"/>
          </w:tcPr>
          <w:p w:rsidR="0058221A" w:rsidRPr="00677B2B" w:rsidRDefault="0058221A">
            <w:pPr>
              <w:rPr>
                <w:rFonts w:cs="Arial"/>
                <w:sz w:val="20"/>
                <w:szCs w:val="20"/>
              </w:rPr>
            </w:pPr>
            <w:r w:rsidRPr="00677B2B">
              <w:rPr>
                <w:rFonts w:cs="Arial"/>
                <w:sz w:val="20"/>
                <w:szCs w:val="20"/>
              </w:rPr>
              <w:t xml:space="preserve">At least 85% of all patients over 75 years of age are assessed for falls and nutrition risks in </w:t>
            </w:r>
            <w:smartTag w:uri="urn:schemas-microsoft-com:office:smarttags" w:element="place">
              <w:smartTag w:uri="urn:schemas-microsoft-com:office:smarttags" w:element="PlaceName">
                <w:r w:rsidRPr="00677B2B">
                  <w:rPr>
                    <w:rFonts w:cs="Arial"/>
                    <w:sz w:val="20"/>
                    <w:szCs w:val="20"/>
                  </w:rPr>
                  <w:t>Community</w:t>
                </w:r>
              </w:smartTag>
              <w:r w:rsidRPr="00677B2B">
                <w:rPr>
                  <w:rFonts w:cs="Arial"/>
                  <w:sz w:val="20"/>
                  <w:szCs w:val="20"/>
                </w:rPr>
                <w:t xml:space="preserve"> </w:t>
              </w:r>
              <w:smartTag w:uri="urn:schemas-microsoft-com:office:smarttags" w:element="PlaceType">
                <w:r w:rsidRPr="00677B2B">
                  <w:rPr>
                    <w:rFonts w:cs="Arial"/>
                    <w:sz w:val="20"/>
                    <w:szCs w:val="20"/>
                  </w:rPr>
                  <w:t>Hospitals</w:t>
                </w:r>
              </w:smartTag>
            </w:smartTag>
            <w:r w:rsidRPr="00677B2B">
              <w:rPr>
                <w:rFonts w:cs="Arial"/>
                <w:sz w:val="20"/>
                <w:szCs w:val="20"/>
              </w:rPr>
              <w:t xml:space="preserve"> and Older Adult Mental Health wards (commissioning priority)</w:t>
            </w:r>
          </w:p>
        </w:tc>
        <w:tc>
          <w:tcPr>
            <w:tcW w:w="4961" w:type="dxa"/>
            <w:noWrap/>
          </w:tcPr>
          <w:p w:rsidR="0058221A" w:rsidRPr="00B70CD3" w:rsidRDefault="0058221A" w:rsidP="00E82007">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Quarterly MUST audit </w:t>
            </w:r>
            <w:proofErr w:type="gramStart"/>
            <w:r w:rsidRPr="00B70CD3">
              <w:rPr>
                <w:rFonts w:cs="Arial"/>
                <w:sz w:val="20"/>
                <w:szCs w:val="20"/>
                <w:lang w:eastAsia="en-GB"/>
              </w:rPr>
              <w:t>has</w:t>
            </w:r>
            <w:proofErr w:type="gramEnd"/>
            <w:r w:rsidRPr="00B70CD3">
              <w:rPr>
                <w:rFonts w:cs="Arial"/>
                <w:sz w:val="20"/>
                <w:szCs w:val="20"/>
                <w:lang w:eastAsia="en-GB"/>
              </w:rPr>
              <w:t xml:space="preserve"> been completed with 93% of patients having been scored and monitored.  </w:t>
            </w:r>
          </w:p>
          <w:p w:rsidR="00E82007" w:rsidRPr="00B70CD3" w:rsidRDefault="00E82007" w:rsidP="00E82007">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rPr>
              <w:t>Figures as above</w:t>
            </w:r>
          </w:p>
        </w:tc>
        <w:tc>
          <w:tcPr>
            <w:tcW w:w="425" w:type="dxa"/>
            <w:tcBorders>
              <w:bottom w:val="nil"/>
            </w:tcBorders>
            <w:shd w:val="clear" w:color="auto" w:fill="00B050"/>
          </w:tcPr>
          <w:p w:rsidR="0058221A" w:rsidRPr="00D936C8" w:rsidRDefault="0058221A" w:rsidP="00D936C8">
            <w:pPr>
              <w:spacing w:after="0" w:line="240" w:lineRule="auto"/>
              <w:ind w:left="175"/>
              <w:rPr>
                <w:rFonts w:cs="Arial"/>
                <w:color w:val="00B050"/>
                <w:sz w:val="20"/>
                <w:szCs w:val="20"/>
                <w:lang w:eastAsia="en-GB"/>
              </w:rPr>
            </w:pPr>
          </w:p>
        </w:tc>
      </w:tr>
      <w:tr w:rsidR="0058221A" w:rsidRPr="00677B2B" w:rsidTr="00ED35B9">
        <w:trPr>
          <w:trHeight w:val="550"/>
        </w:trPr>
        <w:tc>
          <w:tcPr>
            <w:tcW w:w="4679" w:type="dxa"/>
            <w:vMerge/>
          </w:tcPr>
          <w:p w:rsidR="0058221A" w:rsidRPr="00677B2B" w:rsidRDefault="0058221A">
            <w:pPr>
              <w:rPr>
                <w:rFonts w:cs="Arial"/>
                <w:sz w:val="20"/>
                <w:szCs w:val="20"/>
              </w:rPr>
            </w:pPr>
          </w:p>
        </w:tc>
        <w:tc>
          <w:tcPr>
            <w:tcW w:w="4961" w:type="dxa"/>
            <w:noWrap/>
          </w:tcPr>
          <w:p w:rsidR="0058221A" w:rsidRPr="00B70CD3" w:rsidRDefault="00ED35B9" w:rsidP="00997399">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Mental Health – All Older adults assessed for falls risk on admission reviewed weekly or if status changes</w:t>
            </w:r>
          </w:p>
        </w:tc>
        <w:tc>
          <w:tcPr>
            <w:tcW w:w="425" w:type="dxa"/>
            <w:tcBorders>
              <w:top w:val="nil"/>
              <w:bottom w:val="nil"/>
            </w:tcBorders>
            <w:shd w:val="clear" w:color="auto" w:fill="FFC000"/>
          </w:tcPr>
          <w:p w:rsidR="0058221A" w:rsidRPr="00D936C8" w:rsidRDefault="0058221A" w:rsidP="00D936C8">
            <w:pPr>
              <w:spacing w:after="0" w:line="240" w:lineRule="auto"/>
              <w:ind w:left="175"/>
              <w:rPr>
                <w:rFonts w:cs="Arial"/>
                <w:color w:val="00B050"/>
                <w:sz w:val="20"/>
                <w:szCs w:val="20"/>
                <w:lang w:eastAsia="en-GB"/>
              </w:rPr>
            </w:pPr>
          </w:p>
        </w:tc>
      </w:tr>
      <w:tr w:rsidR="00E82007" w:rsidRPr="00677B2B" w:rsidTr="00E82007">
        <w:trPr>
          <w:trHeight w:val="851"/>
        </w:trPr>
        <w:tc>
          <w:tcPr>
            <w:tcW w:w="4679" w:type="dxa"/>
            <w:vMerge w:val="restart"/>
          </w:tcPr>
          <w:p w:rsidR="00E82007" w:rsidRPr="00677B2B" w:rsidRDefault="00E82007">
            <w:pPr>
              <w:rPr>
                <w:rFonts w:cs="Arial"/>
                <w:sz w:val="20"/>
                <w:szCs w:val="20"/>
              </w:rPr>
            </w:pPr>
            <w:r w:rsidRPr="00677B2B">
              <w:rPr>
                <w:rFonts w:cs="Arial"/>
                <w:sz w:val="20"/>
                <w:szCs w:val="20"/>
              </w:rPr>
              <w:lastRenderedPageBreak/>
              <w:t>At least 85% of patients over 75 years old in Community Hospitals have been  assessed for dementia and depression (commissioning priority)</w:t>
            </w:r>
          </w:p>
        </w:tc>
        <w:tc>
          <w:tcPr>
            <w:tcW w:w="4961" w:type="dxa"/>
          </w:tcPr>
          <w:p w:rsidR="00E82007" w:rsidRPr="00B70CD3" w:rsidRDefault="00E82007" w:rsidP="00E82007">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On-going work around dementia pathway.  Looking to appoint dual trained nurses with appropriate skills to assess for dementia and depression.  </w:t>
            </w:r>
          </w:p>
        </w:tc>
        <w:tc>
          <w:tcPr>
            <w:tcW w:w="425" w:type="dxa"/>
            <w:tcBorders>
              <w:bottom w:val="nil"/>
            </w:tcBorders>
            <w:shd w:val="clear" w:color="auto" w:fill="FFC000"/>
          </w:tcPr>
          <w:p w:rsidR="00E82007" w:rsidRPr="00D936C8" w:rsidRDefault="00E82007" w:rsidP="00D936C8">
            <w:pPr>
              <w:spacing w:after="0" w:line="240" w:lineRule="auto"/>
              <w:ind w:left="175"/>
              <w:rPr>
                <w:rFonts w:cs="Arial"/>
                <w:color w:val="FFC000"/>
                <w:sz w:val="20"/>
                <w:szCs w:val="20"/>
                <w:lang w:eastAsia="en-GB"/>
              </w:rPr>
            </w:pPr>
          </w:p>
        </w:tc>
      </w:tr>
      <w:tr w:rsidR="00E82007" w:rsidRPr="00677B2B" w:rsidTr="00B70CD3">
        <w:trPr>
          <w:trHeight w:val="600"/>
        </w:trPr>
        <w:tc>
          <w:tcPr>
            <w:tcW w:w="4679" w:type="dxa"/>
            <w:vMerge/>
          </w:tcPr>
          <w:p w:rsidR="00E82007" w:rsidRPr="00677B2B" w:rsidRDefault="00E82007">
            <w:pPr>
              <w:rPr>
                <w:rFonts w:cs="Arial"/>
                <w:sz w:val="20"/>
                <w:szCs w:val="20"/>
              </w:rPr>
            </w:pPr>
          </w:p>
        </w:tc>
        <w:tc>
          <w:tcPr>
            <w:tcW w:w="4961" w:type="dxa"/>
          </w:tcPr>
          <w:p w:rsidR="00E82007" w:rsidRPr="00B70CD3" w:rsidRDefault="00E82007" w:rsidP="00E82007">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Still need to clarify what assessment tool is required by the </w:t>
            </w:r>
            <w:r w:rsidRPr="00CE79A6">
              <w:rPr>
                <w:rFonts w:cs="Arial"/>
                <w:sz w:val="20"/>
                <w:szCs w:val="20"/>
                <w:lang w:eastAsia="en-GB"/>
              </w:rPr>
              <w:t>trust to meet this aim</w:t>
            </w:r>
            <w:r w:rsidR="00973D1A" w:rsidRPr="00CE79A6">
              <w:rPr>
                <w:rFonts w:cs="Arial"/>
                <w:sz w:val="20"/>
                <w:szCs w:val="20"/>
                <w:lang w:eastAsia="en-GB"/>
              </w:rPr>
              <w:t xml:space="preserve"> - </w:t>
            </w:r>
            <w:r w:rsidR="00973D1A" w:rsidRPr="00CE79A6">
              <w:rPr>
                <w:rFonts w:cs="Arial"/>
                <w:sz w:val="20"/>
                <w:szCs w:val="20"/>
              </w:rPr>
              <w:t>currently assessing if  FIM assessment and care pathway is sufficient</w:t>
            </w:r>
          </w:p>
        </w:tc>
        <w:tc>
          <w:tcPr>
            <w:tcW w:w="425" w:type="dxa"/>
            <w:tcBorders>
              <w:bottom w:val="nil"/>
            </w:tcBorders>
            <w:shd w:val="clear" w:color="auto" w:fill="FF0000"/>
          </w:tcPr>
          <w:p w:rsidR="00E82007" w:rsidRPr="00D936C8" w:rsidRDefault="00E82007" w:rsidP="00D936C8">
            <w:pPr>
              <w:spacing w:after="0" w:line="240" w:lineRule="auto"/>
              <w:ind w:left="175"/>
              <w:rPr>
                <w:rFonts w:cs="Arial"/>
                <w:color w:val="FFC000"/>
                <w:sz w:val="20"/>
                <w:szCs w:val="20"/>
                <w:lang w:eastAsia="en-GB"/>
              </w:rPr>
            </w:pPr>
          </w:p>
        </w:tc>
      </w:tr>
      <w:tr w:rsidR="0058221A" w:rsidRPr="00677B2B" w:rsidTr="00506CC4">
        <w:trPr>
          <w:trHeight w:val="247"/>
        </w:trPr>
        <w:tc>
          <w:tcPr>
            <w:tcW w:w="4679" w:type="dxa"/>
            <w:vMerge w:val="restart"/>
            <w:noWrap/>
          </w:tcPr>
          <w:p w:rsidR="0058221A" w:rsidRPr="00677B2B" w:rsidRDefault="0058221A">
            <w:pPr>
              <w:rPr>
                <w:rFonts w:cs="Arial"/>
                <w:sz w:val="20"/>
                <w:szCs w:val="20"/>
              </w:rPr>
            </w:pPr>
            <w:r w:rsidRPr="00677B2B">
              <w:rPr>
                <w:rFonts w:cs="Arial"/>
                <w:sz w:val="20"/>
                <w:szCs w:val="20"/>
              </w:rPr>
              <w:t>PEAT (patient environment action team) scores to remain at good or excellent (national priority)</w:t>
            </w:r>
          </w:p>
        </w:tc>
        <w:tc>
          <w:tcPr>
            <w:tcW w:w="4961" w:type="dxa"/>
            <w:noWrap/>
          </w:tcPr>
          <w:p w:rsidR="0058221A" w:rsidRPr="00B70CD3" w:rsidRDefault="00E82007" w:rsidP="00E82007">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PEAT scores remain at good or excellent</w:t>
            </w:r>
          </w:p>
        </w:tc>
        <w:tc>
          <w:tcPr>
            <w:tcW w:w="425" w:type="dxa"/>
            <w:tcBorders>
              <w:top w:val="nil"/>
              <w:bottom w:val="nil"/>
            </w:tcBorders>
            <w:shd w:val="clear" w:color="auto" w:fill="00B050"/>
          </w:tcPr>
          <w:p w:rsidR="0058221A" w:rsidRPr="00D936C8" w:rsidRDefault="0058221A" w:rsidP="00D936C8">
            <w:pPr>
              <w:spacing w:after="0" w:line="240" w:lineRule="auto"/>
              <w:ind w:left="175"/>
              <w:rPr>
                <w:rFonts w:cs="Arial"/>
                <w:color w:val="FFC000"/>
                <w:sz w:val="20"/>
                <w:szCs w:val="20"/>
                <w:lang w:eastAsia="en-GB"/>
              </w:rPr>
            </w:pPr>
          </w:p>
        </w:tc>
      </w:tr>
      <w:tr w:rsidR="0058221A" w:rsidRPr="00677B2B" w:rsidTr="00506CC4">
        <w:trPr>
          <w:trHeight w:val="300"/>
        </w:trPr>
        <w:tc>
          <w:tcPr>
            <w:tcW w:w="4679" w:type="dxa"/>
            <w:vMerge/>
            <w:noWrap/>
          </w:tcPr>
          <w:p w:rsidR="0058221A" w:rsidRPr="00677B2B" w:rsidRDefault="0058221A">
            <w:pPr>
              <w:rPr>
                <w:rFonts w:cs="Arial"/>
                <w:sz w:val="20"/>
                <w:szCs w:val="20"/>
              </w:rPr>
            </w:pPr>
          </w:p>
        </w:tc>
        <w:tc>
          <w:tcPr>
            <w:tcW w:w="4961" w:type="dxa"/>
            <w:noWrap/>
          </w:tcPr>
          <w:p w:rsidR="00506CC4" w:rsidRPr="00506CC4" w:rsidRDefault="00506CC4" w:rsidP="00506CC4">
            <w:pPr>
              <w:pStyle w:val="ListParagraph"/>
              <w:numPr>
                <w:ilvl w:val="0"/>
                <w:numId w:val="1"/>
              </w:numPr>
              <w:spacing w:after="0" w:line="240" w:lineRule="auto"/>
              <w:ind w:left="459" w:hanging="284"/>
              <w:rPr>
                <w:rFonts w:cs="Arial"/>
                <w:sz w:val="20"/>
                <w:szCs w:val="20"/>
                <w:lang w:eastAsia="en-GB"/>
              </w:rPr>
            </w:pPr>
            <w:r w:rsidRPr="00506CC4">
              <w:rPr>
                <w:rFonts w:cs="Arial"/>
                <w:sz w:val="20"/>
                <w:szCs w:val="20"/>
                <w:lang w:eastAsia="en-GB"/>
              </w:rPr>
              <w:t>The PEAT scores for the 13 wards in the Mental Health Division for Q2 are all at 95% or above, the average score being 97%.</w:t>
            </w:r>
          </w:p>
          <w:p w:rsidR="00451F19" w:rsidRPr="00506CC4" w:rsidRDefault="00451F19" w:rsidP="00E82007">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00B050"/>
          </w:tcPr>
          <w:p w:rsidR="0058221A" w:rsidRPr="00D936C8" w:rsidRDefault="0058221A" w:rsidP="00D936C8">
            <w:pPr>
              <w:spacing w:after="0" w:line="240" w:lineRule="auto"/>
              <w:ind w:left="175"/>
              <w:rPr>
                <w:rFonts w:cs="Arial"/>
                <w:color w:val="FFC000"/>
                <w:sz w:val="20"/>
                <w:szCs w:val="20"/>
                <w:lang w:eastAsia="en-GB"/>
              </w:rPr>
            </w:pPr>
          </w:p>
        </w:tc>
      </w:tr>
      <w:tr w:rsidR="0058221A" w:rsidRPr="00677B2B" w:rsidTr="008B3D69">
        <w:trPr>
          <w:trHeight w:val="300"/>
        </w:trPr>
        <w:tc>
          <w:tcPr>
            <w:tcW w:w="4679" w:type="dxa"/>
            <w:noWrap/>
          </w:tcPr>
          <w:p w:rsidR="0058221A" w:rsidRPr="00677B2B" w:rsidRDefault="0058221A">
            <w:pPr>
              <w:rPr>
                <w:rFonts w:cs="Arial"/>
                <w:sz w:val="20"/>
                <w:szCs w:val="20"/>
              </w:rPr>
            </w:pPr>
            <w:r w:rsidRPr="00677B2B">
              <w:rPr>
                <w:rFonts w:cs="Arial"/>
                <w:sz w:val="20"/>
                <w:szCs w:val="20"/>
              </w:rPr>
              <w:t>Ensure 100% of patients admitted to psychiatric wards have a physical health examination within 24 hours of admission (</w:t>
            </w:r>
            <w:proofErr w:type="spellStart"/>
            <w:r w:rsidRPr="00677B2B">
              <w:rPr>
                <w:rFonts w:cs="Arial"/>
                <w:sz w:val="20"/>
                <w:szCs w:val="20"/>
              </w:rPr>
              <w:t>LINks</w:t>
            </w:r>
            <w:proofErr w:type="spellEnd"/>
            <w:r w:rsidRPr="00677B2B">
              <w:rPr>
                <w:rFonts w:cs="Arial"/>
                <w:sz w:val="20"/>
                <w:szCs w:val="20"/>
              </w:rPr>
              <w:t xml:space="preserve"> priority)</w:t>
            </w:r>
          </w:p>
        </w:tc>
        <w:tc>
          <w:tcPr>
            <w:tcW w:w="4961" w:type="dxa"/>
            <w:noWrap/>
          </w:tcPr>
          <w:p w:rsidR="007A2982" w:rsidRPr="008B3D69" w:rsidRDefault="008B3D69" w:rsidP="008B3D69">
            <w:pPr>
              <w:pStyle w:val="ListParagraph"/>
              <w:numPr>
                <w:ilvl w:val="0"/>
                <w:numId w:val="1"/>
              </w:numPr>
              <w:spacing w:after="0" w:line="240" w:lineRule="auto"/>
              <w:ind w:left="459" w:hanging="284"/>
              <w:rPr>
                <w:rFonts w:cs="Arial"/>
                <w:sz w:val="20"/>
                <w:szCs w:val="20"/>
                <w:lang w:eastAsia="en-GB"/>
              </w:rPr>
            </w:pPr>
            <w:r w:rsidRPr="008B3D69">
              <w:rPr>
                <w:rFonts w:cs="Arial"/>
                <w:sz w:val="20"/>
                <w:szCs w:val="20"/>
                <w:lang w:eastAsia="en-GB"/>
              </w:rPr>
              <w:t>82% at the end of Q2</w:t>
            </w:r>
          </w:p>
          <w:p w:rsidR="008B3D69" w:rsidRPr="00506CC4" w:rsidRDefault="008B3D69" w:rsidP="008B3D69">
            <w:pPr>
              <w:pStyle w:val="ListParagraph"/>
              <w:spacing w:after="0" w:line="240" w:lineRule="auto"/>
              <w:ind w:left="1179"/>
              <w:rPr>
                <w:rFonts w:cs="Arial"/>
                <w:sz w:val="20"/>
                <w:szCs w:val="20"/>
                <w:lang w:eastAsia="en-GB"/>
              </w:rPr>
            </w:pPr>
          </w:p>
        </w:tc>
        <w:tc>
          <w:tcPr>
            <w:tcW w:w="425" w:type="dxa"/>
            <w:tcBorders>
              <w:top w:val="nil"/>
              <w:bottom w:val="nil"/>
            </w:tcBorders>
            <w:shd w:val="clear" w:color="auto" w:fill="FFC000"/>
          </w:tcPr>
          <w:p w:rsidR="0058221A" w:rsidRPr="00D936C8" w:rsidRDefault="0058221A" w:rsidP="00D936C8">
            <w:pPr>
              <w:spacing w:after="0" w:line="240" w:lineRule="auto"/>
              <w:ind w:left="175"/>
              <w:rPr>
                <w:rFonts w:cs="Arial"/>
                <w:sz w:val="20"/>
                <w:szCs w:val="20"/>
                <w:lang w:eastAsia="en-GB"/>
              </w:rPr>
            </w:pPr>
          </w:p>
        </w:tc>
      </w:tr>
      <w:tr w:rsidR="0058221A" w:rsidRPr="00677B2B" w:rsidTr="00A65EFD">
        <w:trPr>
          <w:trHeight w:val="300"/>
        </w:trPr>
        <w:tc>
          <w:tcPr>
            <w:tcW w:w="4679" w:type="dxa"/>
            <w:noWrap/>
          </w:tcPr>
          <w:p w:rsidR="0058221A" w:rsidRPr="00677B2B" w:rsidRDefault="0058221A">
            <w:pPr>
              <w:rPr>
                <w:rFonts w:cs="Arial"/>
                <w:sz w:val="20"/>
                <w:szCs w:val="20"/>
              </w:rPr>
            </w:pPr>
            <w:r w:rsidRPr="00677B2B">
              <w:rPr>
                <w:rFonts w:cs="Arial"/>
                <w:sz w:val="20"/>
                <w:szCs w:val="20"/>
              </w:rPr>
              <w:t>All patients subject to CPA living in the community are monitored to ensure  their physical healthcare needs are being met by primary care, and when this is not the case action is taken to address the need (</w:t>
            </w:r>
            <w:proofErr w:type="spellStart"/>
            <w:r w:rsidRPr="00677B2B">
              <w:rPr>
                <w:rFonts w:cs="Arial"/>
                <w:sz w:val="20"/>
                <w:szCs w:val="20"/>
              </w:rPr>
              <w:t>LINks</w:t>
            </w:r>
            <w:proofErr w:type="spellEnd"/>
            <w:r w:rsidRPr="00677B2B">
              <w:rPr>
                <w:rFonts w:cs="Arial"/>
                <w:sz w:val="20"/>
                <w:szCs w:val="20"/>
              </w:rPr>
              <w:t xml:space="preserve"> priority)</w:t>
            </w:r>
          </w:p>
        </w:tc>
        <w:tc>
          <w:tcPr>
            <w:tcW w:w="4961" w:type="dxa"/>
            <w:noWrap/>
          </w:tcPr>
          <w:p w:rsidR="0058221A" w:rsidRPr="00B70CD3" w:rsidRDefault="00224317" w:rsidP="00224317">
            <w:pPr>
              <w:pStyle w:val="ListParagraph"/>
              <w:numPr>
                <w:ilvl w:val="0"/>
                <w:numId w:val="1"/>
              </w:numPr>
              <w:spacing w:after="0" w:line="240" w:lineRule="auto"/>
              <w:ind w:left="459" w:hanging="284"/>
              <w:rPr>
                <w:rFonts w:asciiTheme="minorHAnsi" w:hAnsiTheme="minorHAnsi"/>
                <w:sz w:val="20"/>
                <w:szCs w:val="20"/>
              </w:rPr>
            </w:pPr>
            <w:r w:rsidRPr="00B70CD3">
              <w:rPr>
                <w:rFonts w:asciiTheme="minorHAnsi" w:hAnsiTheme="minorHAnsi" w:cs="Arial"/>
                <w:sz w:val="20"/>
                <w:szCs w:val="20"/>
              </w:rPr>
              <w:t>This is part of the CPA care plan.  All patients will have a GP prior to discharge with regular contact with GP regarding medication (GPs carry out their own regular checks regarding medication for mental health patients).  If there are any health concerns the patient is supported to attend GP/Dentist in whichever way is appropriate for them i.e. checking that they attended and receiving feedback or going with them to see GP.</w:t>
            </w:r>
          </w:p>
          <w:p w:rsidR="00451F19" w:rsidRPr="00B70CD3" w:rsidRDefault="00451F19" w:rsidP="00451F19">
            <w:pPr>
              <w:pStyle w:val="ListParagraph"/>
              <w:spacing w:after="0" w:line="240" w:lineRule="auto"/>
              <w:ind w:left="459"/>
              <w:rPr>
                <w:rFonts w:asciiTheme="minorHAnsi" w:hAnsiTheme="minorHAnsi"/>
                <w:sz w:val="20"/>
                <w:szCs w:val="20"/>
              </w:rPr>
            </w:pPr>
          </w:p>
        </w:tc>
        <w:tc>
          <w:tcPr>
            <w:tcW w:w="425" w:type="dxa"/>
            <w:tcBorders>
              <w:bottom w:val="nil"/>
            </w:tcBorders>
            <w:shd w:val="clear" w:color="auto" w:fill="00B050"/>
          </w:tcPr>
          <w:p w:rsidR="0058221A" w:rsidRPr="00D936C8" w:rsidRDefault="0058221A" w:rsidP="00D936C8">
            <w:pPr>
              <w:spacing w:after="0" w:line="240" w:lineRule="auto"/>
              <w:ind w:left="175"/>
              <w:rPr>
                <w:rFonts w:cs="Arial"/>
                <w:sz w:val="20"/>
                <w:szCs w:val="20"/>
                <w:lang w:eastAsia="en-GB"/>
              </w:rPr>
            </w:pPr>
          </w:p>
        </w:tc>
      </w:tr>
      <w:tr w:rsidR="0058221A" w:rsidRPr="00677B2B" w:rsidTr="00A65EFD">
        <w:trPr>
          <w:trHeight w:val="300"/>
        </w:trPr>
        <w:tc>
          <w:tcPr>
            <w:tcW w:w="4679" w:type="dxa"/>
            <w:noWrap/>
          </w:tcPr>
          <w:p w:rsidR="0058221A" w:rsidRPr="00677B2B" w:rsidRDefault="0058221A" w:rsidP="00401BC4">
            <w:pPr>
              <w:rPr>
                <w:rFonts w:cs="Arial"/>
                <w:sz w:val="20"/>
                <w:szCs w:val="20"/>
              </w:rPr>
            </w:pPr>
            <w:r w:rsidRPr="00677B2B">
              <w:rPr>
                <w:rFonts w:cs="Arial"/>
                <w:sz w:val="20"/>
                <w:szCs w:val="20"/>
              </w:rPr>
              <w:t xml:space="preserve">Reduce to 30 from 34 (the previous target) the number of cases of Clostridium </w:t>
            </w:r>
            <w:proofErr w:type="spellStart"/>
            <w:r w:rsidRPr="00677B2B">
              <w:rPr>
                <w:rFonts w:cs="Arial"/>
                <w:sz w:val="20"/>
                <w:szCs w:val="20"/>
              </w:rPr>
              <w:t>Difficile</w:t>
            </w:r>
            <w:proofErr w:type="spellEnd"/>
            <w:r w:rsidRPr="00677B2B">
              <w:rPr>
                <w:rFonts w:cs="Arial"/>
                <w:sz w:val="20"/>
                <w:szCs w:val="20"/>
              </w:rPr>
              <w:t xml:space="preserve"> by March 2012 </w:t>
            </w:r>
          </w:p>
        </w:tc>
        <w:tc>
          <w:tcPr>
            <w:tcW w:w="4961" w:type="dxa"/>
            <w:noWrap/>
          </w:tcPr>
          <w:p w:rsidR="00A65EFD" w:rsidRPr="00B70CD3" w:rsidRDefault="00A65EFD" w:rsidP="00A65EFD">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There have been 11 cases of C Diff this year, RCA's completed on all in 2 cases the antimicrobial prescribing was outside the guidelines. </w:t>
            </w:r>
            <w:proofErr w:type="spellStart"/>
            <w:r w:rsidRPr="00B70CD3">
              <w:rPr>
                <w:rFonts w:cs="Arial"/>
                <w:sz w:val="20"/>
                <w:szCs w:val="20"/>
                <w:lang w:eastAsia="en-GB"/>
              </w:rPr>
              <w:t>Cdiff</w:t>
            </w:r>
            <w:proofErr w:type="spellEnd"/>
            <w:r w:rsidRPr="00B70CD3">
              <w:rPr>
                <w:rFonts w:cs="Arial"/>
                <w:sz w:val="20"/>
                <w:szCs w:val="20"/>
                <w:lang w:eastAsia="en-GB"/>
              </w:rPr>
              <w:t xml:space="preserve">  recovery plan in place</w:t>
            </w:r>
          </w:p>
          <w:p w:rsidR="00401BC4" w:rsidRPr="00B70CD3" w:rsidRDefault="00401BC4" w:rsidP="00A65EFD">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The PCT internal target is 13 and the CQUIN target is 20. if the current level continues the Trust will just be inside the CQUIN target</w:t>
            </w:r>
          </w:p>
          <w:p w:rsidR="00451F19" w:rsidRPr="00B70CD3" w:rsidRDefault="00451F19" w:rsidP="00451F19">
            <w:pPr>
              <w:pStyle w:val="ListParagraph"/>
              <w:spacing w:after="0" w:line="240" w:lineRule="auto"/>
              <w:ind w:left="459"/>
              <w:rPr>
                <w:rFonts w:cs="Arial"/>
                <w:sz w:val="20"/>
                <w:szCs w:val="20"/>
                <w:lang w:eastAsia="en-GB"/>
              </w:rPr>
            </w:pPr>
          </w:p>
        </w:tc>
        <w:tc>
          <w:tcPr>
            <w:tcW w:w="425" w:type="dxa"/>
            <w:tcBorders>
              <w:bottom w:val="nil"/>
            </w:tcBorders>
            <w:shd w:val="clear" w:color="auto" w:fill="FFC000"/>
          </w:tcPr>
          <w:p w:rsidR="0058221A" w:rsidRPr="00D936C8" w:rsidRDefault="0058221A" w:rsidP="00D936C8">
            <w:pPr>
              <w:spacing w:after="0" w:line="240" w:lineRule="auto"/>
              <w:ind w:left="175"/>
              <w:rPr>
                <w:rFonts w:cs="Arial"/>
                <w:sz w:val="20"/>
                <w:szCs w:val="20"/>
                <w:lang w:eastAsia="en-GB"/>
              </w:rPr>
            </w:pPr>
          </w:p>
        </w:tc>
      </w:tr>
      <w:tr w:rsidR="0058221A" w:rsidRPr="00677B2B" w:rsidTr="00D451BE">
        <w:trPr>
          <w:trHeight w:val="300"/>
        </w:trPr>
        <w:tc>
          <w:tcPr>
            <w:tcW w:w="4679" w:type="dxa"/>
            <w:tcBorders>
              <w:bottom w:val="single" w:sz="4" w:space="0" w:color="auto"/>
            </w:tcBorders>
            <w:noWrap/>
          </w:tcPr>
          <w:p w:rsidR="0058221A" w:rsidRPr="00677B2B" w:rsidRDefault="0058221A">
            <w:pPr>
              <w:rPr>
                <w:rFonts w:cs="Arial"/>
                <w:sz w:val="20"/>
                <w:szCs w:val="20"/>
              </w:rPr>
            </w:pPr>
            <w:r w:rsidRPr="00677B2B">
              <w:rPr>
                <w:rFonts w:cs="Arial"/>
                <w:sz w:val="20"/>
                <w:szCs w:val="20"/>
              </w:rPr>
              <w:t>Maintain no cases of MRSA across the Trust (national priority)</w:t>
            </w:r>
          </w:p>
        </w:tc>
        <w:tc>
          <w:tcPr>
            <w:tcW w:w="4961" w:type="dxa"/>
            <w:tcBorders>
              <w:bottom w:val="single" w:sz="4" w:space="0" w:color="auto"/>
            </w:tcBorders>
            <w:noWrap/>
          </w:tcPr>
          <w:p w:rsidR="00197B71" w:rsidRPr="00B70CD3" w:rsidRDefault="00197B71" w:rsidP="00197B71">
            <w:pPr>
              <w:pStyle w:val="ListParagraph"/>
              <w:numPr>
                <w:ilvl w:val="0"/>
                <w:numId w:val="1"/>
              </w:numPr>
              <w:spacing w:after="0" w:line="240" w:lineRule="auto"/>
              <w:ind w:left="459" w:hanging="284"/>
              <w:rPr>
                <w:rFonts w:cs="Arial"/>
                <w:sz w:val="20"/>
                <w:szCs w:val="20"/>
                <w:lang w:eastAsia="en-GB"/>
              </w:rPr>
            </w:pPr>
            <w:r w:rsidRPr="00B70CD3">
              <w:rPr>
                <w:rFonts w:cs="Arial"/>
                <w:sz w:val="20"/>
                <w:szCs w:val="20"/>
                <w:lang w:eastAsia="en-GB"/>
              </w:rPr>
              <w:t xml:space="preserve">MRSA and MSSA </w:t>
            </w:r>
            <w:proofErr w:type="spellStart"/>
            <w:r w:rsidRPr="00B70CD3">
              <w:rPr>
                <w:rFonts w:cs="Arial"/>
                <w:sz w:val="20"/>
                <w:szCs w:val="20"/>
                <w:lang w:eastAsia="en-GB"/>
              </w:rPr>
              <w:t>bacteraemias</w:t>
            </w:r>
            <w:proofErr w:type="spellEnd"/>
            <w:r w:rsidRPr="00B70CD3">
              <w:rPr>
                <w:rFonts w:cs="Arial"/>
                <w:sz w:val="20"/>
                <w:szCs w:val="20"/>
                <w:lang w:eastAsia="en-GB"/>
              </w:rPr>
              <w:t xml:space="preserve"> require mandatory reporting to the HPA. There are no targets for these, but we are monitoring and investigating any cases in the Trust accordingly.</w:t>
            </w:r>
          </w:p>
          <w:p w:rsidR="00CE03F0" w:rsidRPr="00CE03F0" w:rsidRDefault="00197B71" w:rsidP="00CE03F0">
            <w:pPr>
              <w:pStyle w:val="ListParagraph"/>
              <w:numPr>
                <w:ilvl w:val="0"/>
                <w:numId w:val="1"/>
              </w:numPr>
              <w:spacing w:after="0" w:line="240" w:lineRule="auto"/>
              <w:ind w:left="459" w:hanging="284"/>
              <w:rPr>
                <w:rFonts w:cs="Arial"/>
                <w:sz w:val="20"/>
                <w:szCs w:val="20"/>
                <w:lang w:eastAsia="en-GB"/>
              </w:rPr>
            </w:pPr>
            <w:r w:rsidRPr="00CE03F0">
              <w:rPr>
                <w:rFonts w:cs="Arial"/>
                <w:sz w:val="20"/>
                <w:szCs w:val="20"/>
                <w:lang w:eastAsia="en-GB"/>
              </w:rPr>
              <w:t xml:space="preserve">There have been 2 MSSA </w:t>
            </w:r>
            <w:proofErr w:type="spellStart"/>
            <w:r w:rsidRPr="00CE03F0">
              <w:rPr>
                <w:rFonts w:cs="Arial"/>
                <w:sz w:val="20"/>
                <w:szCs w:val="20"/>
                <w:lang w:eastAsia="en-GB"/>
              </w:rPr>
              <w:t>bacteraemias</w:t>
            </w:r>
            <w:proofErr w:type="spellEnd"/>
            <w:r w:rsidRPr="00CE03F0">
              <w:rPr>
                <w:rFonts w:cs="Arial"/>
                <w:sz w:val="20"/>
                <w:szCs w:val="20"/>
                <w:lang w:eastAsia="en-GB"/>
              </w:rPr>
              <w:t xml:space="preserve"> (April and September) and 1 MRSA bacteraemia in September. Full RCA’s have been completed and the cases investigated. As with often with these cases no single root cause has been identified.</w:t>
            </w:r>
          </w:p>
        </w:tc>
        <w:tc>
          <w:tcPr>
            <w:tcW w:w="425" w:type="dxa"/>
            <w:tcBorders>
              <w:top w:val="nil"/>
              <w:bottom w:val="nil"/>
            </w:tcBorders>
            <w:shd w:val="clear" w:color="auto" w:fill="FFC000"/>
          </w:tcPr>
          <w:p w:rsidR="0058221A" w:rsidRPr="00D936C8" w:rsidRDefault="0058221A" w:rsidP="00D936C8">
            <w:pPr>
              <w:spacing w:after="0" w:line="240" w:lineRule="auto"/>
              <w:ind w:left="175"/>
              <w:rPr>
                <w:rFonts w:cs="Arial"/>
                <w:sz w:val="20"/>
                <w:szCs w:val="20"/>
                <w:lang w:eastAsia="en-GB"/>
              </w:rPr>
            </w:pPr>
          </w:p>
        </w:tc>
      </w:tr>
    </w:tbl>
    <w:p w:rsidR="0058221A" w:rsidRDefault="0058221A" w:rsidP="00823420"/>
    <w:tbl>
      <w:tblPr>
        <w:tblW w:w="10065" w:type="dxa"/>
        <w:tblInd w:w="-176" w:type="dxa"/>
        <w:tblBorders>
          <w:left w:val="single" w:sz="4" w:space="0" w:color="auto"/>
          <w:bottom w:val="single" w:sz="4" w:space="0" w:color="auto"/>
          <w:right w:val="single" w:sz="4" w:space="0" w:color="auto"/>
        </w:tblBorders>
        <w:tblLayout w:type="fixed"/>
        <w:tblLook w:val="00A0"/>
      </w:tblPr>
      <w:tblGrid>
        <w:gridCol w:w="4679"/>
        <w:gridCol w:w="4961"/>
        <w:gridCol w:w="425"/>
      </w:tblGrid>
      <w:tr w:rsidR="0058221A" w:rsidRPr="00677B2B" w:rsidTr="00792F08">
        <w:trPr>
          <w:trHeight w:val="600"/>
        </w:trPr>
        <w:tc>
          <w:tcPr>
            <w:tcW w:w="4679" w:type="dxa"/>
            <w:tcBorders>
              <w:top w:val="single" w:sz="4" w:space="0" w:color="auto"/>
              <w:bottom w:val="single" w:sz="4" w:space="0" w:color="auto"/>
            </w:tcBorders>
            <w:shd w:val="clear" w:color="auto" w:fill="BFBFBF"/>
            <w:noWrap/>
            <w:vAlign w:val="center"/>
          </w:tcPr>
          <w:p w:rsidR="0058221A" w:rsidRPr="00637A68" w:rsidRDefault="0058221A" w:rsidP="00823420">
            <w:pPr>
              <w:spacing w:after="0" w:line="240" w:lineRule="auto"/>
              <w:rPr>
                <w:rFonts w:ascii="Arial" w:hAnsi="Arial" w:cs="Arial"/>
                <w:b/>
                <w:bCs/>
                <w:sz w:val="24"/>
                <w:szCs w:val="24"/>
                <w:lang w:eastAsia="en-GB"/>
              </w:rPr>
            </w:pPr>
            <w:r>
              <w:rPr>
                <w:rFonts w:ascii="Arial" w:hAnsi="Arial" w:cs="Arial"/>
                <w:b/>
                <w:bCs/>
                <w:sz w:val="24"/>
                <w:szCs w:val="24"/>
                <w:lang w:eastAsia="en-GB"/>
              </w:rPr>
              <w:t>Actions we said we’d take</w:t>
            </w:r>
          </w:p>
        </w:tc>
        <w:tc>
          <w:tcPr>
            <w:tcW w:w="4961" w:type="dxa"/>
            <w:tcBorders>
              <w:top w:val="single" w:sz="4" w:space="0" w:color="auto"/>
              <w:bottom w:val="single" w:sz="4" w:space="0" w:color="auto"/>
            </w:tcBorders>
            <w:shd w:val="clear" w:color="auto" w:fill="BFBFBF"/>
            <w:noWrap/>
            <w:vAlign w:val="center"/>
          </w:tcPr>
          <w:p w:rsidR="0058221A" w:rsidRPr="00637A68" w:rsidRDefault="0058221A" w:rsidP="00823420">
            <w:pPr>
              <w:spacing w:after="0" w:line="240" w:lineRule="auto"/>
              <w:rPr>
                <w:rFonts w:ascii="Arial" w:hAnsi="Arial" w:cs="Arial"/>
                <w:b/>
                <w:bCs/>
                <w:sz w:val="24"/>
                <w:szCs w:val="24"/>
                <w:lang w:eastAsia="en-GB"/>
              </w:rPr>
            </w:pPr>
            <w:r w:rsidRPr="00637A68">
              <w:rPr>
                <w:rFonts w:ascii="Arial" w:hAnsi="Arial" w:cs="Arial"/>
                <w:b/>
                <w:bCs/>
                <w:sz w:val="24"/>
                <w:szCs w:val="24"/>
                <w:lang w:eastAsia="en-GB"/>
              </w:rPr>
              <w:t>Present Situation</w:t>
            </w:r>
          </w:p>
        </w:tc>
        <w:tc>
          <w:tcPr>
            <w:tcW w:w="425" w:type="dxa"/>
            <w:tcBorders>
              <w:top w:val="single" w:sz="4" w:space="0" w:color="auto"/>
              <w:bottom w:val="nil"/>
            </w:tcBorders>
            <w:shd w:val="clear" w:color="auto" w:fill="BFBFBF"/>
          </w:tcPr>
          <w:p w:rsidR="0058221A" w:rsidRPr="00637A68" w:rsidRDefault="0058221A" w:rsidP="00823420">
            <w:pPr>
              <w:spacing w:after="0" w:line="240" w:lineRule="auto"/>
              <w:rPr>
                <w:rFonts w:ascii="Arial" w:hAnsi="Arial" w:cs="Arial"/>
                <w:b/>
                <w:bCs/>
                <w:sz w:val="24"/>
                <w:szCs w:val="24"/>
                <w:lang w:eastAsia="en-GB"/>
              </w:rPr>
            </w:pPr>
          </w:p>
        </w:tc>
      </w:tr>
      <w:tr w:rsidR="0058221A" w:rsidRPr="00677B2B" w:rsidTr="00792F08">
        <w:trPr>
          <w:trHeight w:val="900"/>
        </w:trPr>
        <w:tc>
          <w:tcPr>
            <w:tcW w:w="4679" w:type="dxa"/>
            <w:tcBorders>
              <w:top w:val="single" w:sz="4" w:space="0" w:color="auto"/>
            </w:tcBorders>
          </w:tcPr>
          <w:p w:rsidR="0058221A" w:rsidRPr="00677B2B" w:rsidRDefault="0058221A">
            <w:pPr>
              <w:jc w:val="both"/>
              <w:rPr>
                <w:rFonts w:cs="Arial"/>
                <w:sz w:val="20"/>
                <w:szCs w:val="20"/>
              </w:rPr>
            </w:pPr>
            <w:r w:rsidRPr="00677B2B">
              <w:rPr>
                <w:rFonts w:cs="Arial"/>
                <w:sz w:val="20"/>
                <w:szCs w:val="20"/>
              </w:rPr>
              <w:t>Introduce ward based falls training programmes</w:t>
            </w:r>
          </w:p>
        </w:tc>
        <w:tc>
          <w:tcPr>
            <w:tcW w:w="4961" w:type="dxa"/>
            <w:tcBorders>
              <w:top w:val="single" w:sz="4" w:space="0" w:color="auto"/>
            </w:tcBorders>
          </w:tcPr>
          <w:p w:rsidR="007A2982" w:rsidRPr="007A2982" w:rsidRDefault="0058221A" w:rsidP="00823420">
            <w:pPr>
              <w:pStyle w:val="ListParagraph"/>
              <w:numPr>
                <w:ilvl w:val="0"/>
                <w:numId w:val="1"/>
              </w:numPr>
              <w:spacing w:after="0" w:line="240" w:lineRule="auto"/>
              <w:rPr>
                <w:rFonts w:cs="Arial"/>
                <w:sz w:val="20"/>
                <w:szCs w:val="20"/>
                <w:lang w:eastAsia="en-GB"/>
              </w:rPr>
            </w:pPr>
            <w:r w:rsidRPr="007A2982">
              <w:rPr>
                <w:rFonts w:cs="Arial"/>
                <w:sz w:val="20"/>
                <w:szCs w:val="20"/>
                <w:lang w:eastAsia="en-GB"/>
              </w:rPr>
              <w:t xml:space="preserve">Since January 2009, 298 staff members from community hospitals have </w:t>
            </w:r>
            <w:r w:rsidR="007A2982" w:rsidRPr="007A2982">
              <w:rPr>
                <w:rFonts w:cs="Arial"/>
                <w:sz w:val="20"/>
                <w:szCs w:val="20"/>
                <w:lang w:eastAsia="en-GB"/>
              </w:rPr>
              <w:t xml:space="preserve">been </w:t>
            </w:r>
            <w:r w:rsidRPr="007A2982">
              <w:rPr>
                <w:rFonts w:cs="Arial"/>
                <w:sz w:val="20"/>
                <w:szCs w:val="20"/>
                <w:lang w:eastAsia="en-GB"/>
              </w:rPr>
              <w:t>receiv</w:t>
            </w:r>
            <w:r w:rsidR="007A2982" w:rsidRPr="007A2982">
              <w:rPr>
                <w:rFonts w:cs="Arial"/>
                <w:sz w:val="20"/>
                <w:szCs w:val="20"/>
                <w:lang w:eastAsia="en-GB"/>
              </w:rPr>
              <w:t>ing</w:t>
            </w:r>
            <w:r w:rsidRPr="007A2982">
              <w:rPr>
                <w:rFonts w:cs="Arial"/>
                <w:sz w:val="20"/>
                <w:szCs w:val="20"/>
                <w:lang w:eastAsia="en-GB"/>
              </w:rPr>
              <w:t xml:space="preserve"> falls training.  </w:t>
            </w:r>
          </w:p>
          <w:p w:rsidR="0058221A" w:rsidRPr="007A2982" w:rsidRDefault="0058221A" w:rsidP="00823420">
            <w:pPr>
              <w:pStyle w:val="ListParagraph"/>
              <w:numPr>
                <w:ilvl w:val="0"/>
                <w:numId w:val="1"/>
              </w:numPr>
              <w:spacing w:after="0" w:line="240" w:lineRule="auto"/>
              <w:rPr>
                <w:rFonts w:cs="Arial"/>
                <w:sz w:val="20"/>
                <w:szCs w:val="20"/>
                <w:lang w:eastAsia="en-GB"/>
              </w:rPr>
            </w:pPr>
            <w:r w:rsidRPr="007A2982">
              <w:rPr>
                <w:rFonts w:cs="Arial"/>
                <w:sz w:val="20"/>
                <w:szCs w:val="20"/>
                <w:lang w:eastAsia="en-GB"/>
              </w:rPr>
              <w:t>Data has been collated per hospital site in order to compare this data to the recent audit findings as this may help us to identify sites that require greater input from the falls service.</w:t>
            </w:r>
          </w:p>
          <w:p w:rsidR="007A2982" w:rsidRPr="007A2982" w:rsidRDefault="007A2982" w:rsidP="00823420">
            <w:pPr>
              <w:pStyle w:val="ListParagraph"/>
              <w:numPr>
                <w:ilvl w:val="0"/>
                <w:numId w:val="1"/>
              </w:numPr>
              <w:spacing w:after="0" w:line="240" w:lineRule="auto"/>
              <w:rPr>
                <w:rFonts w:cs="Arial"/>
                <w:sz w:val="20"/>
                <w:szCs w:val="20"/>
                <w:lang w:eastAsia="en-GB"/>
              </w:rPr>
            </w:pPr>
            <w:r w:rsidRPr="007A2982">
              <w:rPr>
                <w:rFonts w:asciiTheme="minorHAnsi" w:eastAsia="Times New Roman" w:hAnsiTheme="minorHAnsi" w:cs="Arial"/>
              </w:rPr>
              <w:t xml:space="preserve"> In Q2 a further 4 ward based programmes have been delivered</w:t>
            </w:r>
          </w:p>
          <w:p w:rsidR="00ED35B9" w:rsidRPr="00ED35B9" w:rsidRDefault="00ED35B9" w:rsidP="00823420">
            <w:pPr>
              <w:pStyle w:val="ListParagraph"/>
              <w:numPr>
                <w:ilvl w:val="0"/>
                <w:numId w:val="1"/>
              </w:numPr>
              <w:spacing w:after="0" w:line="240" w:lineRule="auto"/>
              <w:rPr>
                <w:rFonts w:cs="Arial"/>
                <w:sz w:val="20"/>
                <w:szCs w:val="20"/>
                <w:lang w:eastAsia="en-GB"/>
              </w:rPr>
            </w:pPr>
            <w:r w:rsidRPr="007A2982">
              <w:rPr>
                <w:rFonts w:cs="Arial"/>
                <w:sz w:val="20"/>
                <w:szCs w:val="20"/>
                <w:lang w:eastAsia="en-GB"/>
              </w:rPr>
              <w:t xml:space="preserve">Mental Health – All Older adults assessed for falls </w:t>
            </w:r>
            <w:r w:rsidRPr="007A2982">
              <w:rPr>
                <w:rFonts w:cs="Arial"/>
                <w:sz w:val="20"/>
                <w:szCs w:val="20"/>
                <w:lang w:eastAsia="en-GB"/>
              </w:rPr>
              <w:lastRenderedPageBreak/>
              <w:t>risk on admission reviewed</w:t>
            </w:r>
            <w:r w:rsidRPr="00ED35B9">
              <w:rPr>
                <w:rFonts w:cs="Arial"/>
                <w:sz w:val="20"/>
                <w:szCs w:val="20"/>
                <w:lang w:eastAsia="en-GB"/>
              </w:rPr>
              <w:t xml:space="preserve"> weekly or if status changes</w:t>
            </w:r>
          </w:p>
        </w:tc>
        <w:tc>
          <w:tcPr>
            <w:tcW w:w="425" w:type="dxa"/>
            <w:tcBorders>
              <w:top w:val="nil"/>
              <w:bottom w:val="nil"/>
            </w:tcBorders>
            <w:shd w:val="clear" w:color="auto" w:fill="00B050"/>
          </w:tcPr>
          <w:p w:rsidR="0058221A" w:rsidRPr="00823420" w:rsidRDefault="0058221A" w:rsidP="00823420">
            <w:pPr>
              <w:pStyle w:val="ListParagraph"/>
              <w:numPr>
                <w:ilvl w:val="0"/>
                <w:numId w:val="1"/>
              </w:numPr>
              <w:spacing w:after="0" w:line="240" w:lineRule="auto"/>
              <w:rPr>
                <w:rFonts w:cs="Arial"/>
                <w:color w:val="00B050"/>
                <w:sz w:val="20"/>
                <w:szCs w:val="20"/>
                <w:lang w:eastAsia="en-GB"/>
              </w:rPr>
            </w:pPr>
          </w:p>
        </w:tc>
      </w:tr>
      <w:tr w:rsidR="0058221A" w:rsidRPr="00677B2B" w:rsidTr="00792F08">
        <w:trPr>
          <w:trHeight w:val="690"/>
        </w:trPr>
        <w:tc>
          <w:tcPr>
            <w:tcW w:w="4679" w:type="dxa"/>
          </w:tcPr>
          <w:p w:rsidR="0058221A" w:rsidRPr="00677B2B" w:rsidRDefault="0058221A">
            <w:pPr>
              <w:jc w:val="both"/>
              <w:rPr>
                <w:rFonts w:cs="Arial"/>
                <w:sz w:val="20"/>
                <w:szCs w:val="20"/>
              </w:rPr>
            </w:pPr>
            <w:r w:rsidRPr="00677B2B">
              <w:rPr>
                <w:rFonts w:cs="Arial"/>
                <w:sz w:val="20"/>
                <w:szCs w:val="20"/>
              </w:rPr>
              <w:lastRenderedPageBreak/>
              <w:t>All patients are referred to the Falls Prevention service following two falls, continue monitoring timeliness of referral of patients at risk from falls to the falls prevention service across the community hospitals</w:t>
            </w:r>
          </w:p>
        </w:tc>
        <w:tc>
          <w:tcPr>
            <w:tcW w:w="4961" w:type="dxa"/>
            <w:noWrap/>
          </w:tcPr>
          <w:p w:rsidR="0058221A" w:rsidRPr="00476906" w:rsidRDefault="0058221A" w:rsidP="00823420">
            <w:pPr>
              <w:pStyle w:val="ListParagraph"/>
              <w:numPr>
                <w:ilvl w:val="0"/>
                <w:numId w:val="1"/>
              </w:numPr>
              <w:spacing w:after="0" w:line="240" w:lineRule="auto"/>
              <w:rPr>
                <w:rFonts w:cs="Arial"/>
                <w:sz w:val="20"/>
                <w:szCs w:val="20"/>
                <w:lang w:eastAsia="en-GB"/>
              </w:rPr>
            </w:pPr>
            <w:r w:rsidRPr="00476906">
              <w:rPr>
                <w:rFonts w:cs="Arial"/>
                <w:sz w:val="20"/>
                <w:szCs w:val="20"/>
                <w:lang w:eastAsia="en-GB"/>
              </w:rPr>
              <w:t xml:space="preserve">OCS CH have just completed an audit of all the hospital wards </w:t>
            </w:r>
            <w:r w:rsidR="00476906" w:rsidRPr="00476906">
              <w:rPr>
                <w:rFonts w:cs="Arial"/>
                <w:sz w:val="20"/>
                <w:szCs w:val="20"/>
                <w:lang w:eastAsia="en-GB"/>
              </w:rPr>
              <w:t>in Q1</w:t>
            </w:r>
            <w:r w:rsidRPr="00476906">
              <w:rPr>
                <w:rFonts w:cs="Arial"/>
                <w:sz w:val="20"/>
                <w:szCs w:val="20"/>
                <w:lang w:eastAsia="en-GB"/>
              </w:rPr>
              <w:t xml:space="preserve"> and </w:t>
            </w:r>
            <w:r w:rsidR="00476906" w:rsidRPr="00476906">
              <w:rPr>
                <w:rFonts w:cs="Arial"/>
                <w:sz w:val="20"/>
                <w:szCs w:val="20"/>
                <w:lang w:eastAsia="en-GB"/>
              </w:rPr>
              <w:t>produced</w:t>
            </w:r>
            <w:r w:rsidRPr="00476906">
              <w:rPr>
                <w:rFonts w:cs="Arial"/>
                <w:sz w:val="20"/>
                <w:szCs w:val="20"/>
                <w:lang w:eastAsia="en-GB"/>
              </w:rPr>
              <w:t xml:space="preserve"> a report. The results showed 95% of patients had a Falls Risk Assessment Tool in their records</w:t>
            </w:r>
            <w:r w:rsidR="00476906" w:rsidRPr="00476906">
              <w:rPr>
                <w:rFonts w:cs="Arial"/>
                <w:sz w:val="20"/>
                <w:szCs w:val="20"/>
                <w:lang w:eastAsia="en-GB"/>
              </w:rPr>
              <w:t>:</w:t>
            </w:r>
            <w:r w:rsidRPr="00476906">
              <w:rPr>
                <w:rFonts w:cs="Arial"/>
                <w:sz w:val="20"/>
                <w:szCs w:val="20"/>
                <w:lang w:eastAsia="en-GB"/>
              </w:rPr>
              <w:t xml:space="preserve"> an improvement of 1% on last year. However 78% were completed within 24hrs of admission, with the remaining 17% after 24hrs. That still leaves 5% of patients without his tool completed and therefore risk of falls not identified.</w:t>
            </w:r>
          </w:p>
          <w:p w:rsidR="0058221A" w:rsidRPr="00476906" w:rsidRDefault="0058221A" w:rsidP="00823420">
            <w:pPr>
              <w:pStyle w:val="ListParagraph"/>
              <w:numPr>
                <w:ilvl w:val="0"/>
                <w:numId w:val="1"/>
              </w:numPr>
              <w:spacing w:after="0" w:line="240" w:lineRule="auto"/>
              <w:rPr>
                <w:rFonts w:cs="Arial"/>
                <w:sz w:val="20"/>
                <w:szCs w:val="20"/>
                <w:lang w:eastAsia="en-GB"/>
              </w:rPr>
            </w:pPr>
            <w:r w:rsidRPr="00476906">
              <w:rPr>
                <w:rFonts w:cs="Arial"/>
                <w:sz w:val="20"/>
                <w:szCs w:val="20"/>
                <w:lang w:eastAsia="en-GB"/>
              </w:rPr>
              <w:t>Since February 2011 we have seen a significant increase (25%) in the number of communication sheets sent through to the falls team.</w:t>
            </w:r>
          </w:p>
          <w:p w:rsidR="00476906" w:rsidRPr="00476906" w:rsidRDefault="00476906" w:rsidP="00823420">
            <w:pPr>
              <w:pStyle w:val="ListParagraph"/>
              <w:numPr>
                <w:ilvl w:val="0"/>
                <w:numId w:val="1"/>
              </w:numPr>
              <w:spacing w:after="0" w:line="240" w:lineRule="auto"/>
              <w:rPr>
                <w:rFonts w:cs="Arial"/>
                <w:sz w:val="20"/>
                <w:szCs w:val="20"/>
                <w:lang w:eastAsia="en-GB"/>
              </w:rPr>
            </w:pPr>
            <w:r w:rsidRPr="00476906">
              <w:rPr>
                <w:rFonts w:cs="Arial"/>
                <w:sz w:val="20"/>
                <w:szCs w:val="20"/>
                <w:lang w:eastAsia="en-GB"/>
              </w:rPr>
              <w:t>The TV service has seen a 56% increase in referrals for April-September 2011 compared to the same period last year</w:t>
            </w:r>
          </w:p>
        </w:tc>
        <w:tc>
          <w:tcPr>
            <w:tcW w:w="425" w:type="dxa"/>
            <w:tcBorders>
              <w:top w:val="nil"/>
              <w:bottom w:val="nil"/>
            </w:tcBorders>
            <w:shd w:val="clear" w:color="auto" w:fill="FFC000"/>
          </w:tcPr>
          <w:p w:rsidR="0058221A" w:rsidRPr="00823420" w:rsidRDefault="0058221A" w:rsidP="00823420">
            <w:pPr>
              <w:pStyle w:val="ListParagraph"/>
              <w:numPr>
                <w:ilvl w:val="0"/>
                <w:numId w:val="1"/>
              </w:numPr>
              <w:spacing w:after="0" w:line="240" w:lineRule="auto"/>
              <w:rPr>
                <w:rFonts w:cs="Arial"/>
                <w:color w:val="FFC000"/>
                <w:sz w:val="20"/>
                <w:szCs w:val="20"/>
                <w:lang w:eastAsia="en-GB"/>
              </w:rPr>
            </w:pPr>
          </w:p>
        </w:tc>
      </w:tr>
      <w:tr w:rsidR="00476906" w:rsidRPr="00677B2B" w:rsidTr="00476906">
        <w:trPr>
          <w:trHeight w:val="1380"/>
        </w:trPr>
        <w:tc>
          <w:tcPr>
            <w:tcW w:w="4679" w:type="dxa"/>
          </w:tcPr>
          <w:p w:rsidR="00476906" w:rsidRPr="00677B2B" w:rsidRDefault="00476906">
            <w:pPr>
              <w:jc w:val="both"/>
              <w:rPr>
                <w:rFonts w:cs="Arial"/>
                <w:sz w:val="20"/>
                <w:szCs w:val="20"/>
              </w:rPr>
            </w:pPr>
            <w:r w:rsidRPr="00677B2B">
              <w:rPr>
                <w:rFonts w:cs="Arial"/>
                <w:sz w:val="20"/>
                <w:szCs w:val="20"/>
              </w:rPr>
              <w:t>Introduce an early warning observation tool (“track and trigger”) to ensure effective monitoring of physical health in all inpatient areas</w:t>
            </w:r>
          </w:p>
        </w:tc>
        <w:tc>
          <w:tcPr>
            <w:tcW w:w="4961" w:type="dxa"/>
            <w:noWrap/>
          </w:tcPr>
          <w:p w:rsidR="00476906" w:rsidRPr="00476906" w:rsidRDefault="00476906" w:rsidP="00476906">
            <w:pPr>
              <w:pStyle w:val="ListParagraph"/>
              <w:numPr>
                <w:ilvl w:val="0"/>
                <w:numId w:val="1"/>
              </w:numPr>
              <w:spacing w:after="0" w:line="240" w:lineRule="auto"/>
              <w:rPr>
                <w:rFonts w:cs="Arial"/>
                <w:sz w:val="20"/>
                <w:szCs w:val="20"/>
                <w:lang w:eastAsia="en-GB"/>
              </w:rPr>
            </w:pPr>
            <w:r w:rsidRPr="00476906">
              <w:rPr>
                <w:rFonts w:cs="Arial"/>
                <w:sz w:val="20"/>
                <w:szCs w:val="20"/>
                <w:lang w:eastAsia="en-GB"/>
              </w:rPr>
              <w:t xml:space="preserve">Track and Trigger (T&amp;T) was fully implemented in Community Hospitals in 2009.  10 sets of notes per ward are audited monthly to ensure compliance with T&amp;T.  </w:t>
            </w:r>
          </w:p>
          <w:p w:rsidR="00476906" w:rsidRPr="00476906" w:rsidRDefault="00476906" w:rsidP="00476906">
            <w:pPr>
              <w:pStyle w:val="ListParagraph"/>
              <w:numPr>
                <w:ilvl w:val="0"/>
                <w:numId w:val="1"/>
              </w:numPr>
              <w:spacing w:after="0" w:line="240" w:lineRule="auto"/>
              <w:rPr>
                <w:rFonts w:cs="Arial"/>
                <w:sz w:val="20"/>
                <w:szCs w:val="20"/>
                <w:lang w:eastAsia="en-GB"/>
              </w:rPr>
            </w:pPr>
            <w:r w:rsidRPr="00476906">
              <w:rPr>
                <w:rFonts w:cs="Arial"/>
                <w:sz w:val="20"/>
                <w:szCs w:val="20"/>
                <w:lang w:eastAsia="en-GB"/>
              </w:rPr>
              <w:t>YTD compliance is 94%</w:t>
            </w:r>
          </w:p>
        </w:tc>
        <w:tc>
          <w:tcPr>
            <w:tcW w:w="425" w:type="dxa"/>
            <w:shd w:val="clear" w:color="auto" w:fill="00B050"/>
          </w:tcPr>
          <w:p w:rsidR="00476906" w:rsidRPr="00823420" w:rsidRDefault="00476906" w:rsidP="00823420">
            <w:pPr>
              <w:pStyle w:val="ListParagraph"/>
              <w:numPr>
                <w:ilvl w:val="0"/>
                <w:numId w:val="1"/>
              </w:numPr>
              <w:spacing w:after="0" w:line="240" w:lineRule="auto"/>
              <w:rPr>
                <w:rFonts w:cs="Arial"/>
                <w:color w:val="00B050"/>
                <w:sz w:val="20"/>
                <w:szCs w:val="20"/>
                <w:lang w:eastAsia="en-GB"/>
              </w:rPr>
            </w:pPr>
          </w:p>
        </w:tc>
      </w:tr>
      <w:tr w:rsidR="00980611" w:rsidRPr="00677B2B" w:rsidTr="009B13A5">
        <w:trPr>
          <w:trHeight w:val="690"/>
        </w:trPr>
        <w:tc>
          <w:tcPr>
            <w:tcW w:w="4679" w:type="dxa"/>
            <w:vMerge w:val="restart"/>
          </w:tcPr>
          <w:p w:rsidR="00980611" w:rsidRPr="00677B2B" w:rsidRDefault="00980611">
            <w:pPr>
              <w:jc w:val="both"/>
              <w:rPr>
                <w:rFonts w:cs="Arial"/>
                <w:sz w:val="20"/>
                <w:szCs w:val="20"/>
              </w:rPr>
            </w:pPr>
            <w:r w:rsidRPr="00677B2B">
              <w:rPr>
                <w:rFonts w:cs="Arial"/>
                <w:sz w:val="20"/>
                <w:szCs w:val="20"/>
              </w:rPr>
              <w:t>Audit the use of MUST (nutrition assessment) and Falls assessments through the Essence of Care benchmarking standards (six monthly) and the Productive programme and then actively mange shortfalls</w:t>
            </w:r>
          </w:p>
        </w:tc>
        <w:tc>
          <w:tcPr>
            <w:tcW w:w="4961" w:type="dxa"/>
            <w:noWrap/>
          </w:tcPr>
          <w:p w:rsidR="00980611" w:rsidRPr="009B13A5" w:rsidRDefault="00980611" w:rsidP="009B13A5">
            <w:pPr>
              <w:pStyle w:val="ListParagraph"/>
              <w:numPr>
                <w:ilvl w:val="0"/>
                <w:numId w:val="1"/>
              </w:numPr>
              <w:spacing w:after="0" w:line="240" w:lineRule="auto"/>
              <w:rPr>
                <w:rFonts w:cs="Arial"/>
                <w:sz w:val="20"/>
                <w:szCs w:val="20"/>
                <w:lang w:eastAsia="en-GB"/>
              </w:rPr>
            </w:pPr>
            <w:r w:rsidRPr="009B13A5">
              <w:rPr>
                <w:rFonts w:cs="Arial"/>
                <w:sz w:val="20"/>
                <w:szCs w:val="20"/>
                <w:lang w:eastAsia="en-GB"/>
              </w:rPr>
              <w:t xml:space="preserve">CH: MUST </w:t>
            </w:r>
            <w:r w:rsidR="009B13A5" w:rsidRPr="009B13A5">
              <w:rPr>
                <w:rFonts w:cs="Arial"/>
                <w:sz w:val="20"/>
                <w:szCs w:val="20"/>
                <w:lang w:eastAsia="en-GB"/>
              </w:rPr>
              <w:t>is now</w:t>
            </w:r>
            <w:r w:rsidRPr="009B13A5">
              <w:rPr>
                <w:rFonts w:cs="Arial"/>
                <w:sz w:val="20"/>
                <w:szCs w:val="20"/>
                <w:lang w:eastAsia="en-GB"/>
              </w:rPr>
              <w:t xml:space="preserve"> audited through the CHAT audit tool monthly</w:t>
            </w:r>
            <w:r w:rsidR="009B13A5" w:rsidRPr="009B13A5">
              <w:rPr>
                <w:rFonts w:cs="Arial"/>
                <w:sz w:val="20"/>
                <w:szCs w:val="20"/>
                <w:lang w:eastAsia="en-GB"/>
              </w:rPr>
              <w:t xml:space="preserve"> as</w:t>
            </w:r>
            <w:r w:rsidRPr="009B13A5">
              <w:rPr>
                <w:rFonts w:cs="Arial"/>
                <w:sz w:val="20"/>
                <w:szCs w:val="20"/>
                <w:lang w:eastAsia="en-GB"/>
              </w:rPr>
              <w:t xml:space="preserve"> from July.</w:t>
            </w:r>
          </w:p>
        </w:tc>
        <w:tc>
          <w:tcPr>
            <w:tcW w:w="425" w:type="dxa"/>
            <w:tcBorders>
              <w:bottom w:val="nil"/>
            </w:tcBorders>
            <w:shd w:val="clear" w:color="auto" w:fill="00B050"/>
          </w:tcPr>
          <w:p w:rsidR="00980611" w:rsidRPr="00980611" w:rsidRDefault="00980611" w:rsidP="00980611">
            <w:pPr>
              <w:spacing w:after="0" w:line="240" w:lineRule="auto"/>
              <w:rPr>
                <w:rFonts w:cs="Arial"/>
                <w:color w:val="FFC000"/>
                <w:sz w:val="20"/>
                <w:szCs w:val="20"/>
                <w:lang w:eastAsia="en-GB"/>
              </w:rPr>
            </w:pPr>
          </w:p>
        </w:tc>
      </w:tr>
      <w:tr w:rsidR="00980611" w:rsidRPr="00677B2B" w:rsidTr="003D53FF">
        <w:trPr>
          <w:trHeight w:val="690"/>
        </w:trPr>
        <w:tc>
          <w:tcPr>
            <w:tcW w:w="4679" w:type="dxa"/>
            <w:vMerge/>
          </w:tcPr>
          <w:p w:rsidR="00980611" w:rsidRPr="00677B2B" w:rsidRDefault="00980611">
            <w:pPr>
              <w:jc w:val="both"/>
              <w:rPr>
                <w:rFonts w:cs="Arial"/>
                <w:sz w:val="20"/>
                <w:szCs w:val="20"/>
              </w:rPr>
            </w:pPr>
          </w:p>
        </w:tc>
        <w:tc>
          <w:tcPr>
            <w:tcW w:w="4961" w:type="dxa"/>
            <w:noWrap/>
          </w:tcPr>
          <w:p w:rsidR="00980611" w:rsidRPr="00980611" w:rsidRDefault="00980611" w:rsidP="00823420">
            <w:pPr>
              <w:pStyle w:val="ListParagraph"/>
              <w:numPr>
                <w:ilvl w:val="0"/>
                <w:numId w:val="1"/>
              </w:numPr>
              <w:spacing w:after="0" w:line="240" w:lineRule="auto"/>
              <w:rPr>
                <w:rFonts w:cs="Arial"/>
                <w:sz w:val="20"/>
                <w:szCs w:val="20"/>
                <w:lang w:eastAsia="en-GB"/>
              </w:rPr>
            </w:pPr>
            <w:r>
              <w:rPr>
                <w:rFonts w:cs="Arial"/>
                <w:sz w:val="20"/>
                <w:szCs w:val="20"/>
                <w:lang w:eastAsia="en-GB"/>
              </w:rPr>
              <w:t>MH: Essence of Care regarding nutrition in place since August</w:t>
            </w:r>
          </w:p>
        </w:tc>
        <w:tc>
          <w:tcPr>
            <w:tcW w:w="425" w:type="dxa"/>
            <w:tcBorders>
              <w:bottom w:val="nil"/>
            </w:tcBorders>
            <w:shd w:val="clear" w:color="auto" w:fill="00B050"/>
          </w:tcPr>
          <w:p w:rsidR="00980611" w:rsidRPr="00980611" w:rsidRDefault="00980611" w:rsidP="00980611">
            <w:pPr>
              <w:spacing w:after="0" w:line="240" w:lineRule="auto"/>
              <w:rPr>
                <w:rFonts w:cs="Arial"/>
                <w:color w:val="FFC000"/>
                <w:sz w:val="20"/>
                <w:szCs w:val="20"/>
                <w:lang w:eastAsia="en-GB"/>
              </w:rPr>
            </w:pPr>
          </w:p>
        </w:tc>
      </w:tr>
      <w:tr w:rsidR="00980611" w:rsidRPr="00677B2B" w:rsidTr="003D53FF">
        <w:trPr>
          <w:trHeight w:val="690"/>
        </w:trPr>
        <w:tc>
          <w:tcPr>
            <w:tcW w:w="4679" w:type="dxa"/>
            <w:vMerge/>
          </w:tcPr>
          <w:p w:rsidR="00980611" w:rsidRPr="00677B2B" w:rsidRDefault="00980611">
            <w:pPr>
              <w:jc w:val="both"/>
              <w:rPr>
                <w:rFonts w:cs="Arial"/>
                <w:sz w:val="20"/>
                <w:szCs w:val="20"/>
              </w:rPr>
            </w:pPr>
          </w:p>
        </w:tc>
        <w:tc>
          <w:tcPr>
            <w:tcW w:w="4961" w:type="dxa"/>
            <w:noWrap/>
          </w:tcPr>
          <w:p w:rsidR="00980611" w:rsidRPr="00980611" w:rsidRDefault="003D53FF" w:rsidP="00823420">
            <w:pPr>
              <w:pStyle w:val="ListParagraph"/>
              <w:numPr>
                <w:ilvl w:val="0"/>
                <w:numId w:val="1"/>
              </w:numPr>
              <w:spacing w:after="0" w:line="240" w:lineRule="auto"/>
              <w:rPr>
                <w:rFonts w:cs="Arial"/>
                <w:sz w:val="20"/>
                <w:szCs w:val="20"/>
                <w:lang w:eastAsia="en-GB"/>
              </w:rPr>
            </w:pPr>
            <w:r>
              <w:rPr>
                <w:rFonts w:cs="Arial"/>
                <w:sz w:val="20"/>
                <w:szCs w:val="20"/>
                <w:lang w:eastAsia="en-GB"/>
              </w:rPr>
              <w:t>MH: Falls is not actually in Essence of Care, but is being audited through local audits</w:t>
            </w:r>
          </w:p>
        </w:tc>
        <w:tc>
          <w:tcPr>
            <w:tcW w:w="425" w:type="dxa"/>
            <w:tcBorders>
              <w:bottom w:val="nil"/>
            </w:tcBorders>
            <w:shd w:val="clear" w:color="auto" w:fill="00B050"/>
          </w:tcPr>
          <w:p w:rsidR="00980611" w:rsidRPr="00980611" w:rsidRDefault="00980611" w:rsidP="00980611">
            <w:pPr>
              <w:spacing w:after="0" w:line="240" w:lineRule="auto"/>
              <w:rPr>
                <w:rFonts w:cs="Arial"/>
                <w:color w:val="FFC000"/>
                <w:sz w:val="20"/>
                <w:szCs w:val="20"/>
                <w:lang w:eastAsia="en-GB"/>
              </w:rPr>
            </w:pPr>
          </w:p>
        </w:tc>
      </w:tr>
      <w:tr w:rsidR="00623AE9" w:rsidRPr="00677B2B" w:rsidTr="00476906">
        <w:trPr>
          <w:trHeight w:val="307"/>
        </w:trPr>
        <w:tc>
          <w:tcPr>
            <w:tcW w:w="4679" w:type="dxa"/>
            <w:vMerge w:val="restart"/>
          </w:tcPr>
          <w:p w:rsidR="00623AE9" w:rsidRPr="00677B2B" w:rsidRDefault="00623AE9">
            <w:pPr>
              <w:jc w:val="both"/>
              <w:rPr>
                <w:rFonts w:cs="Arial"/>
                <w:sz w:val="20"/>
                <w:szCs w:val="20"/>
              </w:rPr>
            </w:pPr>
            <w:r w:rsidRPr="00677B2B">
              <w:rPr>
                <w:rFonts w:cs="Arial"/>
                <w:sz w:val="20"/>
                <w:szCs w:val="20"/>
              </w:rPr>
              <w:t>To ensure additional training for at least one nurse per ward in each of the 8 community hospitals in the detection of dementia and depression</w:t>
            </w:r>
          </w:p>
        </w:tc>
        <w:tc>
          <w:tcPr>
            <w:tcW w:w="4961" w:type="dxa"/>
            <w:noWrap/>
          </w:tcPr>
          <w:p w:rsidR="00623AE9" w:rsidRPr="00623AE9" w:rsidRDefault="00623AE9" w:rsidP="00623AE9">
            <w:pPr>
              <w:pStyle w:val="ListParagraph"/>
              <w:numPr>
                <w:ilvl w:val="0"/>
                <w:numId w:val="1"/>
              </w:numPr>
              <w:spacing w:after="0" w:line="240" w:lineRule="auto"/>
              <w:rPr>
                <w:rFonts w:cs="Arial"/>
                <w:sz w:val="20"/>
                <w:szCs w:val="20"/>
                <w:lang w:eastAsia="en-GB"/>
              </w:rPr>
            </w:pPr>
            <w:r w:rsidRPr="00623AE9">
              <w:rPr>
                <w:rFonts w:cs="Arial"/>
                <w:sz w:val="20"/>
                <w:szCs w:val="20"/>
                <w:lang w:eastAsia="en-GB"/>
              </w:rPr>
              <w:t xml:space="preserve">Dementia link nurses exist </w:t>
            </w:r>
          </w:p>
        </w:tc>
        <w:tc>
          <w:tcPr>
            <w:tcW w:w="425" w:type="dxa"/>
            <w:tcBorders>
              <w:bottom w:val="nil"/>
            </w:tcBorders>
            <w:shd w:val="clear" w:color="auto" w:fill="00B050"/>
          </w:tcPr>
          <w:p w:rsidR="00623AE9" w:rsidRPr="00823420" w:rsidRDefault="00623AE9" w:rsidP="00823420">
            <w:pPr>
              <w:pStyle w:val="ListParagraph"/>
              <w:numPr>
                <w:ilvl w:val="0"/>
                <w:numId w:val="1"/>
              </w:numPr>
              <w:spacing w:after="0" w:line="240" w:lineRule="auto"/>
              <w:rPr>
                <w:rFonts w:cs="Arial"/>
                <w:color w:val="00B050"/>
                <w:sz w:val="20"/>
                <w:szCs w:val="20"/>
                <w:lang w:eastAsia="en-GB"/>
              </w:rPr>
            </w:pPr>
          </w:p>
        </w:tc>
      </w:tr>
      <w:tr w:rsidR="00623AE9" w:rsidRPr="00677B2B" w:rsidTr="00623AE9">
        <w:trPr>
          <w:trHeight w:val="410"/>
        </w:trPr>
        <w:tc>
          <w:tcPr>
            <w:tcW w:w="4679" w:type="dxa"/>
            <w:vMerge/>
          </w:tcPr>
          <w:p w:rsidR="00623AE9" w:rsidRPr="00677B2B" w:rsidRDefault="00623AE9">
            <w:pPr>
              <w:jc w:val="both"/>
              <w:rPr>
                <w:rFonts w:cs="Arial"/>
                <w:sz w:val="20"/>
                <w:szCs w:val="20"/>
              </w:rPr>
            </w:pPr>
          </w:p>
        </w:tc>
        <w:tc>
          <w:tcPr>
            <w:tcW w:w="4961" w:type="dxa"/>
            <w:noWrap/>
          </w:tcPr>
          <w:p w:rsidR="00623AE9" w:rsidRPr="00623AE9" w:rsidRDefault="00623AE9" w:rsidP="00623AE9">
            <w:pPr>
              <w:pStyle w:val="ListParagraph"/>
              <w:numPr>
                <w:ilvl w:val="0"/>
                <w:numId w:val="1"/>
              </w:numPr>
              <w:spacing w:after="0" w:line="240" w:lineRule="auto"/>
              <w:rPr>
                <w:rFonts w:cs="Arial"/>
                <w:sz w:val="20"/>
                <w:szCs w:val="20"/>
                <w:lang w:eastAsia="en-GB"/>
              </w:rPr>
            </w:pPr>
            <w:r w:rsidRPr="00623AE9">
              <w:rPr>
                <w:rFonts w:cs="Arial"/>
                <w:sz w:val="20"/>
                <w:szCs w:val="20"/>
                <w:lang w:eastAsia="en-GB"/>
              </w:rPr>
              <w:t>On-going training continues to be rolled out</w:t>
            </w:r>
          </w:p>
        </w:tc>
        <w:tc>
          <w:tcPr>
            <w:tcW w:w="425" w:type="dxa"/>
            <w:tcBorders>
              <w:top w:val="nil"/>
              <w:bottom w:val="nil"/>
            </w:tcBorders>
            <w:shd w:val="clear" w:color="auto" w:fill="FFC000"/>
          </w:tcPr>
          <w:p w:rsidR="00623AE9" w:rsidRPr="00823420" w:rsidRDefault="00623AE9" w:rsidP="00823420">
            <w:pPr>
              <w:pStyle w:val="ListParagraph"/>
              <w:numPr>
                <w:ilvl w:val="0"/>
                <w:numId w:val="1"/>
              </w:numPr>
              <w:spacing w:after="0" w:line="240" w:lineRule="auto"/>
              <w:rPr>
                <w:rFonts w:cs="Arial"/>
                <w:color w:val="00B050"/>
                <w:sz w:val="20"/>
                <w:szCs w:val="20"/>
                <w:lang w:eastAsia="en-GB"/>
              </w:rPr>
            </w:pPr>
          </w:p>
        </w:tc>
      </w:tr>
      <w:tr w:rsidR="00623AE9" w:rsidRPr="00677B2B" w:rsidTr="00623AE9">
        <w:trPr>
          <w:trHeight w:val="572"/>
        </w:trPr>
        <w:tc>
          <w:tcPr>
            <w:tcW w:w="4679" w:type="dxa"/>
            <w:vMerge/>
          </w:tcPr>
          <w:p w:rsidR="00623AE9" w:rsidRPr="00677B2B" w:rsidRDefault="00623AE9">
            <w:pPr>
              <w:jc w:val="both"/>
              <w:rPr>
                <w:rFonts w:cs="Arial"/>
                <w:sz w:val="20"/>
                <w:szCs w:val="20"/>
              </w:rPr>
            </w:pPr>
          </w:p>
        </w:tc>
        <w:tc>
          <w:tcPr>
            <w:tcW w:w="4961" w:type="dxa"/>
            <w:noWrap/>
          </w:tcPr>
          <w:p w:rsidR="00623AE9" w:rsidRPr="00623AE9" w:rsidRDefault="00623AE9" w:rsidP="00823420">
            <w:pPr>
              <w:pStyle w:val="ListParagraph"/>
              <w:numPr>
                <w:ilvl w:val="0"/>
                <w:numId w:val="1"/>
              </w:numPr>
              <w:spacing w:after="0" w:line="240" w:lineRule="auto"/>
              <w:rPr>
                <w:rFonts w:cs="Arial"/>
                <w:sz w:val="20"/>
                <w:szCs w:val="20"/>
                <w:lang w:eastAsia="en-GB"/>
              </w:rPr>
            </w:pPr>
            <w:r w:rsidRPr="00623AE9">
              <w:rPr>
                <w:rFonts w:cs="Arial"/>
                <w:sz w:val="20"/>
                <w:szCs w:val="20"/>
                <w:lang w:eastAsia="en-GB"/>
              </w:rPr>
              <w:t>Some wards have additionally employed dual trained nurses</w:t>
            </w:r>
          </w:p>
        </w:tc>
        <w:tc>
          <w:tcPr>
            <w:tcW w:w="425" w:type="dxa"/>
            <w:tcBorders>
              <w:top w:val="nil"/>
              <w:bottom w:val="nil"/>
            </w:tcBorders>
            <w:shd w:val="clear" w:color="auto" w:fill="00B050"/>
          </w:tcPr>
          <w:p w:rsidR="00623AE9" w:rsidRPr="00823420" w:rsidRDefault="00623AE9" w:rsidP="00823420">
            <w:pPr>
              <w:pStyle w:val="ListParagraph"/>
              <w:numPr>
                <w:ilvl w:val="0"/>
                <w:numId w:val="1"/>
              </w:numPr>
              <w:spacing w:after="0" w:line="240" w:lineRule="auto"/>
              <w:rPr>
                <w:rFonts w:cs="Arial"/>
                <w:color w:val="00B050"/>
                <w:sz w:val="20"/>
                <w:szCs w:val="20"/>
                <w:lang w:eastAsia="en-GB"/>
              </w:rPr>
            </w:pPr>
          </w:p>
        </w:tc>
      </w:tr>
      <w:tr w:rsidR="0058221A" w:rsidRPr="00677B2B" w:rsidTr="00792F08">
        <w:trPr>
          <w:trHeight w:val="690"/>
        </w:trPr>
        <w:tc>
          <w:tcPr>
            <w:tcW w:w="4679" w:type="dxa"/>
            <w:vMerge w:val="restart"/>
          </w:tcPr>
          <w:p w:rsidR="00623AE9" w:rsidRPr="00677B2B" w:rsidRDefault="0058221A">
            <w:pPr>
              <w:jc w:val="both"/>
              <w:rPr>
                <w:rFonts w:cs="Arial"/>
                <w:sz w:val="20"/>
                <w:szCs w:val="20"/>
              </w:rPr>
            </w:pPr>
            <w:r w:rsidRPr="00677B2B">
              <w:rPr>
                <w:rFonts w:cs="Arial"/>
                <w:sz w:val="20"/>
                <w:szCs w:val="20"/>
              </w:rPr>
              <w:t>Staff competency assessments will be developed and introduced for nursing staff in Community Division prescribing and/or administering medicines to further enhance current training programmes. This approach will also be implemented for other potential high risk clinical nursing interventions</w:t>
            </w:r>
          </w:p>
        </w:tc>
        <w:tc>
          <w:tcPr>
            <w:tcW w:w="4961" w:type="dxa"/>
            <w:noWrap/>
          </w:tcPr>
          <w:p w:rsidR="0058221A" w:rsidRPr="00623AE9" w:rsidRDefault="0058221A" w:rsidP="00623AE9">
            <w:pPr>
              <w:pStyle w:val="ListParagraph"/>
              <w:numPr>
                <w:ilvl w:val="0"/>
                <w:numId w:val="1"/>
              </w:numPr>
              <w:spacing w:after="0" w:line="240" w:lineRule="auto"/>
              <w:rPr>
                <w:rFonts w:cs="Arial"/>
                <w:sz w:val="20"/>
                <w:szCs w:val="20"/>
                <w:lang w:eastAsia="en-GB"/>
              </w:rPr>
            </w:pPr>
            <w:r w:rsidRPr="00623AE9">
              <w:rPr>
                <w:rFonts w:cs="Arial"/>
                <w:sz w:val="20"/>
                <w:szCs w:val="20"/>
                <w:lang w:eastAsia="en-GB"/>
              </w:rPr>
              <w:t>Induction programme has been updated to include medicine’s management</w:t>
            </w:r>
          </w:p>
        </w:tc>
        <w:tc>
          <w:tcPr>
            <w:tcW w:w="425" w:type="dxa"/>
            <w:tcBorders>
              <w:bottom w:val="nil"/>
            </w:tcBorders>
            <w:shd w:val="clear" w:color="auto" w:fill="00B050"/>
          </w:tcPr>
          <w:p w:rsidR="0058221A" w:rsidRPr="00823420" w:rsidRDefault="0058221A" w:rsidP="00823420">
            <w:pPr>
              <w:pStyle w:val="ListParagraph"/>
              <w:numPr>
                <w:ilvl w:val="0"/>
                <w:numId w:val="1"/>
              </w:numPr>
              <w:spacing w:after="0" w:line="240" w:lineRule="auto"/>
              <w:rPr>
                <w:rFonts w:cs="Arial"/>
                <w:color w:val="00B050"/>
                <w:sz w:val="20"/>
                <w:szCs w:val="20"/>
                <w:lang w:eastAsia="en-GB"/>
              </w:rPr>
            </w:pPr>
          </w:p>
        </w:tc>
      </w:tr>
      <w:tr w:rsidR="0058221A" w:rsidRPr="00677B2B" w:rsidTr="00792F08">
        <w:trPr>
          <w:trHeight w:val="690"/>
        </w:trPr>
        <w:tc>
          <w:tcPr>
            <w:tcW w:w="4679" w:type="dxa"/>
            <w:vMerge/>
          </w:tcPr>
          <w:p w:rsidR="0058221A" w:rsidRPr="00677B2B" w:rsidRDefault="0058221A">
            <w:pPr>
              <w:jc w:val="both"/>
              <w:rPr>
                <w:rFonts w:cs="Arial"/>
                <w:sz w:val="20"/>
                <w:szCs w:val="20"/>
              </w:rPr>
            </w:pPr>
          </w:p>
        </w:tc>
        <w:tc>
          <w:tcPr>
            <w:tcW w:w="4961" w:type="dxa"/>
            <w:noWrap/>
          </w:tcPr>
          <w:p w:rsidR="0058221A" w:rsidRPr="00623AE9" w:rsidRDefault="00623AE9" w:rsidP="00623AE9">
            <w:pPr>
              <w:pStyle w:val="ListParagraph"/>
              <w:numPr>
                <w:ilvl w:val="0"/>
                <w:numId w:val="1"/>
              </w:numPr>
              <w:spacing w:after="0" w:line="240" w:lineRule="auto"/>
              <w:rPr>
                <w:rFonts w:cs="Arial"/>
                <w:sz w:val="20"/>
                <w:szCs w:val="20"/>
                <w:lang w:eastAsia="en-GB"/>
              </w:rPr>
            </w:pPr>
            <w:r w:rsidRPr="00623AE9">
              <w:rPr>
                <w:rFonts w:cs="Arial"/>
                <w:sz w:val="20"/>
                <w:szCs w:val="20"/>
                <w:lang w:eastAsia="en-GB"/>
              </w:rPr>
              <w:t>The divisional competency framework has now been completed and implementation approach agreed. To commence roll out in Dec /Jan 2011-1</w:t>
            </w:r>
          </w:p>
        </w:tc>
        <w:tc>
          <w:tcPr>
            <w:tcW w:w="425" w:type="dxa"/>
            <w:tcBorders>
              <w:top w:val="nil"/>
              <w:bottom w:val="nil"/>
            </w:tcBorders>
            <w:shd w:val="clear" w:color="auto" w:fill="FFC000"/>
          </w:tcPr>
          <w:p w:rsidR="0058221A" w:rsidRPr="00823420" w:rsidRDefault="0058221A" w:rsidP="00823420">
            <w:pPr>
              <w:pStyle w:val="ListParagraph"/>
              <w:numPr>
                <w:ilvl w:val="0"/>
                <w:numId w:val="1"/>
              </w:numPr>
              <w:spacing w:after="0" w:line="240" w:lineRule="auto"/>
              <w:rPr>
                <w:rFonts w:cs="Arial"/>
                <w:color w:val="00B050"/>
                <w:sz w:val="20"/>
                <w:szCs w:val="20"/>
                <w:lang w:eastAsia="en-GB"/>
              </w:rPr>
            </w:pPr>
          </w:p>
        </w:tc>
      </w:tr>
      <w:tr w:rsidR="0058221A" w:rsidRPr="00677B2B" w:rsidTr="009D11DF">
        <w:trPr>
          <w:trHeight w:val="558"/>
        </w:trPr>
        <w:tc>
          <w:tcPr>
            <w:tcW w:w="4679" w:type="dxa"/>
            <w:vMerge/>
          </w:tcPr>
          <w:p w:rsidR="0058221A" w:rsidRPr="00677B2B" w:rsidRDefault="0058221A">
            <w:pPr>
              <w:jc w:val="both"/>
              <w:rPr>
                <w:rFonts w:cs="Arial"/>
                <w:sz w:val="20"/>
                <w:szCs w:val="20"/>
              </w:rPr>
            </w:pPr>
          </w:p>
        </w:tc>
        <w:tc>
          <w:tcPr>
            <w:tcW w:w="4961" w:type="dxa"/>
            <w:noWrap/>
          </w:tcPr>
          <w:p w:rsidR="0058221A" w:rsidRPr="00CE79A6" w:rsidRDefault="0058221A" w:rsidP="00823420">
            <w:pPr>
              <w:pStyle w:val="ListParagraph"/>
              <w:numPr>
                <w:ilvl w:val="0"/>
                <w:numId w:val="1"/>
              </w:numPr>
              <w:spacing w:after="0" w:line="240" w:lineRule="auto"/>
              <w:rPr>
                <w:rFonts w:cs="Arial"/>
                <w:sz w:val="20"/>
                <w:szCs w:val="20"/>
                <w:lang w:eastAsia="en-GB"/>
              </w:rPr>
            </w:pPr>
            <w:r w:rsidRPr="00CE79A6">
              <w:rPr>
                <w:rFonts w:cs="Arial"/>
                <w:sz w:val="20"/>
                <w:szCs w:val="20"/>
                <w:lang w:eastAsia="en-GB"/>
              </w:rPr>
              <w:t>Overall framework for HII for OCS ratified by the division, implementation plan in progress</w:t>
            </w:r>
          </w:p>
        </w:tc>
        <w:tc>
          <w:tcPr>
            <w:tcW w:w="425" w:type="dxa"/>
            <w:tcBorders>
              <w:bottom w:val="nil"/>
            </w:tcBorders>
            <w:shd w:val="clear" w:color="auto" w:fill="FFC000"/>
          </w:tcPr>
          <w:p w:rsidR="0058221A" w:rsidRPr="00823420" w:rsidRDefault="0058221A" w:rsidP="00823420">
            <w:pPr>
              <w:pStyle w:val="ListParagraph"/>
              <w:numPr>
                <w:ilvl w:val="0"/>
                <w:numId w:val="1"/>
              </w:numPr>
              <w:spacing w:after="0" w:line="240" w:lineRule="auto"/>
              <w:rPr>
                <w:rFonts w:cs="Arial"/>
                <w:color w:val="00B050"/>
                <w:sz w:val="20"/>
                <w:szCs w:val="20"/>
                <w:lang w:eastAsia="en-GB"/>
              </w:rPr>
            </w:pPr>
          </w:p>
        </w:tc>
      </w:tr>
      <w:tr w:rsidR="0058221A" w:rsidRPr="00677B2B" w:rsidTr="00792F08">
        <w:trPr>
          <w:trHeight w:val="851"/>
        </w:trPr>
        <w:tc>
          <w:tcPr>
            <w:tcW w:w="4679" w:type="dxa"/>
            <w:tcBorders>
              <w:bottom w:val="single" w:sz="4" w:space="0" w:color="auto"/>
            </w:tcBorders>
          </w:tcPr>
          <w:p w:rsidR="0058221A" w:rsidRPr="00677B2B" w:rsidRDefault="0058221A">
            <w:pPr>
              <w:jc w:val="both"/>
              <w:rPr>
                <w:rFonts w:cs="Arial"/>
                <w:sz w:val="20"/>
                <w:szCs w:val="20"/>
              </w:rPr>
            </w:pPr>
            <w:r w:rsidRPr="00677B2B">
              <w:rPr>
                <w:rFonts w:cs="Arial"/>
                <w:sz w:val="20"/>
                <w:szCs w:val="20"/>
              </w:rPr>
              <w:t>Implement outcomes resulting from investigation of all identified grade 3 and 4 pressure sores</w:t>
            </w:r>
          </w:p>
        </w:tc>
        <w:tc>
          <w:tcPr>
            <w:tcW w:w="4961" w:type="dxa"/>
            <w:tcBorders>
              <w:bottom w:val="single" w:sz="4" w:space="0" w:color="auto"/>
            </w:tcBorders>
            <w:noWrap/>
          </w:tcPr>
          <w:p w:rsidR="0058221A" w:rsidRPr="00CE79A6" w:rsidRDefault="009D11DF" w:rsidP="00823420">
            <w:pPr>
              <w:pStyle w:val="ListParagraph"/>
              <w:numPr>
                <w:ilvl w:val="0"/>
                <w:numId w:val="1"/>
              </w:numPr>
              <w:spacing w:after="0" w:line="240" w:lineRule="auto"/>
              <w:rPr>
                <w:rFonts w:cs="Arial"/>
                <w:sz w:val="20"/>
                <w:szCs w:val="20"/>
                <w:lang w:eastAsia="en-GB"/>
              </w:rPr>
            </w:pPr>
            <w:r w:rsidRPr="00CE79A6">
              <w:rPr>
                <w:rFonts w:cs="Arial"/>
                <w:sz w:val="20"/>
                <w:szCs w:val="20"/>
              </w:rPr>
              <w:t>All learning is reviewed and the overarching PU action plan is updates to reflect any additional learning action points</w:t>
            </w:r>
            <w:r w:rsidR="0058221A" w:rsidRPr="00CE79A6">
              <w:rPr>
                <w:rFonts w:cs="Arial"/>
                <w:sz w:val="20"/>
                <w:szCs w:val="20"/>
                <w:lang w:eastAsia="en-GB"/>
              </w:rPr>
              <w:t xml:space="preserve">. </w:t>
            </w:r>
          </w:p>
        </w:tc>
        <w:tc>
          <w:tcPr>
            <w:tcW w:w="425" w:type="dxa"/>
            <w:tcBorders>
              <w:bottom w:val="single" w:sz="4" w:space="0" w:color="auto"/>
            </w:tcBorders>
            <w:shd w:val="clear" w:color="auto" w:fill="00B050"/>
          </w:tcPr>
          <w:p w:rsidR="0058221A" w:rsidRPr="009D11DF" w:rsidRDefault="0058221A" w:rsidP="00823420">
            <w:pPr>
              <w:pStyle w:val="ListParagraph"/>
              <w:numPr>
                <w:ilvl w:val="0"/>
                <w:numId w:val="1"/>
              </w:numPr>
              <w:spacing w:after="0" w:line="240" w:lineRule="auto"/>
              <w:rPr>
                <w:rFonts w:cs="Arial"/>
                <w:sz w:val="20"/>
                <w:szCs w:val="20"/>
                <w:lang w:eastAsia="en-GB"/>
              </w:rPr>
            </w:pPr>
          </w:p>
        </w:tc>
      </w:tr>
    </w:tbl>
    <w:p w:rsidR="0058221A" w:rsidRDefault="0058221A"/>
    <w:p w:rsidR="0058221A" w:rsidRDefault="0058221A">
      <w:r>
        <w:br w:type="page"/>
      </w:r>
    </w:p>
    <w:p w:rsidR="0058221A" w:rsidRDefault="0058221A" w:rsidP="00997399">
      <w:pPr>
        <w:autoSpaceDE w:val="0"/>
        <w:autoSpaceDN w:val="0"/>
        <w:adjustRightInd w:val="0"/>
        <w:rPr>
          <w:rFonts w:ascii="Arial" w:hAnsi="Arial" w:cs="Arial"/>
          <w:sz w:val="21"/>
          <w:szCs w:val="21"/>
        </w:rPr>
      </w:pPr>
    </w:p>
    <w:tbl>
      <w:tblPr>
        <w:tblW w:w="10065" w:type="dxa"/>
        <w:tblInd w:w="-176" w:type="dxa"/>
        <w:tblBorders>
          <w:left w:val="single" w:sz="4" w:space="0" w:color="auto"/>
          <w:bottom w:val="single" w:sz="4" w:space="0" w:color="auto"/>
          <w:right w:val="single" w:sz="4" w:space="0" w:color="auto"/>
        </w:tblBorders>
        <w:tblLayout w:type="fixed"/>
        <w:tblLook w:val="00A0"/>
      </w:tblPr>
      <w:tblGrid>
        <w:gridCol w:w="10065"/>
      </w:tblGrid>
      <w:tr w:rsidR="0058221A" w:rsidRPr="00677B2B" w:rsidTr="00AE7AB3">
        <w:trPr>
          <w:trHeight w:val="300"/>
        </w:trPr>
        <w:tc>
          <w:tcPr>
            <w:tcW w:w="10065" w:type="dxa"/>
            <w:tcBorders>
              <w:bottom w:val="nil"/>
            </w:tcBorders>
            <w:shd w:val="clear" w:color="auto" w:fill="0070C0"/>
            <w:noWrap/>
            <w:vAlign w:val="center"/>
          </w:tcPr>
          <w:p w:rsidR="0058221A" w:rsidRPr="00187092" w:rsidRDefault="0058221A" w:rsidP="00997399">
            <w:pPr>
              <w:pStyle w:val="Heading2"/>
              <w:rPr>
                <w:rFonts w:ascii="Arial" w:hAnsi="Arial" w:cs="Arial"/>
                <w:b w:val="0"/>
                <w:caps/>
                <w:color w:val="FFFFFF"/>
                <w:szCs w:val="22"/>
                <w:lang w:eastAsia="en-GB"/>
              </w:rPr>
            </w:pPr>
            <w:r>
              <w:rPr>
                <w:rFonts w:ascii="Arial" w:hAnsi="Arial" w:cs="Arial"/>
                <w:b w:val="0"/>
                <w:caps/>
                <w:color w:val="FFFFFF"/>
                <w:szCs w:val="22"/>
                <w:lang w:eastAsia="en-GB"/>
              </w:rPr>
              <w:t xml:space="preserve">3. </w:t>
            </w:r>
            <w:r w:rsidRPr="00902581">
              <w:rPr>
                <w:rFonts w:ascii="Arial" w:hAnsi="Arial" w:cs="Arial"/>
                <w:b w:val="0"/>
                <w:caps/>
                <w:color w:val="FFFFFF"/>
                <w:szCs w:val="22"/>
                <w:lang w:eastAsia="en-GB"/>
              </w:rPr>
              <w:t>Effectiveness: Enhancing quality of life for people with long-term conditions</w:t>
            </w:r>
          </w:p>
        </w:tc>
      </w:tr>
      <w:tr w:rsidR="0058221A" w:rsidRPr="00677B2B" w:rsidTr="00AE7AB3">
        <w:trPr>
          <w:trHeight w:val="300"/>
        </w:trPr>
        <w:tc>
          <w:tcPr>
            <w:tcW w:w="10065" w:type="dxa"/>
            <w:tcBorders>
              <w:bottom w:val="nil"/>
            </w:tcBorders>
            <w:shd w:val="clear" w:color="auto" w:fill="BFBFBF"/>
            <w:noWrap/>
            <w:vAlign w:val="center"/>
          </w:tcPr>
          <w:p w:rsidR="00A92802" w:rsidRDefault="0058221A">
            <w:pPr>
              <w:pStyle w:val="Heading2"/>
              <w:rPr>
                <w:lang w:eastAsia="en-GB"/>
              </w:rPr>
            </w:pPr>
            <w:r w:rsidRPr="0046221F">
              <w:rPr>
                <w:rFonts w:ascii="Arial" w:hAnsi="Arial" w:cs="Arial"/>
                <w:color w:val="auto"/>
                <w:sz w:val="24"/>
                <w:szCs w:val="24"/>
                <w:lang w:eastAsia="en-GB"/>
              </w:rPr>
              <w:t>Aims</w:t>
            </w:r>
          </w:p>
        </w:tc>
      </w:tr>
      <w:tr w:rsidR="0058221A" w:rsidRPr="00677B2B" w:rsidTr="00AE7AB3">
        <w:trPr>
          <w:trHeight w:val="600"/>
        </w:trPr>
        <w:tc>
          <w:tcPr>
            <w:tcW w:w="10065" w:type="dxa"/>
            <w:tcBorders>
              <w:top w:val="nil"/>
            </w:tcBorders>
            <w:shd w:val="clear" w:color="000000" w:fill="C0C0C0"/>
            <w:vAlign w:val="center"/>
          </w:tcPr>
          <w:p w:rsidR="0058221A" w:rsidRPr="00902581" w:rsidRDefault="0058221A" w:rsidP="00902581">
            <w:pPr>
              <w:pStyle w:val="ListParagraph"/>
              <w:numPr>
                <w:ilvl w:val="0"/>
                <w:numId w:val="6"/>
              </w:numPr>
              <w:spacing w:after="0" w:line="240" w:lineRule="auto"/>
              <w:rPr>
                <w:rFonts w:cs="Arial"/>
                <w:b/>
                <w:bCs/>
                <w:lang w:eastAsia="en-GB"/>
              </w:rPr>
            </w:pPr>
            <w:r w:rsidRPr="00902581">
              <w:rPr>
                <w:rFonts w:cs="Arial"/>
                <w:b/>
                <w:bCs/>
                <w:lang w:eastAsia="en-GB"/>
              </w:rPr>
              <w:t>To increase by 10% the number of mental health patients who have Advanced  Statements in place (Trust Priority)</w:t>
            </w:r>
          </w:p>
          <w:p w:rsidR="0058221A" w:rsidRDefault="0058221A" w:rsidP="00997399">
            <w:pPr>
              <w:spacing w:after="0" w:line="240" w:lineRule="auto"/>
              <w:rPr>
                <w:rFonts w:cs="Arial"/>
                <w:b/>
                <w:bCs/>
                <w:lang w:eastAsia="en-GB"/>
              </w:rPr>
            </w:pPr>
          </w:p>
          <w:p w:rsidR="0058221A" w:rsidRDefault="003126CE" w:rsidP="0042017C">
            <w:pPr>
              <w:spacing w:after="0" w:line="240" w:lineRule="auto"/>
              <w:ind w:left="743"/>
              <w:jc w:val="center"/>
              <w:rPr>
                <w:rFonts w:cs="Arial"/>
                <w:b/>
                <w:bCs/>
                <w:i/>
                <w:lang w:eastAsia="en-GB"/>
              </w:rPr>
            </w:pPr>
            <w:r w:rsidRPr="003126CE">
              <w:rPr>
                <w:rFonts w:cs="Arial"/>
                <w:b/>
                <w:bCs/>
                <w:i/>
                <w:noProof/>
                <w:lang w:eastAsia="en-GB"/>
              </w:rPr>
              <w:drawing>
                <wp:inline distT="0" distB="0" distL="0" distR="0">
                  <wp:extent cx="3295650" cy="196215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221A" w:rsidRDefault="0058221A" w:rsidP="002E3B51">
            <w:pPr>
              <w:spacing w:after="0" w:line="240" w:lineRule="auto"/>
              <w:ind w:left="743"/>
              <w:rPr>
                <w:rFonts w:cs="Arial"/>
                <w:b/>
                <w:bCs/>
                <w:i/>
                <w:lang w:eastAsia="en-GB"/>
              </w:rPr>
            </w:pPr>
          </w:p>
          <w:p w:rsidR="0058221A" w:rsidRPr="002E3B51" w:rsidRDefault="0058221A" w:rsidP="002E3B51">
            <w:pPr>
              <w:spacing w:after="0" w:line="240" w:lineRule="auto"/>
              <w:ind w:left="743"/>
              <w:rPr>
                <w:rFonts w:cs="Arial"/>
                <w:b/>
                <w:bCs/>
                <w:i/>
                <w:lang w:eastAsia="en-GB"/>
              </w:rPr>
            </w:pPr>
            <w:r>
              <w:rPr>
                <w:rFonts w:cs="Arial"/>
                <w:b/>
                <w:bCs/>
                <w:i/>
                <w:lang w:eastAsia="en-GB"/>
              </w:rPr>
              <w:t xml:space="preserve">NOTE: The decline in Q1 2011 is due to a peculiarity caused by the introduction of RiO.  This is being addressed, but will not give reliable results until at least </w:t>
            </w:r>
            <w:r w:rsidR="003126CE">
              <w:rPr>
                <w:rFonts w:cs="Arial"/>
                <w:b/>
                <w:bCs/>
                <w:i/>
                <w:lang w:eastAsia="en-GB"/>
              </w:rPr>
              <w:t>Q4</w:t>
            </w:r>
          </w:p>
          <w:p w:rsidR="0058221A" w:rsidRPr="00637A68" w:rsidRDefault="0058221A" w:rsidP="00997399">
            <w:pPr>
              <w:spacing w:after="0" w:line="240" w:lineRule="auto"/>
              <w:rPr>
                <w:rFonts w:cs="Arial"/>
                <w:b/>
                <w:bCs/>
                <w:lang w:eastAsia="en-GB"/>
              </w:rPr>
            </w:pPr>
          </w:p>
        </w:tc>
      </w:tr>
      <w:tr w:rsidR="0058221A" w:rsidRPr="00677B2B" w:rsidTr="00AE7AB3">
        <w:trPr>
          <w:trHeight w:val="600"/>
        </w:trPr>
        <w:tc>
          <w:tcPr>
            <w:tcW w:w="10065" w:type="dxa"/>
            <w:shd w:val="clear" w:color="000000" w:fill="C0C0C0"/>
            <w:vAlign w:val="center"/>
          </w:tcPr>
          <w:p w:rsidR="0058221A" w:rsidRDefault="0058221A" w:rsidP="00902581">
            <w:pPr>
              <w:pStyle w:val="ListParagraph"/>
              <w:numPr>
                <w:ilvl w:val="0"/>
                <w:numId w:val="6"/>
              </w:numPr>
              <w:spacing w:after="0" w:line="240" w:lineRule="auto"/>
              <w:rPr>
                <w:rFonts w:cs="Arial"/>
                <w:b/>
                <w:bCs/>
                <w:lang w:eastAsia="en-GB"/>
              </w:rPr>
            </w:pPr>
            <w:r w:rsidRPr="00902581">
              <w:rPr>
                <w:rFonts w:cs="Arial"/>
                <w:b/>
                <w:bCs/>
                <w:lang w:eastAsia="en-GB"/>
              </w:rPr>
              <w:t>100% of mental health patients on CPA have a current care plan, had care reviewed in the last 6 months; a care coordinator and a risk assessment which has been reviewed in the last 12 months (national and local priority)</w:t>
            </w:r>
          </w:p>
          <w:p w:rsidR="0058221A" w:rsidRPr="00902581" w:rsidRDefault="0058221A" w:rsidP="002E3B51">
            <w:pPr>
              <w:pStyle w:val="ListParagraph"/>
              <w:spacing w:after="0" w:line="240" w:lineRule="auto"/>
              <w:rPr>
                <w:rFonts w:cs="Arial"/>
                <w:b/>
                <w:bCs/>
                <w:lang w:eastAsia="en-GB"/>
              </w:rPr>
            </w:pPr>
          </w:p>
          <w:p w:rsidR="0058221A" w:rsidRDefault="007A0999" w:rsidP="0042017C">
            <w:pPr>
              <w:spacing w:after="0" w:line="240" w:lineRule="auto"/>
              <w:jc w:val="center"/>
              <w:rPr>
                <w:rFonts w:cs="Arial"/>
                <w:b/>
                <w:bCs/>
                <w:lang w:eastAsia="en-GB"/>
              </w:rPr>
            </w:pPr>
            <w:r w:rsidRPr="007A0999">
              <w:rPr>
                <w:rFonts w:cs="Arial"/>
                <w:b/>
                <w:bCs/>
                <w:noProof/>
                <w:lang w:eastAsia="en-GB"/>
              </w:rPr>
              <w:drawing>
                <wp:inline distT="0" distB="0" distL="0" distR="0">
                  <wp:extent cx="4114800" cy="237172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221A" w:rsidRDefault="0058221A" w:rsidP="0042017C">
            <w:pPr>
              <w:spacing w:after="0" w:line="240" w:lineRule="auto"/>
              <w:ind w:left="743"/>
              <w:rPr>
                <w:rFonts w:cs="Arial"/>
                <w:b/>
                <w:bCs/>
                <w:i/>
                <w:lang w:eastAsia="en-GB"/>
              </w:rPr>
            </w:pPr>
            <w:r w:rsidRPr="0042017C">
              <w:rPr>
                <w:rFonts w:cs="Arial"/>
                <w:b/>
                <w:bCs/>
                <w:i/>
                <w:lang w:eastAsia="en-GB"/>
              </w:rPr>
              <w:t>N</w:t>
            </w:r>
            <w:r>
              <w:rPr>
                <w:rFonts w:cs="Arial"/>
                <w:b/>
                <w:bCs/>
                <w:i/>
                <w:lang w:eastAsia="en-GB"/>
              </w:rPr>
              <w:t>OTE: Figures are very dependent on the size and nature of the sampling.  In later quarters, it is anticipated that RiO will be used to provide metrics on 100% sampling.</w:t>
            </w:r>
          </w:p>
          <w:p w:rsidR="0058221A" w:rsidRPr="00637A68" w:rsidRDefault="0058221A" w:rsidP="0042017C">
            <w:pPr>
              <w:spacing w:after="0" w:line="240" w:lineRule="auto"/>
              <w:ind w:left="743"/>
              <w:rPr>
                <w:rFonts w:cs="Arial"/>
                <w:b/>
                <w:bCs/>
                <w:lang w:eastAsia="en-GB"/>
              </w:rPr>
            </w:pPr>
          </w:p>
        </w:tc>
      </w:tr>
      <w:tr w:rsidR="0058221A" w:rsidRPr="00677B2B" w:rsidTr="00AE7AB3">
        <w:trPr>
          <w:trHeight w:val="600"/>
        </w:trPr>
        <w:tc>
          <w:tcPr>
            <w:tcW w:w="10065" w:type="dxa"/>
            <w:tcBorders>
              <w:bottom w:val="single" w:sz="4" w:space="0" w:color="auto"/>
            </w:tcBorders>
            <w:shd w:val="clear" w:color="000000" w:fill="C0C0C0"/>
            <w:vAlign w:val="center"/>
          </w:tcPr>
          <w:p w:rsidR="0058221A" w:rsidRDefault="0058221A" w:rsidP="00902581">
            <w:pPr>
              <w:pStyle w:val="ListParagraph"/>
              <w:numPr>
                <w:ilvl w:val="0"/>
                <w:numId w:val="6"/>
              </w:numPr>
              <w:spacing w:after="0" w:line="240" w:lineRule="auto"/>
              <w:rPr>
                <w:rFonts w:cs="Arial"/>
                <w:b/>
                <w:bCs/>
                <w:lang w:eastAsia="en-GB"/>
              </w:rPr>
            </w:pPr>
            <w:r w:rsidRPr="00902581">
              <w:rPr>
                <w:rFonts w:cs="Arial"/>
                <w:b/>
                <w:bCs/>
                <w:lang w:eastAsia="en-GB"/>
              </w:rPr>
              <w:t>100% of mental health patients have a copy of their care plan and were engaged in its development (service user priority)</w:t>
            </w:r>
          </w:p>
          <w:p w:rsidR="0058221A" w:rsidRPr="00997399" w:rsidRDefault="0058221A" w:rsidP="002E3B51">
            <w:pPr>
              <w:pStyle w:val="ListParagraph"/>
              <w:spacing w:after="0" w:line="240" w:lineRule="auto"/>
              <w:rPr>
                <w:rFonts w:cs="Arial"/>
                <w:b/>
                <w:bCs/>
                <w:lang w:eastAsia="en-GB"/>
              </w:rPr>
            </w:pPr>
          </w:p>
          <w:p w:rsidR="00A92802" w:rsidRDefault="0058221A">
            <w:pPr>
              <w:spacing w:after="0" w:line="240" w:lineRule="auto"/>
              <w:ind w:left="743"/>
              <w:rPr>
                <w:rFonts w:cs="Arial"/>
                <w:b/>
                <w:bCs/>
                <w:lang w:eastAsia="en-GB"/>
              </w:rPr>
            </w:pPr>
            <w:r>
              <w:rPr>
                <w:rFonts w:cs="Arial"/>
                <w:b/>
                <w:bCs/>
                <w:i/>
                <w:lang w:eastAsia="en-GB"/>
              </w:rPr>
              <w:t>NOTE: This information is not currently being captured</w:t>
            </w:r>
            <w:r w:rsidR="003126CE">
              <w:rPr>
                <w:rFonts w:cs="Arial"/>
                <w:b/>
                <w:bCs/>
                <w:i/>
                <w:lang w:eastAsia="en-GB"/>
              </w:rPr>
              <w:t>. RiO will be used to report on this at a later date</w:t>
            </w:r>
          </w:p>
          <w:p w:rsidR="0058221A" w:rsidRPr="00637A68" w:rsidRDefault="0058221A" w:rsidP="00997399">
            <w:pPr>
              <w:spacing w:after="0" w:line="240" w:lineRule="auto"/>
              <w:rPr>
                <w:rFonts w:cs="Arial"/>
                <w:b/>
                <w:bCs/>
                <w:lang w:eastAsia="en-GB"/>
              </w:rPr>
            </w:pPr>
          </w:p>
        </w:tc>
      </w:tr>
    </w:tbl>
    <w:p w:rsidR="0058221A" w:rsidRDefault="0058221A" w:rsidP="00997399"/>
    <w:tbl>
      <w:tblPr>
        <w:tblW w:w="10065" w:type="dxa"/>
        <w:tblInd w:w="-176" w:type="dxa"/>
        <w:tblBorders>
          <w:left w:val="single" w:sz="4" w:space="0" w:color="auto"/>
          <w:bottom w:val="single" w:sz="4" w:space="0" w:color="auto"/>
          <w:right w:val="single" w:sz="4" w:space="0" w:color="auto"/>
        </w:tblBorders>
        <w:tblLayout w:type="fixed"/>
        <w:tblLook w:val="00A0"/>
      </w:tblPr>
      <w:tblGrid>
        <w:gridCol w:w="2694"/>
        <w:gridCol w:w="6946"/>
        <w:gridCol w:w="425"/>
      </w:tblGrid>
      <w:tr w:rsidR="0058221A" w:rsidRPr="00677B2B" w:rsidTr="00121437">
        <w:trPr>
          <w:trHeight w:val="600"/>
        </w:trPr>
        <w:tc>
          <w:tcPr>
            <w:tcW w:w="2694" w:type="dxa"/>
            <w:tcBorders>
              <w:top w:val="single" w:sz="4" w:space="0" w:color="auto"/>
              <w:bottom w:val="single" w:sz="4" w:space="0" w:color="auto"/>
            </w:tcBorders>
            <w:shd w:val="clear" w:color="auto" w:fill="BFBFBF"/>
            <w:noWrap/>
            <w:vAlign w:val="center"/>
          </w:tcPr>
          <w:p w:rsidR="0058221A" w:rsidRPr="00637A68" w:rsidRDefault="0058221A" w:rsidP="00997399">
            <w:pPr>
              <w:spacing w:after="0" w:line="240" w:lineRule="auto"/>
              <w:rPr>
                <w:rFonts w:ascii="Arial" w:hAnsi="Arial" w:cs="Arial"/>
                <w:b/>
                <w:bCs/>
                <w:sz w:val="24"/>
                <w:szCs w:val="24"/>
                <w:lang w:eastAsia="en-GB"/>
              </w:rPr>
            </w:pPr>
            <w:r>
              <w:lastRenderedPageBreak/>
              <w:br w:type="page"/>
            </w:r>
            <w:r w:rsidRPr="00637A68">
              <w:rPr>
                <w:rFonts w:ascii="Arial" w:hAnsi="Arial" w:cs="Arial"/>
                <w:b/>
                <w:bCs/>
                <w:sz w:val="24"/>
                <w:szCs w:val="24"/>
                <w:lang w:eastAsia="en-GB"/>
              </w:rPr>
              <w:t xml:space="preserve">Actions </w:t>
            </w:r>
          </w:p>
        </w:tc>
        <w:tc>
          <w:tcPr>
            <w:tcW w:w="6946" w:type="dxa"/>
            <w:tcBorders>
              <w:top w:val="single" w:sz="4" w:space="0" w:color="auto"/>
              <w:bottom w:val="single" w:sz="4" w:space="0" w:color="auto"/>
            </w:tcBorders>
            <w:shd w:val="clear" w:color="auto" w:fill="BFBFBF"/>
            <w:noWrap/>
            <w:vAlign w:val="center"/>
          </w:tcPr>
          <w:p w:rsidR="0058221A" w:rsidRPr="00637A68" w:rsidRDefault="0058221A" w:rsidP="00997399">
            <w:pPr>
              <w:spacing w:after="0" w:line="240" w:lineRule="auto"/>
              <w:rPr>
                <w:rFonts w:ascii="Arial" w:hAnsi="Arial" w:cs="Arial"/>
                <w:b/>
                <w:bCs/>
                <w:sz w:val="24"/>
                <w:szCs w:val="24"/>
                <w:lang w:eastAsia="en-GB"/>
              </w:rPr>
            </w:pPr>
            <w:r w:rsidRPr="00637A68">
              <w:rPr>
                <w:rFonts w:ascii="Arial" w:hAnsi="Arial" w:cs="Arial"/>
                <w:b/>
                <w:bCs/>
                <w:sz w:val="24"/>
                <w:szCs w:val="24"/>
                <w:lang w:eastAsia="en-GB"/>
              </w:rPr>
              <w:t>Present Situation</w:t>
            </w:r>
          </w:p>
        </w:tc>
        <w:tc>
          <w:tcPr>
            <w:tcW w:w="425" w:type="dxa"/>
            <w:tcBorders>
              <w:top w:val="single" w:sz="4" w:space="0" w:color="auto"/>
              <w:bottom w:val="single" w:sz="4" w:space="0" w:color="auto"/>
            </w:tcBorders>
            <w:shd w:val="clear" w:color="auto" w:fill="BFBFBF"/>
          </w:tcPr>
          <w:p w:rsidR="0058221A" w:rsidRPr="00637A68" w:rsidRDefault="0058221A" w:rsidP="00997399">
            <w:pPr>
              <w:spacing w:after="0" w:line="240" w:lineRule="auto"/>
              <w:rPr>
                <w:rFonts w:ascii="Arial" w:hAnsi="Arial" w:cs="Arial"/>
                <w:b/>
                <w:bCs/>
                <w:sz w:val="24"/>
                <w:szCs w:val="24"/>
                <w:lang w:eastAsia="en-GB"/>
              </w:rPr>
            </w:pPr>
          </w:p>
        </w:tc>
      </w:tr>
      <w:tr w:rsidR="0058221A" w:rsidRPr="00677B2B" w:rsidTr="00121437">
        <w:trPr>
          <w:trHeight w:val="900"/>
        </w:trPr>
        <w:tc>
          <w:tcPr>
            <w:tcW w:w="2694" w:type="dxa"/>
            <w:tcBorders>
              <w:top w:val="single" w:sz="4" w:space="0" w:color="auto"/>
            </w:tcBorders>
          </w:tcPr>
          <w:p w:rsidR="0058221A" w:rsidRPr="00677B2B" w:rsidRDefault="0058221A">
            <w:pPr>
              <w:rPr>
                <w:rFonts w:cs="Arial"/>
                <w:sz w:val="20"/>
                <w:szCs w:val="20"/>
              </w:rPr>
            </w:pPr>
            <w:r w:rsidRPr="00677B2B">
              <w:rPr>
                <w:rFonts w:cs="Arial"/>
                <w:sz w:val="20"/>
                <w:szCs w:val="20"/>
              </w:rPr>
              <w:t>To increase by 10% the number of mental health patients who have Advanced Statements in place (Trust Priority)</w:t>
            </w:r>
          </w:p>
        </w:tc>
        <w:tc>
          <w:tcPr>
            <w:tcW w:w="6946" w:type="dxa"/>
            <w:tcBorders>
              <w:top w:val="single" w:sz="4" w:space="0" w:color="auto"/>
            </w:tcBorders>
          </w:tcPr>
          <w:p w:rsidR="007A0999" w:rsidRDefault="007A0999" w:rsidP="00CE79A6">
            <w:pPr>
              <w:pStyle w:val="ListParagraph"/>
              <w:numPr>
                <w:ilvl w:val="0"/>
                <w:numId w:val="20"/>
              </w:numPr>
              <w:spacing w:after="0"/>
              <w:ind w:left="714" w:hanging="357"/>
              <w:contextualSpacing w:val="0"/>
              <w:rPr>
                <w:rFonts w:cs="Arial"/>
                <w:sz w:val="20"/>
                <w:szCs w:val="20"/>
                <w:lang w:eastAsia="en-GB"/>
              </w:rPr>
            </w:pPr>
            <w:r w:rsidRPr="00E12B3D">
              <w:rPr>
                <w:rFonts w:cs="Arial"/>
                <w:sz w:val="20"/>
                <w:szCs w:val="20"/>
                <w:lang w:eastAsia="en-GB"/>
              </w:rPr>
              <w:t xml:space="preserve">The advance statement leaflet </w:t>
            </w:r>
            <w:r>
              <w:rPr>
                <w:rFonts w:cs="Arial"/>
                <w:sz w:val="20"/>
                <w:szCs w:val="20"/>
                <w:lang w:eastAsia="en-GB"/>
              </w:rPr>
              <w:t xml:space="preserve">has been subject to </w:t>
            </w:r>
            <w:r w:rsidRPr="00E12B3D">
              <w:rPr>
                <w:rFonts w:cs="Arial"/>
                <w:sz w:val="20"/>
                <w:szCs w:val="20"/>
                <w:lang w:eastAsia="en-GB"/>
              </w:rPr>
              <w:t>consult</w:t>
            </w:r>
            <w:r>
              <w:rPr>
                <w:rFonts w:cs="Arial"/>
                <w:sz w:val="20"/>
                <w:szCs w:val="20"/>
                <w:lang w:eastAsia="en-GB"/>
              </w:rPr>
              <w:t>ation</w:t>
            </w:r>
            <w:r w:rsidRPr="00E12B3D">
              <w:rPr>
                <w:rFonts w:cs="Arial"/>
                <w:sz w:val="20"/>
                <w:szCs w:val="20"/>
                <w:lang w:eastAsia="en-GB"/>
              </w:rPr>
              <w:t xml:space="preserve"> across the trust. Progress on the leaflet is stalled while a decision is taken on whether to have separate policies between Mental Health and Community or whether to adapt end of life planning for mental health.</w:t>
            </w:r>
          </w:p>
          <w:p w:rsidR="007A0999" w:rsidRPr="00C3213B" w:rsidRDefault="007A0999" w:rsidP="00CE79A6">
            <w:pPr>
              <w:pStyle w:val="ListParagraph"/>
              <w:numPr>
                <w:ilvl w:val="0"/>
                <w:numId w:val="20"/>
              </w:numPr>
              <w:spacing w:after="0"/>
              <w:ind w:left="714" w:hanging="357"/>
              <w:contextualSpacing w:val="0"/>
              <w:rPr>
                <w:rFonts w:cs="Arial"/>
                <w:sz w:val="20"/>
                <w:szCs w:val="20"/>
                <w:lang w:eastAsia="en-GB"/>
              </w:rPr>
            </w:pPr>
            <w:r w:rsidRPr="00C3213B">
              <w:rPr>
                <w:rFonts w:cs="Arial"/>
                <w:sz w:val="20"/>
                <w:szCs w:val="20"/>
                <w:lang w:eastAsia="en-GB"/>
              </w:rPr>
              <w:t>The community side have independently completed a large piece of work around end of life planning which has some clear cross-</w:t>
            </w:r>
            <w:proofErr w:type="spellStart"/>
            <w:r w:rsidRPr="00C3213B">
              <w:rPr>
                <w:rFonts w:cs="Arial"/>
                <w:sz w:val="20"/>
                <w:szCs w:val="20"/>
                <w:lang w:eastAsia="en-GB"/>
              </w:rPr>
              <w:t>overs</w:t>
            </w:r>
            <w:proofErr w:type="spellEnd"/>
            <w:r w:rsidRPr="00C3213B">
              <w:rPr>
                <w:rFonts w:cs="Arial"/>
                <w:sz w:val="20"/>
                <w:szCs w:val="20"/>
                <w:lang w:eastAsia="en-GB"/>
              </w:rPr>
              <w:t xml:space="preserve"> with advance statements. </w:t>
            </w:r>
          </w:p>
          <w:p w:rsidR="007A0999" w:rsidRDefault="007A0999" w:rsidP="00CE79A6">
            <w:pPr>
              <w:pStyle w:val="ListParagraph"/>
              <w:numPr>
                <w:ilvl w:val="0"/>
                <w:numId w:val="20"/>
              </w:numPr>
              <w:spacing w:after="0"/>
              <w:ind w:left="714" w:hanging="357"/>
              <w:contextualSpacing w:val="0"/>
              <w:rPr>
                <w:rFonts w:cs="Arial"/>
                <w:sz w:val="20"/>
                <w:szCs w:val="20"/>
                <w:lang w:eastAsia="en-GB"/>
              </w:rPr>
            </w:pPr>
            <w:r w:rsidRPr="00C3213B">
              <w:rPr>
                <w:rFonts w:cs="Arial"/>
                <w:sz w:val="20"/>
                <w:szCs w:val="20"/>
                <w:lang w:eastAsia="en-GB"/>
              </w:rPr>
              <w:t xml:space="preserve">Consequently there has been no further progress on training though the need for a standard operating procedure in RIO to ensure statements are correctly recorded </w:t>
            </w:r>
            <w:r>
              <w:rPr>
                <w:rFonts w:cs="Arial"/>
                <w:sz w:val="20"/>
                <w:szCs w:val="20"/>
                <w:lang w:eastAsia="en-GB"/>
              </w:rPr>
              <w:t xml:space="preserve">has been identified </w:t>
            </w:r>
            <w:r w:rsidRPr="00C3213B">
              <w:rPr>
                <w:rFonts w:cs="Arial"/>
                <w:sz w:val="20"/>
                <w:szCs w:val="20"/>
                <w:lang w:eastAsia="en-GB"/>
              </w:rPr>
              <w:t xml:space="preserve">and the development requested. </w:t>
            </w:r>
            <w:r>
              <w:rPr>
                <w:rFonts w:cs="Arial"/>
                <w:sz w:val="20"/>
                <w:szCs w:val="20"/>
                <w:lang w:eastAsia="en-GB"/>
              </w:rPr>
              <w:t>It is anticipated that</w:t>
            </w:r>
            <w:r w:rsidRPr="00C3213B">
              <w:rPr>
                <w:rFonts w:cs="Arial"/>
                <w:sz w:val="20"/>
                <w:szCs w:val="20"/>
                <w:lang w:eastAsia="en-GB"/>
              </w:rPr>
              <w:t xml:space="preserve"> this guidance will go out with the new leaflet when agreed.</w:t>
            </w:r>
          </w:p>
          <w:p w:rsidR="0058221A" w:rsidRPr="00CE79A6" w:rsidRDefault="0058221A" w:rsidP="00CE79A6">
            <w:pPr>
              <w:pStyle w:val="ListParagraph"/>
              <w:spacing w:after="0"/>
              <w:ind w:left="714"/>
              <w:contextualSpacing w:val="0"/>
              <w:rPr>
                <w:rFonts w:cs="Arial"/>
                <w:sz w:val="20"/>
                <w:szCs w:val="20"/>
                <w:lang w:eastAsia="en-GB"/>
              </w:rPr>
            </w:pPr>
          </w:p>
        </w:tc>
        <w:tc>
          <w:tcPr>
            <w:tcW w:w="425" w:type="dxa"/>
            <w:tcBorders>
              <w:top w:val="single" w:sz="4" w:space="0" w:color="auto"/>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121437">
        <w:trPr>
          <w:trHeight w:val="690"/>
        </w:trPr>
        <w:tc>
          <w:tcPr>
            <w:tcW w:w="2694" w:type="dxa"/>
          </w:tcPr>
          <w:p w:rsidR="0058221A" w:rsidRPr="00677B2B" w:rsidRDefault="0058221A">
            <w:pPr>
              <w:rPr>
                <w:rFonts w:cs="Arial"/>
                <w:sz w:val="20"/>
                <w:szCs w:val="20"/>
              </w:rPr>
            </w:pPr>
            <w:r w:rsidRPr="00677B2B">
              <w:rPr>
                <w:rFonts w:cs="Arial"/>
                <w:sz w:val="20"/>
                <w:szCs w:val="20"/>
              </w:rPr>
              <w:t>100% of mental health patients on CPA have a current care plan, had care reviewed in the last 6 months; a care coordinator and a risk assessment which has been reviewed in the last 12 months (national and local priority)</w:t>
            </w:r>
          </w:p>
        </w:tc>
        <w:tc>
          <w:tcPr>
            <w:tcW w:w="6946" w:type="dxa"/>
            <w:noWrap/>
          </w:tcPr>
          <w:p w:rsidR="0058221A" w:rsidRPr="002D40D5" w:rsidRDefault="002D40D5" w:rsidP="00CE79A6">
            <w:pPr>
              <w:pStyle w:val="ListParagraph"/>
              <w:numPr>
                <w:ilvl w:val="0"/>
                <w:numId w:val="20"/>
              </w:numPr>
              <w:spacing w:after="0"/>
              <w:ind w:left="714" w:hanging="357"/>
              <w:contextualSpacing w:val="0"/>
              <w:rPr>
                <w:rFonts w:cs="Arial"/>
                <w:sz w:val="20"/>
                <w:szCs w:val="20"/>
                <w:lang w:eastAsia="en-GB"/>
              </w:rPr>
            </w:pPr>
            <w:r w:rsidRPr="002D40D5">
              <w:rPr>
                <w:rFonts w:cs="Arial"/>
                <w:sz w:val="20"/>
                <w:szCs w:val="20"/>
                <w:lang w:eastAsia="en-GB"/>
              </w:rPr>
              <w:t xml:space="preserve">The </w:t>
            </w:r>
            <w:r w:rsidR="0058221A" w:rsidRPr="002D40D5">
              <w:rPr>
                <w:rFonts w:cs="Arial"/>
                <w:sz w:val="20"/>
                <w:szCs w:val="20"/>
                <w:lang w:eastAsia="en-GB"/>
              </w:rPr>
              <w:t xml:space="preserve">team managers CPA </w:t>
            </w:r>
            <w:proofErr w:type="gramStart"/>
            <w:r w:rsidR="0058221A" w:rsidRPr="002D40D5">
              <w:rPr>
                <w:rFonts w:cs="Arial"/>
                <w:sz w:val="20"/>
                <w:szCs w:val="20"/>
                <w:lang w:eastAsia="en-GB"/>
              </w:rPr>
              <w:t xml:space="preserve">metric </w:t>
            </w:r>
            <w:r w:rsidRPr="002D40D5">
              <w:rPr>
                <w:rFonts w:cs="Arial"/>
                <w:sz w:val="20"/>
                <w:szCs w:val="20"/>
                <w:lang w:eastAsia="en-GB"/>
              </w:rPr>
              <w:t xml:space="preserve"> for</w:t>
            </w:r>
            <w:proofErr w:type="gramEnd"/>
            <w:r w:rsidRPr="002D40D5">
              <w:rPr>
                <w:rFonts w:cs="Arial"/>
                <w:sz w:val="20"/>
                <w:szCs w:val="20"/>
                <w:lang w:eastAsia="en-GB"/>
              </w:rPr>
              <w:t xml:space="preserve"> the 2</w:t>
            </w:r>
            <w:r w:rsidRPr="00CE79A6">
              <w:rPr>
                <w:rFonts w:cs="Arial"/>
                <w:sz w:val="20"/>
                <w:szCs w:val="20"/>
                <w:lang w:eastAsia="en-GB"/>
              </w:rPr>
              <w:t>nd</w:t>
            </w:r>
            <w:r w:rsidRPr="002D40D5">
              <w:rPr>
                <w:rFonts w:cs="Arial"/>
                <w:sz w:val="20"/>
                <w:szCs w:val="20"/>
                <w:lang w:eastAsia="en-GB"/>
              </w:rPr>
              <w:t xml:space="preserve"> quarter was 76% </w:t>
            </w:r>
            <w:r w:rsidR="0058221A" w:rsidRPr="002D40D5">
              <w:rPr>
                <w:rFonts w:cs="Arial"/>
                <w:sz w:val="20"/>
                <w:szCs w:val="20"/>
                <w:lang w:eastAsia="en-GB"/>
              </w:rPr>
              <w:t>(79% June 11)</w:t>
            </w:r>
            <w:r w:rsidRPr="002D40D5">
              <w:rPr>
                <w:rFonts w:cs="Arial"/>
                <w:sz w:val="20"/>
                <w:szCs w:val="20"/>
                <w:lang w:eastAsia="en-GB"/>
              </w:rPr>
              <w:t xml:space="preserve">. </w:t>
            </w:r>
            <w:r w:rsidR="0058221A" w:rsidRPr="002D40D5">
              <w:rPr>
                <w:rFonts w:cs="Arial"/>
                <w:sz w:val="20"/>
                <w:szCs w:val="20"/>
                <w:lang w:eastAsia="en-GB"/>
              </w:rPr>
              <w:t xml:space="preserve"> A CPA Management group comprising Informatics, performance and clinical is working to provide accurate and timely CPA metric reporting shortly. Additional RIO super user training is being arranged for key clinicians and business managers. Service managers are identifying what additional support they may require from CPA lead manager. Directorates have their own CPA action plans to address shortfalls.</w:t>
            </w:r>
          </w:p>
          <w:p w:rsidR="009D11DF" w:rsidRPr="00CE79A6" w:rsidRDefault="009D11DF" w:rsidP="00CE79A6">
            <w:pPr>
              <w:pStyle w:val="ListParagraph"/>
              <w:spacing w:after="0"/>
              <w:ind w:left="714"/>
              <w:contextualSpacing w:val="0"/>
              <w:rPr>
                <w:rFonts w:cs="Arial"/>
                <w:sz w:val="20"/>
                <w:szCs w:val="20"/>
                <w:lang w:eastAsia="en-GB"/>
              </w:rPr>
            </w:pPr>
          </w:p>
        </w:tc>
        <w:tc>
          <w:tcPr>
            <w:tcW w:w="425" w:type="dxa"/>
            <w:tcBorders>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B91935">
        <w:trPr>
          <w:trHeight w:val="1200"/>
        </w:trPr>
        <w:tc>
          <w:tcPr>
            <w:tcW w:w="2694" w:type="dxa"/>
          </w:tcPr>
          <w:p w:rsidR="0058221A" w:rsidRPr="00677B2B" w:rsidRDefault="0058221A">
            <w:pPr>
              <w:rPr>
                <w:rFonts w:cs="Arial"/>
                <w:sz w:val="20"/>
                <w:szCs w:val="20"/>
              </w:rPr>
            </w:pPr>
            <w:r w:rsidRPr="00677B2B">
              <w:rPr>
                <w:rFonts w:cs="Arial"/>
                <w:sz w:val="20"/>
                <w:szCs w:val="20"/>
              </w:rPr>
              <w:t>100% of mental health patients have a copy of their care plan and were engaged in its development (service user priority)</w:t>
            </w:r>
          </w:p>
        </w:tc>
        <w:tc>
          <w:tcPr>
            <w:tcW w:w="6946" w:type="dxa"/>
            <w:noWrap/>
          </w:tcPr>
          <w:p w:rsidR="009D11DF" w:rsidRPr="002D40D5" w:rsidRDefault="0058221A" w:rsidP="00CE79A6">
            <w:pPr>
              <w:pStyle w:val="ListParagraph"/>
              <w:numPr>
                <w:ilvl w:val="0"/>
                <w:numId w:val="20"/>
              </w:numPr>
              <w:spacing w:after="0"/>
              <w:ind w:left="714" w:hanging="357"/>
              <w:contextualSpacing w:val="0"/>
              <w:rPr>
                <w:rFonts w:cs="Arial"/>
                <w:sz w:val="20"/>
                <w:szCs w:val="20"/>
                <w:lang w:eastAsia="en-GB"/>
              </w:rPr>
            </w:pPr>
            <w:r w:rsidRPr="002D40D5">
              <w:rPr>
                <w:rFonts w:cs="Arial"/>
                <w:sz w:val="20"/>
                <w:szCs w:val="20"/>
                <w:lang w:eastAsia="en-GB"/>
              </w:rPr>
              <w:t>CPA mandatory training covers involving the service user in drawing up the care plan and that they are given a copy. The R</w:t>
            </w:r>
            <w:r w:rsidR="002D40D5" w:rsidRPr="002D40D5">
              <w:rPr>
                <w:rFonts w:cs="Arial"/>
                <w:sz w:val="20"/>
                <w:szCs w:val="20"/>
                <w:lang w:eastAsia="en-GB"/>
              </w:rPr>
              <w:t>i</w:t>
            </w:r>
            <w:r w:rsidRPr="002D40D5">
              <w:rPr>
                <w:rFonts w:cs="Arial"/>
                <w:sz w:val="20"/>
                <w:szCs w:val="20"/>
                <w:lang w:eastAsia="en-GB"/>
              </w:rPr>
              <w:t xml:space="preserve">O CPA care plan can record that a copy has been given to the service user and their signature or comments. </w:t>
            </w:r>
            <w:r w:rsidR="002D40D5" w:rsidRPr="002D40D5">
              <w:rPr>
                <w:rFonts w:cs="Arial"/>
                <w:sz w:val="20"/>
                <w:szCs w:val="20"/>
                <w:lang w:eastAsia="en-GB"/>
              </w:rPr>
              <w:t>This means that this can be reviewed once RiO reporting is operating.</w:t>
            </w:r>
          </w:p>
          <w:p w:rsidR="00451F19" w:rsidRPr="00CE79A6" w:rsidRDefault="00451F19" w:rsidP="00CE79A6">
            <w:pPr>
              <w:pStyle w:val="ListParagraph"/>
              <w:spacing w:after="0"/>
              <w:ind w:left="714"/>
              <w:contextualSpacing w:val="0"/>
              <w:rPr>
                <w:rFonts w:cs="Arial"/>
                <w:sz w:val="20"/>
                <w:szCs w:val="20"/>
                <w:lang w:eastAsia="en-GB"/>
              </w:rPr>
            </w:pPr>
          </w:p>
        </w:tc>
        <w:tc>
          <w:tcPr>
            <w:tcW w:w="425" w:type="dxa"/>
            <w:tcBorders>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B91935">
        <w:trPr>
          <w:trHeight w:val="600"/>
        </w:trPr>
        <w:tc>
          <w:tcPr>
            <w:tcW w:w="2694" w:type="dxa"/>
          </w:tcPr>
          <w:p w:rsidR="0058221A" w:rsidRPr="00677B2B" w:rsidRDefault="0058221A">
            <w:pPr>
              <w:rPr>
                <w:rFonts w:cs="Arial"/>
                <w:sz w:val="20"/>
                <w:szCs w:val="20"/>
              </w:rPr>
            </w:pPr>
            <w:r w:rsidRPr="00677B2B">
              <w:rPr>
                <w:rFonts w:cs="Arial"/>
                <w:sz w:val="20"/>
                <w:szCs w:val="20"/>
              </w:rPr>
              <w:t>Implement the use of Patient Reported Outcome Measures as part of the stroke care pathway (commissioning priority)</w:t>
            </w:r>
          </w:p>
        </w:tc>
        <w:tc>
          <w:tcPr>
            <w:tcW w:w="6946" w:type="dxa"/>
          </w:tcPr>
          <w:p w:rsidR="009D11DF" w:rsidRPr="00CE79A6" w:rsidRDefault="00B91935" w:rsidP="00CE79A6">
            <w:pPr>
              <w:pStyle w:val="ListParagraph"/>
              <w:numPr>
                <w:ilvl w:val="0"/>
                <w:numId w:val="20"/>
              </w:numPr>
              <w:spacing w:after="0"/>
              <w:ind w:left="714" w:hanging="357"/>
              <w:contextualSpacing w:val="0"/>
              <w:rPr>
                <w:rFonts w:cs="Arial"/>
                <w:sz w:val="20"/>
                <w:szCs w:val="20"/>
                <w:lang w:eastAsia="en-GB"/>
              </w:rPr>
            </w:pPr>
            <w:r w:rsidRPr="00B91935">
              <w:rPr>
                <w:rFonts w:cs="Arial"/>
                <w:sz w:val="20"/>
                <w:szCs w:val="20"/>
                <w:lang w:eastAsia="en-GB"/>
              </w:rPr>
              <w:t>Literature review has commenced.  Task and finish group still to be established awaiting identification of clinical lead</w:t>
            </w:r>
          </w:p>
        </w:tc>
        <w:tc>
          <w:tcPr>
            <w:tcW w:w="425" w:type="dxa"/>
            <w:tcBorders>
              <w:top w:val="nil"/>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121437">
        <w:trPr>
          <w:trHeight w:val="900"/>
        </w:trPr>
        <w:tc>
          <w:tcPr>
            <w:tcW w:w="2694" w:type="dxa"/>
          </w:tcPr>
          <w:p w:rsidR="0058221A" w:rsidRPr="00677B2B" w:rsidRDefault="0058221A">
            <w:pPr>
              <w:rPr>
                <w:rFonts w:cs="Arial"/>
                <w:sz w:val="20"/>
                <w:szCs w:val="20"/>
              </w:rPr>
            </w:pPr>
            <w:r w:rsidRPr="00677B2B">
              <w:rPr>
                <w:rFonts w:cs="Arial"/>
                <w:sz w:val="20"/>
                <w:szCs w:val="20"/>
              </w:rPr>
              <w:t>Further reduce the incidence of emergency readmission in mental health within 28 days of discharge (2.9% March 2011) by careful discharge planning and assertive follow up (commissioning priority)</w:t>
            </w:r>
          </w:p>
        </w:tc>
        <w:tc>
          <w:tcPr>
            <w:tcW w:w="6946" w:type="dxa"/>
            <w:noWrap/>
          </w:tcPr>
          <w:p w:rsidR="0067241F" w:rsidRPr="00B91935" w:rsidRDefault="00687651" w:rsidP="00CE79A6">
            <w:pPr>
              <w:pStyle w:val="ListParagraph"/>
              <w:numPr>
                <w:ilvl w:val="0"/>
                <w:numId w:val="20"/>
              </w:numPr>
              <w:spacing w:after="0"/>
              <w:ind w:left="714" w:hanging="357"/>
              <w:contextualSpacing w:val="0"/>
              <w:rPr>
                <w:rFonts w:cs="Arial"/>
                <w:sz w:val="20"/>
                <w:szCs w:val="20"/>
                <w:lang w:eastAsia="en-GB"/>
              </w:rPr>
            </w:pPr>
            <w:r w:rsidRPr="00B91935">
              <w:rPr>
                <w:rFonts w:cs="Arial"/>
                <w:sz w:val="20"/>
                <w:szCs w:val="20"/>
                <w:lang w:eastAsia="en-GB"/>
              </w:rPr>
              <w:t xml:space="preserve">Adult 28 day readmissions dropped from 7.4% in </w:t>
            </w:r>
            <w:r w:rsidR="0067241F" w:rsidRPr="00B91935">
              <w:rPr>
                <w:rFonts w:cs="Arial"/>
                <w:sz w:val="20"/>
                <w:szCs w:val="20"/>
                <w:lang w:eastAsia="en-GB"/>
              </w:rPr>
              <w:t>July</w:t>
            </w:r>
            <w:r w:rsidRPr="00B91935">
              <w:rPr>
                <w:rFonts w:cs="Arial"/>
                <w:sz w:val="20"/>
                <w:szCs w:val="20"/>
                <w:lang w:eastAsia="en-GB"/>
              </w:rPr>
              <w:t xml:space="preserve"> to 3.4% in </w:t>
            </w:r>
            <w:r w:rsidR="0067241F" w:rsidRPr="00B91935">
              <w:rPr>
                <w:rFonts w:cs="Arial"/>
                <w:sz w:val="20"/>
                <w:szCs w:val="20"/>
                <w:lang w:eastAsia="en-GB"/>
              </w:rPr>
              <w:t>September</w:t>
            </w:r>
            <w:r w:rsidRPr="00B91935">
              <w:rPr>
                <w:rFonts w:cs="Arial"/>
                <w:sz w:val="20"/>
                <w:szCs w:val="20"/>
                <w:lang w:eastAsia="en-GB"/>
              </w:rPr>
              <w:t>, against a target of 10.3%</w:t>
            </w:r>
          </w:p>
          <w:p w:rsidR="00687651" w:rsidRPr="00B91935" w:rsidRDefault="00687651" w:rsidP="00CE79A6">
            <w:pPr>
              <w:pStyle w:val="ListParagraph"/>
              <w:numPr>
                <w:ilvl w:val="0"/>
                <w:numId w:val="20"/>
              </w:numPr>
              <w:spacing w:after="0"/>
              <w:ind w:left="714" w:hanging="357"/>
              <w:contextualSpacing w:val="0"/>
              <w:rPr>
                <w:rFonts w:cs="Arial"/>
                <w:sz w:val="20"/>
                <w:szCs w:val="20"/>
                <w:lang w:eastAsia="en-GB"/>
              </w:rPr>
            </w:pPr>
            <w:r w:rsidRPr="00B91935">
              <w:rPr>
                <w:rFonts w:cs="Arial"/>
                <w:sz w:val="20"/>
                <w:szCs w:val="20"/>
                <w:lang w:eastAsia="en-GB"/>
              </w:rPr>
              <w:t>There were no OA 28 day readmissions in Q2.</w:t>
            </w:r>
          </w:p>
          <w:p w:rsidR="00687651" w:rsidRPr="00B91935" w:rsidRDefault="00687651" w:rsidP="00CE79A6">
            <w:pPr>
              <w:pStyle w:val="ListParagraph"/>
              <w:numPr>
                <w:ilvl w:val="0"/>
                <w:numId w:val="20"/>
              </w:numPr>
              <w:spacing w:after="0"/>
              <w:ind w:left="714" w:hanging="357"/>
              <w:contextualSpacing w:val="0"/>
              <w:rPr>
                <w:rFonts w:cs="Arial"/>
                <w:sz w:val="20"/>
                <w:szCs w:val="20"/>
                <w:lang w:eastAsia="en-GB"/>
              </w:rPr>
            </w:pPr>
            <w:r w:rsidRPr="00B91935">
              <w:rPr>
                <w:rFonts w:cs="Arial"/>
                <w:sz w:val="20"/>
                <w:szCs w:val="20"/>
                <w:lang w:eastAsia="en-GB"/>
              </w:rPr>
              <w:t>All emergency readmissions have been monitor</w:t>
            </w:r>
            <w:r w:rsidR="0067241F" w:rsidRPr="00B91935">
              <w:rPr>
                <w:rFonts w:cs="Arial"/>
                <w:sz w:val="20"/>
                <w:szCs w:val="20"/>
                <w:lang w:eastAsia="en-GB"/>
              </w:rPr>
              <w:t>ed</w:t>
            </w:r>
            <w:r w:rsidRPr="00B91935">
              <w:rPr>
                <w:rFonts w:cs="Arial"/>
                <w:sz w:val="20"/>
                <w:szCs w:val="20"/>
                <w:lang w:eastAsia="en-GB"/>
              </w:rPr>
              <w:t xml:space="preserve"> over several months. No cause for concern has been identified relating to patients discharged too early due to bed pressure, inadequate discharge planning or lack of appropriate follow up contacts.</w:t>
            </w:r>
          </w:p>
          <w:p w:rsidR="000A4CBF" w:rsidRPr="00B91935" w:rsidRDefault="000A4CBF" w:rsidP="00CE79A6">
            <w:pPr>
              <w:spacing w:after="0"/>
              <w:ind w:left="714"/>
              <w:rPr>
                <w:rFonts w:cs="Arial"/>
                <w:sz w:val="20"/>
                <w:szCs w:val="20"/>
                <w:lang w:eastAsia="en-GB"/>
              </w:rPr>
            </w:pPr>
          </w:p>
        </w:tc>
        <w:tc>
          <w:tcPr>
            <w:tcW w:w="425" w:type="dxa"/>
            <w:tcBorders>
              <w:bottom w:val="nil"/>
            </w:tcBorders>
            <w:shd w:val="clear" w:color="auto" w:fill="00B05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10201E">
        <w:trPr>
          <w:trHeight w:val="600"/>
        </w:trPr>
        <w:tc>
          <w:tcPr>
            <w:tcW w:w="2694" w:type="dxa"/>
          </w:tcPr>
          <w:p w:rsidR="0058221A" w:rsidRPr="00677B2B" w:rsidRDefault="0058221A">
            <w:pPr>
              <w:rPr>
                <w:rFonts w:cs="Arial"/>
                <w:sz w:val="20"/>
                <w:szCs w:val="20"/>
              </w:rPr>
            </w:pPr>
            <w:r w:rsidRPr="00677B2B">
              <w:rPr>
                <w:rFonts w:cs="Arial"/>
                <w:sz w:val="20"/>
                <w:szCs w:val="20"/>
              </w:rPr>
              <w:t>Reduce emergency admissions to acute hospitals by 800 per year (commissioning priority)</w:t>
            </w:r>
          </w:p>
        </w:tc>
        <w:tc>
          <w:tcPr>
            <w:tcW w:w="6946" w:type="dxa"/>
          </w:tcPr>
          <w:p w:rsidR="0058221A" w:rsidRPr="00CE79A6" w:rsidRDefault="0058221A" w:rsidP="00CE79A6">
            <w:pPr>
              <w:pStyle w:val="ListParagraph"/>
              <w:numPr>
                <w:ilvl w:val="0"/>
                <w:numId w:val="20"/>
              </w:numPr>
              <w:spacing w:after="0"/>
              <w:ind w:left="714" w:hanging="357"/>
              <w:contextualSpacing w:val="0"/>
              <w:rPr>
                <w:rFonts w:cs="Arial"/>
                <w:sz w:val="20"/>
                <w:szCs w:val="20"/>
                <w:lang w:eastAsia="en-GB"/>
              </w:rPr>
            </w:pPr>
            <w:r w:rsidRPr="005B3BF0">
              <w:rPr>
                <w:rFonts w:cs="Arial"/>
                <w:sz w:val="20"/>
                <w:szCs w:val="20"/>
                <w:lang w:eastAsia="en-GB"/>
              </w:rPr>
              <w:t>TBA</w:t>
            </w:r>
          </w:p>
          <w:p w:rsidR="009D11DF" w:rsidRPr="00CE79A6" w:rsidRDefault="009D11DF" w:rsidP="00CE79A6">
            <w:pPr>
              <w:pStyle w:val="ListParagraph"/>
              <w:spacing w:after="0"/>
              <w:ind w:left="714"/>
              <w:contextualSpacing w:val="0"/>
              <w:rPr>
                <w:rFonts w:cs="Arial"/>
                <w:sz w:val="20"/>
                <w:szCs w:val="20"/>
                <w:lang w:eastAsia="en-GB"/>
              </w:rPr>
            </w:pPr>
          </w:p>
        </w:tc>
        <w:tc>
          <w:tcPr>
            <w:tcW w:w="425" w:type="dxa"/>
            <w:tcBorders>
              <w:bottom w:val="nil"/>
            </w:tcBorders>
            <w:shd w:val="clear" w:color="auto" w:fill="000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10201E">
        <w:trPr>
          <w:trHeight w:val="300"/>
        </w:trPr>
        <w:tc>
          <w:tcPr>
            <w:tcW w:w="2694" w:type="dxa"/>
            <w:tcBorders>
              <w:bottom w:val="single" w:sz="4" w:space="0" w:color="auto"/>
            </w:tcBorders>
            <w:noWrap/>
          </w:tcPr>
          <w:p w:rsidR="0058221A" w:rsidRPr="00677B2B" w:rsidRDefault="0058221A">
            <w:pPr>
              <w:rPr>
                <w:rFonts w:cs="Arial"/>
                <w:sz w:val="20"/>
                <w:szCs w:val="20"/>
              </w:rPr>
            </w:pPr>
            <w:r w:rsidRPr="00677B2B">
              <w:rPr>
                <w:rFonts w:cs="Arial"/>
                <w:sz w:val="20"/>
                <w:szCs w:val="20"/>
              </w:rPr>
              <w:t xml:space="preserve">To work with Commissioners </w:t>
            </w:r>
            <w:r w:rsidRPr="00677B2B">
              <w:rPr>
                <w:rFonts w:cs="Arial"/>
                <w:sz w:val="20"/>
                <w:szCs w:val="20"/>
              </w:rPr>
              <w:lastRenderedPageBreak/>
              <w:t>to develop a multi agency mental health  recovery strategy</w:t>
            </w:r>
          </w:p>
        </w:tc>
        <w:tc>
          <w:tcPr>
            <w:tcW w:w="6946" w:type="dxa"/>
            <w:tcBorders>
              <w:bottom w:val="single" w:sz="4" w:space="0" w:color="auto"/>
            </w:tcBorders>
            <w:noWrap/>
          </w:tcPr>
          <w:p w:rsidR="0010201E" w:rsidRPr="00CE79A6" w:rsidRDefault="0010201E" w:rsidP="00CE79A6">
            <w:pPr>
              <w:pStyle w:val="ListParagraph"/>
              <w:numPr>
                <w:ilvl w:val="0"/>
                <w:numId w:val="20"/>
              </w:numPr>
              <w:spacing w:after="0"/>
              <w:ind w:left="714" w:hanging="357"/>
              <w:contextualSpacing w:val="0"/>
              <w:rPr>
                <w:rFonts w:cs="Arial"/>
                <w:sz w:val="20"/>
                <w:szCs w:val="20"/>
                <w:lang w:eastAsia="en-GB"/>
              </w:rPr>
            </w:pPr>
            <w:r w:rsidRPr="00CE79A6">
              <w:rPr>
                <w:rFonts w:cs="Arial"/>
                <w:sz w:val="20"/>
                <w:szCs w:val="20"/>
                <w:lang w:eastAsia="en-GB"/>
              </w:rPr>
              <w:lastRenderedPageBreak/>
              <w:t xml:space="preserve">All areas now have identified recovery leads. Each recovery star is </w:t>
            </w:r>
            <w:r w:rsidRPr="00CE79A6">
              <w:rPr>
                <w:rFonts w:cs="Arial"/>
                <w:sz w:val="20"/>
                <w:szCs w:val="20"/>
                <w:lang w:eastAsia="en-GB"/>
              </w:rPr>
              <w:lastRenderedPageBreak/>
              <w:t xml:space="preserve">evaluated during the CPA process. </w:t>
            </w:r>
          </w:p>
          <w:p w:rsidR="0010201E" w:rsidRPr="00CE79A6" w:rsidRDefault="0010201E" w:rsidP="00CE79A6">
            <w:pPr>
              <w:pStyle w:val="ListParagraph"/>
              <w:numPr>
                <w:ilvl w:val="0"/>
                <w:numId w:val="20"/>
              </w:numPr>
              <w:spacing w:after="0"/>
              <w:ind w:left="714" w:hanging="357"/>
              <w:contextualSpacing w:val="0"/>
              <w:rPr>
                <w:rFonts w:cs="Arial"/>
                <w:sz w:val="20"/>
                <w:szCs w:val="20"/>
                <w:lang w:eastAsia="en-GB"/>
              </w:rPr>
            </w:pPr>
            <w:r w:rsidRPr="00CE79A6">
              <w:rPr>
                <w:rFonts w:cs="Arial"/>
                <w:sz w:val="20"/>
                <w:szCs w:val="20"/>
                <w:lang w:eastAsia="en-GB"/>
              </w:rPr>
              <w:t xml:space="preserve">The nursing and OT staff are in the process of creating a recovery group which is attended by all disciplines. </w:t>
            </w:r>
          </w:p>
          <w:p w:rsidR="0010201E" w:rsidRPr="00CE79A6" w:rsidRDefault="0010201E" w:rsidP="00CE79A6">
            <w:pPr>
              <w:pStyle w:val="ListParagraph"/>
              <w:numPr>
                <w:ilvl w:val="0"/>
                <w:numId w:val="20"/>
              </w:numPr>
              <w:spacing w:after="0"/>
              <w:ind w:left="714" w:hanging="357"/>
              <w:contextualSpacing w:val="0"/>
              <w:rPr>
                <w:rFonts w:cs="Arial"/>
                <w:sz w:val="20"/>
                <w:szCs w:val="20"/>
                <w:lang w:eastAsia="en-GB"/>
              </w:rPr>
            </w:pPr>
            <w:r w:rsidRPr="00CE79A6">
              <w:rPr>
                <w:rFonts w:cs="Arial"/>
                <w:sz w:val="20"/>
                <w:szCs w:val="20"/>
                <w:lang w:eastAsia="en-GB"/>
              </w:rPr>
              <w:t xml:space="preserve">During wider patient council meetings updates are given to the commissioners regarding the progress. </w:t>
            </w:r>
          </w:p>
          <w:p w:rsidR="0010201E" w:rsidRPr="00CE79A6" w:rsidRDefault="0010201E" w:rsidP="00CE79A6">
            <w:pPr>
              <w:pStyle w:val="ListParagraph"/>
              <w:numPr>
                <w:ilvl w:val="0"/>
                <w:numId w:val="20"/>
              </w:numPr>
              <w:spacing w:after="0"/>
              <w:ind w:left="714" w:hanging="357"/>
              <w:contextualSpacing w:val="0"/>
              <w:rPr>
                <w:rFonts w:cs="Arial"/>
                <w:sz w:val="20"/>
                <w:szCs w:val="20"/>
                <w:lang w:eastAsia="en-GB"/>
              </w:rPr>
            </w:pPr>
            <w:proofErr w:type="spellStart"/>
            <w:r w:rsidRPr="00CE79A6">
              <w:rPr>
                <w:rFonts w:cs="Arial"/>
                <w:sz w:val="20"/>
                <w:szCs w:val="20"/>
                <w:lang w:eastAsia="en-GB"/>
              </w:rPr>
              <w:t>Chaffron</w:t>
            </w:r>
            <w:proofErr w:type="spellEnd"/>
            <w:r w:rsidRPr="00CE79A6">
              <w:rPr>
                <w:rFonts w:cs="Arial"/>
                <w:sz w:val="20"/>
                <w:szCs w:val="20"/>
                <w:lang w:eastAsia="en-GB"/>
              </w:rPr>
              <w:t xml:space="preserve"> ward has been asked to present the current recovery model at the Royal College of Psychiatry Quality Network conference.</w:t>
            </w:r>
          </w:p>
          <w:p w:rsidR="00506CC4" w:rsidRPr="00CE79A6" w:rsidRDefault="00506CC4" w:rsidP="00CE79A6">
            <w:pPr>
              <w:pStyle w:val="ListParagraph"/>
              <w:numPr>
                <w:ilvl w:val="0"/>
                <w:numId w:val="20"/>
              </w:numPr>
              <w:spacing w:after="0"/>
              <w:ind w:left="714" w:hanging="357"/>
              <w:contextualSpacing w:val="0"/>
              <w:rPr>
                <w:rFonts w:cs="Arial"/>
                <w:sz w:val="20"/>
                <w:szCs w:val="20"/>
                <w:lang w:eastAsia="en-GB"/>
              </w:rPr>
            </w:pPr>
            <w:r w:rsidRPr="00CE79A6">
              <w:rPr>
                <w:rFonts w:cs="Arial"/>
                <w:sz w:val="20"/>
                <w:szCs w:val="20"/>
                <w:lang w:eastAsia="en-GB"/>
              </w:rPr>
              <w:t>Working in partnership with PCT and OCC to develop a recovery pathway through the Supporting People in independent living. This work looks at accommodation (all types) and how people with mental health needs move through to independently living</w:t>
            </w:r>
          </w:p>
          <w:p w:rsidR="00506CC4" w:rsidRPr="00CE79A6" w:rsidRDefault="00506CC4" w:rsidP="00CE79A6">
            <w:pPr>
              <w:pStyle w:val="ListParagraph"/>
              <w:numPr>
                <w:ilvl w:val="0"/>
                <w:numId w:val="20"/>
              </w:numPr>
              <w:spacing w:after="0"/>
              <w:ind w:left="714" w:hanging="357"/>
              <w:contextualSpacing w:val="0"/>
              <w:rPr>
                <w:rFonts w:cs="Arial"/>
                <w:sz w:val="20"/>
                <w:szCs w:val="20"/>
                <w:lang w:eastAsia="en-GB"/>
              </w:rPr>
            </w:pPr>
            <w:r w:rsidRPr="00CE79A6">
              <w:rPr>
                <w:rFonts w:cs="Arial"/>
                <w:sz w:val="20"/>
                <w:szCs w:val="20"/>
                <w:lang w:eastAsia="en-GB"/>
              </w:rPr>
              <w:t>Restore provide a pathway from CMHT back to recovery within the community. This includes a pathway from Restore to MIND (wellbeing groups)</w:t>
            </w:r>
          </w:p>
          <w:p w:rsidR="00506CC4" w:rsidRPr="00CE79A6" w:rsidRDefault="00506CC4" w:rsidP="00CE79A6">
            <w:pPr>
              <w:pStyle w:val="ListParagraph"/>
              <w:numPr>
                <w:ilvl w:val="0"/>
                <w:numId w:val="20"/>
              </w:numPr>
              <w:spacing w:after="0"/>
              <w:ind w:left="714" w:hanging="357"/>
              <w:contextualSpacing w:val="0"/>
              <w:rPr>
                <w:rFonts w:cs="Arial"/>
                <w:sz w:val="20"/>
                <w:szCs w:val="20"/>
                <w:lang w:eastAsia="en-GB"/>
              </w:rPr>
            </w:pPr>
            <w:r w:rsidRPr="00CE79A6">
              <w:rPr>
                <w:rFonts w:cs="Arial"/>
                <w:sz w:val="20"/>
                <w:szCs w:val="20"/>
                <w:lang w:eastAsia="en-GB"/>
              </w:rPr>
              <w:t>Better mental health for Oxfordshire is a group that includes all partners in looking at mental health and recovery.</w:t>
            </w:r>
          </w:p>
          <w:p w:rsidR="00506CC4" w:rsidRPr="00CE79A6" w:rsidRDefault="00506CC4" w:rsidP="00CE79A6">
            <w:pPr>
              <w:spacing w:after="0"/>
              <w:ind w:left="357"/>
              <w:rPr>
                <w:rFonts w:cs="Arial"/>
                <w:sz w:val="20"/>
                <w:szCs w:val="20"/>
                <w:lang w:eastAsia="en-GB"/>
              </w:rPr>
            </w:pPr>
          </w:p>
        </w:tc>
        <w:tc>
          <w:tcPr>
            <w:tcW w:w="425" w:type="dxa"/>
            <w:tcBorders>
              <w:bottom w:val="single" w:sz="4" w:space="0" w:color="auto"/>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bl>
    <w:p w:rsidR="00C0160F" w:rsidRDefault="00C0160F" w:rsidP="00997399"/>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3261"/>
        <w:gridCol w:w="6379"/>
        <w:gridCol w:w="425"/>
      </w:tblGrid>
      <w:tr w:rsidR="005D7D92" w:rsidRPr="005D7D92" w:rsidTr="00121437">
        <w:trPr>
          <w:trHeight w:val="300"/>
        </w:trPr>
        <w:tc>
          <w:tcPr>
            <w:tcW w:w="3261" w:type="dxa"/>
            <w:shd w:val="clear" w:color="auto" w:fill="BFBFBF" w:themeFill="background1" w:themeFillShade="BF"/>
            <w:noWrap/>
            <w:vAlign w:val="center"/>
            <w:hideMark/>
          </w:tcPr>
          <w:p w:rsidR="005D7D92" w:rsidRPr="00637A68" w:rsidRDefault="005D7D92" w:rsidP="00B531FB">
            <w:pPr>
              <w:spacing w:after="0" w:line="240" w:lineRule="auto"/>
              <w:rPr>
                <w:rFonts w:ascii="Arial" w:hAnsi="Arial" w:cs="Arial"/>
                <w:b/>
                <w:bCs/>
                <w:sz w:val="24"/>
                <w:szCs w:val="24"/>
                <w:lang w:eastAsia="en-GB"/>
              </w:rPr>
            </w:pPr>
            <w:r>
              <w:rPr>
                <w:rFonts w:ascii="Arial" w:hAnsi="Arial" w:cs="Arial"/>
                <w:b/>
                <w:bCs/>
                <w:sz w:val="24"/>
                <w:szCs w:val="24"/>
                <w:lang w:eastAsia="en-GB"/>
              </w:rPr>
              <w:t>Actions we said we’d take</w:t>
            </w:r>
          </w:p>
        </w:tc>
        <w:tc>
          <w:tcPr>
            <w:tcW w:w="6379" w:type="dxa"/>
            <w:shd w:val="clear" w:color="auto" w:fill="BFBFBF" w:themeFill="background1" w:themeFillShade="BF"/>
            <w:noWrap/>
            <w:vAlign w:val="center"/>
            <w:hideMark/>
          </w:tcPr>
          <w:p w:rsidR="005D7D92" w:rsidRPr="00637A68" w:rsidRDefault="005D7D92" w:rsidP="00B531FB">
            <w:pPr>
              <w:spacing w:after="0" w:line="240" w:lineRule="auto"/>
              <w:rPr>
                <w:rFonts w:ascii="Arial" w:hAnsi="Arial" w:cs="Arial"/>
                <w:b/>
                <w:bCs/>
                <w:sz w:val="24"/>
                <w:szCs w:val="24"/>
                <w:lang w:eastAsia="en-GB"/>
              </w:rPr>
            </w:pPr>
            <w:r w:rsidRPr="00637A68">
              <w:rPr>
                <w:rFonts w:ascii="Arial" w:hAnsi="Arial" w:cs="Arial"/>
                <w:b/>
                <w:bCs/>
                <w:sz w:val="24"/>
                <w:szCs w:val="24"/>
                <w:lang w:eastAsia="en-GB"/>
              </w:rPr>
              <w:t>Present Situation</w:t>
            </w:r>
          </w:p>
        </w:tc>
        <w:tc>
          <w:tcPr>
            <w:tcW w:w="425" w:type="dxa"/>
            <w:tcBorders>
              <w:top w:val="single" w:sz="4" w:space="0" w:color="auto"/>
              <w:bottom w:val="nil"/>
            </w:tcBorders>
            <w:shd w:val="clear" w:color="auto" w:fill="BFBFBF" w:themeFill="background1" w:themeFillShade="BF"/>
          </w:tcPr>
          <w:p w:rsidR="005D7D92" w:rsidRPr="005D7D92" w:rsidRDefault="005D7D92" w:rsidP="005D7D92">
            <w:pPr>
              <w:spacing w:after="0" w:line="240" w:lineRule="auto"/>
              <w:rPr>
                <w:rFonts w:eastAsia="Times New Roman" w:cs="Arial"/>
                <w:lang w:eastAsia="en-GB"/>
              </w:rPr>
            </w:pPr>
          </w:p>
        </w:tc>
      </w:tr>
      <w:tr w:rsidR="005D7D92" w:rsidRPr="005D7D92" w:rsidTr="00121437">
        <w:trPr>
          <w:trHeight w:val="1206"/>
        </w:trPr>
        <w:tc>
          <w:tcPr>
            <w:tcW w:w="3261" w:type="dxa"/>
            <w:shd w:val="clear" w:color="auto" w:fill="auto"/>
            <w:hideMark/>
          </w:tcPr>
          <w:p w:rsidR="005D7D92" w:rsidRPr="005D7D92" w:rsidRDefault="005D7D92" w:rsidP="00C0160F">
            <w:pPr>
              <w:rPr>
                <w:rFonts w:cs="Arial"/>
                <w:sz w:val="20"/>
                <w:szCs w:val="20"/>
              </w:rPr>
            </w:pPr>
            <w:r w:rsidRPr="005D7D92">
              <w:rPr>
                <w:rFonts w:cs="Arial"/>
                <w:sz w:val="20"/>
                <w:szCs w:val="20"/>
              </w:rPr>
              <w:t>All patients will be given information on advance statements as part of their care</w:t>
            </w:r>
          </w:p>
        </w:tc>
        <w:tc>
          <w:tcPr>
            <w:tcW w:w="6379" w:type="dxa"/>
            <w:shd w:val="clear" w:color="auto" w:fill="auto"/>
            <w:hideMark/>
          </w:tcPr>
          <w:p w:rsidR="005D7D92" w:rsidRPr="002D40D5" w:rsidRDefault="005D7D92" w:rsidP="00C0160F">
            <w:pPr>
              <w:pStyle w:val="ListParagraph"/>
              <w:numPr>
                <w:ilvl w:val="0"/>
                <w:numId w:val="1"/>
              </w:numPr>
              <w:spacing w:after="0" w:line="240" w:lineRule="auto"/>
              <w:ind w:left="459" w:hanging="284"/>
              <w:rPr>
                <w:rFonts w:cs="Arial"/>
                <w:sz w:val="20"/>
                <w:szCs w:val="20"/>
                <w:lang w:eastAsia="en-GB"/>
              </w:rPr>
            </w:pPr>
            <w:r w:rsidRPr="002D40D5">
              <w:rPr>
                <w:rFonts w:cs="Arial"/>
                <w:sz w:val="20"/>
                <w:szCs w:val="20"/>
                <w:lang w:eastAsia="en-GB"/>
              </w:rPr>
              <w:t>When the advance statement leaflet is finalised it will be distributed to all clinical areas with advice that all patients are given a copy and invited to draw up an advance statement.</w:t>
            </w:r>
          </w:p>
          <w:p w:rsidR="008478F4" w:rsidRPr="002D40D5" w:rsidRDefault="008478F4" w:rsidP="008478F4">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FFC000"/>
          </w:tcPr>
          <w:p w:rsidR="005D7D92" w:rsidRPr="005D7D92" w:rsidRDefault="005D7D92" w:rsidP="005D7D92">
            <w:pPr>
              <w:spacing w:after="0" w:line="240" w:lineRule="auto"/>
              <w:rPr>
                <w:rFonts w:eastAsia="Times New Roman" w:cs="Arial"/>
                <w:lang w:eastAsia="en-GB"/>
              </w:rPr>
            </w:pPr>
          </w:p>
        </w:tc>
      </w:tr>
      <w:tr w:rsidR="005D7D92" w:rsidRPr="005D7D92" w:rsidTr="00121437">
        <w:trPr>
          <w:trHeight w:val="1423"/>
        </w:trPr>
        <w:tc>
          <w:tcPr>
            <w:tcW w:w="3261" w:type="dxa"/>
            <w:shd w:val="clear" w:color="auto" w:fill="auto"/>
            <w:hideMark/>
          </w:tcPr>
          <w:p w:rsidR="005D7D92" w:rsidRPr="005D7D92" w:rsidRDefault="005D7D92" w:rsidP="00C0160F">
            <w:pPr>
              <w:rPr>
                <w:rFonts w:cs="Arial"/>
                <w:sz w:val="20"/>
                <w:szCs w:val="20"/>
              </w:rPr>
            </w:pPr>
            <w:r w:rsidRPr="005D7D92">
              <w:rPr>
                <w:rFonts w:cs="Arial"/>
                <w:sz w:val="20"/>
                <w:szCs w:val="20"/>
              </w:rPr>
              <w:t>That all care coordinators and key-workers are fully informed of the importance of advance statements in care delivery</w:t>
            </w:r>
          </w:p>
        </w:tc>
        <w:tc>
          <w:tcPr>
            <w:tcW w:w="6379" w:type="dxa"/>
            <w:shd w:val="clear" w:color="auto" w:fill="auto"/>
            <w:hideMark/>
          </w:tcPr>
          <w:p w:rsidR="008478F4" w:rsidRPr="002D40D5" w:rsidRDefault="005D7D92" w:rsidP="00C0160F">
            <w:pPr>
              <w:pStyle w:val="ListParagraph"/>
              <w:numPr>
                <w:ilvl w:val="0"/>
                <w:numId w:val="1"/>
              </w:numPr>
              <w:spacing w:after="0" w:line="240" w:lineRule="auto"/>
              <w:ind w:left="459" w:hanging="284"/>
              <w:rPr>
                <w:rFonts w:cs="Arial"/>
                <w:sz w:val="20"/>
                <w:szCs w:val="20"/>
                <w:lang w:eastAsia="en-GB"/>
              </w:rPr>
            </w:pPr>
            <w:r w:rsidRPr="002D40D5">
              <w:rPr>
                <w:rFonts w:cs="Arial"/>
                <w:sz w:val="20"/>
                <w:szCs w:val="20"/>
                <w:lang w:eastAsia="en-GB"/>
              </w:rPr>
              <w:t>Training (literature or face to face) will need to be provided for clinicians about advance directives, ensuring service users are informed and how to best record their exist</w:t>
            </w:r>
            <w:r w:rsidR="00C0160F" w:rsidRPr="002D40D5">
              <w:rPr>
                <w:rFonts w:cs="Arial"/>
                <w:sz w:val="20"/>
                <w:szCs w:val="20"/>
                <w:lang w:eastAsia="en-GB"/>
              </w:rPr>
              <w:t>e</w:t>
            </w:r>
            <w:r w:rsidRPr="002D40D5">
              <w:rPr>
                <w:rFonts w:cs="Arial"/>
                <w:sz w:val="20"/>
                <w:szCs w:val="20"/>
                <w:lang w:eastAsia="en-GB"/>
              </w:rPr>
              <w:t>nce and whereabouts.</w:t>
            </w:r>
            <w:r w:rsidR="008478F4" w:rsidRPr="002D40D5">
              <w:rPr>
                <w:rFonts w:cs="Arial"/>
                <w:sz w:val="20"/>
                <w:szCs w:val="20"/>
                <w:lang w:eastAsia="en-GB"/>
              </w:rPr>
              <w:t xml:space="preserve"> </w:t>
            </w:r>
          </w:p>
          <w:p w:rsidR="005D7D92" w:rsidRPr="002D40D5" w:rsidRDefault="005D7D92" w:rsidP="008478F4">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FFC000"/>
          </w:tcPr>
          <w:p w:rsidR="005D7D92" w:rsidRPr="005D7D92" w:rsidRDefault="005D7D92" w:rsidP="005D7D92">
            <w:pPr>
              <w:spacing w:after="0" w:line="240" w:lineRule="auto"/>
              <w:rPr>
                <w:rFonts w:eastAsia="Times New Roman" w:cs="Arial"/>
                <w:lang w:eastAsia="en-GB"/>
              </w:rPr>
            </w:pPr>
          </w:p>
        </w:tc>
      </w:tr>
      <w:tr w:rsidR="005D7D92" w:rsidRPr="005D7D92" w:rsidTr="00121437">
        <w:trPr>
          <w:trHeight w:val="600"/>
        </w:trPr>
        <w:tc>
          <w:tcPr>
            <w:tcW w:w="3261" w:type="dxa"/>
            <w:shd w:val="clear" w:color="auto" w:fill="auto"/>
            <w:hideMark/>
          </w:tcPr>
          <w:p w:rsidR="005D7D92" w:rsidRPr="005D7D92" w:rsidRDefault="005D7D92" w:rsidP="00C0160F">
            <w:pPr>
              <w:rPr>
                <w:rFonts w:cs="Arial"/>
                <w:sz w:val="20"/>
                <w:szCs w:val="20"/>
              </w:rPr>
            </w:pPr>
            <w:r w:rsidRPr="005D7D92">
              <w:rPr>
                <w:rFonts w:cs="Arial"/>
                <w:sz w:val="20"/>
                <w:szCs w:val="20"/>
              </w:rPr>
              <w:t>Establish suitable baselines for determining future targets and trajectories within the diabetes service</w:t>
            </w:r>
          </w:p>
        </w:tc>
        <w:tc>
          <w:tcPr>
            <w:tcW w:w="6379" w:type="dxa"/>
            <w:shd w:val="clear" w:color="auto" w:fill="auto"/>
            <w:noWrap/>
            <w:hideMark/>
          </w:tcPr>
          <w:p w:rsidR="005D7D92" w:rsidRPr="008478F4" w:rsidRDefault="008478F4" w:rsidP="008478F4">
            <w:pPr>
              <w:pStyle w:val="ListParagraph"/>
              <w:numPr>
                <w:ilvl w:val="0"/>
                <w:numId w:val="1"/>
              </w:numPr>
              <w:spacing w:after="0" w:line="240" w:lineRule="auto"/>
              <w:ind w:left="459" w:hanging="284"/>
              <w:rPr>
                <w:rFonts w:cs="Arial"/>
                <w:sz w:val="20"/>
                <w:szCs w:val="20"/>
                <w:lang w:eastAsia="en-GB"/>
              </w:rPr>
            </w:pPr>
            <w:r w:rsidRPr="008478F4">
              <w:rPr>
                <w:rFonts w:cs="Arial"/>
                <w:sz w:val="20"/>
                <w:szCs w:val="20"/>
                <w:lang w:eastAsia="en-GB"/>
              </w:rPr>
              <w:t>Methods are in place to capture and monitor activity and performance against specified indicators in order to inform future targets for the service The Trust is on trajectory to achieve a reduction in acute non-elective and non-elective short stay admissions by 2528 against the 10/11 outturn</w:t>
            </w:r>
          </w:p>
        </w:tc>
        <w:tc>
          <w:tcPr>
            <w:tcW w:w="425" w:type="dxa"/>
            <w:tcBorders>
              <w:top w:val="nil"/>
              <w:bottom w:val="nil"/>
            </w:tcBorders>
            <w:shd w:val="clear" w:color="auto" w:fill="FFC000"/>
          </w:tcPr>
          <w:p w:rsidR="005D7D92" w:rsidRPr="005D7D92" w:rsidRDefault="005D7D92" w:rsidP="005D7D92">
            <w:pPr>
              <w:spacing w:after="0" w:line="240" w:lineRule="auto"/>
              <w:rPr>
                <w:rFonts w:eastAsia="Times New Roman" w:cs="Arial"/>
                <w:sz w:val="24"/>
                <w:szCs w:val="24"/>
                <w:lang w:eastAsia="en-GB"/>
              </w:rPr>
            </w:pPr>
          </w:p>
        </w:tc>
      </w:tr>
      <w:tr w:rsidR="005D7D92" w:rsidRPr="005D7D92" w:rsidTr="00CE03F0">
        <w:trPr>
          <w:trHeight w:val="900"/>
        </w:trPr>
        <w:tc>
          <w:tcPr>
            <w:tcW w:w="3261" w:type="dxa"/>
            <w:shd w:val="clear" w:color="auto" w:fill="auto"/>
            <w:noWrap/>
            <w:hideMark/>
          </w:tcPr>
          <w:p w:rsidR="005D7D92" w:rsidRPr="005D7D92" w:rsidRDefault="005D7D92" w:rsidP="00C0160F">
            <w:pPr>
              <w:rPr>
                <w:rFonts w:cs="Arial"/>
                <w:sz w:val="20"/>
                <w:szCs w:val="20"/>
              </w:rPr>
            </w:pPr>
            <w:r w:rsidRPr="005D7D92">
              <w:rPr>
                <w:rFonts w:cs="Arial"/>
                <w:sz w:val="20"/>
                <w:szCs w:val="20"/>
              </w:rPr>
              <w:t>Systems will be developed to support the implementation of patient reported outcome measures (PROMS), commencing with the patients on the ‘stroke care pathway’.</w:t>
            </w:r>
          </w:p>
        </w:tc>
        <w:tc>
          <w:tcPr>
            <w:tcW w:w="6379" w:type="dxa"/>
            <w:shd w:val="clear" w:color="auto" w:fill="auto"/>
            <w:hideMark/>
          </w:tcPr>
          <w:p w:rsidR="005D7D92" w:rsidRPr="008478F4" w:rsidRDefault="005D7D92" w:rsidP="00C0160F">
            <w:pPr>
              <w:pStyle w:val="ListParagraph"/>
              <w:numPr>
                <w:ilvl w:val="0"/>
                <w:numId w:val="1"/>
              </w:numPr>
              <w:spacing w:after="0" w:line="240" w:lineRule="auto"/>
              <w:ind w:left="459" w:hanging="284"/>
              <w:rPr>
                <w:rFonts w:cs="Arial"/>
                <w:sz w:val="20"/>
                <w:szCs w:val="20"/>
                <w:lang w:eastAsia="en-GB"/>
              </w:rPr>
            </w:pPr>
            <w:r w:rsidRPr="008478F4">
              <w:rPr>
                <w:rFonts w:cs="Arial"/>
                <w:sz w:val="20"/>
                <w:szCs w:val="20"/>
                <w:lang w:eastAsia="en-GB"/>
              </w:rPr>
              <w:t>Literature review has commenced. Task and finish group to be established</w:t>
            </w:r>
            <w:r w:rsidR="008478F4" w:rsidRPr="008478F4">
              <w:rPr>
                <w:rFonts w:cs="Arial"/>
                <w:sz w:val="20"/>
                <w:szCs w:val="20"/>
                <w:lang w:eastAsia="en-GB"/>
              </w:rPr>
              <w:t xml:space="preserve"> awaiting identification of a clinical lead</w:t>
            </w:r>
          </w:p>
        </w:tc>
        <w:tc>
          <w:tcPr>
            <w:tcW w:w="425" w:type="dxa"/>
            <w:tcBorders>
              <w:top w:val="nil"/>
              <w:bottom w:val="nil"/>
            </w:tcBorders>
            <w:shd w:val="clear" w:color="auto" w:fill="FFC000"/>
          </w:tcPr>
          <w:p w:rsidR="005D7D92" w:rsidRPr="005D7D92" w:rsidRDefault="005D7D92" w:rsidP="005D7D92">
            <w:pPr>
              <w:spacing w:after="0" w:line="240" w:lineRule="auto"/>
              <w:rPr>
                <w:rFonts w:eastAsia="Times New Roman" w:cs="Arial"/>
                <w:sz w:val="24"/>
                <w:szCs w:val="24"/>
                <w:lang w:eastAsia="en-GB"/>
              </w:rPr>
            </w:pPr>
          </w:p>
        </w:tc>
      </w:tr>
      <w:tr w:rsidR="005D7D92" w:rsidRPr="005D7D92" w:rsidTr="002112FB">
        <w:trPr>
          <w:trHeight w:val="900"/>
        </w:trPr>
        <w:tc>
          <w:tcPr>
            <w:tcW w:w="3261" w:type="dxa"/>
            <w:shd w:val="clear" w:color="auto" w:fill="auto"/>
            <w:noWrap/>
            <w:hideMark/>
          </w:tcPr>
          <w:p w:rsidR="005D7D92" w:rsidRPr="005D7D92" w:rsidRDefault="005D7D92" w:rsidP="00C0160F">
            <w:pPr>
              <w:rPr>
                <w:rFonts w:cs="Arial"/>
                <w:sz w:val="20"/>
                <w:szCs w:val="20"/>
              </w:rPr>
            </w:pPr>
            <w:r w:rsidRPr="005D7D92">
              <w:rPr>
                <w:rFonts w:cs="Arial"/>
                <w:sz w:val="20"/>
                <w:szCs w:val="20"/>
              </w:rPr>
              <w:t>Create a seamless pathway for adults with Diabetes living in Oxfordshire with more patients managed through primary and community services</w:t>
            </w:r>
          </w:p>
        </w:tc>
        <w:tc>
          <w:tcPr>
            <w:tcW w:w="6379" w:type="dxa"/>
            <w:shd w:val="clear" w:color="auto" w:fill="auto"/>
            <w:noWrap/>
            <w:hideMark/>
          </w:tcPr>
          <w:p w:rsidR="00CE03F0" w:rsidRDefault="00CE03F0" w:rsidP="00CE03F0">
            <w:pPr>
              <w:pStyle w:val="ListParagraph"/>
              <w:numPr>
                <w:ilvl w:val="0"/>
                <w:numId w:val="1"/>
              </w:numPr>
              <w:spacing w:after="0" w:line="240" w:lineRule="auto"/>
              <w:ind w:left="459" w:hanging="284"/>
              <w:rPr>
                <w:rFonts w:cs="Arial"/>
                <w:sz w:val="20"/>
                <w:szCs w:val="20"/>
                <w:lang w:eastAsia="en-GB"/>
              </w:rPr>
            </w:pPr>
            <w:r w:rsidRPr="00CE03F0">
              <w:rPr>
                <w:rFonts w:cs="Arial"/>
                <w:sz w:val="20"/>
                <w:szCs w:val="20"/>
                <w:lang w:eastAsia="en-GB"/>
              </w:rPr>
              <w:t xml:space="preserve">OCS is contracted to support patient education to assist patients in the management of their condition, as part of the Oxford approach to the care of patients with Diabetes. </w:t>
            </w:r>
          </w:p>
          <w:p w:rsidR="008478F4" w:rsidRPr="00CE03F0" w:rsidRDefault="00CE03F0" w:rsidP="00CE03F0">
            <w:pPr>
              <w:pStyle w:val="ListParagraph"/>
              <w:numPr>
                <w:ilvl w:val="0"/>
                <w:numId w:val="1"/>
              </w:numPr>
              <w:spacing w:after="0" w:line="240" w:lineRule="auto"/>
              <w:ind w:left="459" w:hanging="284"/>
              <w:rPr>
                <w:rFonts w:cs="Arial"/>
                <w:sz w:val="20"/>
                <w:szCs w:val="20"/>
                <w:lang w:eastAsia="en-GB"/>
              </w:rPr>
            </w:pPr>
            <w:r w:rsidRPr="00CE03F0">
              <w:rPr>
                <w:rFonts w:cs="Arial"/>
                <w:sz w:val="20"/>
                <w:szCs w:val="20"/>
                <w:lang w:eastAsia="en-GB"/>
              </w:rPr>
              <w:t>In addition education and support is provided to primary care providers of diabetic care.</w:t>
            </w:r>
          </w:p>
        </w:tc>
        <w:tc>
          <w:tcPr>
            <w:tcW w:w="425" w:type="dxa"/>
            <w:tcBorders>
              <w:top w:val="nil"/>
              <w:bottom w:val="nil"/>
            </w:tcBorders>
            <w:shd w:val="clear" w:color="auto" w:fill="00B050"/>
          </w:tcPr>
          <w:p w:rsidR="005D7D92" w:rsidRPr="005D7D92" w:rsidRDefault="005D7D92" w:rsidP="005D7D92">
            <w:pPr>
              <w:spacing w:after="0" w:line="240" w:lineRule="auto"/>
              <w:rPr>
                <w:rFonts w:eastAsia="Times New Roman" w:cs="Arial"/>
                <w:lang w:eastAsia="en-GB"/>
              </w:rPr>
            </w:pPr>
          </w:p>
        </w:tc>
      </w:tr>
      <w:tr w:rsidR="005D7D92" w:rsidRPr="005D7D92" w:rsidTr="002112FB">
        <w:trPr>
          <w:trHeight w:val="315"/>
        </w:trPr>
        <w:tc>
          <w:tcPr>
            <w:tcW w:w="3261" w:type="dxa"/>
            <w:shd w:val="clear" w:color="auto" w:fill="auto"/>
            <w:noWrap/>
            <w:hideMark/>
          </w:tcPr>
          <w:p w:rsidR="005D7D92" w:rsidRPr="005D7D92" w:rsidRDefault="005D7D92" w:rsidP="00C0160F">
            <w:pPr>
              <w:rPr>
                <w:rFonts w:cs="Arial"/>
                <w:sz w:val="20"/>
                <w:szCs w:val="20"/>
              </w:rPr>
            </w:pPr>
            <w:r w:rsidRPr="005D7D92">
              <w:rPr>
                <w:rFonts w:cs="Arial"/>
                <w:sz w:val="20"/>
                <w:szCs w:val="20"/>
              </w:rPr>
              <w:t xml:space="preserve">Implement full use of Personalised Care Planning </w:t>
            </w:r>
          </w:p>
        </w:tc>
        <w:tc>
          <w:tcPr>
            <w:tcW w:w="6379" w:type="dxa"/>
            <w:shd w:val="clear" w:color="auto" w:fill="auto"/>
            <w:noWrap/>
            <w:hideMark/>
          </w:tcPr>
          <w:p w:rsidR="005D7D92" w:rsidRPr="009C18BD" w:rsidRDefault="002112FB" w:rsidP="008478F4">
            <w:pPr>
              <w:pStyle w:val="ListParagraph"/>
              <w:numPr>
                <w:ilvl w:val="0"/>
                <w:numId w:val="1"/>
              </w:numPr>
              <w:spacing w:after="0" w:line="240" w:lineRule="auto"/>
              <w:ind w:left="459" w:hanging="284"/>
              <w:rPr>
                <w:rFonts w:cs="Arial"/>
                <w:sz w:val="20"/>
                <w:szCs w:val="20"/>
                <w:lang w:eastAsia="en-GB"/>
              </w:rPr>
            </w:pPr>
            <w:r>
              <w:rPr>
                <w:rFonts w:cs="Arial"/>
                <w:sz w:val="20"/>
                <w:szCs w:val="20"/>
                <w:lang w:eastAsia="en-GB"/>
              </w:rPr>
              <w:t>District Nurses</w:t>
            </w:r>
            <w:r w:rsidR="005D7A20">
              <w:rPr>
                <w:rFonts w:cs="Arial"/>
                <w:sz w:val="20"/>
                <w:szCs w:val="20"/>
                <w:lang w:eastAsia="en-GB"/>
              </w:rPr>
              <w:t xml:space="preserve"> have reviewed and updated the patients’ Personalised Care Planning.  This has now been implemented.</w:t>
            </w:r>
          </w:p>
          <w:p w:rsidR="008478F4" w:rsidRPr="008478F4" w:rsidRDefault="008478F4" w:rsidP="008478F4">
            <w:pPr>
              <w:pStyle w:val="ListParagraph"/>
              <w:spacing w:after="0" w:line="240" w:lineRule="auto"/>
              <w:ind w:left="459"/>
              <w:rPr>
                <w:rFonts w:cs="Arial"/>
                <w:color w:val="FF0000"/>
                <w:sz w:val="20"/>
                <w:szCs w:val="20"/>
                <w:lang w:eastAsia="en-GB"/>
              </w:rPr>
            </w:pPr>
          </w:p>
        </w:tc>
        <w:tc>
          <w:tcPr>
            <w:tcW w:w="425" w:type="dxa"/>
            <w:tcBorders>
              <w:top w:val="nil"/>
              <w:bottom w:val="nil"/>
            </w:tcBorders>
            <w:shd w:val="clear" w:color="auto" w:fill="FFC000"/>
          </w:tcPr>
          <w:p w:rsidR="005D7D92" w:rsidRPr="005D7D92" w:rsidRDefault="005D7D92" w:rsidP="005D7D92">
            <w:pPr>
              <w:spacing w:after="0" w:line="240" w:lineRule="auto"/>
              <w:rPr>
                <w:rFonts w:eastAsia="Times New Roman" w:cs="Arial"/>
                <w:lang w:eastAsia="en-GB"/>
              </w:rPr>
            </w:pPr>
          </w:p>
        </w:tc>
      </w:tr>
      <w:tr w:rsidR="00EF506C" w:rsidRPr="005D7D92" w:rsidTr="00EF506C">
        <w:trPr>
          <w:trHeight w:val="1222"/>
        </w:trPr>
        <w:tc>
          <w:tcPr>
            <w:tcW w:w="3261" w:type="dxa"/>
            <w:vMerge w:val="restart"/>
            <w:shd w:val="clear" w:color="auto" w:fill="auto"/>
            <w:noWrap/>
            <w:hideMark/>
          </w:tcPr>
          <w:p w:rsidR="00EF506C" w:rsidRPr="005D7D92" w:rsidRDefault="00EF506C" w:rsidP="00C0160F">
            <w:pPr>
              <w:rPr>
                <w:rFonts w:cs="Arial"/>
                <w:sz w:val="20"/>
                <w:szCs w:val="20"/>
              </w:rPr>
            </w:pPr>
            <w:r w:rsidRPr="005D7D92">
              <w:rPr>
                <w:rFonts w:cs="Arial"/>
                <w:sz w:val="20"/>
                <w:szCs w:val="20"/>
              </w:rPr>
              <w:lastRenderedPageBreak/>
              <w:t>Provide local education programmes for people with Type 2 Diabetes. To include an advanced insulin skills group course for people with Type 2 Diabetes treated with insulin</w:t>
            </w:r>
          </w:p>
        </w:tc>
        <w:tc>
          <w:tcPr>
            <w:tcW w:w="6379" w:type="dxa"/>
            <w:shd w:val="clear" w:color="auto" w:fill="auto"/>
            <w:hideMark/>
          </w:tcPr>
          <w:p w:rsidR="00EF506C" w:rsidRPr="00EF506C" w:rsidRDefault="00EF506C" w:rsidP="00EF506C">
            <w:pPr>
              <w:pStyle w:val="ListParagraph"/>
              <w:numPr>
                <w:ilvl w:val="0"/>
                <w:numId w:val="1"/>
              </w:numPr>
              <w:spacing w:after="0" w:line="240" w:lineRule="auto"/>
              <w:ind w:left="459" w:hanging="284"/>
              <w:rPr>
                <w:rFonts w:cs="Arial"/>
                <w:sz w:val="20"/>
                <w:szCs w:val="20"/>
                <w:lang w:eastAsia="en-GB"/>
              </w:rPr>
            </w:pPr>
            <w:r w:rsidRPr="008478F4">
              <w:rPr>
                <w:rFonts w:cs="Arial"/>
                <w:sz w:val="20"/>
                <w:szCs w:val="20"/>
                <w:lang w:eastAsia="en-GB"/>
              </w:rPr>
              <w:t>The education courses have been implemented and a schedule is in place for the year both for Diabetes2Gether (newly diagnosed patients) and Diabetes4Ward (refresher course).  366 people have been through the course to date</w:t>
            </w:r>
            <w:r w:rsidRPr="00EF506C">
              <w:rPr>
                <w:rFonts w:cs="Arial"/>
                <w:sz w:val="20"/>
                <w:szCs w:val="20"/>
                <w:lang w:eastAsia="en-GB"/>
              </w:rPr>
              <w:t xml:space="preserve"> </w:t>
            </w:r>
          </w:p>
        </w:tc>
        <w:tc>
          <w:tcPr>
            <w:tcW w:w="425" w:type="dxa"/>
            <w:tcBorders>
              <w:top w:val="nil"/>
              <w:bottom w:val="nil"/>
            </w:tcBorders>
            <w:shd w:val="clear" w:color="auto" w:fill="FFC000"/>
          </w:tcPr>
          <w:p w:rsidR="00EF506C" w:rsidRPr="005D7D92" w:rsidRDefault="00EF506C" w:rsidP="005D7D92">
            <w:pPr>
              <w:spacing w:after="0" w:line="240" w:lineRule="auto"/>
              <w:rPr>
                <w:rFonts w:eastAsia="Times New Roman" w:cs="Arial"/>
                <w:lang w:eastAsia="en-GB"/>
              </w:rPr>
            </w:pPr>
          </w:p>
        </w:tc>
      </w:tr>
      <w:tr w:rsidR="00EF506C" w:rsidRPr="005D7D92" w:rsidTr="00EF506C">
        <w:trPr>
          <w:trHeight w:val="1111"/>
        </w:trPr>
        <w:tc>
          <w:tcPr>
            <w:tcW w:w="3261" w:type="dxa"/>
            <w:vMerge/>
            <w:shd w:val="clear" w:color="auto" w:fill="auto"/>
            <w:noWrap/>
            <w:hideMark/>
          </w:tcPr>
          <w:p w:rsidR="00EF506C" w:rsidRPr="005D7D92" w:rsidRDefault="00EF506C" w:rsidP="00C0160F">
            <w:pPr>
              <w:rPr>
                <w:rFonts w:cs="Arial"/>
                <w:sz w:val="20"/>
                <w:szCs w:val="20"/>
              </w:rPr>
            </w:pPr>
          </w:p>
        </w:tc>
        <w:tc>
          <w:tcPr>
            <w:tcW w:w="6379" w:type="dxa"/>
            <w:shd w:val="clear" w:color="auto" w:fill="auto"/>
            <w:hideMark/>
          </w:tcPr>
          <w:p w:rsidR="00EF506C" w:rsidRPr="00EF506C" w:rsidRDefault="00EF506C" w:rsidP="00EF506C">
            <w:pPr>
              <w:pStyle w:val="ListParagraph"/>
              <w:numPr>
                <w:ilvl w:val="0"/>
                <w:numId w:val="1"/>
              </w:numPr>
              <w:spacing w:after="0" w:line="240" w:lineRule="auto"/>
              <w:ind w:left="459" w:hanging="284"/>
              <w:rPr>
                <w:rFonts w:cs="Arial"/>
                <w:sz w:val="20"/>
                <w:szCs w:val="20"/>
                <w:lang w:eastAsia="en-GB"/>
              </w:rPr>
            </w:pPr>
            <w:r w:rsidRPr="00EF506C">
              <w:rPr>
                <w:rFonts w:cs="Arial"/>
                <w:sz w:val="20"/>
                <w:szCs w:val="20"/>
                <w:lang w:eastAsia="en-GB"/>
              </w:rPr>
              <w:t>Advanced insulin courses have also been developed and are being rolled out to practices in collaboration with OCDEM (Oxford Centre for Diabetes, Endocrinology and Metabolism).  These have been well received to date and scheduled courses are fully booked.</w:t>
            </w:r>
          </w:p>
        </w:tc>
        <w:tc>
          <w:tcPr>
            <w:tcW w:w="425" w:type="dxa"/>
            <w:tcBorders>
              <w:top w:val="nil"/>
              <w:bottom w:val="nil"/>
            </w:tcBorders>
            <w:shd w:val="clear" w:color="auto" w:fill="00B050"/>
          </w:tcPr>
          <w:p w:rsidR="00EF506C" w:rsidRPr="005D7D92" w:rsidRDefault="00EF506C" w:rsidP="005D7D92">
            <w:pPr>
              <w:spacing w:after="0" w:line="240" w:lineRule="auto"/>
              <w:rPr>
                <w:rFonts w:eastAsia="Times New Roman" w:cs="Arial"/>
                <w:lang w:eastAsia="en-GB"/>
              </w:rPr>
            </w:pPr>
          </w:p>
        </w:tc>
      </w:tr>
      <w:tr w:rsidR="005D7D92" w:rsidRPr="005D7D92" w:rsidTr="006033E1">
        <w:trPr>
          <w:trHeight w:val="600"/>
        </w:trPr>
        <w:tc>
          <w:tcPr>
            <w:tcW w:w="3261" w:type="dxa"/>
            <w:shd w:val="clear" w:color="auto" w:fill="auto"/>
            <w:noWrap/>
            <w:hideMark/>
          </w:tcPr>
          <w:p w:rsidR="005D7D92" w:rsidRPr="005D7D92" w:rsidRDefault="005D7D92" w:rsidP="00C0160F">
            <w:pPr>
              <w:rPr>
                <w:rFonts w:cs="Arial"/>
                <w:sz w:val="20"/>
                <w:szCs w:val="20"/>
              </w:rPr>
            </w:pPr>
            <w:r w:rsidRPr="005D7D92">
              <w:rPr>
                <w:rFonts w:cs="Arial"/>
                <w:sz w:val="20"/>
                <w:szCs w:val="20"/>
              </w:rPr>
              <w:t>To work with health advocates to develop and deliver education programmes for BME groups with diabetes</w:t>
            </w:r>
          </w:p>
        </w:tc>
        <w:tc>
          <w:tcPr>
            <w:tcW w:w="6379" w:type="dxa"/>
            <w:shd w:val="clear" w:color="auto" w:fill="auto"/>
            <w:noWrap/>
            <w:hideMark/>
          </w:tcPr>
          <w:p w:rsidR="005D7D92" w:rsidRDefault="008478F4" w:rsidP="00BD5A58">
            <w:pPr>
              <w:pStyle w:val="ListParagraph"/>
              <w:numPr>
                <w:ilvl w:val="0"/>
                <w:numId w:val="1"/>
              </w:numPr>
              <w:spacing w:after="0" w:line="240" w:lineRule="auto"/>
              <w:ind w:left="459" w:hanging="284"/>
              <w:rPr>
                <w:rFonts w:cs="Arial"/>
                <w:sz w:val="20"/>
                <w:szCs w:val="20"/>
                <w:lang w:eastAsia="en-GB"/>
              </w:rPr>
            </w:pPr>
            <w:r w:rsidRPr="008478F4">
              <w:rPr>
                <w:rFonts w:cs="Arial"/>
                <w:sz w:val="20"/>
                <w:szCs w:val="20"/>
                <w:lang w:eastAsia="en-GB"/>
              </w:rPr>
              <w:t xml:space="preserve">There has been a significant amount of work progressed with health advocates this year.  Plans are in place to adapt the Diabetes2Gether programme for BME groups and pilots will be underway by Christmas.  2 BME </w:t>
            </w:r>
            <w:proofErr w:type="spellStart"/>
            <w:r w:rsidRPr="008478F4">
              <w:rPr>
                <w:rFonts w:cs="Arial"/>
                <w:sz w:val="20"/>
                <w:szCs w:val="20"/>
                <w:lang w:eastAsia="en-GB"/>
              </w:rPr>
              <w:t>roadshows</w:t>
            </w:r>
            <w:proofErr w:type="spellEnd"/>
            <w:r w:rsidRPr="008478F4">
              <w:rPr>
                <w:rFonts w:cs="Arial"/>
                <w:sz w:val="20"/>
                <w:szCs w:val="20"/>
                <w:lang w:eastAsia="en-GB"/>
              </w:rPr>
              <w:t xml:space="preserve"> with health advocates have taken place in Templar Square and Stanley Road mosque</w:t>
            </w:r>
            <w:r w:rsidRPr="00BD5A58">
              <w:rPr>
                <w:rFonts w:cs="Arial"/>
                <w:sz w:val="20"/>
                <w:szCs w:val="20"/>
                <w:lang w:eastAsia="en-GB"/>
              </w:rPr>
              <w:t>.  These informed the impending pilots.</w:t>
            </w:r>
          </w:p>
          <w:p w:rsidR="00451F19" w:rsidRPr="00BD5A58" w:rsidRDefault="00451F19" w:rsidP="00451F19">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FFC000"/>
          </w:tcPr>
          <w:p w:rsidR="005D7D92" w:rsidRPr="005D7D92" w:rsidRDefault="005D7D92" w:rsidP="005D7D92">
            <w:pPr>
              <w:spacing w:after="0" w:line="240" w:lineRule="auto"/>
              <w:rPr>
                <w:rFonts w:eastAsia="Times New Roman" w:cs="Arial"/>
                <w:lang w:eastAsia="en-GB"/>
              </w:rPr>
            </w:pPr>
          </w:p>
        </w:tc>
      </w:tr>
      <w:tr w:rsidR="006033E1" w:rsidRPr="005D7D92" w:rsidTr="006033E1">
        <w:trPr>
          <w:trHeight w:val="1134"/>
        </w:trPr>
        <w:tc>
          <w:tcPr>
            <w:tcW w:w="3261" w:type="dxa"/>
            <w:vMerge w:val="restart"/>
            <w:shd w:val="clear" w:color="auto" w:fill="auto"/>
            <w:noWrap/>
            <w:hideMark/>
          </w:tcPr>
          <w:p w:rsidR="006033E1" w:rsidRPr="005D7D92" w:rsidRDefault="006033E1" w:rsidP="00C0160F">
            <w:pPr>
              <w:rPr>
                <w:rFonts w:cs="Arial"/>
                <w:sz w:val="20"/>
                <w:szCs w:val="20"/>
              </w:rPr>
            </w:pPr>
            <w:r w:rsidRPr="005D7D92">
              <w:rPr>
                <w:rFonts w:cs="Arial"/>
                <w:sz w:val="20"/>
                <w:szCs w:val="20"/>
              </w:rPr>
              <w:t>To support patients through case management by developing the role of the case managers to ensure access to all sources of care and support. This will improve quality of life for people with long term conditions and reduce disruption through hospital admission and also reduce demand for secondary care services by avoiding admissions and facilitating early discharge</w:t>
            </w:r>
          </w:p>
        </w:tc>
        <w:tc>
          <w:tcPr>
            <w:tcW w:w="6379" w:type="dxa"/>
            <w:shd w:val="clear" w:color="auto" w:fill="auto"/>
            <w:noWrap/>
            <w:hideMark/>
          </w:tcPr>
          <w:p w:rsidR="006033E1" w:rsidRPr="00EF506C" w:rsidRDefault="006033E1" w:rsidP="00EF506C">
            <w:pPr>
              <w:pStyle w:val="ListParagraph"/>
              <w:numPr>
                <w:ilvl w:val="0"/>
                <w:numId w:val="1"/>
              </w:numPr>
              <w:spacing w:after="0" w:line="240" w:lineRule="auto"/>
              <w:ind w:left="459" w:hanging="284"/>
              <w:rPr>
                <w:rFonts w:cs="Arial"/>
                <w:sz w:val="20"/>
                <w:szCs w:val="20"/>
                <w:lang w:eastAsia="en-GB"/>
              </w:rPr>
            </w:pPr>
            <w:r w:rsidRPr="00EF506C">
              <w:rPr>
                <w:rFonts w:cs="Arial"/>
                <w:sz w:val="20"/>
                <w:szCs w:val="20"/>
                <w:lang w:eastAsia="en-GB"/>
              </w:rPr>
              <w:t>A county wide service is in place and is delivered in collaboration with another provider PML (north locality).</w:t>
            </w:r>
          </w:p>
          <w:p w:rsidR="006033E1" w:rsidRPr="00EF506C" w:rsidRDefault="006033E1" w:rsidP="00EF506C">
            <w:pPr>
              <w:pStyle w:val="ListParagraph"/>
              <w:numPr>
                <w:ilvl w:val="0"/>
                <w:numId w:val="1"/>
              </w:numPr>
              <w:spacing w:after="0" w:line="240" w:lineRule="auto"/>
              <w:ind w:left="459" w:hanging="284"/>
              <w:rPr>
                <w:rFonts w:cs="Arial"/>
                <w:sz w:val="20"/>
                <w:szCs w:val="20"/>
                <w:lang w:eastAsia="en-GB"/>
              </w:rPr>
            </w:pPr>
            <w:r w:rsidRPr="00EF506C">
              <w:rPr>
                <w:rFonts w:cs="Arial"/>
                <w:sz w:val="20"/>
                <w:szCs w:val="20"/>
                <w:lang w:eastAsia="en-GB"/>
              </w:rPr>
              <w:t>Refer</w:t>
            </w:r>
            <w:r>
              <w:rPr>
                <w:rFonts w:cs="Arial"/>
                <w:sz w:val="20"/>
                <w:szCs w:val="20"/>
                <w:lang w:eastAsia="en-GB"/>
              </w:rPr>
              <w:t>r</w:t>
            </w:r>
            <w:r w:rsidRPr="00EF506C">
              <w:rPr>
                <w:rFonts w:cs="Arial"/>
                <w:sz w:val="20"/>
                <w:szCs w:val="20"/>
                <w:lang w:eastAsia="en-GB"/>
              </w:rPr>
              <w:t xml:space="preserve">al pathway agreed based upon PARR assessment for at risk patients with LTC’s. </w:t>
            </w:r>
          </w:p>
          <w:p w:rsidR="006033E1" w:rsidRPr="006033E1" w:rsidRDefault="006033E1" w:rsidP="006033E1">
            <w:pPr>
              <w:pStyle w:val="ListParagraph"/>
              <w:numPr>
                <w:ilvl w:val="0"/>
                <w:numId w:val="1"/>
              </w:numPr>
              <w:spacing w:after="0" w:line="240" w:lineRule="auto"/>
              <w:ind w:left="459" w:hanging="284"/>
              <w:rPr>
                <w:rFonts w:cs="Arial"/>
                <w:sz w:val="20"/>
                <w:szCs w:val="20"/>
                <w:lang w:eastAsia="en-GB"/>
              </w:rPr>
            </w:pPr>
            <w:r w:rsidRPr="00EF506C">
              <w:rPr>
                <w:rFonts w:cs="Arial"/>
                <w:sz w:val="20"/>
                <w:szCs w:val="20"/>
                <w:lang w:eastAsia="en-GB"/>
              </w:rPr>
              <w:t>Service can now also take direct refe</w:t>
            </w:r>
            <w:r>
              <w:rPr>
                <w:rFonts w:cs="Arial"/>
                <w:sz w:val="20"/>
                <w:szCs w:val="20"/>
                <w:lang w:eastAsia="en-GB"/>
              </w:rPr>
              <w:t>r</w:t>
            </w:r>
            <w:r w:rsidRPr="00EF506C">
              <w:rPr>
                <w:rFonts w:cs="Arial"/>
                <w:sz w:val="20"/>
                <w:szCs w:val="20"/>
                <w:lang w:eastAsia="en-GB"/>
              </w:rPr>
              <w:t xml:space="preserve">rals for GPs, </w:t>
            </w:r>
            <w:r>
              <w:rPr>
                <w:rFonts w:cs="Arial"/>
                <w:sz w:val="20"/>
                <w:szCs w:val="20"/>
                <w:lang w:eastAsia="en-GB"/>
              </w:rPr>
              <w:t>u</w:t>
            </w:r>
            <w:r w:rsidRPr="00EF506C">
              <w:rPr>
                <w:rFonts w:cs="Arial"/>
                <w:sz w:val="20"/>
                <w:szCs w:val="20"/>
                <w:lang w:eastAsia="en-GB"/>
              </w:rPr>
              <w:t>rgent care including Hospital at Home to ensure appropriate patients access the service as timely as possible.</w:t>
            </w:r>
          </w:p>
        </w:tc>
        <w:tc>
          <w:tcPr>
            <w:tcW w:w="425" w:type="dxa"/>
            <w:tcBorders>
              <w:top w:val="nil"/>
              <w:bottom w:val="nil"/>
            </w:tcBorders>
            <w:shd w:val="clear" w:color="auto" w:fill="00B050"/>
          </w:tcPr>
          <w:p w:rsidR="006033E1" w:rsidRPr="005D7D92" w:rsidRDefault="006033E1" w:rsidP="005D7D92">
            <w:pPr>
              <w:spacing w:after="0" w:line="240" w:lineRule="auto"/>
              <w:rPr>
                <w:rFonts w:eastAsia="Times New Roman" w:cs="Arial"/>
                <w:lang w:eastAsia="en-GB"/>
              </w:rPr>
            </w:pPr>
          </w:p>
        </w:tc>
      </w:tr>
      <w:tr w:rsidR="006033E1" w:rsidRPr="005D7D92" w:rsidTr="00B91935">
        <w:trPr>
          <w:trHeight w:val="1134"/>
        </w:trPr>
        <w:tc>
          <w:tcPr>
            <w:tcW w:w="3261" w:type="dxa"/>
            <w:vMerge/>
            <w:shd w:val="clear" w:color="auto" w:fill="auto"/>
            <w:noWrap/>
            <w:hideMark/>
          </w:tcPr>
          <w:p w:rsidR="006033E1" w:rsidRPr="005D7D92" w:rsidRDefault="006033E1" w:rsidP="00C0160F">
            <w:pPr>
              <w:rPr>
                <w:rFonts w:cs="Arial"/>
                <w:sz w:val="20"/>
                <w:szCs w:val="20"/>
              </w:rPr>
            </w:pPr>
          </w:p>
        </w:tc>
        <w:tc>
          <w:tcPr>
            <w:tcW w:w="6379" w:type="dxa"/>
            <w:shd w:val="clear" w:color="auto" w:fill="auto"/>
            <w:noWrap/>
            <w:hideMark/>
          </w:tcPr>
          <w:p w:rsidR="006033E1" w:rsidRPr="00EF506C" w:rsidRDefault="006033E1" w:rsidP="006033E1">
            <w:pPr>
              <w:pStyle w:val="ListParagraph"/>
              <w:numPr>
                <w:ilvl w:val="0"/>
                <w:numId w:val="1"/>
              </w:numPr>
              <w:spacing w:after="0" w:line="240" w:lineRule="auto"/>
              <w:ind w:left="459" w:hanging="284"/>
              <w:rPr>
                <w:rFonts w:cs="Arial"/>
                <w:sz w:val="20"/>
                <w:szCs w:val="20"/>
                <w:lang w:eastAsia="en-GB"/>
              </w:rPr>
            </w:pPr>
            <w:r w:rsidRPr="00EF506C">
              <w:rPr>
                <w:rFonts w:cs="Arial"/>
                <w:sz w:val="20"/>
                <w:szCs w:val="20"/>
                <w:lang w:eastAsia="en-GB"/>
              </w:rPr>
              <w:t>Related performance data not</w:t>
            </w:r>
            <w:r>
              <w:rPr>
                <w:rFonts w:cs="Arial"/>
                <w:sz w:val="20"/>
                <w:szCs w:val="20"/>
                <w:lang w:eastAsia="en-GB"/>
              </w:rPr>
              <w:t xml:space="preserve"> yet</w:t>
            </w:r>
            <w:r w:rsidRPr="00EF506C">
              <w:rPr>
                <w:rFonts w:cs="Arial"/>
                <w:sz w:val="20"/>
                <w:szCs w:val="20"/>
                <w:lang w:eastAsia="en-GB"/>
              </w:rPr>
              <w:t xml:space="preserve"> available</w:t>
            </w:r>
          </w:p>
          <w:p w:rsidR="006033E1" w:rsidRPr="006033E1" w:rsidRDefault="006033E1" w:rsidP="006033E1">
            <w:pPr>
              <w:spacing w:after="0" w:line="240" w:lineRule="auto"/>
              <w:ind w:left="175"/>
              <w:rPr>
                <w:rFonts w:cs="Arial"/>
                <w:sz w:val="20"/>
                <w:szCs w:val="20"/>
                <w:lang w:eastAsia="en-GB"/>
              </w:rPr>
            </w:pPr>
          </w:p>
        </w:tc>
        <w:tc>
          <w:tcPr>
            <w:tcW w:w="425" w:type="dxa"/>
            <w:tcBorders>
              <w:top w:val="nil"/>
              <w:bottom w:val="nil"/>
            </w:tcBorders>
            <w:shd w:val="clear" w:color="auto" w:fill="FFC000"/>
          </w:tcPr>
          <w:p w:rsidR="006033E1" w:rsidRPr="005D7D92" w:rsidRDefault="006033E1" w:rsidP="005D7D92">
            <w:pPr>
              <w:spacing w:after="0" w:line="240" w:lineRule="auto"/>
              <w:rPr>
                <w:rFonts w:eastAsia="Times New Roman" w:cs="Arial"/>
                <w:lang w:eastAsia="en-GB"/>
              </w:rPr>
            </w:pPr>
          </w:p>
        </w:tc>
      </w:tr>
      <w:tr w:rsidR="005D7D92" w:rsidRPr="005D7D92" w:rsidTr="00B91935">
        <w:trPr>
          <w:trHeight w:val="1200"/>
        </w:trPr>
        <w:tc>
          <w:tcPr>
            <w:tcW w:w="3261" w:type="dxa"/>
            <w:shd w:val="clear" w:color="auto" w:fill="auto"/>
            <w:noWrap/>
            <w:vAlign w:val="bottom"/>
            <w:hideMark/>
          </w:tcPr>
          <w:p w:rsidR="005D7D92" w:rsidRPr="005D7D92" w:rsidRDefault="005D7D92" w:rsidP="00C0160F">
            <w:pPr>
              <w:rPr>
                <w:rFonts w:cs="Arial"/>
                <w:sz w:val="20"/>
                <w:szCs w:val="20"/>
              </w:rPr>
            </w:pPr>
            <w:r w:rsidRPr="005D7D92">
              <w:rPr>
                <w:rFonts w:cs="Arial"/>
                <w:sz w:val="20"/>
                <w:szCs w:val="20"/>
              </w:rPr>
              <w:t>Reduce admissions to acute hospital by development of Out of Hours; Minor Injury Units; Hospital at Home; Integrated Teams; Community Hospitals; Case Management and Assessment and Enablement Services (AES)</w:t>
            </w:r>
          </w:p>
        </w:tc>
        <w:tc>
          <w:tcPr>
            <w:tcW w:w="6379" w:type="dxa"/>
            <w:shd w:val="clear" w:color="auto" w:fill="auto"/>
            <w:noWrap/>
            <w:hideMark/>
          </w:tcPr>
          <w:p w:rsidR="00B91935" w:rsidRPr="001764AF" w:rsidRDefault="00B91935" w:rsidP="00B91935">
            <w:pPr>
              <w:pStyle w:val="ListParagraph"/>
              <w:numPr>
                <w:ilvl w:val="0"/>
                <w:numId w:val="1"/>
              </w:numPr>
              <w:spacing w:after="0" w:line="240" w:lineRule="auto"/>
              <w:ind w:left="459" w:hanging="284"/>
              <w:rPr>
                <w:rFonts w:cs="Arial"/>
                <w:sz w:val="20"/>
                <w:szCs w:val="20"/>
                <w:lang w:eastAsia="en-GB"/>
              </w:rPr>
            </w:pPr>
            <w:r w:rsidRPr="001764AF">
              <w:rPr>
                <w:rFonts w:cs="Arial"/>
                <w:sz w:val="20"/>
                <w:szCs w:val="20"/>
                <w:lang w:eastAsia="en-GB"/>
              </w:rPr>
              <w:t>Extending delivery of Hospital at Home (see later)</w:t>
            </w:r>
          </w:p>
          <w:p w:rsidR="001764AF" w:rsidRPr="001764AF" w:rsidRDefault="001764AF" w:rsidP="001764AF">
            <w:pPr>
              <w:pStyle w:val="ListParagraph"/>
              <w:numPr>
                <w:ilvl w:val="0"/>
                <w:numId w:val="1"/>
              </w:numPr>
              <w:spacing w:after="0" w:line="240" w:lineRule="auto"/>
              <w:ind w:left="459" w:hanging="284"/>
              <w:rPr>
                <w:rFonts w:cs="Arial"/>
                <w:sz w:val="20"/>
                <w:szCs w:val="20"/>
                <w:lang w:eastAsia="en-GB"/>
              </w:rPr>
            </w:pPr>
            <w:r w:rsidRPr="001764AF">
              <w:rPr>
                <w:rFonts w:cs="Arial"/>
                <w:sz w:val="20"/>
                <w:szCs w:val="20"/>
                <w:lang w:eastAsia="en-GB"/>
              </w:rPr>
              <w:t xml:space="preserve">See case management development </w:t>
            </w:r>
          </w:p>
          <w:p w:rsidR="001764AF" w:rsidRPr="001764AF" w:rsidRDefault="001764AF" w:rsidP="001764AF">
            <w:pPr>
              <w:pStyle w:val="ListParagraph"/>
              <w:numPr>
                <w:ilvl w:val="0"/>
                <w:numId w:val="1"/>
              </w:numPr>
              <w:spacing w:after="0" w:line="240" w:lineRule="auto"/>
              <w:ind w:left="459" w:hanging="284"/>
              <w:rPr>
                <w:rFonts w:cs="Arial"/>
                <w:sz w:val="20"/>
                <w:szCs w:val="20"/>
                <w:lang w:eastAsia="en-GB"/>
              </w:rPr>
            </w:pPr>
            <w:r w:rsidRPr="001764AF">
              <w:rPr>
                <w:rFonts w:cs="Arial"/>
                <w:sz w:val="20"/>
                <w:szCs w:val="20"/>
                <w:lang w:eastAsia="en-GB"/>
              </w:rPr>
              <w:t>Community hospital development – to provide short term intervention over 24-48 hours to prevent acute hospital admission through step up beds available at Abingdon CH and soon to be provided at Witney CH (date to be advised)</w:t>
            </w:r>
          </w:p>
          <w:p w:rsidR="001764AF" w:rsidRPr="001764AF" w:rsidRDefault="001764AF" w:rsidP="001764AF">
            <w:pPr>
              <w:spacing w:after="0" w:line="240" w:lineRule="auto"/>
              <w:ind w:left="175"/>
              <w:rPr>
                <w:rFonts w:cs="Arial"/>
                <w:sz w:val="20"/>
                <w:szCs w:val="20"/>
                <w:lang w:eastAsia="en-GB"/>
              </w:rPr>
            </w:pPr>
          </w:p>
        </w:tc>
        <w:tc>
          <w:tcPr>
            <w:tcW w:w="425" w:type="dxa"/>
            <w:tcBorders>
              <w:top w:val="nil"/>
              <w:bottom w:val="single" w:sz="4" w:space="0" w:color="auto"/>
            </w:tcBorders>
            <w:shd w:val="clear" w:color="auto" w:fill="FFC000"/>
          </w:tcPr>
          <w:p w:rsidR="005D7D92" w:rsidRPr="005D7D92" w:rsidRDefault="005D7D92" w:rsidP="005D7D92">
            <w:pPr>
              <w:spacing w:after="0" w:line="240" w:lineRule="auto"/>
              <w:rPr>
                <w:rFonts w:eastAsia="Times New Roman" w:cs="Arial"/>
                <w:lang w:eastAsia="en-GB"/>
              </w:rPr>
            </w:pPr>
          </w:p>
        </w:tc>
      </w:tr>
    </w:tbl>
    <w:p w:rsidR="005D7D92" w:rsidRDefault="005D7D92" w:rsidP="00997399"/>
    <w:p w:rsidR="0058221A" w:rsidRDefault="0058221A" w:rsidP="00997399">
      <w:r>
        <w:br w:type="page"/>
      </w:r>
    </w:p>
    <w:p w:rsidR="0058221A" w:rsidRDefault="0058221A" w:rsidP="00902581">
      <w:pPr>
        <w:autoSpaceDE w:val="0"/>
        <w:autoSpaceDN w:val="0"/>
        <w:adjustRightInd w:val="0"/>
        <w:rPr>
          <w:rFonts w:ascii="Arial" w:hAnsi="Arial" w:cs="Arial"/>
          <w:sz w:val="21"/>
          <w:szCs w:val="21"/>
        </w:rPr>
      </w:pPr>
    </w:p>
    <w:tbl>
      <w:tblPr>
        <w:tblW w:w="10065" w:type="dxa"/>
        <w:tblInd w:w="-176" w:type="dxa"/>
        <w:tblBorders>
          <w:left w:val="single" w:sz="4" w:space="0" w:color="auto"/>
          <w:bottom w:val="single" w:sz="4" w:space="0" w:color="auto"/>
          <w:right w:val="single" w:sz="4" w:space="0" w:color="auto"/>
        </w:tblBorders>
        <w:tblLayout w:type="fixed"/>
        <w:tblLook w:val="00A0"/>
      </w:tblPr>
      <w:tblGrid>
        <w:gridCol w:w="10065"/>
      </w:tblGrid>
      <w:tr w:rsidR="0058221A" w:rsidRPr="00677B2B" w:rsidTr="00AE7AB3">
        <w:trPr>
          <w:trHeight w:val="300"/>
        </w:trPr>
        <w:tc>
          <w:tcPr>
            <w:tcW w:w="10065" w:type="dxa"/>
            <w:tcBorders>
              <w:bottom w:val="nil"/>
            </w:tcBorders>
            <w:shd w:val="clear" w:color="auto" w:fill="0070C0"/>
            <w:noWrap/>
            <w:vAlign w:val="center"/>
          </w:tcPr>
          <w:p w:rsidR="0058221A" w:rsidRPr="00187092" w:rsidRDefault="0058221A" w:rsidP="00AE7AB3">
            <w:pPr>
              <w:pStyle w:val="Heading2"/>
              <w:numPr>
                <w:ilvl w:val="0"/>
                <w:numId w:val="6"/>
              </w:numPr>
              <w:rPr>
                <w:rFonts w:ascii="Arial" w:hAnsi="Arial" w:cs="Arial"/>
                <w:b w:val="0"/>
                <w:caps/>
                <w:color w:val="FFFFFF"/>
                <w:szCs w:val="22"/>
                <w:lang w:eastAsia="en-GB"/>
              </w:rPr>
            </w:pPr>
            <w:r w:rsidRPr="00902581">
              <w:rPr>
                <w:rFonts w:ascii="Arial" w:hAnsi="Arial" w:cs="Arial"/>
                <w:b w:val="0"/>
                <w:caps/>
                <w:color w:val="FFFFFF"/>
                <w:szCs w:val="22"/>
                <w:lang w:eastAsia="en-GB"/>
              </w:rPr>
              <w:t>Effectiveness: Helping people to recover from episodes of ill-health or following injury</w:t>
            </w:r>
          </w:p>
        </w:tc>
      </w:tr>
      <w:tr w:rsidR="0058221A" w:rsidRPr="00677B2B" w:rsidTr="00AE7AB3">
        <w:trPr>
          <w:trHeight w:val="300"/>
        </w:trPr>
        <w:tc>
          <w:tcPr>
            <w:tcW w:w="10065" w:type="dxa"/>
            <w:tcBorders>
              <w:bottom w:val="nil"/>
            </w:tcBorders>
            <w:shd w:val="clear" w:color="auto" w:fill="BFBFBF"/>
            <w:noWrap/>
            <w:vAlign w:val="center"/>
          </w:tcPr>
          <w:p w:rsidR="0058221A" w:rsidRPr="0046221F" w:rsidRDefault="0058221A" w:rsidP="00902581">
            <w:pPr>
              <w:pStyle w:val="Heading2"/>
              <w:rPr>
                <w:rFonts w:ascii="Arial" w:hAnsi="Arial" w:cs="Arial"/>
                <w:color w:val="auto"/>
                <w:sz w:val="24"/>
                <w:szCs w:val="24"/>
                <w:lang w:eastAsia="en-GB"/>
              </w:rPr>
            </w:pPr>
            <w:r w:rsidRPr="0046221F">
              <w:rPr>
                <w:rFonts w:ascii="Arial" w:hAnsi="Arial" w:cs="Arial"/>
                <w:color w:val="auto"/>
                <w:sz w:val="24"/>
                <w:szCs w:val="24"/>
                <w:lang w:eastAsia="en-GB"/>
              </w:rPr>
              <w:t>Aims</w:t>
            </w:r>
          </w:p>
          <w:p w:rsidR="0058221A" w:rsidRPr="00677B2B" w:rsidRDefault="0058221A" w:rsidP="00902581">
            <w:pPr>
              <w:rPr>
                <w:sz w:val="24"/>
                <w:szCs w:val="24"/>
                <w:lang w:eastAsia="en-GB"/>
              </w:rPr>
            </w:pPr>
          </w:p>
        </w:tc>
      </w:tr>
      <w:tr w:rsidR="0058221A" w:rsidRPr="00677B2B" w:rsidTr="00AE7AB3">
        <w:trPr>
          <w:trHeight w:val="600"/>
        </w:trPr>
        <w:tc>
          <w:tcPr>
            <w:tcW w:w="10065" w:type="dxa"/>
            <w:tcBorders>
              <w:top w:val="nil"/>
            </w:tcBorders>
            <w:shd w:val="clear" w:color="000000" w:fill="C0C0C0"/>
            <w:vAlign w:val="center"/>
          </w:tcPr>
          <w:p w:rsidR="0058221A" w:rsidRDefault="0058221A" w:rsidP="00902581">
            <w:pPr>
              <w:pStyle w:val="ListParagraph"/>
              <w:numPr>
                <w:ilvl w:val="0"/>
                <w:numId w:val="7"/>
              </w:numPr>
              <w:spacing w:after="0" w:line="240" w:lineRule="auto"/>
              <w:rPr>
                <w:rFonts w:cs="Arial"/>
                <w:b/>
                <w:bCs/>
                <w:lang w:eastAsia="en-GB"/>
              </w:rPr>
            </w:pPr>
            <w:r w:rsidRPr="00902581">
              <w:rPr>
                <w:rFonts w:cs="Arial"/>
                <w:b/>
                <w:bCs/>
                <w:lang w:eastAsia="en-GB"/>
              </w:rPr>
              <w:t xml:space="preserve">Increase by 5% the number of patients who report in the National Mental  Health Community patients survey wanting and receiving help to return to work </w:t>
            </w:r>
          </w:p>
          <w:p w:rsidR="0058221A" w:rsidRDefault="0058221A" w:rsidP="002E3B51">
            <w:pPr>
              <w:pStyle w:val="ListParagraph"/>
              <w:spacing w:after="0" w:line="240" w:lineRule="auto"/>
              <w:rPr>
                <w:rFonts w:cs="Arial"/>
                <w:b/>
                <w:bCs/>
                <w:lang w:eastAsia="en-GB"/>
              </w:rPr>
            </w:pPr>
          </w:p>
          <w:p w:rsidR="0058221A" w:rsidRPr="002E3B51" w:rsidRDefault="00250850" w:rsidP="002E3B51">
            <w:pPr>
              <w:spacing w:after="0" w:line="240" w:lineRule="auto"/>
              <w:ind w:left="743"/>
              <w:rPr>
                <w:rFonts w:cs="Arial"/>
                <w:b/>
                <w:bCs/>
                <w:i/>
                <w:lang w:eastAsia="en-GB"/>
              </w:rPr>
            </w:pPr>
            <w:r>
              <w:rPr>
                <w:rFonts w:cs="Arial"/>
                <w:b/>
                <w:bCs/>
                <w:i/>
                <w:lang w:eastAsia="en-GB"/>
              </w:rPr>
              <w:t>The National Survey is annual.  The last one in 2011 produced a figure of 5.9 out of 10.  The target</w:t>
            </w:r>
            <w:r w:rsidR="00884BE4">
              <w:rPr>
                <w:rFonts w:cs="Arial"/>
                <w:b/>
                <w:bCs/>
                <w:i/>
                <w:lang w:eastAsia="en-GB"/>
              </w:rPr>
              <w:t xml:space="preserve"> </w:t>
            </w:r>
            <w:r>
              <w:rPr>
                <w:rFonts w:cs="Arial"/>
                <w:b/>
                <w:bCs/>
                <w:i/>
                <w:lang w:eastAsia="en-GB"/>
              </w:rPr>
              <w:t xml:space="preserve">for the next survey in 2012 is therefore 6.4. </w:t>
            </w:r>
          </w:p>
          <w:p w:rsidR="0058221A" w:rsidRPr="00902581" w:rsidRDefault="0058221A" w:rsidP="002E3B51">
            <w:pPr>
              <w:pStyle w:val="ListParagraph"/>
              <w:spacing w:after="0" w:line="240" w:lineRule="auto"/>
              <w:rPr>
                <w:rFonts w:cs="Arial"/>
                <w:b/>
                <w:bCs/>
                <w:lang w:eastAsia="en-GB"/>
              </w:rPr>
            </w:pPr>
          </w:p>
        </w:tc>
      </w:tr>
      <w:tr w:rsidR="0058221A" w:rsidRPr="00677B2B" w:rsidTr="00AE7AB3">
        <w:trPr>
          <w:trHeight w:val="600"/>
        </w:trPr>
        <w:tc>
          <w:tcPr>
            <w:tcW w:w="10065" w:type="dxa"/>
            <w:shd w:val="clear" w:color="000000" w:fill="C0C0C0"/>
            <w:vAlign w:val="center"/>
          </w:tcPr>
          <w:p w:rsidR="0058221A" w:rsidRDefault="0058221A" w:rsidP="00902581">
            <w:pPr>
              <w:pStyle w:val="ListParagraph"/>
              <w:numPr>
                <w:ilvl w:val="0"/>
                <w:numId w:val="7"/>
              </w:numPr>
              <w:spacing w:after="0" w:line="240" w:lineRule="auto"/>
              <w:rPr>
                <w:rFonts w:cs="Arial"/>
                <w:b/>
                <w:bCs/>
                <w:lang w:eastAsia="en-GB"/>
              </w:rPr>
            </w:pPr>
            <w:r w:rsidRPr="00902581">
              <w:rPr>
                <w:rFonts w:cs="Arial"/>
                <w:b/>
                <w:bCs/>
                <w:lang w:eastAsia="en-GB"/>
              </w:rPr>
              <w:t>75% of Adults receiving care under the CPA are in settled accommodation  (service user priority)</w:t>
            </w:r>
          </w:p>
          <w:p w:rsidR="0058221A" w:rsidRDefault="0058221A" w:rsidP="002E3B51">
            <w:pPr>
              <w:pStyle w:val="ListParagraph"/>
              <w:spacing w:after="0" w:line="240" w:lineRule="auto"/>
              <w:rPr>
                <w:rFonts w:cs="Arial"/>
                <w:b/>
                <w:bCs/>
                <w:lang w:eastAsia="en-GB"/>
              </w:rPr>
            </w:pPr>
          </w:p>
          <w:p w:rsidR="0058221A" w:rsidRDefault="00827D0B" w:rsidP="002E3B51">
            <w:pPr>
              <w:pStyle w:val="ListParagraph"/>
              <w:spacing w:after="0" w:line="240" w:lineRule="auto"/>
              <w:rPr>
                <w:rFonts w:cs="Arial"/>
                <w:b/>
                <w:bCs/>
                <w:lang w:eastAsia="en-GB"/>
              </w:rPr>
            </w:pPr>
            <w:r w:rsidRPr="00827D0B">
              <w:rPr>
                <w:rFonts w:cs="Arial"/>
                <w:b/>
                <w:bCs/>
                <w:noProof/>
                <w:lang w:eastAsia="en-GB"/>
              </w:rPr>
              <w:drawing>
                <wp:inline distT="0" distB="0" distL="0" distR="0">
                  <wp:extent cx="4152900" cy="2489200"/>
                  <wp:effectExtent l="19050" t="0" r="19050" b="635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221A" w:rsidRPr="00902581" w:rsidRDefault="0058221A" w:rsidP="002E3B51">
            <w:pPr>
              <w:pStyle w:val="ListParagraph"/>
              <w:spacing w:after="0" w:line="240" w:lineRule="auto"/>
              <w:rPr>
                <w:rFonts w:cs="Arial"/>
                <w:b/>
                <w:bCs/>
                <w:lang w:eastAsia="en-GB"/>
              </w:rPr>
            </w:pPr>
          </w:p>
        </w:tc>
      </w:tr>
      <w:tr w:rsidR="0058221A" w:rsidRPr="00677B2B" w:rsidTr="00AE7AB3">
        <w:trPr>
          <w:trHeight w:val="600"/>
        </w:trPr>
        <w:tc>
          <w:tcPr>
            <w:tcW w:w="10065" w:type="dxa"/>
            <w:shd w:val="clear" w:color="000000" w:fill="C0C0C0"/>
            <w:vAlign w:val="center"/>
          </w:tcPr>
          <w:p w:rsidR="0058221A" w:rsidRPr="00902581" w:rsidRDefault="0058221A" w:rsidP="00902581">
            <w:pPr>
              <w:pStyle w:val="ListParagraph"/>
              <w:numPr>
                <w:ilvl w:val="0"/>
                <w:numId w:val="7"/>
              </w:numPr>
              <w:spacing w:after="0" w:line="240" w:lineRule="auto"/>
              <w:rPr>
                <w:rFonts w:cs="Arial"/>
                <w:b/>
                <w:bCs/>
                <w:lang w:eastAsia="en-GB"/>
              </w:rPr>
            </w:pPr>
            <w:r w:rsidRPr="00902581">
              <w:rPr>
                <w:rFonts w:cs="Arial"/>
                <w:b/>
                <w:bCs/>
                <w:lang w:eastAsia="en-GB"/>
              </w:rPr>
              <w:t>To increase to 72% by year end the number of patients who have been  receiving care for 9 months or more, that have a baseline and follow-up  HoNOS rating (commissioning priority)</w:t>
            </w:r>
          </w:p>
          <w:p w:rsidR="0058221A" w:rsidRDefault="0058221A" w:rsidP="00902581">
            <w:pPr>
              <w:spacing w:after="0" w:line="240" w:lineRule="auto"/>
              <w:rPr>
                <w:rFonts w:cs="Arial"/>
                <w:b/>
                <w:bCs/>
                <w:lang w:eastAsia="en-GB"/>
              </w:rPr>
            </w:pPr>
          </w:p>
          <w:p w:rsidR="00687651" w:rsidRPr="00687651" w:rsidRDefault="00687651" w:rsidP="00687651">
            <w:pPr>
              <w:pStyle w:val="ListParagraph"/>
              <w:contextualSpacing w:val="0"/>
            </w:pPr>
            <w:r w:rsidRPr="00687651">
              <w:t>Paired HoNOS scores at the end of quarter 2: 47.7%</w:t>
            </w:r>
          </w:p>
          <w:p w:rsidR="0058221A" w:rsidRPr="00637A68" w:rsidRDefault="0058221A" w:rsidP="00687651">
            <w:pPr>
              <w:spacing w:after="0" w:line="240" w:lineRule="auto"/>
              <w:ind w:left="743"/>
              <w:rPr>
                <w:rFonts w:cs="Arial"/>
                <w:b/>
                <w:bCs/>
                <w:lang w:eastAsia="en-GB"/>
              </w:rPr>
            </w:pPr>
          </w:p>
        </w:tc>
      </w:tr>
    </w:tbl>
    <w:p w:rsidR="0058221A" w:rsidRDefault="0058221A" w:rsidP="00902581"/>
    <w:p w:rsidR="0058221A" w:rsidRDefault="0058221A" w:rsidP="00902581">
      <w:r>
        <w:br w:type="page"/>
      </w:r>
    </w:p>
    <w:p w:rsidR="0058221A" w:rsidRDefault="0058221A" w:rsidP="00902581"/>
    <w:tbl>
      <w:tblPr>
        <w:tblW w:w="10065" w:type="dxa"/>
        <w:tblInd w:w="-176" w:type="dxa"/>
        <w:tblBorders>
          <w:left w:val="single" w:sz="4" w:space="0" w:color="auto"/>
          <w:bottom w:val="single" w:sz="4" w:space="0" w:color="auto"/>
          <w:right w:val="single" w:sz="4" w:space="0" w:color="auto"/>
        </w:tblBorders>
        <w:tblLayout w:type="fixed"/>
        <w:tblLook w:val="00A0"/>
      </w:tblPr>
      <w:tblGrid>
        <w:gridCol w:w="4679"/>
        <w:gridCol w:w="4961"/>
        <w:gridCol w:w="425"/>
      </w:tblGrid>
      <w:tr w:rsidR="0058221A" w:rsidRPr="00677B2B" w:rsidTr="005C1447">
        <w:trPr>
          <w:trHeight w:val="600"/>
        </w:trPr>
        <w:tc>
          <w:tcPr>
            <w:tcW w:w="4679" w:type="dxa"/>
            <w:tcBorders>
              <w:top w:val="single" w:sz="4" w:space="0" w:color="auto"/>
              <w:bottom w:val="single" w:sz="4" w:space="0" w:color="auto"/>
            </w:tcBorders>
            <w:shd w:val="clear" w:color="auto" w:fill="BFBFBF"/>
            <w:noWrap/>
            <w:vAlign w:val="center"/>
          </w:tcPr>
          <w:p w:rsidR="0058221A" w:rsidRPr="00637A68" w:rsidRDefault="0058221A" w:rsidP="00902581">
            <w:pPr>
              <w:spacing w:after="0" w:line="240" w:lineRule="auto"/>
              <w:rPr>
                <w:rFonts w:ascii="Arial" w:hAnsi="Arial" w:cs="Arial"/>
                <w:b/>
                <w:bCs/>
                <w:sz w:val="24"/>
                <w:szCs w:val="24"/>
                <w:lang w:eastAsia="en-GB"/>
              </w:rPr>
            </w:pPr>
            <w:r w:rsidRPr="00637A68">
              <w:rPr>
                <w:rFonts w:ascii="Arial" w:hAnsi="Arial" w:cs="Arial"/>
                <w:b/>
                <w:bCs/>
                <w:sz w:val="24"/>
                <w:szCs w:val="24"/>
                <w:lang w:eastAsia="en-GB"/>
              </w:rPr>
              <w:t xml:space="preserve">Actions </w:t>
            </w:r>
          </w:p>
        </w:tc>
        <w:tc>
          <w:tcPr>
            <w:tcW w:w="4961" w:type="dxa"/>
            <w:tcBorders>
              <w:top w:val="single" w:sz="4" w:space="0" w:color="auto"/>
              <w:bottom w:val="single" w:sz="4" w:space="0" w:color="auto"/>
            </w:tcBorders>
            <w:shd w:val="clear" w:color="auto" w:fill="BFBFBF"/>
            <w:noWrap/>
            <w:vAlign w:val="center"/>
          </w:tcPr>
          <w:p w:rsidR="0058221A" w:rsidRPr="00637A68" w:rsidRDefault="0058221A" w:rsidP="00902581">
            <w:pPr>
              <w:spacing w:after="0" w:line="240" w:lineRule="auto"/>
              <w:rPr>
                <w:rFonts w:ascii="Arial" w:hAnsi="Arial" w:cs="Arial"/>
                <w:b/>
                <w:bCs/>
                <w:sz w:val="24"/>
                <w:szCs w:val="24"/>
                <w:lang w:eastAsia="en-GB"/>
              </w:rPr>
            </w:pPr>
            <w:r w:rsidRPr="00637A68">
              <w:rPr>
                <w:rFonts w:ascii="Arial" w:hAnsi="Arial" w:cs="Arial"/>
                <w:b/>
                <w:bCs/>
                <w:sz w:val="24"/>
                <w:szCs w:val="24"/>
                <w:lang w:eastAsia="en-GB"/>
              </w:rPr>
              <w:t>Present Situation</w:t>
            </w:r>
          </w:p>
        </w:tc>
        <w:tc>
          <w:tcPr>
            <w:tcW w:w="425" w:type="dxa"/>
            <w:tcBorders>
              <w:top w:val="single" w:sz="4" w:space="0" w:color="auto"/>
              <w:bottom w:val="single" w:sz="4" w:space="0" w:color="auto"/>
            </w:tcBorders>
            <w:shd w:val="clear" w:color="auto" w:fill="BFBFBF"/>
          </w:tcPr>
          <w:p w:rsidR="0058221A" w:rsidRPr="00637A68" w:rsidRDefault="0058221A" w:rsidP="00902581">
            <w:pPr>
              <w:spacing w:after="0" w:line="240" w:lineRule="auto"/>
              <w:rPr>
                <w:rFonts w:ascii="Arial" w:hAnsi="Arial" w:cs="Arial"/>
                <w:b/>
                <w:bCs/>
                <w:sz w:val="24"/>
                <w:szCs w:val="24"/>
                <w:lang w:eastAsia="en-GB"/>
              </w:rPr>
            </w:pPr>
          </w:p>
        </w:tc>
      </w:tr>
      <w:tr w:rsidR="00AE793D" w:rsidRPr="00677B2B" w:rsidTr="005C1447">
        <w:trPr>
          <w:trHeight w:val="715"/>
        </w:trPr>
        <w:tc>
          <w:tcPr>
            <w:tcW w:w="4679" w:type="dxa"/>
            <w:tcBorders>
              <w:top w:val="single" w:sz="4" w:space="0" w:color="auto"/>
            </w:tcBorders>
          </w:tcPr>
          <w:p w:rsidR="00AE793D" w:rsidRPr="00677B2B" w:rsidRDefault="00AE793D" w:rsidP="00AE793D">
            <w:pPr>
              <w:rPr>
                <w:rFonts w:cs="Arial"/>
                <w:sz w:val="20"/>
                <w:szCs w:val="20"/>
              </w:rPr>
            </w:pPr>
            <w:r w:rsidRPr="00AE793D">
              <w:rPr>
                <w:rFonts w:cs="Arial"/>
                <w:sz w:val="20"/>
                <w:szCs w:val="20"/>
              </w:rPr>
              <w:t>Deliver Hospital at Home services for the population of Oxfordshire (Trust Priority)</w:t>
            </w:r>
          </w:p>
        </w:tc>
        <w:tc>
          <w:tcPr>
            <w:tcW w:w="4961" w:type="dxa"/>
            <w:tcBorders>
              <w:top w:val="single" w:sz="4" w:space="0" w:color="auto"/>
            </w:tcBorders>
          </w:tcPr>
          <w:p w:rsidR="005C1447" w:rsidRPr="00CE79A6" w:rsidRDefault="005C1447" w:rsidP="005C1447">
            <w:pPr>
              <w:pStyle w:val="ListParagraph"/>
              <w:numPr>
                <w:ilvl w:val="0"/>
                <w:numId w:val="1"/>
              </w:numPr>
              <w:spacing w:after="0" w:line="240" w:lineRule="auto"/>
              <w:ind w:left="459" w:hanging="284"/>
              <w:rPr>
                <w:rFonts w:cs="Arial"/>
                <w:sz w:val="20"/>
                <w:szCs w:val="20"/>
                <w:lang w:eastAsia="en-GB"/>
              </w:rPr>
            </w:pPr>
            <w:r w:rsidRPr="005C1447">
              <w:rPr>
                <w:rFonts w:cs="Arial"/>
                <w:sz w:val="20"/>
                <w:szCs w:val="20"/>
                <w:lang w:eastAsia="en-GB"/>
              </w:rPr>
              <w:t>The Hospital at Home service is in place in South Oxfordshire and is in the process of being implemented in the West of the County.  Provision in the North of the County will be in conjunction with PML.</w:t>
            </w:r>
          </w:p>
          <w:p w:rsidR="00F21236" w:rsidRPr="00F21236" w:rsidRDefault="00F21236" w:rsidP="00F21236">
            <w:pPr>
              <w:pStyle w:val="ListParagraph"/>
              <w:spacing w:after="0" w:line="240" w:lineRule="auto"/>
              <w:ind w:left="459"/>
              <w:rPr>
                <w:rFonts w:cs="Arial"/>
                <w:color w:val="FF0000"/>
                <w:sz w:val="20"/>
                <w:szCs w:val="20"/>
                <w:lang w:eastAsia="en-GB"/>
              </w:rPr>
            </w:pPr>
          </w:p>
        </w:tc>
        <w:tc>
          <w:tcPr>
            <w:tcW w:w="425" w:type="dxa"/>
            <w:tcBorders>
              <w:top w:val="single" w:sz="4" w:space="0" w:color="auto"/>
              <w:bottom w:val="single" w:sz="4" w:space="0" w:color="auto"/>
            </w:tcBorders>
            <w:shd w:val="clear" w:color="auto" w:fill="FFC000"/>
          </w:tcPr>
          <w:p w:rsidR="00AE793D" w:rsidRPr="00792F08" w:rsidRDefault="00AE793D" w:rsidP="00792F08">
            <w:pPr>
              <w:spacing w:after="0" w:line="240" w:lineRule="auto"/>
              <w:ind w:left="175"/>
              <w:rPr>
                <w:rFonts w:cs="Arial"/>
                <w:color w:val="FFC000"/>
                <w:sz w:val="20"/>
                <w:szCs w:val="20"/>
                <w:lang w:eastAsia="en-GB"/>
              </w:rPr>
            </w:pPr>
          </w:p>
        </w:tc>
      </w:tr>
      <w:tr w:rsidR="0058221A" w:rsidRPr="00677B2B" w:rsidTr="00AE793D">
        <w:trPr>
          <w:trHeight w:val="900"/>
        </w:trPr>
        <w:tc>
          <w:tcPr>
            <w:tcW w:w="4679" w:type="dxa"/>
            <w:tcBorders>
              <w:top w:val="single" w:sz="4" w:space="0" w:color="auto"/>
            </w:tcBorders>
          </w:tcPr>
          <w:p w:rsidR="0058221A" w:rsidRPr="00677B2B" w:rsidRDefault="0058221A" w:rsidP="001B720F">
            <w:pPr>
              <w:rPr>
                <w:rFonts w:cs="Arial"/>
                <w:sz w:val="20"/>
                <w:szCs w:val="20"/>
              </w:rPr>
            </w:pPr>
            <w:r w:rsidRPr="00677B2B">
              <w:rPr>
                <w:rFonts w:cs="Arial"/>
                <w:sz w:val="20"/>
                <w:szCs w:val="20"/>
              </w:rPr>
              <w:t>Additional training and emphasis on this target through the preparatory work with developing care clusters and c</w:t>
            </w:r>
            <w:r w:rsidR="001B720F">
              <w:rPr>
                <w:rFonts w:cs="Arial"/>
                <w:sz w:val="20"/>
                <w:szCs w:val="20"/>
              </w:rPr>
              <w:t xml:space="preserve">are packages for care clusters </w:t>
            </w:r>
            <w:r w:rsidRPr="00677B2B">
              <w:rPr>
                <w:rFonts w:cs="Arial"/>
                <w:sz w:val="20"/>
                <w:szCs w:val="20"/>
              </w:rPr>
              <w:t>under the Payment by Results work. Continue the ongoing monitoring  and management of use of HoNOS</w:t>
            </w:r>
          </w:p>
        </w:tc>
        <w:tc>
          <w:tcPr>
            <w:tcW w:w="4961" w:type="dxa"/>
            <w:tcBorders>
              <w:top w:val="single" w:sz="4" w:space="0" w:color="auto"/>
            </w:tcBorders>
          </w:tcPr>
          <w:p w:rsidR="00F21236" w:rsidRPr="0067241F" w:rsidRDefault="0067241F" w:rsidP="0067241F">
            <w:pPr>
              <w:pStyle w:val="ListParagraph"/>
              <w:numPr>
                <w:ilvl w:val="0"/>
                <w:numId w:val="1"/>
              </w:numPr>
              <w:spacing w:after="0" w:line="240" w:lineRule="auto"/>
              <w:ind w:left="459" w:hanging="284"/>
              <w:rPr>
                <w:rFonts w:cs="Arial"/>
                <w:sz w:val="20"/>
                <w:szCs w:val="20"/>
                <w:lang w:eastAsia="en-GB"/>
              </w:rPr>
            </w:pPr>
            <w:r w:rsidRPr="0067241F">
              <w:rPr>
                <w:rFonts w:cs="Arial"/>
                <w:sz w:val="20"/>
                <w:szCs w:val="20"/>
                <w:lang w:eastAsia="en-GB"/>
              </w:rPr>
              <w:t>The Mental Health Division is now receiving weekly reports on numbers of patients clustered. At the time of writing this report the latest percentage figure stood at 83%.</w:t>
            </w:r>
          </w:p>
        </w:tc>
        <w:tc>
          <w:tcPr>
            <w:tcW w:w="425" w:type="dxa"/>
            <w:tcBorders>
              <w:top w:val="single" w:sz="4" w:space="0" w:color="auto"/>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AE793D" w:rsidRPr="00677B2B" w:rsidTr="00792F08">
        <w:trPr>
          <w:trHeight w:val="690"/>
        </w:trPr>
        <w:tc>
          <w:tcPr>
            <w:tcW w:w="4679" w:type="dxa"/>
          </w:tcPr>
          <w:p w:rsidR="00AE793D" w:rsidRPr="00677B2B" w:rsidRDefault="00AE793D" w:rsidP="00AE793D">
            <w:pPr>
              <w:rPr>
                <w:rFonts w:cs="Arial"/>
                <w:sz w:val="20"/>
                <w:szCs w:val="20"/>
              </w:rPr>
            </w:pPr>
            <w:r w:rsidRPr="00677B2B">
              <w:rPr>
                <w:rFonts w:cs="Arial"/>
                <w:sz w:val="20"/>
                <w:szCs w:val="20"/>
              </w:rPr>
              <w:t>Ensure that the development of the care packages includes an assessment  of occupational needs and interventions to support meeting those needs  and carers assessments</w:t>
            </w:r>
          </w:p>
        </w:tc>
        <w:tc>
          <w:tcPr>
            <w:tcW w:w="4961" w:type="dxa"/>
            <w:noWrap/>
          </w:tcPr>
          <w:p w:rsidR="00F21236" w:rsidRPr="003D3413" w:rsidRDefault="00AE793D" w:rsidP="003D3413">
            <w:pPr>
              <w:pStyle w:val="ListParagraph"/>
              <w:numPr>
                <w:ilvl w:val="0"/>
                <w:numId w:val="1"/>
              </w:numPr>
              <w:spacing w:after="0" w:line="240" w:lineRule="auto"/>
              <w:ind w:left="459" w:hanging="284"/>
              <w:rPr>
                <w:rFonts w:cs="Arial"/>
                <w:sz w:val="20"/>
                <w:szCs w:val="20"/>
                <w:lang w:eastAsia="en-GB"/>
              </w:rPr>
            </w:pPr>
            <w:r w:rsidRPr="003D3413">
              <w:rPr>
                <w:rFonts w:cs="Arial"/>
                <w:sz w:val="20"/>
                <w:szCs w:val="20"/>
                <w:lang w:eastAsia="en-GB"/>
              </w:rPr>
              <w:t>Care packages are currently being developed for the clusters. Support with employment goals is included within them as is carers’ assessments.</w:t>
            </w:r>
          </w:p>
        </w:tc>
        <w:tc>
          <w:tcPr>
            <w:tcW w:w="425" w:type="dxa"/>
            <w:tcBorders>
              <w:bottom w:val="nil"/>
            </w:tcBorders>
            <w:shd w:val="clear" w:color="auto" w:fill="FFC000"/>
          </w:tcPr>
          <w:p w:rsidR="00AE793D" w:rsidRPr="00792F08" w:rsidRDefault="00AE793D" w:rsidP="00AE793D">
            <w:pPr>
              <w:spacing w:after="0" w:line="240" w:lineRule="auto"/>
              <w:ind w:left="175"/>
              <w:rPr>
                <w:rFonts w:cs="Arial"/>
                <w:color w:val="FFC000"/>
                <w:sz w:val="20"/>
                <w:szCs w:val="20"/>
                <w:lang w:eastAsia="en-GB"/>
              </w:rPr>
            </w:pPr>
          </w:p>
        </w:tc>
      </w:tr>
      <w:tr w:rsidR="00AE793D" w:rsidRPr="00677B2B" w:rsidTr="00792F08">
        <w:trPr>
          <w:trHeight w:val="1200"/>
        </w:trPr>
        <w:tc>
          <w:tcPr>
            <w:tcW w:w="4679" w:type="dxa"/>
            <w:tcBorders>
              <w:bottom w:val="single" w:sz="4" w:space="0" w:color="auto"/>
            </w:tcBorders>
          </w:tcPr>
          <w:p w:rsidR="00AE793D" w:rsidRPr="00677B2B" w:rsidRDefault="00AE793D">
            <w:pPr>
              <w:rPr>
                <w:rFonts w:cs="Arial"/>
                <w:sz w:val="20"/>
                <w:szCs w:val="20"/>
              </w:rPr>
            </w:pPr>
            <w:r w:rsidRPr="00677B2B">
              <w:rPr>
                <w:rFonts w:cs="Arial"/>
                <w:sz w:val="20"/>
                <w:szCs w:val="20"/>
              </w:rPr>
              <w:t>Tender for all Hospital at Home opportunities</w:t>
            </w:r>
          </w:p>
        </w:tc>
        <w:tc>
          <w:tcPr>
            <w:tcW w:w="4961" w:type="dxa"/>
            <w:tcBorders>
              <w:bottom w:val="single" w:sz="4" w:space="0" w:color="auto"/>
            </w:tcBorders>
            <w:noWrap/>
          </w:tcPr>
          <w:p w:rsidR="00AE793D" w:rsidRPr="00BD5A58" w:rsidRDefault="00BD5A58" w:rsidP="00902581">
            <w:pPr>
              <w:pStyle w:val="ListParagraph"/>
              <w:numPr>
                <w:ilvl w:val="0"/>
                <w:numId w:val="1"/>
              </w:numPr>
              <w:spacing w:after="0" w:line="240" w:lineRule="auto"/>
              <w:ind w:left="459" w:hanging="284"/>
              <w:rPr>
                <w:rFonts w:cs="Arial"/>
                <w:sz w:val="20"/>
                <w:szCs w:val="20"/>
                <w:lang w:eastAsia="en-GB"/>
              </w:rPr>
            </w:pPr>
            <w:r w:rsidRPr="00BD5A58">
              <w:rPr>
                <w:rFonts w:cs="Arial"/>
                <w:sz w:val="20"/>
                <w:szCs w:val="20"/>
                <w:lang w:eastAsia="en-GB"/>
              </w:rPr>
              <w:t>Oxford Health tendered for all Hospital at Home opportunities.  Provision in the North of the County will be in conjunction with PML</w:t>
            </w:r>
          </w:p>
        </w:tc>
        <w:tc>
          <w:tcPr>
            <w:tcW w:w="425" w:type="dxa"/>
            <w:tcBorders>
              <w:bottom w:val="single" w:sz="4" w:space="0" w:color="auto"/>
            </w:tcBorders>
            <w:shd w:val="clear" w:color="auto" w:fill="FFC000"/>
          </w:tcPr>
          <w:p w:rsidR="00AE793D" w:rsidRPr="00792F08" w:rsidRDefault="00AE793D" w:rsidP="00792F08">
            <w:pPr>
              <w:spacing w:after="0" w:line="240" w:lineRule="auto"/>
              <w:ind w:left="175"/>
              <w:rPr>
                <w:rFonts w:cs="Arial"/>
                <w:color w:val="FFC000"/>
                <w:sz w:val="20"/>
                <w:szCs w:val="20"/>
                <w:lang w:eastAsia="en-GB"/>
              </w:rPr>
            </w:pPr>
          </w:p>
        </w:tc>
      </w:tr>
    </w:tbl>
    <w:p w:rsidR="0058221A" w:rsidRDefault="0058221A" w:rsidP="00902581"/>
    <w:p w:rsidR="0058221A" w:rsidRDefault="0058221A" w:rsidP="00902581">
      <w:r>
        <w:br w:type="page"/>
      </w:r>
    </w:p>
    <w:p w:rsidR="0058221A" w:rsidRDefault="0058221A" w:rsidP="00902581">
      <w:pPr>
        <w:autoSpaceDE w:val="0"/>
        <w:autoSpaceDN w:val="0"/>
        <w:adjustRightInd w:val="0"/>
        <w:rPr>
          <w:rFonts w:ascii="Arial" w:hAnsi="Arial" w:cs="Arial"/>
          <w:sz w:val="21"/>
          <w:szCs w:val="21"/>
        </w:rPr>
      </w:pPr>
    </w:p>
    <w:tbl>
      <w:tblPr>
        <w:tblW w:w="10065" w:type="dxa"/>
        <w:tblInd w:w="-176" w:type="dxa"/>
        <w:tblBorders>
          <w:left w:val="single" w:sz="4" w:space="0" w:color="auto"/>
          <w:bottom w:val="single" w:sz="4" w:space="0" w:color="auto"/>
          <w:right w:val="single" w:sz="4" w:space="0" w:color="auto"/>
        </w:tblBorders>
        <w:tblLayout w:type="fixed"/>
        <w:tblLook w:val="00A0"/>
      </w:tblPr>
      <w:tblGrid>
        <w:gridCol w:w="10065"/>
      </w:tblGrid>
      <w:tr w:rsidR="0058221A" w:rsidRPr="00677B2B" w:rsidTr="00AE7AB3">
        <w:trPr>
          <w:trHeight w:val="300"/>
        </w:trPr>
        <w:tc>
          <w:tcPr>
            <w:tcW w:w="10065" w:type="dxa"/>
            <w:tcBorders>
              <w:bottom w:val="nil"/>
            </w:tcBorders>
            <w:shd w:val="clear" w:color="auto" w:fill="0070C0"/>
            <w:noWrap/>
            <w:vAlign w:val="center"/>
          </w:tcPr>
          <w:p w:rsidR="0058221A" w:rsidRPr="00187092" w:rsidRDefault="0058221A" w:rsidP="00F8691B">
            <w:pPr>
              <w:pStyle w:val="Heading2"/>
              <w:numPr>
                <w:ilvl w:val="0"/>
                <w:numId w:val="6"/>
              </w:numPr>
              <w:rPr>
                <w:rFonts w:ascii="Arial" w:hAnsi="Arial" w:cs="Arial"/>
                <w:b w:val="0"/>
                <w:caps/>
                <w:color w:val="FFFFFF"/>
                <w:szCs w:val="22"/>
                <w:lang w:eastAsia="en-GB"/>
              </w:rPr>
            </w:pPr>
            <w:r w:rsidRPr="00902581">
              <w:rPr>
                <w:rFonts w:ascii="Arial" w:hAnsi="Arial" w:cs="Arial"/>
                <w:b w:val="0"/>
                <w:caps/>
                <w:color w:val="FFFFFF"/>
                <w:szCs w:val="22"/>
                <w:lang w:eastAsia="en-GB"/>
              </w:rPr>
              <w:t>Patient Experience: Ensuring people have a positive experience of care</w:t>
            </w:r>
          </w:p>
        </w:tc>
      </w:tr>
      <w:tr w:rsidR="0058221A" w:rsidRPr="00677B2B" w:rsidTr="00AE7AB3">
        <w:trPr>
          <w:trHeight w:val="300"/>
        </w:trPr>
        <w:tc>
          <w:tcPr>
            <w:tcW w:w="10065" w:type="dxa"/>
            <w:tcBorders>
              <w:bottom w:val="nil"/>
            </w:tcBorders>
            <w:shd w:val="clear" w:color="auto" w:fill="BFBFBF"/>
            <w:noWrap/>
            <w:vAlign w:val="center"/>
          </w:tcPr>
          <w:p w:rsidR="0058221A" w:rsidRPr="0046221F" w:rsidRDefault="0058221A" w:rsidP="00902581">
            <w:pPr>
              <w:pStyle w:val="Heading2"/>
              <w:rPr>
                <w:rFonts w:ascii="Arial" w:hAnsi="Arial" w:cs="Arial"/>
                <w:color w:val="auto"/>
                <w:sz w:val="24"/>
                <w:szCs w:val="24"/>
                <w:lang w:eastAsia="en-GB"/>
              </w:rPr>
            </w:pPr>
            <w:r w:rsidRPr="0046221F">
              <w:rPr>
                <w:rFonts w:ascii="Arial" w:hAnsi="Arial" w:cs="Arial"/>
                <w:color w:val="auto"/>
                <w:sz w:val="24"/>
                <w:szCs w:val="24"/>
                <w:lang w:eastAsia="en-GB"/>
              </w:rPr>
              <w:t>Aims</w:t>
            </w:r>
          </w:p>
          <w:p w:rsidR="0058221A" w:rsidRPr="00677B2B" w:rsidRDefault="0058221A" w:rsidP="00902581">
            <w:pPr>
              <w:rPr>
                <w:sz w:val="24"/>
                <w:szCs w:val="24"/>
                <w:lang w:eastAsia="en-GB"/>
              </w:rPr>
            </w:pPr>
          </w:p>
        </w:tc>
      </w:tr>
      <w:tr w:rsidR="0058221A" w:rsidRPr="00677B2B" w:rsidTr="00AE7AB3">
        <w:trPr>
          <w:trHeight w:val="600"/>
        </w:trPr>
        <w:tc>
          <w:tcPr>
            <w:tcW w:w="10065" w:type="dxa"/>
            <w:tcBorders>
              <w:top w:val="nil"/>
            </w:tcBorders>
            <w:shd w:val="clear" w:color="000000" w:fill="C0C0C0"/>
            <w:vAlign w:val="center"/>
          </w:tcPr>
          <w:p w:rsidR="0058221A" w:rsidRDefault="0058221A" w:rsidP="00516DEB">
            <w:pPr>
              <w:pStyle w:val="ListParagraph"/>
              <w:numPr>
                <w:ilvl w:val="0"/>
                <w:numId w:val="9"/>
              </w:numPr>
              <w:spacing w:after="0" w:line="240" w:lineRule="auto"/>
              <w:ind w:left="743" w:hanging="425"/>
              <w:rPr>
                <w:rFonts w:cs="Arial"/>
                <w:b/>
                <w:bCs/>
                <w:lang w:eastAsia="en-GB"/>
              </w:rPr>
            </w:pPr>
            <w:r w:rsidRPr="00516DEB">
              <w:rPr>
                <w:rFonts w:cs="Arial"/>
                <w:b/>
                <w:bCs/>
                <w:lang w:eastAsia="en-GB"/>
              </w:rPr>
              <w:t>Improve the % of mental health patients who positively respond to the question “Overall how do you rate the care you are receiving from Mental Health Services?</w:t>
            </w:r>
            <w:r w:rsidRPr="00902581">
              <w:rPr>
                <w:rFonts w:cs="Arial"/>
                <w:b/>
                <w:bCs/>
                <w:lang w:eastAsia="en-GB"/>
              </w:rPr>
              <w:t xml:space="preserve">” by reporting it is good or excellent (service user priority). </w:t>
            </w:r>
          </w:p>
          <w:p w:rsidR="0058221A" w:rsidRDefault="0058221A" w:rsidP="00516DEB">
            <w:pPr>
              <w:pStyle w:val="ListParagraph"/>
              <w:spacing w:after="0" w:line="240" w:lineRule="auto"/>
              <w:ind w:left="1027"/>
              <w:rPr>
                <w:rFonts w:cs="Arial"/>
                <w:b/>
                <w:bCs/>
                <w:lang w:eastAsia="en-GB"/>
              </w:rPr>
            </w:pPr>
            <w:r w:rsidRPr="00902581">
              <w:rPr>
                <w:rFonts w:cs="Arial"/>
                <w:b/>
                <w:bCs/>
                <w:lang w:eastAsia="en-GB"/>
              </w:rPr>
              <w:t>Within two years achieve a score which is equal to or above the average of other Trusts, and within five years to be within the top 20% of mental health trusts.</w:t>
            </w:r>
          </w:p>
          <w:p w:rsidR="0058221A" w:rsidRDefault="0058221A" w:rsidP="00516DEB">
            <w:pPr>
              <w:pStyle w:val="ListParagraph"/>
              <w:spacing w:after="0" w:line="240" w:lineRule="auto"/>
              <w:ind w:left="1027"/>
              <w:rPr>
                <w:rFonts w:cs="Arial"/>
                <w:b/>
                <w:bCs/>
                <w:lang w:eastAsia="en-GB"/>
              </w:rPr>
            </w:pPr>
          </w:p>
          <w:p w:rsidR="0058221A" w:rsidRDefault="00283439" w:rsidP="00516DEB">
            <w:pPr>
              <w:pStyle w:val="ListParagraph"/>
              <w:spacing w:after="0" w:line="240" w:lineRule="auto"/>
              <w:ind w:left="1027"/>
              <w:rPr>
                <w:rFonts w:cs="Arial"/>
                <w:b/>
                <w:bCs/>
                <w:lang w:eastAsia="en-GB"/>
              </w:rPr>
            </w:pPr>
            <w:r w:rsidRPr="00283439">
              <w:rPr>
                <w:rFonts w:cs="Arial"/>
                <w:b/>
                <w:bCs/>
                <w:noProof/>
                <w:lang w:eastAsia="en-GB"/>
              </w:rPr>
              <w:drawing>
                <wp:inline distT="0" distB="0" distL="0" distR="0">
                  <wp:extent cx="4572000" cy="2743200"/>
                  <wp:effectExtent l="19050" t="0" r="19050"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22C1" w:rsidRDefault="00AF22C1" w:rsidP="00516DEB">
            <w:pPr>
              <w:pStyle w:val="ListParagraph"/>
              <w:spacing w:after="0" w:line="240" w:lineRule="auto"/>
              <w:ind w:left="1027"/>
              <w:rPr>
                <w:rFonts w:cs="Arial"/>
                <w:b/>
                <w:bCs/>
                <w:lang w:eastAsia="en-GB"/>
              </w:rPr>
            </w:pPr>
          </w:p>
          <w:p w:rsidR="00AF22C1" w:rsidRDefault="00AF22C1" w:rsidP="00516DEB">
            <w:pPr>
              <w:pStyle w:val="ListParagraph"/>
              <w:spacing w:after="0" w:line="240" w:lineRule="auto"/>
              <w:ind w:left="1027"/>
              <w:rPr>
                <w:rFonts w:cs="Arial"/>
                <w:b/>
                <w:bCs/>
                <w:lang w:eastAsia="en-GB"/>
              </w:rPr>
            </w:pPr>
            <w:r>
              <w:rPr>
                <w:rFonts w:cs="Arial"/>
                <w:b/>
                <w:bCs/>
                <w:lang w:eastAsia="en-GB"/>
              </w:rPr>
              <w:t>The figures  above are from our own Mental Health Services Real Time Feedback Surveys</w:t>
            </w:r>
          </w:p>
          <w:p w:rsidR="0058221A" w:rsidRPr="00902581" w:rsidRDefault="0058221A" w:rsidP="00516DEB">
            <w:pPr>
              <w:pStyle w:val="ListParagraph"/>
              <w:spacing w:after="0" w:line="240" w:lineRule="auto"/>
              <w:ind w:left="1027"/>
              <w:rPr>
                <w:rFonts w:cs="Arial"/>
                <w:b/>
                <w:bCs/>
                <w:lang w:eastAsia="en-GB"/>
              </w:rPr>
            </w:pPr>
          </w:p>
        </w:tc>
      </w:tr>
      <w:tr w:rsidR="0058221A" w:rsidRPr="00677B2B" w:rsidTr="00AE7AB3">
        <w:trPr>
          <w:trHeight w:val="600"/>
        </w:trPr>
        <w:tc>
          <w:tcPr>
            <w:tcW w:w="10065" w:type="dxa"/>
            <w:shd w:val="clear" w:color="000000" w:fill="C0C0C0"/>
            <w:vAlign w:val="center"/>
          </w:tcPr>
          <w:p w:rsidR="0058221A" w:rsidRDefault="0058221A" w:rsidP="00516DEB">
            <w:pPr>
              <w:pStyle w:val="ListParagraph"/>
              <w:numPr>
                <w:ilvl w:val="0"/>
                <w:numId w:val="9"/>
              </w:numPr>
              <w:spacing w:after="0" w:line="240" w:lineRule="auto"/>
              <w:rPr>
                <w:rFonts w:cs="Arial"/>
                <w:b/>
                <w:bCs/>
                <w:lang w:eastAsia="en-GB"/>
              </w:rPr>
            </w:pPr>
            <w:r w:rsidRPr="00902581">
              <w:rPr>
                <w:rFonts w:cs="Arial"/>
                <w:b/>
                <w:bCs/>
                <w:lang w:eastAsia="en-GB"/>
              </w:rPr>
              <w:t xml:space="preserve">The Trust aims to score better than the average of  other organisations in the National Survey (Community) in the following areas (Trust priority); </w:t>
            </w:r>
          </w:p>
          <w:p w:rsidR="00AF22C1" w:rsidRPr="00902581" w:rsidRDefault="00AF22C1" w:rsidP="00EE2384">
            <w:pPr>
              <w:pStyle w:val="ListParagraph"/>
              <w:spacing w:after="0" w:line="240" w:lineRule="auto"/>
              <w:rPr>
                <w:rFonts w:cs="Arial"/>
                <w:b/>
                <w:bCs/>
                <w:lang w:eastAsia="en-GB"/>
              </w:rPr>
            </w:pPr>
          </w:p>
          <w:tbl>
            <w:tblPr>
              <w:tblStyle w:val="TableGrid"/>
              <w:tblW w:w="0" w:type="auto"/>
              <w:tblInd w:w="1169" w:type="dxa"/>
              <w:shd w:val="clear" w:color="auto" w:fill="FFFFFF" w:themeFill="background1"/>
              <w:tblLayout w:type="fixed"/>
              <w:tblLook w:val="04A0"/>
            </w:tblPr>
            <w:tblGrid>
              <w:gridCol w:w="5523"/>
              <w:gridCol w:w="1276"/>
              <w:gridCol w:w="526"/>
            </w:tblGrid>
            <w:tr w:rsidR="00AF22C1" w:rsidTr="00EE2384">
              <w:tc>
                <w:tcPr>
                  <w:tcW w:w="5523" w:type="dxa"/>
                  <w:shd w:val="clear" w:color="auto" w:fill="FFFFFF" w:themeFill="background1"/>
                </w:tcPr>
                <w:p w:rsidR="00AF22C1" w:rsidRPr="00902581" w:rsidRDefault="00AF22C1" w:rsidP="00AF22C1">
                  <w:pPr>
                    <w:pStyle w:val="ListParagraph"/>
                    <w:numPr>
                      <w:ilvl w:val="0"/>
                      <w:numId w:val="10"/>
                    </w:numPr>
                    <w:spacing w:after="0" w:line="240" w:lineRule="auto"/>
                    <w:ind w:left="595" w:hanging="425"/>
                    <w:rPr>
                      <w:rFonts w:cs="Arial"/>
                      <w:b/>
                      <w:bCs/>
                      <w:lang w:eastAsia="en-GB"/>
                    </w:rPr>
                  </w:pPr>
                  <w:r w:rsidRPr="00902581">
                    <w:rPr>
                      <w:rFonts w:cs="Calibri"/>
                      <w:b/>
                      <w:bCs/>
                      <w:lang w:eastAsia="en-GB"/>
                    </w:rPr>
                    <w:t xml:space="preserve">Service users knowing who their care coordinator was </w:t>
                  </w:r>
                </w:p>
                <w:p w:rsidR="00AF22C1" w:rsidRPr="00AF22C1" w:rsidRDefault="00AF22C1" w:rsidP="00AF22C1">
                  <w:pPr>
                    <w:spacing w:after="0" w:line="240" w:lineRule="auto"/>
                    <w:ind w:left="595" w:hanging="425"/>
                    <w:rPr>
                      <w:rFonts w:cs="Arial"/>
                      <w:b/>
                      <w:bCs/>
                      <w:lang w:eastAsia="en-GB"/>
                    </w:rPr>
                  </w:pPr>
                </w:p>
              </w:tc>
              <w:tc>
                <w:tcPr>
                  <w:tcW w:w="1276" w:type="dxa"/>
                  <w:tcBorders>
                    <w:right w:val="nil"/>
                  </w:tcBorders>
                  <w:shd w:val="clear" w:color="auto" w:fill="FFFFFF" w:themeFill="background1"/>
                </w:tcPr>
                <w:p w:rsidR="00AF22C1" w:rsidRDefault="00AF22C1" w:rsidP="00516DEB">
                  <w:pPr>
                    <w:pStyle w:val="ListParagraph"/>
                    <w:spacing w:after="0" w:line="240" w:lineRule="auto"/>
                    <w:ind w:left="0"/>
                    <w:rPr>
                      <w:rFonts w:cs="Arial"/>
                      <w:b/>
                      <w:bCs/>
                      <w:lang w:eastAsia="en-GB"/>
                    </w:rPr>
                  </w:pPr>
                  <w:r>
                    <w:rPr>
                      <w:rFonts w:cs="Arial"/>
                      <w:b/>
                      <w:bCs/>
                      <w:lang w:eastAsia="en-GB"/>
                    </w:rPr>
                    <w:t>Worse</w:t>
                  </w:r>
                </w:p>
              </w:tc>
              <w:tc>
                <w:tcPr>
                  <w:tcW w:w="526" w:type="dxa"/>
                  <w:tcBorders>
                    <w:top w:val="nil"/>
                    <w:left w:val="nil"/>
                    <w:bottom w:val="nil"/>
                    <w:right w:val="nil"/>
                  </w:tcBorders>
                  <w:shd w:val="clear" w:color="auto" w:fill="FF0000"/>
                </w:tcPr>
                <w:p w:rsidR="00AF22C1" w:rsidRDefault="00AF22C1" w:rsidP="00516DEB">
                  <w:pPr>
                    <w:pStyle w:val="ListParagraph"/>
                    <w:spacing w:after="0" w:line="240" w:lineRule="auto"/>
                    <w:ind w:left="0"/>
                    <w:rPr>
                      <w:rFonts w:cs="Arial"/>
                      <w:b/>
                      <w:bCs/>
                      <w:lang w:eastAsia="en-GB"/>
                    </w:rPr>
                  </w:pPr>
                </w:p>
              </w:tc>
            </w:tr>
            <w:tr w:rsidR="00AF22C1" w:rsidTr="00EE2384">
              <w:tc>
                <w:tcPr>
                  <w:tcW w:w="5523" w:type="dxa"/>
                  <w:shd w:val="clear" w:color="auto" w:fill="FFFFFF" w:themeFill="background1"/>
                </w:tcPr>
                <w:p w:rsidR="00AF22C1" w:rsidRPr="00902581" w:rsidRDefault="00AF22C1" w:rsidP="00AF22C1">
                  <w:pPr>
                    <w:pStyle w:val="ListParagraph"/>
                    <w:numPr>
                      <w:ilvl w:val="0"/>
                      <w:numId w:val="10"/>
                    </w:numPr>
                    <w:spacing w:after="0" w:line="240" w:lineRule="auto"/>
                    <w:ind w:left="595" w:hanging="425"/>
                    <w:rPr>
                      <w:rFonts w:cs="Arial"/>
                      <w:b/>
                      <w:bCs/>
                      <w:lang w:eastAsia="en-GB"/>
                    </w:rPr>
                  </w:pPr>
                  <w:r w:rsidRPr="00902581">
                    <w:rPr>
                      <w:rFonts w:cs="Calibri"/>
                      <w:b/>
                      <w:bCs/>
                      <w:lang w:eastAsia="en-GB"/>
                    </w:rPr>
                    <w:t xml:space="preserve">Service users being offered a copy of the care plan </w:t>
                  </w:r>
                </w:p>
                <w:p w:rsidR="00AF22C1" w:rsidRDefault="00AF22C1" w:rsidP="00AF22C1">
                  <w:pPr>
                    <w:pStyle w:val="ListParagraph"/>
                    <w:spacing w:after="0" w:line="240" w:lineRule="auto"/>
                    <w:ind w:left="595" w:hanging="425"/>
                    <w:rPr>
                      <w:rFonts w:cs="Arial"/>
                      <w:b/>
                      <w:bCs/>
                      <w:lang w:eastAsia="en-GB"/>
                    </w:rPr>
                  </w:pPr>
                </w:p>
              </w:tc>
              <w:tc>
                <w:tcPr>
                  <w:tcW w:w="1276" w:type="dxa"/>
                  <w:tcBorders>
                    <w:right w:val="nil"/>
                  </w:tcBorders>
                  <w:shd w:val="clear" w:color="auto" w:fill="FFFFFF" w:themeFill="background1"/>
                </w:tcPr>
                <w:p w:rsidR="00AF22C1" w:rsidRDefault="00AF22C1" w:rsidP="00516DEB">
                  <w:pPr>
                    <w:pStyle w:val="ListParagraph"/>
                    <w:spacing w:after="0" w:line="240" w:lineRule="auto"/>
                    <w:ind w:left="0"/>
                    <w:rPr>
                      <w:rFonts w:cs="Arial"/>
                      <w:b/>
                      <w:bCs/>
                      <w:lang w:eastAsia="en-GB"/>
                    </w:rPr>
                  </w:pPr>
                  <w:r>
                    <w:rPr>
                      <w:rFonts w:cs="Arial"/>
                      <w:b/>
                      <w:bCs/>
                      <w:lang w:eastAsia="en-GB"/>
                    </w:rPr>
                    <w:t>Same</w:t>
                  </w:r>
                </w:p>
              </w:tc>
              <w:tc>
                <w:tcPr>
                  <w:tcW w:w="526" w:type="dxa"/>
                  <w:tcBorders>
                    <w:top w:val="nil"/>
                    <w:left w:val="nil"/>
                    <w:bottom w:val="nil"/>
                    <w:right w:val="nil"/>
                  </w:tcBorders>
                  <w:shd w:val="clear" w:color="auto" w:fill="FFC000"/>
                </w:tcPr>
                <w:p w:rsidR="00AF22C1" w:rsidRDefault="00AF22C1" w:rsidP="00516DEB">
                  <w:pPr>
                    <w:pStyle w:val="ListParagraph"/>
                    <w:spacing w:after="0" w:line="240" w:lineRule="auto"/>
                    <w:ind w:left="0"/>
                    <w:rPr>
                      <w:rFonts w:cs="Arial"/>
                      <w:b/>
                      <w:bCs/>
                      <w:lang w:eastAsia="en-GB"/>
                    </w:rPr>
                  </w:pPr>
                </w:p>
              </w:tc>
            </w:tr>
            <w:tr w:rsidR="00AF22C1" w:rsidTr="00EE2384">
              <w:tc>
                <w:tcPr>
                  <w:tcW w:w="5523" w:type="dxa"/>
                  <w:shd w:val="clear" w:color="auto" w:fill="FFFFFF" w:themeFill="background1"/>
                </w:tcPr>
                <w:p w:rsidR="00AF22C1" w:rsidRPr="00902581" w:rsidRDefault="00AF22C1" w:rsidP="00AF22C1">
                  <w:pPr>
                    <w:pStyle w:val="ListParagraph"/>
                    <w:numPr>
                      <w:ilvl w:val="0"/>
                      <w:numId w:val="10"/>
                    </w:numPr>
                    <w:spacing w:after="0" w:line="240" w:lineRule="auto"/>
                    <w:ind w:left="595" w:hanging="425"/>
                    <w:rPr>
                      <w:rFonts w:cs="Arial"/>
                      <w:b/>
                      <w:bCs/>
                      <w:lang w:eastAsia="en-GB"/>
                    </w:rPr>
                  </w:pPr>
                  <w:r w:rsidRPr="00902581">
                    <w:rPr>
                      <w:rFonts w:cs="Calibri"/>
                      <w:b/>
                      <w:bCs/>
                      <w:lang w:eastAsia="en-GB"/>
                    </w:rPr>
                    <w:t>Service users had had a care plan review meeting in the past 12 months</w:t>
                  </w:r>
                </w:p>
                <w:p w:rsidR="00AF22C1" w:rsidRDefault="00AF22C1" w:rsidP="00AF22C1">
                  <w:pPr>
                    <w:pStyle w:val="ListParagraph"/>
                    <w:spacing w:after="0" w:line="240" w:lineRule="auto"/>
                    <w:ind w:left="595" w:hanging="425"/>
                    <w:rPr>
                      <w:rFonts w:cs="Arial"/>
                      <w:b/>
                      <w:bCs/>
                      <w:lang w:eastAsia="en-GB"/>
                    </w:rPr>
                  </w:pPr>
                </w:p>
              </w:tc>
              <w:tc>
                <w:tcPr>
                  <w:tcW w:w="1276" w:type="dxa"/>
                  <w:tcBorders>
                    <w:right w:val="nil"/>
                  </w:tcBorders>
                  <w:shd w:val="clear" w:color="auto" w:fill="FFFFFF" w:themeFill="background1"/>
                </w:tcPr>
                <w:p w:rsidR="00AF22C1" w:rsidRDefault="00AF22C1" w:rsidP="00516DEB">
                  <w:pPr>
                    <w:pStyle w:val="ListParagraph"/>
                    <w:spacing w:after="0" w:line="240" w:lineRule="auto"/>
                    <w:ind w:left="0"/>
                    <w:rPr>
                      <w:rFonts w:cs="Arial"/>
                      <w:b/>
                      <w:bCs/>
                      <w:lang w:eastAsia="en-GB"/>
                    </w:rPr>
                  </w:pPr>
                  <w:r>
                    <w:rPr>
                      <w:rFonts w:cs="Arial"/>
                      <w:b/>
                      <w:bCs/>
                      <w:lang w:eastAsia="en-GB"/>
                    </w:rPr>
                    <w:t>Same</w:t>
                  </w:r>
                </w:p>
              </w:tc>
              <w:tc>
                <w:tcPr>
                  <w:tcW w:w="526" w:type="dxa"/>
                  <w:tcBorders>
                    <w:top w:val="nil"/>
                    <w:left w:val="nil"/>
                    <w:bottom w:val="nil"/>
                    <w:right w:val="nil"/>
                  </w:tcBorders>
                  <w:shd w:val="clear" w:color="auto" w:fill="FFC000"/>
                </w:tcPr>
                <w:p w:rsidR="00AF22C1" w:rsidRDefault="00AF22C1" w:rsidP="00516DEB">
                  <w:pPr>
                    <w:pStyle w:val="ListParagraph"/>
                    <w:spacing w:after="0" w:line="240" w:lineRule="auto"/>
                    <w:ind w:left="0"/>
                    <w:rPr>
                      <w:rFonts w:cs="Arial"/>
                      <w:b/>
                      <w:bCs/>
                      <w:lang w:eastAsia="en-GB"/>
                    </w:rPr>
                  </w:pPr>
                </w:p>
              </w:tc>
            </w:tr>
            <w:tr w:rsidR="00AF22C1" w:rsidTr="00EE2384">
              <w:tc>
                <w:tcPr>
                  <w:tcW w:w="5523" w:type="dxa"/>
                  <w:shd w:val="clear" w:color="auto" w:fill="FFFFFF" w:themeFill="background1"/>
                </w:tcPr>
                <w:p w:rsidR="00AF22C1" w:rsidRPr="00902581" w:rsidRDefault="00AF22C1" w:rsidP="00AF22C1">
                  <w:pPr>
                    <w:pStyle w:val="ListParagraph"/>
                    <w:numPr>
                      <w:ilvl w:val="0"/>
                      <w:numId w:val="10"/>
                    </w:numPr>
                    <w:spacing w:after="0" w:line="240" w:lineRule="auto"/>
                    <w:ind w:left="595" w:hanging="425"/>
                    <w:rPr>
                      <w:rFonts w:cs="Calibri"/>
                      <w:b/>
                      <w:bCs/>
                      <w:lang w:eastAsia="en-GB"/>
                    </w:rPr>
                  </w:pPr>
                  <w:r w:rsidRPr="00902581">
                    <w:rPr>
                      <w:rFonts w:cs="Calibri"/>
                      <w:b/>
                      <w:bCs/>
                      <w:lang w:eastAsia="en-GB"/>
                    </w:rPr>
                    <w:t xml:space="preserve">Physical health of service users checked  </w:t>
                  </w:r>
                </w:p>
                <w:p w:rsidR="00AF22C1" w:rsidRDefault="00AF22C1" w:rsidP="00AF22C1">
                  <w:pPr>
                    <w:pStyle w:val="ListParagraph"/>
                    <w:spacing w:after="0" w:line="240" w:lineRule="auto"/>
                    <w:ind w:left="595" w:hanging="425"/>
                    <w:rPr>
                      <w:rFonts w:cs="Arial"/>
                      <w:b/>
                      <w:bCs/>
                      <w:lang w:eastAsia="en-GB"/>
                    </w:rPr>
                  </w:pPr>
                </w:p>
              </w:tc>
              <w:tc>
                <w:tcPr>
                  <w:tcW w:w="1276" w:type="dxa"/>
                  <w:tcBorders>
                    <w:right w:val="nil"/>
                  </w:tcBorders>
                  <w:shd w:val="clear" w:color="auto" w:fill="FFFFFF" w:themeFill="background1"/>
                </w:tcPr>
                <w:p w:rsidR="00AF22C1" w:rsidRDefault="00AF22C1" w:rsidP="00516DEB">
                  <w:pPr>
                    <w:pStyle w:val="ListParagraph"/>
                    <w:spacing w:after="0" w:line="240" w:lineRule="auto"/>
                    <w:ind w:left="0"/>
                    <w:rPr>
                      <w:rFonts w:cs="Arial"/>
                      <w:b/>
                      <w:bCs/>
                      <w:lang w:eastAsia="en-GB"/>
                    </w:rPr>
                  </w:pPr>
                  <w:r>
                    <w:rPr>
                      <w:rFonts w:cs="Arial"/>
                      <w:b/>
                      <w:bCs/>
                      <w:lang w:eastAsia="en-GB"/>
                    </w:rPr>
                    <w:t>Not asked</w:t>
                  </w:r>
                </w:p>
              </w:tc>
              <w:tc>
                <w:tcPr>
                  <w:tcW w:w="526" w:type="dxa"/>
                  <w:tcBorders>
                    <w:top w:val="nil"/>
                    <w:left w:val="nil"/>
                    <w:bottom w:val="nil"/>
                    <w:right w:val="nil"/>
                  </w:tcBorders>
                  <w:shd w:val="clear" w:color="auto" w:fill="FFC000"/>
                </w:tcPr>
                <w:p w:rsidR="00AF22C1" w:rsidRDefault="00AF22C1" w:rsidP="00516DEB">
                  <w:pPr>
                    <w:pStyle w:val="ListParagraph"/>
                    <w:spacing w:after="0" w:line="240" w:lineRule="auto"/>
                    <w:ind w:left="0"/>
                    <w:rPr>
                      <w:rFonts w:cs="Arial"/>
                      <w:b/>
                      <w:bCs/>
                      <w:lang w:eastAsia="en-GB"/>
                    </w:rPr>
                  </w:pPr>
                </w:p>
              </w:tc>
            </w:tr>
            <w:tr w:rsidR="00AF22C1" w:rsidTr="00EE2384">
              <w:tc>
                <w:tcPr>
                  <w:tcW w:w="5523" w:type="dxa"/>
                  <w:shd w:val="clear" w:color="auto" w:fill="FFFFFF" w:themeFill="background1"/>
                </w:tcPr>
                <w:p w:rsidR="00AF22C1" w:rsidRDefault="00AF22C1" w:rsidP="00AF22C1">
                  <w:pPr>
                    <w:pStyle w:val="ListParagraph"/>
                    <w:numPr>
                      <w:ilvl w:val="0"/>
                      <w:numId w:val="10"/>
                    </w:numPr>
                    <w:spacing w:after="0" w:line="240" w:lineRule="auto"/>
                    <w:ind w:left="595" w:hanging="425"/>
                    <w:rPr>
                      <w:rFonts w:cs="Arial"/>
                      <w:b/>
                      <w:bCs/>
                      <w:lang w:eastAsia="en-GB"/>
                    </w:rPr>
                  </w:pPr>
                  <w:r w:rsidRPr="00902581">
                    <w:rPr>
                      <w:rFonts w:cs="Calibri"/>
                      <w:b/>
                      <w:bCs/>
                      <w:lang w:eastAsia="en-GB"/>
                    </w:rPr>
                    <w:t>Having a contact number out of hour</w:t>
                  </w:r>
                  <w:r w:rsidRPr="00902581">
                    <w:rPr>
                      <w:rFonts w:cs="Arial"/>
                      <w:b/>
                      <w:bCs/>
                      <w:lang w:eastAsia="en-GB"/>
                    </w:rPr>
                    <w:t>s</w:t>
                  </w:r>
                </w:p>
                <w:p w:rsidR="00AF22C1" w:rsidRDefault="00AF22C1" w:rsidP="00AF22C1">
                  <w:pPr>
                    <w:pStyle w:val="ListParagraph"/>
                    <w:spacing w:after="0" w:line="240" w:lineRule="auto"/>
                    <w:ind w:left="595" w:hanging="425"/>
                    <w:rPr>
                      <w:rFonts w:cs="Arial"/>
                      <w:b/>
                      <w:bCs/>
                      <w:lang w:eastAsia="en-GB"/>
                    </w:rPr>
                  </w:pPr>
                </w:p>
              </w:tc>
              <w:tc>
                <w:tcPr>
                  <w:tcW w:w="1276" w:type="dxa"/>
                  <w:tcBorders>
                    <w:right w:val="nil"/>
                  </w:tcBorders>
                  <w:shd w:val="clear" w:color="auto" w:fill="FFFFFF" w:themeFill="background1"/>
                </w:tcPr>
                <w:p w:rsidR="00AF22C1" w:rsidRDefault="00AF22C1" w:rsidP="00516DEB">
                  <w:pPr>
                    <w:pStyle w:val="ListParagraph"/>
                    <w:spacing w:after="0" w:line="240" w:lineRule="auto"/>
                    <w:ind w:left="0"/>
                    <w:rPr>
                      <w:rFonts w:cs="Arial"/>
                      <w:b/>
                      <w:bCs/>
                      <w:lang w:eastAsia="en-GB"/>
                    </w:rPr>
                  </w:pPr>
                  <w:r>
                    <w:rPr>
                      <w:rFonts w:cs="Arial"/>
                      <w:b/>
                      <w:bCs/>
                      <w:lang w:eastAsia="en-GB"/>
                    </w:rPr>
                    <w:t xml:space="preserve">Same </w:t>
                  </w:r>
                </w:p>
              </w:tc>
              <w:tc>
                <w:tcPr>
                  <w:tcW w:w="526" w:type="dxa"/>
                  <w:tcBorders>
                    <w:top w:val="nil"/>
                    <w:left w:val="nil"/>
                    <w:bottom w:val="nil"/>
                    <w:right w:val="nil"/>
                  </w:tcBorders>
                  <w:shd w:val="clear" w:color="auto" w:fill="FFC000"/>
                </w:tcPr>
                <w:p w:rsidR="00AF22C1" w:rsidRDefault="00AF22C1" w:rsidP="00516DEB">
                  <w:pPr>
                    <w:pStyle w:val="ListParagraph"/>
                    <w:spacing w:after="0" w:line="240" w:lineRule="auto"/>
                    <w:ind w:left="0"/>
                    <w:rPr>
                      <w:rFonts w:cs="Arial"/>
                      <w:b/>
                      <w:bCs/>
                      <w:lang w:eastAsia="en-GB"/>
                    </w:rPr>
                  </w:pPr>
                </w:p>
              </w:tc>
            </w:tr>
          </w:tbl>
          <w:p w:rsidR="0058221A" w:rsidRDefault="0058221A" w:rsidP="00516DEB">
            <w:pPr>
              <w:pStyle w:val="ListParagraph"/>
              <w:spacing w:after="0" w:line="240" w:lineRule="auto"/>
              <w:ind w:left="1169"/>
              <w:rPr>
                <w:rFonts w:cs="Arial"/>
                <w:b/>
                <w:bCs/>
                <w:lang w:eastAsia="en-GB"/>
              </w:rPr>
            </w:pPr>
          </w:p>
          <w:p w:rsidR="00AF22C1" w:rsidRDefault="00AF22C1" w:rsidP="00516DEB">
            <w:pPr>
              <w:pStyle w:val="ListParagraph"/>
              <w:spacing w:after="0" w:line="240" w:lineRule="auto"/>
              <w:ind w:left="1169"/>
              <w:rPr>
                <w:rFonts w:cs="Arial"/>
                <w:b/>
                <w:bCs/>
                <w:lang w:eastAsia="en-GB"/>
              </w:rPr>
            </w:pPr>
            <w:r>
              <w:rPr>
                <w:rFonts w:cs="Arial"/>
                <w:b/>
                <w:bCs/>
                <w:lang w:eastAsia="en-GB"/>
              </w:rPr>
              <w:t xml:space="preserve">The results above are from the 2011 CQC Community Mental Health Service User Survey.  It is not possible to </w:t>
            </w:r>
            <w:r w:rsidR="00EE2384">
              <w:rPr>
                <w:rFonts w:cs="Arial"/>
                <w:b/>
                <w:bCs/>
                <w:lang w:eastAsia="en-GB"/>
              </w:rPr>
              <w:t>tell whether we are “above average”, only “Better”, “About the Same” or “Worse” compared with other comparable organisations</w:t>
            </w:r>
          </w:p>
          <w:p w:rsidR="0058221A" w:rsidRPr="00902581" w:rsidRDefault="0058221A" w:rsidP="00283439">
            <w:pPr>
              <w:spacing w:after="0" w:line="240" w:lineRule="auto"/>
              <w:ind w:left="743"/>
              <w:rPr>
                <w:rFonts w:cs="Arial"/>
                <w:b/>
                <w:bCs/>
                <w:lang w:eastAsia="en-GB"/>
              </w:rPr>
            </w:pPr>
          </w:p>
        </w:tc>
      </w:tr>
      <w:tr w:rsidR="0058221A" w:rsidRPr="00677B2B" w:rsidTr="00AE7AB3">
        <w:trPr>
          <w:trHeight w:val="600"/>
        </w:trPr>
        <w:tc>
          <w:tcPr>
            <w:tcW w:w="10065" w:type="dxa"/>
            <w:shd w:val="clear" w:color="000000" w:fill="C0C0C0"/>
            <w:vAlign w:val="center"/>
          </w:tcPr>
          <w:p w:rsidR="0058221A" w:rsidRDefault="0058221A" w:rsidP="00516DEB">
            <w:pPr>
              <w:pStyle w:val="ListParagraph"/>
              <w:numPr>
                <w:ilvl w:val="0"/>
                <w:numId w:val="9"/>
              </w:numPr>
              <w:spacing w:after="0" w:line="240" w:lineRule="auto"/>
              <w:rPr>
                <w:rFonts w:cs="Arial"/>
                <w:b/>
                <w:bCs/>
                <w:lang w:eastAsia="en-GB"/>
              </w:rPr>
            </w:pPr>
            <w:r w:rsidRPr="00902581">
              <w:rPr>
                <w:rFonts w:cs="Arial"/>
                <w:b/>
                <w:bCs/>
                <w:lang w:eastAsia="en-GB"/>
              </w:rPr>
              <w:lastRenderedPageBreak/>
              <w:t>Community Services aim to improve the percentage of patients who rate their care good, very good or excellent.  To achieve results comparable to the national top 20% of acute trusts satisfaction rating for both out-patients and in-patients as there is no comparable national survey for community services (Trust priority)</w:t>
            </w:r>
          </w:p>
          <w:p w:rsidR="0058221A" w:rsidRDefault="0058221A" w:rsidP="002E3B51">
            <w:pPr>
              <w:pStyle w:val="ListParagraph"/>
              <w:spacing w:after="0" w:line="240" w:lineRule="auto"/>
              <w:rPr>
                <w:rFonts w:cs="Arial"/>
                <w:b/>
                <w:bCs/>
                <w:lang w:eastAsia="en-GB"/>
              </w:rPr>
            </w:pPr>
          </w:p>
          <w:p w:rsidR="0058221A" w:rsidRDefault="00E05D70" w:rsidP="00E05D70">
            <w:pPr>
              <w:pStyle w:val="ListParagraph"/>
              <w:spacing w:after="0" w:line="240" w:lineRule="auto"/>
              <w:jc w:val="center"/>
              <w:rPr>
                <w:rFonts w:cs="Arial"/>
                <w:b/>
                <w:bCs/>
                <w:lang w:eastAsia="en-GB"/>
              </w:rPr>
            </w:pPr>
            <w:r w:rsidRPr="00E05D70">
              <w:rPr>
                <w:rFonts w:cs="Arial"/>
                <w:b/>
                <w:bCs/>
                <w:i/>
                <w:noProof/>
                <w:lang w:eastAsia="en-GB"/>
              </w:rPr>
              <w:drawing>
                <wp:inline distT="0" distB="0" distL="0" distR="0">
                  <wp:extent cx="4572000" cy="2743200"/>
                  <wp:effectExtent l="19050" t="0" r="1905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05D70" w:rsidRPr="00637A68" w:rsidRDefault="00E05D70" w:rsidP="00E05D70">
            <w:pPr>
              <w:pStyle w:val="ListParagraph"/>
              <w:spacing w:after="0" w:line="240" w:lineRule="auto"/>
              <w:jc w:val="center"/>
              <w:rPr>
                <w:rFonts w:cs="Arial"/>
                <w:b/>
                <w:bCs/>
                <w:lang w:eastAsia="en-GB"/>
              </w:rPr>
            </w:pPr>
          </w:p>
        </w:tc>
      </w:tr>
      <w:tr w:rsidR="0058221A" w:rsidRPr="00677B2B" w:rsidTr="00AE7AB3">
        <w:trPr>
          <w:trHeight w:val="600"/>
        </w:trPr>
        <w:tc>
          <w:tcPr>
            <w:tcW w:w="10065" w:type="dxa"/>
            <w:tcBorders>
              <w:bottom w:val="single" w:sz="4" w:space="0" w:color="auto"/>
            </w:tcBorders>
            <w:shd w:val="clear" w:color="000000" w:fill="C0C0C0"/>
            <w:vAlign w:val="center"/>
          </w:tcPr>
          <w:p w:rsidR="0058221A" w:rsidRDefault="0058221A" w:rsidP="00516DEB">
            <w:pPr>
              <w:pStyle w:val="ListParagraph"/>
              <w:numPr>
                <w:ilvl w:val="0"/>
                <w:numId w:val="9"/>
              </w:numPr>
              <w:spacing w:after="0" w:line="240" w:lineRule="auto"/>
              <w:rPr>
                <w:rFonts w:cs="Arial"/>
                <w:b/>
                <w:bCs/>
                <w:lang w:eastAsia="en-GB"/>
              </w:rPr>
            </w:pPr>
            <w:r w:rsidRPr="00902581">
              <w:rPr>
                <w:rFonts w:cs="Arial"/>
                <w:b/>
                <w:bCs/>
                <w:lang w:eastAsia="en-GB"/>
              </w:rPr>
              <w:t>Each service who did not achieve a 90% overall satisfaction of care rating  has committed to an improvement target based upon the results achieved in 2010-11</w:t>
            </w:r>
          </w:p>
          <w:p w:rsidR="0058221A" w:rsidRDefault="0058221A" w:rsidP="002E3B51">
            <w:pPr>
              <w:pStyle w:val="ListParagraph"/>
              <w:spacing w:after="0" w:line="240" w:lineRule="auto"/>
              <w:rPr>
                <w:rFonts w:cs="Arial"/>
                <w:b/>
                <w:bCs/>
                <w:lang w:eastAsia="en-GB"/>
              </w:rPr>
            </w:pPr>
          </w:p>
          <w:p w:rsidR="0058221A" w:rsidRPr="002E3B51" w:rsidRDefault="00E05D70" w:rsidP="002E3B51">
            <w:pPr>
              <w:spacing w:after="0" w:line="240" w:lineRule="auto"/>
              <w:ind w:left="743"/>
              <w:rPr>
                <w:rFonts w:cs="Arial"/>
                <w:b/>
                <w:bCs/>
                <w:i/>
                <w:lang w:eastAsia="en-GB"/>
              </w:rPr>
            </w:pPr>
            <w:r>
              <w:rPr>
                <w:rFonts w:cs="Arial"/>
                <w:b/>
                <w:bCs/>
                <w:i/>
                <w:lang w:eastAsia="en-GB"/>
              </w:rPr>
              <w:t>This Aim has been moved to Actions as it is not a measurable target.</w:t>
            </w:r>
          </w:p>
          <w:p w:rsidR="0058221A" w:rsidRPr="00902581" w:rsidRDefault="0058221A" w:rsidP="002E3B51">
            <w:pPr>
              <w:pStyle w:val="ListParagraph"/>
              <w:spacing w:after="0" w:line="240" w:lineRule="auto"/>
              <w:rPr>
                <w:rFonts w:cs="Arial"/>
                <w:b/>
                <w:bCs/>
                <w:lang w:eastAsia="en-GB"/>
              </w:rPr>
            </w:pPr>
          </w:p>
        </w:tc>
      </w:tr>
    </w:tbl>
    <w:p w:rsidR="0058221A" w:rsidRDefault="0058221A" w:rsidP="00902581">
      <w:r>
        <w:br w:type="page"/>
      </w:r>
    </w:p>
    <w:p w:rsidR="0058221A" w:rsidRDefault="0058221A" w:rsidP="00902581"/>
    <w:tbl>
      <w:tblPr>
        <w:tblW w:w="10065" w:type="dxa"/>
        <w:tblInd w:w="-176" w:type="dxa"/>
        <w:tblBorders>
          <w:left w:val="single" w:sz="4" w:space="0" w:color="auto"/>
          <w:bottom w:val="single" w:sz="4" w:space="0" w:color="auto"/>
          <w:right w:val="single" w:sz="4" w:space="0" w:color="auto"/>
        </w:tblBorders>
        <w:tblLayout w:type="fixed"/>
        <w:tblLook w:val="00A0"/>
      </w:tblPr>
      <w:tblGrid>
        <w:gridCol w:w="4679"/>
        <w:gridCol w:w="4961"/>
        <w:gridCol w:w="425"/>
      </w:tblGrid>
      <w:tr w:rsidR="0058221A" w:rsidRPr="00677B2B" w:rsidTr="002E6105">
        <w:trPr>
          <w:trHeight w:val="600"/>
        </w:trPr>
        <w:tc>
          <w:tcPr>
            <w:tcW w:w="4679" w:type="dxa"/>
            <w:tcBorders>
              <w:top w:val="single" w:sz="4" w:space="0" w:color="auto"/>
              <w:bottom w:val="single" w:sz="4" w:space="0" w:color="auto"/>
            </w:tcBorders>
            <w:shd w:val="clear" w:color="auto" w:fill="BFBFBF"/>
            <w:noWrap/>
            <w:vAlign w:val="center"/>
          </w:tcPr>
          <w:p w:rsidR="0058221A" w:rsidRPr="00637A68" w:rsidRDefault="0058221A" w:rsidP="00902581">
            <w:pPr>
              <w:spacing w:after="0" w:line="240" w:lineRule="auto"/>
              <w:rPr>
                <w:rFonts w:ascii="Arial" w:hAnsi="Arial" w:cs="Arial"/>
                <w:b/>
                <w:bCs/>
                <w:sz w:val="24"/>
                <w:szCs w:val="24"/>
                <w:lang w:eastAsia="en-GB"/>
              </w:rPr>
            </w:pPr>
            <w:r w:rsidRPr="00637A68">
              <w:rPr>
                <w:rFonts w:ascii="Arial" w:hAnsi="Arial" w:cs="Arial"/>
                <w:b/>
                <w:bCs/>
                <w:sz w:val="24"/>
                <w:szCs w:val="24"/>
                <w:lang w:eastAsia="en-GB"/>
              </w:rPr>
              <w:t xml:space="preserve">Actions </w:t>
            </w:r>
          </w:p>
        </w:tc>
        <w:tc>
          <w:tcPr>
            <w:tcW w:w="4961" w:type="dxa"/>
            <w:tcBorders>
              <w:top w:val="single" w:sz="4" w:space="0" w:color="auto"/>
              <w:bottom w:val="single" w:sz="4" w:space="0" w:color="auto"/>
            </w:tcBorders>
            <w:shd w:val="clear" w:color="auto" w:fill="BFBFBF"/>
            <w:noWrap/>
            <w:vAlign w:val="center"/>
          </w:tcPr>
          <w:p w:rsidR="0058221A" w:rsidRPr="00637A68" w:rsidRDefault="0058221A" w:rsidP="00902581">
            <w:pPr>
              <w:spacing w:after="0" w:line="240" w:lineRule="auto"/>
              <w:rPr>
                <w:rFonts w:ascii="Arial" w:hAnsi="Arial" w:cs="Arial"/>
                <w:b/>
                <w:bCs/>
                <w:sz w:val="24"/>
                <w:szCs w:val="24"/>
                <w:lang w:eastAsia="en-GB"/>
              </w:rPr>
            </w:pPr>
            <w:r w:rsidRPr="00637A68">
              <w:rPr>
                <w:rFonts w:ascii="Arial" w:hAnsi="Arial" w:cs="Arial"/>
                <w:b/>
                <w:bCs/>
                <w:sz w:val="24"/>
                <w:szCs w:val="24"/>
                <w:lang w:eastAsia="en-GB"/>
              </w:rPr>
              <w:t>Present Situation</w:t>
            </w:r>
          </w:p>
        </w:tc>
        <w:tc>
          <w:tcPr>
            <w:tcW w:w="425" w:type="dxa"/>
            <w:tcBorders>
              <w:top w:val="single" w:sz="4" w:space="0" w:color="auto"/>
              <w:bottom w:val="single" w:sz="4" w:space="0" w:color="auto"/>
            </w:tcBorders>
            <w:shd w:val="clear" w:color="auto" w:fill="BFBFBF"/>
          </w:tcPr>
          <w:p w:rsidR="0058221A" w:rsidRPr="00637A68" w:rsidRDefault="0058221A" w:rsidP="00902581">
            <w:pPr>
              <w:spacing w:after="0" w:line="240" w:lineRule="auto"/>
              <w:rPr>
                <w:rFonts w:ascii="Arial" w:hAnsi="Arial" w:cs="Arial"/>
                <w:b/>
                <w:bCs/>
                <w:sz w:val="24"/>
                <w:szCs w:val="24"/>
                <w:lang w:eastAsia="en-GB"/>
              </w:rPr>
            </w:pPr>
          </w:p>
        </w:tc>
      </w:tr>
      <w:tr w:rsidR="00E05D70" w:rsidRPr="00677B2B" w:rsidTr="002E6105">
        <w:trPr>
          <w:trHeight w:val="900"/>
        </w:trPr>
        <w:tc>
          <w:tcPr>
            <w:tcW w:w="4679" w:type="dxa"/>
            <w:tcBorders>
              <w:top w:val="single" w:sz="4" w:space="0" w:color="auto"/>
            </w:tcBorders>
          </w:tcPr>
          <w:p w:rsidR="00E05D70" w:rsidRPr="00677B2B" w:rsidRDefault="00E05D70" w:rsidP="005C35BF">
            <w:pPr>
              <w:rPr>
                <w:rFonts w:cs="Arial"/>
                <w:sz w:val="20"/>
                <w:szCs w:val="20"/>
              </w:rPr>
            </w:pPr>
            <w:r w:rsidRPr="005C35BF">
              <w:rPr>
                <w:rFonts w:cs="Arial"/>
                <w:sz w:val="20"/>
                <w:szCs w:val="20"/>
              </w:rPr>
              <w:t>Each service who did not achieve a 90% overall satisfaction of care rating  has committed to an improvement target based upon the results achieved in 2010-11</w:t>
            </w:r>
          </w:p>
        </w:tc>
        <w:tc>
          <w:tcPr>
            <w:tcW w:w="4961" w:type="dxa"/>
            <w:tcBorders>
              <w:top w:val="single" w:sz="4" w:space="0" w:color="auto"/>
            </w:tcBorders>
          </w:tcPr>
          <w:p w:rsidR="00F21236" w:rsidRPr="002E6105" w:rsidRDefault="002E6105" w:rsidP="002E6105">
            <w:pPr>
              <w:pStyle w:val="ListParagraph"/>
              <w:numPr>
                <w:ilvl w:val="0"/>
                <w:numId w:val="1"/>
              </w:numPr>
              <w:spacing w:after="0" w:line="240" w:lineRule="auto"/>
              <w:ind w:left="459" w:hanging="284"/>
              <w:rPr>
                <w:rFonts w:cs="Arial"/>
                <w:sz w:val="20"/>
                <w:szCs w:val="20"/>
                <w:lang w:eastAsia="en-GB"/>
              </w:rPr>
            </w:pPr>
            <w:r w:rsidRPr="002E6105">
              <w:rPr>
                <w:rFonts w:cs="Arial"/>
                <w:sz w:val="20"/>
                <w:szCs w:val="20"/>
                <w:lang w:eastAsia="en-GB"/>
              </w:rPr>
              <w:t>Completed and published</w:t>
            </w:r>
            <w:r>
              <w:rPr>
                <w:rFonts w:cs="Arial"/>
                <w:sz w:val="20"/>
                <w:szCs w:val="20"/>
                <w:lang w:eastAsia="en-GB"/>
              </w:rPr>
              <w:t xml:space="preserve"> in the Patient Experience Report for Quarter 1</w:t>
            </w:r>
          </w:p>
        </w:tc>
        <w:tc>
          <w:tcPr>
            <w:tcW w:w="425" w:type="dxa"/>
            <w:tcBorders>
              <w:top w:val="single" w:sz="4" w:space="0" w:color="auto"/>
              <w:bottom w:val="single" w:sz="4" w:space="0" w:color="auto"/>
            </w:tcBorders>
            <w:shd w:val="clear" w:color="auto" w:fill="00B050"/>
          </w:tcPr>
          <w:p w:rsidR="00E05D70" w:rsidRPr="00792F08" w:rsidRDefault="00E05D70" w:rsidP="00792F08">
            <w:pPr>
              <w:spacing w:after="0" w:line="240" w:lineRule="auto"/>
              <w:ind w:left="175"/>
              <w:rPr>
                <w:rFonts w:cs="Arial"/>
                <w:color w:val="FFC000"/>
                <w:sz w:val="20"/>
                <w:szCs w:val="20"/>
                <w:lang w:eastAsia="en-GB"/>
              </w:rPr>
            </w:pPr>
          </w:p>
        </w:tc>
      </w:tr>
      <w:tr w:rsidR="0058221A" w:rsidRPr="00677B2B" w:rsidTr="005C35BF">
        <w:trPr>
          <w:trHeight w:val="900"/>
        </w:trPr>
        <w:tc>
          <w:tcPr>
            <w:tcW w:w="4679" w:type="dxa"/>
            <w:tcBorders>
              <w:top w:val="single" w:sz="4" w:space="0" w:color="auto"/>
            </w:tcBorders>
          </w:tcPr>
          <w:p w:rsidR="0058221A" w:rsidRPr="00677B2B" w:rsidRDefault="0058221A">
            <w:pPr>
              <w:rPr>
                <w:rFonts w:cs="Arial"/>
                <w:sz w:val="20"/>
                <w:szCs w:val="20"/>
              </w:rPr>
            </w:pPr>
            <w:r w:rsidRPr="00677B2B">
              <w:rPr>
                <w:rFonts w:cs="Arial"/>
                <w:sz w:val="20"/>
                <w:szCs w:val="20"/>
              </w:rPr>
              <w:t>Participate in the required National survey (Community Mental Health)  and internally repeat the Inpatient National survey</w:t>
            </w:r>
          </w:p>
        </w:tc>
        <w:tc>
          <w:tcPr>
            <w:tcW w:w="4961" w:type="dxa"/>
            <w:tcBorders>
              <w:top w:val="single" w:sz="4" w:space="0" w:color="auto"/>
            </w:tcBorders>
          </w:tcPr>
          <w:p w:rsidR="0058221A" w:rsidRPr="002255D4" w:rsidRDefault="0058221A" w:rsidP="002255D4">
            <w:pPr>
              <w:pStyle w:val="ListParagraph"/>
              <w:numPr>
                <w:ilvl w:val="0"/>
                <w:numId w:val="1"/>
              </w:numPr>
              <w:spacing w:after="0" w:line="240" w:lineRule="auto"/>
              <w:ind w:left="459" w:hanging="284"/>
              <w:rPr>
                <w:rFonts w:cs="Arial"/>
                <w:sz w:val="20"/>
                <w:szCs w:val="20"/>
                <w:lang w:eastAsia="en-GB"/>
              </w:rPr>
            </w:pPr>
            <w:r w:rsidRPr="002255D4">
              <w:rPr>
                <w:rFonts w:cs="Arial"/>
                <w:sz w:val="20"/>
                <w:szCs w:val="20"/>
                <w:lang w:eastAsia="en-GB"/>
              </w:rPr>
              <w:t xml:space="preserve"> Quality Health fed back results in May 2011, and presented to an audience from the divisions and corporate clinical governance in June 2011.Draft action plan developed and being consulted on with divisions. CQC published standardised results </w:t>
            </w:r>
            <w:r w:rsidR="002255D4" w:rsidRPr="002255D4">
              <w:rPr>
                <w:rFonts w:cs="Arial"/>
                <w:sz w:val="20"/>
                <w:szCs w:val="20"/>
                <w:lang w:eastAsia="en-GB"/>
              </w:rPr>
              <w:t>September</w:t>
            </w:r>
            <w:r w:rsidRPr="002255D4">
              <w:rPr>
                <w:rFonts w:cs="Arial"/>
                <w:sz w:val="20"/>
                <w:szCs w:val="20"/>
                <w:lang w:eastAsia="en-GB"/>
              </w:rPr>
              <w:t xml:space="preserve"> 2011.</w:t>
            </w:r>
          </w:p>
        </w:tc>
        <w:tc>
          <w:tcPr>
            <w:tcW w:w="425" w:type="dxa"/>
            <w:tcBorders>
              <w:top w:val="single" w:sz="4" w:space="0" w:color="auto"/>
              <w:bottom w:val="nil"/>
            </w:tcBorders>
            <w:shd w:val="clear" w:color="auto" w:fill="00B05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BD5A58">
        <w:trPr>
          <w:trHeight w:val="690"/>
        </w:trPr>
        <w:tc>
          <w:tcPr>
            <w:tcW w:w="4679" w:type="dxa"/>
            <w:vMerge w:val="restart"/>
          </w:tcPr>
          <w:p w:rsidR="0058221A" w:rsidRPr="00677B2B" w:rsidRDefault="0058221A">
            <w:pPr>
              <w:rPr>
                <w:rFonts w:cs="Arial"/>
                <w:sz w:val="20"/>
                <w:szCs w:val="20"/>
              </w:rPr>
            </w:pPr>
            <w:r w:rsidRPr="00677B2B">
              <w:rPr>
                <w:rFonts w:cs="Arial"/>
                <w:sz w:val="20"/>
                <w:szCs w:val="20"/>
              </w:rPr>
              <w:t>Publish bi-annual updates in clinical areas of what patients told us and  what changes we made as a result of this feedback</w:t>
            </w:r>
          </w:p>
        </w:tc>
        <w:tc>
          <w:tcPr>
            <w:tcW w:w="4961" w:type="dxa"/>
            <w:noWrap/>
          </w:tcPr>
          <w:p w:rsidR="0058221A" w:rsidRPr="002255D4" w:rsidRDefault="0058221A" w:rsidP="00B50E7D">
            <w:pPr>
              <w:pStyle w:val="ListParagraph"/>
              <w:numPr>
                <w:ilvl w:val="0"/>
                <w:numId w:val="1"/>
              </w:numPr>
              <w:spacing w:after="0" w:line="240" w:lineRule="auto"/>
              <w:ind w:left="459" w:hanging="284"/>
              <w:rPr>
                <w:rFonts w:cs="Arial"/>
                <w:sz w:val="20"/>
                <w:szCs w:val="20"/>
                <w:lang w:eastAsia="en-GB"/>
              </w:rPr>
            </w:pPr>
            <w:r w:rsidRPr="002255D4">
              <w:rPr>
                <w:rFonts w:cs="Arial"/>
                <w:sz w:val="20"/>
                <w:szCs w:val="20"/>
                <w:lang w:eastAsia="en-GB"/>
              </w:rPr>
              <w:t xml:space="preserve">Mental Health: there is an ongoing programme of surveys across the mental health and children's divisions with action plans developed from those surveys. The feedback to patients needs further development. The Forensic Services use the </w:t>
            </w:r>
            <w:proofErr w:type="gramStart"/>
            <w:r w:rsidRPr="002255D4">
              <w:rPr>
                <w:rFonts w:cs="Arial"/>
                <w:sz w:val="20"/>
                <w:szCs w:val="20"/>
                <w:lang w:eastAsia="en-GB"/>
              </w:rPr>
              <w:t>patients</w:t>
            </w:r>
            <w:proofErr w:type="gramEnd"/>
            <w:r w:rsidRPr="002255D4">
              <w:rPr>
                <w:rFonts w:cs="Arial"/>
                <w:sz w:val="20"/>
                <w:szCs w:val="20"/>
                <w:lang w:eastAsia="en-GB"/>
              </w:rPr>
              <w:t xml:space="preserve"> councils as the main vehicle to identify and feedback changes on an ongoing basis.</w:t>
            </w:r>
          </w:p>
        </w:tc>
        <w:tc>
          <w:tcPr>
            <w:tcW w:w="425" w:type="dxa"/>
            <w:tcBorders>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10201E">
        <w:trPr>
          <w:trHeight w:val="690"/>
        </w:trPr>
        <w:tc>
          <w:tcPr>
            <w:tcW w:w="4679" w:type="dxa"/>
            <w:vMerge/>
          </w:tcPr>
          <w:p w:rsidR="0058221A" w:rsidRPr="00677B2B" w:rsidRDefault="0058221A">
            <w:pPr>
              <w:rPr>
                <w:rFonts w:cs="Arial"/>
                <w:sz w:val="20"/>
                <w:szCs w:val="20"/>
              </w:rPr>
            </w:pPr>
          </w:p>
        </w:tc>
        <w:tc>
          <w:tcPr>
            <w:tcW w:w="4961" w:type="dxa"/>
            <w:noWrap/>
          </w:tcPr>
          <w:p w:rsidR="0058221A" w:rsidRDefault="0058221A" w:rsidP="00BD5A58">
            <w:pPr>
              <w:pStyle w:val="ListParagraph"/>
              <w:numPr>
                <w:ilvl w:val="0"/>
                <w:numId w:val="1"/>
              </w:numPr>
              <w:spacing w:after="0" w:line="240" w:lineRule="auto"/>
              <w:ind w:left="459" w:hanging="284"/>
              <w:rPr>
                <w:rFonts w:cs="Arial"/>
                <w:sz w:val="20"/>
                <w:szCs w:val="20"/>
                <w:lang w:eastAsia="en-GB"/>
              </w:rPr>
            </w:pPr>
            <w:r w:rsidRPr="00BD5A58">
              <w:rPr>
                <w:rFonts w:cs="Arial"/>
                <w:sz w:val="20"/>
                <w:szCs w:val="20"/>
                <w:lang w:eastAsia="en-GB"/>
              </w:rPr>
              <w:t xml:space="preserve">CSO: </w:t>
            </w:r>
            <w:r w:rsidR="00BD5A58" w:rsidRPr="00BD5A58">
              <w:rPr>
                <w:rFonts w:cs="Arial"/>
                <w:sz w:val="20"/>
                <w:szCs w:val="20"/>
                <w:lang w:eastAsia="en-GB"/>
              </w:rPr>
              <w:t>Quarterly divisional reports have been produced and shared with services</w:t>
            </w:r>
          </w:p>
          <w:p w:rsidR="006033E1" w:rsidRPr="00BD5A58" w:rsidRDefault="006033E1" w:rsidP="00BD5A58">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All services within OCS Division have a survey planned for 2011-12</w:t>
            </w:r>
          </w:p>
        </w:tc>
        <w:tc>
          <w:tcPr>
            <w:tcW w:w="425" w:type="dxa"/>
            <w:tcBorders>
              <w:bottom w:val="nil"/>
            </w:tcBorders>
            <w:shd w:val="clear" w:color="auto" w:fill="00B05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10201E">
        <w:trPr>
          <w:trHeight w:val="690"/>
        </w:trPr>
        <w:tc>
          <w:tcPr>
            <w:tcW w:w="4679" w:type="dxa"/>
          </w:tcPr>
          <w:p w:rsidR="0058221A" w:rsidRPr="00677B2B" w:rsidRDefault="0058221A">
            <w:pPr>
              <w:rPr>
                <w:rFonts w:cs="Arial"/>
                <w:sz w:val="20"/>
                <w:szCs w:val="20"/>
              </w:rPr>
            </w:pPr>
            <w:r w:rsidRPr="00677B2B">
              <w:rPr>
                <w:rFonts w:cs="Arial"/>
                <w:sz w:val="20"/>
                <w:szCs w:val="20"/>
              </w:rPr>
              <w:t>Enhance management of caseload supervision and ensure monthly  monitoring takes place</w:t>
            </w:r>
          </w:p>
        </w:tc>
        <w:tc>
          <w:tcPr>
            <w:tcW w:w="4961" w:type="dxa"/>
            <w:noWrap/>
          </w:tcPr>
          <w:p w:rsidR="000C0C53" w:rsidRPr="00CE79A6" w:rsidRDefault="0010201E" w:rsidP="0010201E">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 xml:space="preserve">Monthly monitoring of caseload issues occurs through the clinical team process. All charge nurses are allocated protected time for their teams to meet and address current need within the patient group. Within monthly senior meetings this information is fed back to management who will action any points. </w:t>
            </w:r>
          </w:p>
          <w:p w:rsidR="0010201E" w:rsidRPr="00CE79A6" w:rsidRDefault="000C0C53" w:rsidP="0010201E">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M</w:t>
            </w:r>
            <w:r w:rsidR="0010201E" w:rsidRPr="00CE79A6">
              <w:rPr>
                <w:rFonts w:cs="Arial"/>
                <w:sz w:val="20"/>
                <w:szCs w:val="20"/>
                <w:lang w:eastAsia="en-GB"/>
              </w:rPr>
              <w:t xml:space="preserve">onthly case management discussions are also facilitated by the modern matrons and psychologists, particularly in complex cases. </w:t>
            </w:r>
          </w:p>
          <w:p w:rsidR="00031FA8" w:rsidRPr="00CE79A6" w:rsidRDefault="00031FA8" w:rsidP="00031FA8">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00B050"/>
          </w:tcPr>
          <w:p w:rsidR="0058221A" w:rsidRPr="00792F08" w:rsidRDefault="0058221A" w:rsidP="00792F08">
            <w:pPr>
              <w:spacing w:after="0" w:line="240" w:lineRule="auto"/>
              <w:ind w:left="175"/>
              <w:rPr>
                <w:rFonts w:cs="Arial"/>
                <w:color w:val="FFC000"/>
                <w:sz w:val="20"/>
                <w:szCs w:val="20"/>
                <w:lang w:eastAsia="en-GB"/>
              </w:rPr>
            </w:pPr>
          </w:p>
        </w:tc>
      </w:tr>
      <w:tr w:rsidR="0010201E" w:rsidRPr="00677B2B" w:rsidTr="00676C27">
        <w:trPr>
          <w:trHeight w:val="690"/>
        </w:trPr>
        <w:tc>
          <w:tcPr>
            <w:tcW w:w="4679" w:type="dxa"/>
          </w:tcPr>
          <w:p w:rsidR="0010201E" w:rsidRPr="00677B2B" w:rsidRDefault="0010201E">
            <w:pPr>
              <w:rPr>
                <w:rFonts w:cs="Arial"/>
                <w:sz w:val="20"/>
                <w:szCs w:val="20"/>
              </w:rPr>
            </w:pPr>
            <w:r w:rsidRPr="00677B2B">
              <w:rPr>
                <w:rFonts w:cs="Arial"/>
                <w:sz w:val="20"/>
                <w:szCs w:val="20"/>
              </w:rPr>
              <w:t>Implement previous actions relating to CPA and physical health care</w:t>
            </w:r>
          </w:p>
        </w:tc>
        <w:tc>
          <w:tcPr>
            <w:tcW w:w="4961" w:type="dxa"/>
            <w:noWrap/>
          </w:tcPr>
          <w:p w:rsidR="0010201E" w:rsidRPr="00CE79A6" w:rsidRDefault="0010201E" w:rsidP="002E6105">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All forensic inpatients have an activity planner that is produced at least a week in advance. This document will contain all information related to meaningful activity and is designed to provide structure through the week as well as encourage the patient to accept responsibility for planning their recovery.  The OT department continue to run a modular 12 week programme which is published on each ward. The participation in activity programmes is monitored through the clinical team meeting process</w:t>
            </w:r>
          </w:p>
        </w:tc>
        <w:tc>
          <w:tcPr>
            <w:tcW w:w="425" w:type="dxa"/>
            <w:tcBorders>
              <w:bottom w:val="nil"/>
            </w:tcBorders>
            <w:shd w:val="clear" w:color="auto" w:fill="FFC000"/>
          </w:tcPr>
          <w:p w:rsidR="0010201E" w:rsidRPr="00792F08" w:rsidRDefault="0010201E" w:rsidP="00792F08">
            <w:pPr>
              <w:spacing w:after="0" w:line="240" w:lineRule="auto"/>
              <w:ind w:left="175"/>
              <w:rPr>
                <w:rFonts w:cs="Arial"/>
                <w:color w:val="FFC000"/>
                <w:sz w:val="20"/>
                <w:szCs w:val="20"/>
                <w:lang w:eastAsia="en-GB"/>
              </w:rPr>
            </w:pPr>
          </w:p>
        </w:tc>
      </w:tr>
      <w:tr w:rsidR="0010201E" w:rsidRPr="00677B2B" w:rsidTr="00676C27">
        <w:trPr>
          <w:trHeight w:val="690"/>
        </w:trPr>
        <w:tc>
          <w:tcPr>
            <w:tcW w:w="4679" w:type="dxa"/>
          </w:tcPr>
          <w:p w:rsidR="0010201E" w:rsidRPr="00677B2B" w:rsidRDefault="0010201E">
            <w:pPr>
              <w:rPr>
                <w:rFonts w:cs="Arial"/>
                <w:sz w:val="20"/>
                <w:szCs w:val="20"/>
              </w:rPr>
            </w:pPr>
            <w:r w:rsidRPr="00677B2B">
              <w:rPr>
                <w:rFonts w:cs="Arial"/>
                <w:sz w:val="20"/>
                <w:szCs w:val="20"/>
              </w:rPr>
              <w:t>Increase uptake in patient activity programmes in inpatient environments</w:t>
            </w:r>
          </w:p>
        </w:tc>
        <w:tc>
          <w:tcPr>
            <w:tcW w:w="4961" w:type="dxa"/>
            <w:noWrap/>
          </w:tcPr>
          <w:p w:rsidR="00676C27" w:rsidRPr="00CE79A6" w:rsidRDefault="0010201E" w:rsidP="0010201E">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 xml:space="preserve">All forensic inpatients have an activity planner that is produced at least a week in advance. This document will contain all information related to meaningful activity and is designed to provide structure through the week as well as encourage the patient to accept responsibility for planning their </w:t>
            </w:r>
            <w:r w:rsidRPr="0010201E">
              <w:rPr>
                <w:rFonts w:cs="Arial"/>
                <w:sz w:val="20"/>
                <w:szCs w:val="20"/>
                <w:lang w:eastAsia="en-GB"/>
              </w:rPr>
              <w:t>recovery</w:t>
            </w:r>
            <w:r w:rsidRPr="00CE79A6">
              <w:rPr>
                <w:rFonts w:cs="Arial"/>
                <w:sz w:val="20"/>
                <w:szCs w:val="20"/>
                <w:lang w:eastAsia="en-GB"/>
              </w:rPr>
              <w:t xml:space="preserve">.  </w:t>
            </w:r>
          </w:p>
          <w:p w:rsidR="0010201E" w:rsidRPr="00CE79A6" w:rsidRDefault="0010201E" w:rsidP="0010201E">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 xml:space="preserve">The OT department continue to run a modular 12 week programme which is published on each ward. The participation in activity programmes is </w:t>
            </w:r>
            <w:r w:rsidRPr="00CE79A6">
              <w:rPr>
                <w:rFonts w:cs="Arial"/>
                <w:sz w:val="20"/>
                <w:szCs w:val="20"/>
                <w:lang w:eastAsia="en-GB"/>
              </w:rPr>
              <w:lastRenderedPageBreak/>
              <w:t>monitored through the clinical team meeting process</w:t>
            </w:r>
          </w:p>
        </w:tc>
        <w:tc>
          <w:tcPr>
            <w:tcW w:w="425" w:type="dxa"/>
            <w:tcBorders>
              <w:top w:val="nil"/>
              <w:bottom w:val="nil"/>
            </w:tcBorders>
            <w:shd w:val="clear" w:color="auto" w:fill="00B050"/>
          </w:tcPr>
          <w:p w:rsidR="0010201E" w:rsidRPr="00792F08" w:rsidRDefault="0010201E" w:rsidP="00792F08">
            <w:pPr>
              <w:spacing w:after="0" w:line="240" w:lineRule="auto"/>
              <w:ind w:left="175"/>
              <w:rPr>
                <w:rFonts w:cs="Arial"/>
                <w:color w:val="FFC000"/>
                <w:sz w:val="20"/>
                <w:szCs w:val="20"/>
                <w:lang w:eastAsia="en-GB"/>
              </w:rPr>
            </w:pPr>
          </w:p>
        </w:tc>
      </w:tr>
      <w:tr w:rsidR="0058221A" w:rsidRPr="00677B2B" w:rsidTr="00F21236">
        <w:trPr>
          <w:trHeight w:val="966"/>
        </w:trPr>
        <w:tc>
          <w:tcPr>
            <w:tcW w:w="4679" w:type="dxa"/>
          </w:tcPr>
          <w:p w:rsidR="0058221A" w:rsidRPr="00677B2B" w:rsidRDefault="0058221A">
            <w:pPr>
              <w:rPr>
                <w:rFonts w:cs="Arial"/>
                <w:sz w:val="20"/>
                <w:szCs w:val="20"/>
              </w:rPr>
            </w:pPr>
            <w:r w:rsidRPr="00677B2B">
              <w:rPr>
                <w:rFonts w:cs="Arial"/>
                <w:sz w:val="20"/>
                <w:szCs w:val="20"/>
              </w:rPr>
              <w:lastRenderedPageBreak/>
              <w:t>Expand the patient experience survey programme to include all community general health services not included in the national survey</w:t>
            </w:r>
          </w:p>
        </w:tc>
        <w:tc>
          <w:tcPr>
            <w:tcW w:w="4961" w:type="dxa"/>
            <w:noWrap/>
          </w:tcPr>
          <w:p w:rsidR="0058221A" w:rsidRPr="00F21236" w:rsidRDefault="00F21236" w:rsidP="00F21236">
            <w:pPr>
              <w:pStyle w:val="ListParagraph"/>
              <w:numPr>
                <w:ilvl w:val="0"/>
                <w:numId w:val="1"/>
              </w:numPr>
              <w:spacing w:after="0" w:line="240" w:lineRule="auto"/>
              <w:ind w:left="459" w:hanging="284"/>
              <w:rPr>
                <w:rFonts w:cs="Arial"/>
                <w:sz w:val="20"/>
                <w:szCs w:val="20"/>
                <w:lang w:eastAsia="en-GB"/>
              </w:rPr>
            </w:pPr>
            <w:r w:rsidRPr="00F21236">
              <w:rPr>
                <w:rFonts w:cs="Arial"/>
                <w:sz w:val="20"/>
                <w:szCs w:val="20"/>
                <w:lang w:eastAsia="en-GB"/>
              </w:rPr>
              <w:t>All services within OCS Division have a survey planned for 2011-12</w:t>
            </w:r>
          </w:p>
        </w:tc>
        <w:tc>
          <w:tcPr>
            <w:tcW w:w="425" w:type="dxa"/>
            <w:tcBorders>
              <w:bottom w:val="nil"/>
            </w:tcBorders>
            <w:shd w:val="clear" w:color="auto" w:fill="00B05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633EE1">
        <w:trPr>
          <w:trHeight w:val="1419"/>
        </w:trPr>
        <w:tc>
          <w:tcPr>
            <w:tcW w:w="4679" w:type="dxa"/>
          </w:tcPr>
          <w:p w:rsidR="0058221A" w:rsidRPr="00677B2B" w:rsidRDefault="0058221A">
            <w:pPr>
              <w:rPr>
                <w:rFonts w:cs="Arial"/>
                <w:sz w:val="20"/>
                <w:szCs w:val="20"/>
              </w:rPr>
            </w:pPr>
            <w:r w:rsidRPr="00677B2B">
              <w:rPr>
                <w:rFonts w:cs="Arial"/>
                <w:sz w:val="20"/>
                <w:szCs w:val="20"/>
              </w:rPr>
              <w:t>Focus improvement on those services not achieving 90% satisfaction  through implementation of robust action plans identified from 2010-11 survey results</w:t>
            </w:r>
          </w:p>
        </w:tc>
        <w:tc>
          <w:tcPr>
            <w:tcW w:w="4961" w:type="dxa"/>
            <w:noWrap/>
          </w:tcPr>
          <w:p w:rsidR="00F21236" w:rsidRPr="00CE79A6" w:rsidRDefault="00F21236" w:rsidP="00F21236">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All action plans have been monitored for implementation.</w:t>
            </w:r>
          </w:p>
          <w:p w:rsidR="00F21236" w:rsidRPr="00CE79A6" w:rsidRDefault="00F21236" w:rsidP="00F21236">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 xml:space="preserve">Each service has an improvement target based upon the previous year results, if there has been no previous survey then the baseline will be set in 11-12. </w:t>
            </w:r>
          </w:p>
          <w:p w:rsidR="0058221A" w:rsidRPr="00F21236" w:rsidRDefault="00F21236" w:rsidP="00F21236">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These results inform the CQUIN results. Actual performance for surveys completed to end of Sept can be provided as well as the CQIUN linked ones – not all services have achieved their target.</w:t>
            </w:r>
          </w:p>
        </w:tc>
        <w:tc>
          <w:tcPr>
            <w:tcW w:w="425" w:type="dxa"/>
            <w:tcBorders>
              <w:top w:val="nil"/>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633EE1">
        <w:trPr>
          <w:trHeight w:val="690"/>
        </w:trPr>
        <w:tc>
          <w:tcPr>
            <w:tcW w:w="4679" w:type="dxa"/>
          </w:tcPr>
          <w:p w:rsidR="0058221A" w:rsidRPr="00677B2B" w:rsidRDefault="0058221A">
            <w:pPr>
              <w:rPr>
                <w:rFonts w:cs="Arial"/>
                <w:sz w:val="20"/>
                <w:szCs w:val="20"/>
              </w:rPr>
            </w:pPr>
            <w:r w:rsidRPr="00677B2B">
              <w:rPr>
                <w:rFonts w:cs="Arial"/>
                <w:sz w:val="20"/>
                <w:szCs w:val="20"/>
              </w:rPr>
              <w:t>Review available patient information and access to information about their specific condition for those with long term conditions via the case managers</w:t>
            </w:r>
          </w:p>
        </w:tc>
        <w:tc>
          <w:tcPr>
            <w:tcW w:w="4961" w:type="dxa"/>
            <w:noWrap/>
          </w:tcPr>
          <w:p w:rsidR="00F21236" w:rsidRPr="00633EE1" w:rsidRDefault="006033E1" w:rsidP="006033E1">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A range of patient information has been produced in collaboration with the divisional communications officer</w:t>
            </w:r>
            <w:r w:rsidRPr="00633EE1">
              <w:rPr>
                <w:rFonts w:cs="Arial"/>
                <w:sz w:val="20"/>
                <w:szCs w:val="20"/>
                <w:lang w:eastAsia="en-GB"/>
              </w:rPr>
              <w:t xml:space="preserve"> </w:t>
            </w:r>
          </w:p>
        </w:tc>
        <w:tc>
          <w:tcPr>
            <w:tcW w:w="425" w:type="dxa"/>
            <w:tcBorders>
              <w:top w:val="nil"/>
              <w:bottom w:val="nil"/>
            </w:tcBorders>
            <w:shd w:val="clear" w:color="auto" w:fill="00B050"/>
          </w:tcPr>
          <w:p w:rsidR="0058221A" w:rsidRPr="00792F08" w:rsidRDefault="0058221A" w:rsidP="00792F08">
            <w:pPr>
              <w:spacing w:after="0" w:line="240" w:lineRule="auto"/>
              <w:ind w:left="175"/>
              <w:rPr>
                <w:rFonts w:cs="Arial"/>
                <w:color w:val="FFC000"/>
                <w:sz w:val="20"/>
                <w:szCs w:val="20"/>
                <w:lang w:eastAsia="en-GB"/>
              </w:rPr>
            </w:pPr>
          </w:p>
        </w:tc>
      </w:tr>
      <w:tr w:rsidR="00324ACB" w:rsidRPr="00677B2B" w:rsidTr="00792F08">
        <w:trPr>
          <w:trHeight w:val="690"/>
        </w:trPr>
        <w:tc>
          <w:tcPr>
            <w:tcW w:w="4679" w:type="dxa"/>
            <w:vMerge w:val="restart"/>
          </w:tcPr>
          <w:p w:rsidR="00324ACB" w:rsidRPr="00677B2B" w:rsidRDefault="00324ACB">
            <w:pPr>
              <w:rPr>
                <w:rFonts w:cs="Arial"/>
                <w:sz w:val="20"/>
                <w:szCs w:val="20"/>
              </w:rPr>
            </w:pPr>
            <w:r w:rsidRPr="00677B2B">
              <w:rPr>
                <w:rFonts w:cs="Arial"/>
                <w:sz w:val="20"/>
                <w:szCs w:val="20"/>
              </w:rPr>
              <w:t>Deliver patient education programmes for patients with Diabetes</w:t>
            </w:r>
          </w:p>
        </w:tc>
        <w:tc>
          <w:tcPr>
            <w:tcW w:w="4961" w:type="dxa"/>
            <w:noWrap/>
          </w:tcPr>
          <w:p w:rsidR="00324ACB" w:rsidRPr="00CE79A6" w:rsidRDefault="00324ACB" w:rsidP="00324ACB">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Education courses have been implemented and a schedule is in place for the year both for Diabetes2Gether (newly diagnosed patients) and Diabetes4Ward (refresher course).  366 people have been through the course to date.</w:t>
            </w:r>
          </w:p>
        </w:tc>
        <w:tc>
          <w:tcPr>
            <w:tcW w:w="425" w:type="dxa"/>
            <w:tcBorders>
              <w:top w:val="nil"/>
              <w:bottom w:val="nil"/>
            </w:tcBorders>
            <w:shd w:val="clear" w:color="auto" w:fill="FFC000"/>
          </w:tcPr>
          <w:p w:rsidR="00324ACB" w:rsidRPr="00792F08" w:rsidRDefault="00324ACB" w:rsidP="00792F08">
            <w:pPr>
              <w:spacing w:after="0" w:line="240" w:lineRule="auto"/>
              <w:ind w:left="175"/>
              <w:rPr>
                <w:rFonts w:cs="Arial"/>
                <w:color w:val="FFC000"/>
                <w:sz w:val="20"/>
                <w:szCs w:val="20"/>
                <w:lang w:eastAsia="en-GB"/>
              </w:rPr>
            </w:pPr>
          </w:p>
        </w:tc>
      </w:tr>
      <w:tr w:rsidR="00324ACB" w:rsidRPr="00677B2B" w:rsidTr="00792F08">
        <w:trPr>
          <w:trHeight w:val="690"/>
        </w:trPr>
        <w:tc>
          <w:tcPr>
            <w:tcW w:w="4679" w:type="dxa"/>
            <w:vMerge/>
          </w:tcPr>
          <w:p w:rsidR="00324ACB" w:rsidRPr="00677B2B" w:rsidRDefault="00324ACB">
            <w:pPr>
              <w:rPr>
                <w:rFonts w:cs="Arial"/>
                <w:sz w:val="20"/>
                <w:szCs w:val="20"/>
              </w:rPr>
            </w:pPr>
          </w:p>
        </w:tc>
        <w:tc>
          <w:tcPr>
            <w:tcW w:w="4961" w:type="dxa"/>
            <w:noWrap/>
          </w:tcPr>
          <w:p w:rsidR="00324ACB" w:rsidRPr="00CE79A6" w:rsidRDefault="00324ACB" w:rsidP="00F21236">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Advanced insulin courses have also been developed and are being rolled out to practices in collaboration with OCDEM (Oxford Centre for Diabetes, Endocrinology and Metabolism).  These have been well received to date and scheduled courses are fully booked.</w:t>
            </w:r>
          </w:p>
        </w:tc>
        <w:tc>
          <w:tcPr>
            <w:tcW w:w="425" w:type="dxa"/>
            <w:tcBorders>
              <w:top w:val="nil"/>
              <w:bottom w:val="nil"/>
            </w:tcBorders>
            <w:shd w:val="clear" w:color="auto" w:fill="FFC000"/>
          </w:tcPr>
          <w:p w:rsidR="00324ACB" w:rsidRPr="00792F08" w:rsidRDefault="00324ACB" w:rsidP="00792F08">
            <w:pPr>
              <w:spacing w:after="0" w:line="240" w:lineRule="auto"/>
              <w:ind w:left="175"/>
              <w:rPr>
                <w:rFonts w:cs="Arial"/>
                <w:color w:val="FFC000"/>
                <w:sz w:val="20"/>
                <w:szCs w:val="20"/>
                <w:lang w:eastAsia="en-GB"/>
              </w:rPr>
            </w:pPr>
          </w:p>
        </w:tc>
      </w:tr>
      <w:tr w:rsidR="0058221A" w:rsidRPr="00677B2B" w:rsidTr="00792F08">
        <w:trPr>
          <w:trHeight w:val="690"/>
        </w:trPr>
        <w:tc>
          <w:tcPr>
            <w:tcW w:w="4679" w:type="dxa"/>
          </w:tcPr>
          <w:p w:rsidR="0058221A" w:rsidRPr="00677B2B" w:rsidRDefault="0058221A">
            <w:pPr>
              <w:rPr>
                <w:rFonts w:cs="Arial"/>
                <w:sz w:val="20"/>
                <w:szCs w:val="20"/>
              </w:rPr>
            </w:pPr>
            <w:r w:rsidRPr="00677B2B">
              <w:rPr>
                <w:rFonts w:cs="Arial"/>
                <w:sz w:val="20"/>
                <w:szCs w:val="20"/>
              </w:rPr>
              <w:t>Review the arrangements for the provision of community equipment to ensure it is provided in a timely manner to meet changing patient needs or to facilitate timely discharge from Community Hospitals</w:t>
            </w:r>
          </w:p>
        </w:tc>
        <w:tc>
          <w:tcPr>
            <w:tcW w:w="4961" w:type="dxa"/>
            <w:noWrap/>
          </w:tcPr>
          <w:p w:rsidR="0058221A" w:rsidRPr="00324ACB" w:rsidRDefault="00324ACB" w:rsidP="00516DEB">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An equipment review is currently underway within the Community Services Division</w:t>
            </w:r>
          </w:p>
        </w:tc>
        <w:tc>
          <w:tcPr>
            <w:tcW w:w="425" w:type="dxa"/>
            <w:tcBorders>
              <w:top w:val="nil"/>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792F08">
        <w:trPr>
          <w:trHeight w:val="690"/>
        </w:trPr>
        <w:tc>
          <w:tcPr>
            <w:tcW w:w="4679" w:type="dxa"/>
          </w:tcPr>
          <w:p w:rsidR="0058221A" w:rsidRPr="00677B2B" w:rsidRDefault="0058221A">
            <w:pPr>
              <w:rPr>
                <w:rFonts w:cs="Arial"/>
                <w:sz w:val="20"/>
                <w:szCs w:val="20"/>
              </w:rPr>
            </w:pPr>
            <w:r w:rsidRPr="00677B2B">
              <w:rPr>
                <w:rFonts w:cs="Arial"/>
                <w:sz w:val="20"/>
                <w:szCs w:val="20"/>
              </w:rPr>
              <w:t>Review discharge planning arrangements with partner agencies in the Oxfordshire Community Division</w:t>
            </w:r>
          </w:p>
        </w:tc>
        <w:tc>
          <w:tcPr>
            <w:tcW w:w="4961" w:type="dxa"/>
            <w:noWrap/>
          </w:tcPr>
          <w:p w:rsidR="00633EE1" w:rsidRPr="00CE79A6" w:rsidRDefault="00633EE1" w:rsidP="00633EE1">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The service is currently scoping the issues and is using the ‘productive  series’ tools to assist, this includes the potential establishment of a single point of access for referrals and service specific referral documentation</w:t>
            </w:r>
          </w:p>
          <w:p w:rsidR="00324ACB" w:rsidRPr="00CE79A6" w:rsidRDefault="00324ACB" w:rsidP="00324ACB">
            <w:pPr>
              <w:pStyle w:val="ListParagraph"/>
              <w:spacing w:after="0" w:line="240" w:lineRule="auto"/>
              <w:ind w:left="459"/>
              <w:rPr>
                <w:rFonts w:cs="Arial"/>
                <w:sz w:val="20"/>
                <w:szCs w:val="20"/>
                <w:lang w:eastAsia="en-GB"/>
              </w:rPr>
            </w:pPr>
          </w:p>
        </w:tc>
        <w:tc>
          <w:tcPr>
            <w:tcW w:w="425" w:type="dxa"/>
            <w:tcBorders>
              <w:top w:val="nil"/>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453F24">
        <w:trPr>
          <w:trHeight w:val="1200"/>
        </w:trPr>
        <w:tc>
          <w:tcPr>
            <w:tcW w:w="4679" w:type="dxa"/>
          </w:tcPr>
          <w:p w:rsidR="0058221A" w:rsidRPr="00677B2B" w:rsidRDefault="0058221A">
            <w:pPr>
              <w:rPr>
                <w:rFonts w:cs="Arial"/>
                <w:sz w:val="20"/>
                <w:szCs w:val="20"/>
              </w:rPr>
            </w:pPr>
            <w:r w:rsidRPr="00677B2B">
              <w:rPr>
                <w:rFonts w:cs="Arial"/>
                <w:sz w:val="20"/>
                <w:szCs w:val="20"/>
              </w:rPr>
              <w:t>Promote staff attendance at ‘customer care’ training, focussing on those services where staff attitude has been identified as not meeting patient expectation</w:t>
            </w:r>
          </w:p>
        </w:tc>
        <w:tc>
          <w:tcPr>
            <w:tcW w:w="4961" w:type="dxa"/>
            <w:noWrap/>
          </w:tcPr>
          <w:p w:rsidR="00324ACB" w:rsidRPr="00324ACB" w:rsidRDefault="00324ACB" w:rsidP="00324ACB">
            <w:pPr>
              <w:pStyle w:val="ListParagraph"/>
              <w:numPr>
                <w:ilvl w:val="0"/>
                <w:numId w:val="1"/>
              </w:numPr>
              <w:spacing w:after="0" w:line="240" w:lineRule="auto"/>
              <w:ind w:left="459" w:hanging="284"/>
              <w:rPr>
                <w:rFonts w:cs="Arial"/>
                <w:sz w:val="20"/>
                <w:szCs w:val="20"/>
                <w:lang w:eastAsia="en-GB"/>
              </w:rPr>
            </w:pPr>
            <w:r w:rsidRPr="00CE79A6">
              <w:rPr>
                <w:rFonts w:cs="Arial"/>
                <w:sz w:val="20"/>
                <w:szCs w:val="20"/>
                <w:lang w:eastAsia="en-GB"/>
              </w:rPr>
              <w:t xml:space="preserve">Customer Service training has been offered over the past 12 months but uptake has been low due to staff capacity. Now that the merger has come into effect the plan going forward is to address this issue more corporately. </w:t>
            </w:r>
            <w:proofErr w:type="gramStart"/>
            <w:r w:rsidRPr="00CE79A6">
              <w:rPr>
                <w:rFonts w:cs="Arial"/>
                <w:sz w:val="20"/>
                <w:szCs w:val="20"/>
                <w:lang w:eastAsia="en-GB"/>
              </w:rPr>
              <w:t>i.e</w:t>
            </w:r>
            <w:proofErr w:type="gramEnd"/>
            <w:r w:rsidRPr="00CE79A6">
              <w:rPr>
                <w:rFonts w:cs="Arial"/>
                <w:sz w:val="20"/>
                <w:szCs w:val="20"/>
                <w:lang w:eastAsia="en-GB"/>
              </w:rPr>
              <w:t>. Customer service training to be provided which involves all job roles across specific divisions with an expectation of staff attendance particularly in areas where concerns have been identified. Wide spread training is planned for the New Year.</w:t>
            </w:r>
          </w:p>
        </w:tc>
        <w:tc>
          <w:tcPr>
            <w:tcW w:w="425" w:type="dxa"/>
            <w:tcBorders>
              <w:top w:val="nil"/>
              <w:bottom w:val="nil"/>
            </w:tcBorders>
            <w:shd w:val="clear" w:color="auto" w:fill="FFC000"/>
          </w:tcPr>
          <w:p w:rsidR="0058221A" w:rsidRPr="00792F08" w:rsidRDefault="0058221A" w:rsidP="00792F08">
            <w:pPr>
              <w:spacing w:after="0" w:line="240" w:lineRule="auto"/>
              <w:ind w:left="175"/>
              <w:rPr>
                <w:rFonts w:cs="Arial"/>
                <w:color w:val="FFC000"/>
                <w:sz w:val="20"/>
                <w:szCs w:val="20"/>
                <w:lang w:eastAsia="en-GB"/>
              </w:rPr>
            </w:pPr>
          </w:p>
        </w:tc>
      </w:tr>
      <w:tr w:rsidR="0058221A" w:rsidRPr="00677B2B" w:rsidTr="00453F24">
        <w:trPr>
          <w:trHeight w:val="1200"/>
        </w:trPr>
        <w:tc>
          <w:tcPr>
            <w:tcW w:w="4679" w:type="dxa"/>
            <w:tcBorders>
              <w:bottom w:val="single" w:sz="4" w:space="0" w:color="auto"/>
            </w:tcBorders>
          </w:tcPr>
          <w:p w:rsidR="0058221A" w:rsidRPr="00677B2B" w:rsidRDefault="0058221A">
            <w:pPr>
              <w:rPr>
                <w:rFonts w:cs="Arial"/>
                <w:sz w:val="20"/>
                <w:szCs w:val="20"/>
              </w:rPr>
            </w:pPr>
            <w:r w:rsidRPr="00677B2B">
              <w:rPr>
                <w:rFonts w:cs="Arial"/>
                <w:sz w:val="20"/>
                <w:szCs w:val="20"/>
              </w:rPr>
              <w:lastRenderedPageBreak/>
              <w:t>Continue to demonstrate learning as a result of feedback from  complaints and compliments</w:t>
            </w:r>
          </w:p>
        </w:tc>
        <w:tc>
          <w:tcPr>
            <w:tcW w:w="4961" w:type="dxa"/>
            <w:tcBorders>
              <w:bottom w:val="single" w:sz="4" w:space="0" w:color="auto"/>
            </w:tcBorders>
            <w:noWrap/>
          </w:tcPr>
          <w:p w:rsidR="00453F24" w:rsidRPr="00453F24" w:rsidRDefault="00453F24" w:rsidP="00453F24">
            <w:pPr>
              <w:pStyle w:val="ListParagraph"/>
              <w:numPr>
                <w:ilvl w:val="0"/>
                <w:numId w:val="1"/>
              </w:numPr>
              <w:spacing w:after="0" w:line="240" w:lineRule="auto"/>
              <w:ind w:left="459" w:hanging="284"/>
              <w:rPr>
                <w:rFonts w:cs="Arial"/>
                <w:sz w:val="20"/>
                <w:szCs w:val="20"/>
                <w:lang w:eastAsia="en-GB"/>
              </w:rPr>
            </w:pPr>
            <w:r w:rsidRPr="00453F24">
              <w:rPr>
                <w:rFonts w:cs="Arial"/>
                <w:sz w:val="20"/>
                <w:szCs w:val="20"/>
                <w:lang w:eastAsia="en-GB"/>
              </w:rPr>
              <w:t>Report weekly to Clinical Gov meeting then onto Exec meeting</w:t>
            </w:r>
          </w:p>
          <w:p w:rsidR="00453F24" w:rsidRPr="00453F24" w:rsidRDefault="00453F24" w:rsidP="00453F24">
            <w:pPr>
              <w:pStyle w:val="ListParagraph"/>
              <w:numPr>
                <w:ilvl w:val="0"/>
                <w:numId w:val="1"/>
              </w:numPr>
              <w:spacing w:after="0" w:line="240" w:lineRule="auto"/>
              <w:ind w:left="459" w:hanging="284"/>
              <w:rPr>
                <w:rFonts w:cs="Arial"/>
                <w:sz w:val="20"/>
                <w:szCs w:val="20"/>
                <w:lang w:eastAsia="en-GB"/>
              </w:rPr>
            </w:pPr>
            <w:r w:rsidRPr="00453F24">
              <w:rPr>
                <w:rFonts w:cs="Arial"/>
                <w:sz w:val="20"/>
                <w:szCs w:val="20"/>
                <w:lang w:eastAsia="en-GB"/>
              </w:rPr>
              <w:t>Quarterly report presented to Services and estates QUIC and PCT</w:t>
            </w:r>
          </w:p>
          <w:p w:rsidR="00453F24" w:rsidRPr="00453F24" w:rsidRDefault="00453F24" w:rsidP="00453F24">
            <w:pPr>
              <w:pStyle w:val="ListParagraph"/>
              <w:numPr>
                <w:ilvl w:val="0"/>
                <w:numId w:val="1"/>
              </w:numPr>
              <w:spacing w:after="0" w:line="240" w:lineRule="auto"/>
              <w:ind w:left="459" w:hanging="284"/>
              <w:rPr>
                <w:rFonts w:cs="Arial"/>
                <w:sz w:val="20"/>
                <w:szCs w:val="20"/>
                <w:lang w:eastAsia="en-GB"/>
              </w:rPr>
            </w:pPr>
            <w:r w:rsidRPr="00453F24">
              <w:rPr>
                <w:rFonts w:cs="Arial"/>
                <w:sz w:val="20"/>
                <w:szCs w:val="20"/>
                <w:lang w:eastAsia="en-GB"/>
              </w:rPr>
              <w:t>Board report produced quarterly</w:t>
            </w:r>
          </w:p>
        </w:tc>
        <w:tc>
          <w:tcPr>
            <w:tcW w:w="425" w:type="dxa"/>
            <w:tcBorders>
              <w:top w:val="nil"/>
              <w:bottom w:val="nil"/>
            </w:tcBorders>
            <w:shd w:val="clear" w:color="auto" w:fill="00B050"/>
          </w:tcPr>
          <w:p w:rsidR="0058221A" w:rsidRPr="00453F24" w:rsidRDefault="0058221A" w:rsidP="00792F08">
            <w:pPr>
              <w:spacing w:after="0" w:line="240" w:lineRule="auto"/>
              <w:ind w:left="175"/>
              <w:rPr>
                <w:rFonts w:cs="Arial"/>
                <w:sz w:val="20"/>
                <w:szCs w:val="20"/>
                <w:lang w:eastAsia="en-GB"/>
              </w:rPr>
            </w:pPr>
          </w:p>
        </w:tc>
      </w:tr>
    </w:tbl>
    <w:p w:rsidR="0058221A" w:rsidRDefault="0058221A" w:rsidP="00902581"/>
    <w:p w:rsidR="0058221A" w:rsidRDefault="0058221A">
      <w:r>
        <w:br w:type="page"/>
      </w:r>
    </w:p>
    <w:p w:rsidR="0058221A" w:rsidRDefault="0058221A" w:rsidP="00516DEB">
      <w:pPr>
        <w:autoSpaceDE w:val="0"/>
        <w:autoSpaceDN w:val="0"/>
        <w:adjustRightInd w:val="0"/>
        <w:rPr>
          <w:rFonts w:ascii="Arial" w:hAnsi="Arial" w:cs="Arial"/>
          <w:sz w:val="21"/>
          <w:szCs w:val="21"/>
        </w:rPr>
      </w:pPr>
    </w:p>
    <w:tbl>
      <w:tblPr>
        <w:tblW w:w="0" w:type="auto"/>
        <w:tblInd w:w="-176" w:type="dxa"/>
        <w:tblBorders>
          <w:left w:val="single" w:sz="4" w:space="0" w:color="auto"/>
          <w:bottom w:val="single" w:sz="4" w:space="0" w:color="auto"/>
          <w:right w:val="single" w:sz="4" w:space="0" w:color="auto"/>
        </w:tblBorders>
        <w:tblLayout w:type="fixed"/>
        <w:tblLook w:val="00A0"/>
      </w:tblPr>
      <w:tblGrid>
        <w:gridCol w:w="9640"/>
      </w:tblGrid>
      <w:tr w:rsidR="0058221A" w:rsidRPr="00677B2B" w:rsidTr="00516DEB">
        <w:trPr>
          <w:trHeight w:val="300"/>
        </w:trPr>
        <w:tc>
          <w:tcPr>
            <w:tcW w:w="9640" w:type="dxa"/>
            <w:tcBorders>
              <w:bottom w:val="nil"/>
            </w:tcBorders>
            <w:shd w:val="clear" w:color="auto" w:fill="0070C0"/>
            <w:noWrap/>
            <w:vAlign w:val="center"/>
          </w:tcPr>
          <w:p w:rsidR="0058221A" w:rsidRPr="00187092" w:rsidRDefault="0058221A" w:rsidP="00F8691B">
            <w:pPr>
              <w:pStyle w:val="Heading2"/>
              <w:numPr>
                <w:ilvl w:val="0"/>
                <w:numId w:val="6"/>
              </w:numPr>
              <w:rPr>
                <w:rFonts w:ascii="Arial" w:hAnsi="Arial" w:cs="Arial"/>
                <w:b w:val="0"/>
                <w:caps/>
                <w:color w:val="FFFFFF"/>
                <w:szCs w:val="22"/>
                <w:lang w:eastAsia="en-GB"/>
              </w:rPr>
            </w:pPr>
            <w:r>
              <w:rPr>
                <w:rFonts w:ascii="Arial" w:hAnsi="Arial" w:cs="Arial"/>
                <w:b w:val="0"/>
                <w:caps/>
                <w:color w:val="FFFFFF"/>
                <w:szCs w:val="22"/>
                <w:lang w:eastAsia="en-GB"/>
              </w:rPr>
              <w:t>STAFF</w:t>
            </w:r>
          </w:p>
        </w:tc>
      </w:tr>
      <w:tr w:rsidR="0058221A" w:rsidRPr="00677B2B" w:rsidTr="00516DEB">
        <w:trPr>
          <w:trHeight w:val="300"/>
        </w:trPr>
        <w:tc>
          <w:tcPr>
            <w:tcW w:w="9640" w:type="dxa"/>
            <w:tcBorders>
              <w:bottom w:val="nil"/>
            </w:tcBorders>
            <w:shd w:val="clear" w:color="auto" w:fill="BFBFBF"/>
            <w:noWrap/>
            <w:vAlign w:val="center"/>
          </w:tcPr>
          <w:p w:rsidR="0058221A" w:rsidRPr="00677B2B" w:rsidRDefault="0058221A" w:rsidP="0047707E">
            <w:pPr>
              <w:pStyle w:val="Heading2"/>
              <w:spacing w:before="0"/>
              <w:rPr>
                <w:lang w:eastAsia="en-GB"/>
              </w:rPr>
            </w:pPr>
            <w:r w:rsidRPr="0046221F">
              <w:rPr>
                <w:rFonts w:ascii="Arial" w:hAnsi="Arial" w:cs="Arial"/>
                <w:color w:val="auto"/>
                <w:sz w:val="24"/>
                <w:szCs w:val="24"/>
                <w:lang w:eastAsia="en-GB"/>
              </w:rPr>
              <w:t>Aims</w:t>
            </w:r>
          </w:p>
        </w:tc>
      </w:tr>
      <w:tr w:rsidR="0058221A" w:rsidRPr="00677B2B" w:rsidTr="00516DEB">
        <w:trPr>
          <w:trHeight w:val="600"/>
        </w:trPr>
        <w:tc>
          <w:tcPr>
            <w:tcW w:w="9640" w:type="dxa"/>
            <w:tcBorders>
              <w:top w:val="nil"/>
              <w:bottom w:val="single" w:sz="4" w:space="0" w:color="auto"/>
            </w:tcBorders>
            <w:shd w:val="clear" w:color="000000" w:fill="C0C0C0"/>
            <w:vAlign w:val="center"/>
          </w:tcPr>
          <w:p w:rsidR="0058221A" w:rsidRDefault="0058221A" w:rsidP="0047707E">
            <w:pPr>
              <w:pStyle w:val="ListParagraph"/>
              <w:spacing w:after="0" w:line="240" w:lineRule="auto"/>
              <w:rPr>
                <w:rFonts w:cs="Arial"/>
                <w:b/>
                <w:bCs/>
                <w:lang w:eastAsia="en-GB"/>
              </w:rPr>
            </w:pPr>
          </w:p>
          <w:p w:rsidR="0058221A" w:rsidRDefault="0058221A" w:rsidP="0047707E">
            <w:pPr>
              <w:pStyle w:val="ListParagraph"/>
              <w:spacing w:after="0" w:line="240" w:lineRule="auto"/>
              <w:rPr>
                <w:rFonts w:cs="Arial"/>
                <w:b/>
                <w:bCs/>
                <w:lang w:eastAsia="en-GB"/>
              </w:rPr>
            </w:pPr>
            <w:r w:rsidRPr="00516DEB">
              <w:rPr>
                <w:rFonts w:cs="Arial"/>
                <w:b/>
                <w:bCs/>
                <w:lang w:eastAsia="en-GB"/>
              </w:rPr>
              <w:t>Within two years to achieve a score in the annual staff survey that is at least the average of other Trusts, and within five years to achieve a score within the top 20% of Trusts, with particular emphasis on the lowest 3 elements (Trust  and Governors priority)</w:t>
            </w:r>
          </w:p>
          <w:p w:rsidR="0058221A" w:rsidRPr="00516DEB" w:rsidRDefault="0058221A" w:rsidP="0047707E">
            <w:pPr>
              <w:pStyle w:val="ListParagraph"/>
              <w:spacing w:after="0" w:line="240" w:lineRule="auto"/>
              <w:rPr>
                <w:rFonts w:cs="Arial"/>
                <w:b/>
                <w:bCs/>
                <w:lang w:eastAsia="en-GB"/>
              </w:rPr>
            </w:pPr>
          </w:p>
          <w:p w:rsidR="0058221A" w:rsidRDefault="00C6227D" w:rsidP="0047707E">
            <w:pPr>
              <w:spacing w:after="0" w:line="240" w:lineRule="auto"/>
              <w:ind w:left="743"/>
              <w:rPr>
                <w:rFonts w:cs="Arial"/>
                <w:b/>
                <w:bCs/>
                <w:lang w:eastAsia="en-GB"/>
              </w:rPr>
            </w:pPr>
            <w:r>
              <w:rPr>
                <w:rFonts w:cs="Arial"/>
                <w:b/>
                <w:noProof/>
                <w:lang w:eastAsia="en-GB"/>
              </w:rPr>
              <w:drawing>
                <wp:inline distT="0" distB="0" distL="0" distR="0">
                  <wp:extent cx="3956304" cy="2050923"/>
                  <wp:effectExtent l="12192" t="6096" r="3429" b="381"/>
                  <wp:docPr id="11" name="Pict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221A" w:rsidRDefault="0058221A" w:rsidP="0047707E">
            <w:pPr>
              <w:spacing w:after="0" w:line="240" w:lineRule="auto"/>
              <w:ind w:left="743"/>
              <w:rPr>
                <w:rFonts w:cs="Arial"/>
                <w:b/>
                <w:bCs/>
                <w:lang w:eastAsia="en-GB"/>
              </w:rPr>
            </w:pPr>
          </w:p>
          <w:p w:rsidR="0058221A" w:rsidRDefault="00C6227D" w:rsidP="0047707E">
            <w:pPr>
              <w:spacing w:after="0" w:line="240" w:lineRule="auto"/>
              <w:ind w:left="743"/>
              <w:rPr>
                <w:rFonts w:cs="Arial"/>
                <w:b/>
                <w:bCs/>
                <w:lang w:eastAsia="en-GB"/>
              </w:rPr>
            </w:pPr>
            <w:r>
              <w:rPr>
                <w:rFonts w:cs="Arial"/>
                <w:b/>
                <w:noProof/>
                <w:lang w:eastAsia="en-GB"/>
              </w:rPr>
              <w:drawing>
                <wp:inline distT="0" distB="0" distL="0" distR="0">
                  <wp:extent cx="3956304" cy="2022729"/>
                  <wp:effectExtent l="12192" t="6096" r="3429" b="0"/>
                  <wp:docPr id="12" name="Pictur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221A" w:rsidRDefault="0058221A" w:rsidP="0047707E">
            <w:pPr>
              <w:spacing w:after="0" w:line="240" w:lineRule="auto"/>
              <w:ind w:left="743"/>
              <w:rPr>
                <w:rFonts w:cs="Arial"/>
                <w:b/>
                <w:bCs/>
                <w:lang w:eastAsia="en-GB"/>
              </w:rPr>
            </w:pPr>
          </w:p>
          <w:p w:rsidR="0058221A" w:rsidRDefault="00C6227D" w:rsidP="0047707E">
            <w:pPr>
              <w:spacing w:after="0" w:line="240" w:lineRule="auto"/>
              <w:ind w:left="743"/>
              <w:rPr>
                <w:rFonts w:cs="Arial"/>
                <w:b/>
                <w:bCs/>
                <w:lang w:eastAsia="en-GB"/>
              </w:rPr>
            </w:pPr>
            <w:r>
              <w:rPr>
                <w:rFonts w:cs="Arial"/>
                <w:b/>
                <w:noProof/>
                <w:lang w:eastAsia="en-GB"/>
              </w:rPr>
              <w:drawing>
                <wp:inline distT="0" distB="0" distL="0" distR="0">
                  <wp:extent cx="3956304" cy="2222754"/>
                  <wp:effectExtent l="12192" t="6096" r="3429" b="0"/>
                  <wp:docPr id="13" name="Pictur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0119" w:rsidRPr="00CD0119" w:rsidRDefault="00CD0119" w:rsidP="0047707E">
            <w:pPr>
              <w:spacing w:after="0" w:line="240" w:lineRule="auto"/>
              <w:ind w:left="743"/>
              <w:rPr>
                <w:rFonts w:cs="Arial"/>
                <w:bCs/>
                <w:lang w:eastAsia="en-GB"/>
              </w:rPr>
            </w:pPr>
          </w:p>
          <w:p w:rsidR="00CD0119" w:rsidRPr="00CD0119" w:rsidRDefault="00CD0119" w:rsidP="0047707E">
            <w:pPr>
              <w:spacing w:after="0" w:line="240" w:lineRule="auto"/>
              <w:ind w:left="743"/>
              <w:rPr>
                <w:rFonts w:cs="Arial"/>
                <w:bCs/>
                <w:lang w:eastAsia="en-GB"/>
              </w:rPr>
            </w:pPr>
            <w:r w:rsidRPr="00CD0119">
              <w:rPr>
                <w:rFonts w:cs="Arial"/>
                <w:bCs/>
                <w:lang w:eastAsia="en-GB"/>
              </w:rPr>
              <w:t>Note: The 2011 results will not be published until March 2012</w:t>
            </w:r>
          </w:p>
          <w:p w:rsidR="0058221A" w:rsidRPr="002E3B51" w:rsidRDefault="0058221A" w:rsidP="0047707E">
            <w:pPr>
              <w:spacing w:after="0" w:line="240" w:lineRule="auto"/>
              <w:ind w:left="743"/>
              <w:rPr>
                <w:rFonts w:cs="Arial"/>
                <w:b/>
                <w:bCs/>
                <w:lang w:eastAsia="en-GB"/>
              </w:rPr>
            </w:pPr>
          </w:p>
        </w:tc>
      </w:tr>
    </w:tbl>
    <w:p w:rsidR="0058221A" w:rsidRDefault="0058221A" w:rsidP="00516DEB">
      <w:r>
        <w:br w:type="page"/>
      </w:r>
    </w:p>
    <w:tbl>
      <w:tblPr>
        <w:tblW w:w="9928" w:type="dxa"/>
        <w:tblInd w:w="103" w:type="dxa"/>
        <w:tblLook w:val="00A0"/>
      </w:tblPr>
      <w:tblGrid>
        <w:gridCol w:w="3647"/>
        <w:gridCol w:w="3641"/>
        <w:gridCol w:w="2242"/>
        <w:gridCol w:w="398"/>
      </w:tblGrid>
      <w:tr w:rsidR="0058221A" w:rsidRPr="00677B2B" w:rsidTr="000D0569">
        <w:trPr>
          <w:trHeight w:val="300"/>
        </w:trPr>
        <w:tc>
          <w:tcPr>
            <w:tcW w:w="9530" w:type="dxa"/>
            <w:gridSpan w:val="3"/>
            <w:tcBorders>
              <w:top w:val="single" w:sz="4" w:space="0" w:color="auto"/>
              <w:left w:val="single" w:sz="4" w:space="0" w:color="auto"/>
              <w:bottom w:val="single" w:sz="4" w:space="0" w:color="auto"/>
              <w:right w:val="single" w:sz="4" w:space="0" w:color="auto"/>
            </w:tcBorders>
            <w:shd w:val="clear" w:color="000000" w:fill="0070C0"/>
            <w:noWrap/>
          </w:tcPr>
          <w:p w:rsidR="0058221A" w:rsidRPr="00823420" w:rsidRDefault="0058221A" w:rsidP="00AE793D">
            <w:pPr>
              <w:pStyle w:val="Heading2"/>
              <w:numPr>
                <w:ilvl w:val="0"/>
                <w:numId w:val="15"/>
              </w:numPr>
              <w:rPr>
                <w:rFonts w:ascii="Arial" w:hAnsi="Arial" w:cs="Arial"/>
                <w:b w:val="0"/>
                <w:caps/>
                <w:color w:val="FFFFFF"/>
                <w:szCs w:val="22"/>
                <w:lang w:eastAsia="en-GB"/>
              </w:rPr>
            </w:pPr>
            <w:r>
              <w:rPr>
                <w:rFonts w:ascii="Arial" w:hAnsi="Arial" w:cs="Arial"/>
                <w:b w:val="0"/>
                <w:caps/>
                <w:color w:val="FFFFFF"/>
                <w:szCs w:val="22"/>
                <w:lang w:eastAsia="en-GB"/>
              </w:rPr>
              <w:lastRenderedPageBreak/>
              <w:t>CQUINS</w:t>
            </w:r>
          </w:p>
        </w:tc>
        <w:tc>
          <w:tcPr>
            <w:tcW w:w="398" w:type="dxa"/>
            <w:tcBorders>
              <w:top w:val="single" w:sz="4" w:space="0" w:color="auto"/>
              <w:left w:val="single" w:sz="4" w:space="0" w:color="auto"/>
              <w:bottom w:val="single" w:sz="4" w:space="0" w:color="auto"/>
              <w:right w:val="single" w:sz="4" w:space="0" w:color="auto"/>
            </w:tcBorders>
            <w:shd w:val="clear" w:color="000000" w:fill="0070C0"/>
          </w:tcPr>
          <w:p w:rsidR="0058221A" w:rsidRDefault="0058221A" w:rsidP="00AE7AB3">
            <w:pPr>
              <w:pStyle w:val="Heading2"/>
              <w:numPr>
                <w:ilvl w:val="0"/>
                <w:numId w:val="11"/>
              </w:numPr>
              <w:rPr>
                <w:rFonts w:ascii="Arial" w:hAnsi="Arial" w:cs="Arial"/>
                <w:b w:val="0"/>
                <w:caps/>
                <w:color w:val="FFFFFF"/>
                <w:szCs w:val="22"/>
                <w:lang w:eastAsia="en-GB"/>
              </w:rPr>
            </w:pPr>
          </w:p>
        </w:tc>
      </w:tr>
      <w:tr w:rsidR="0058221A" w:rsidRPr="00677B2B" w:rsidTr="000D0569">
        <w:trPr>
          <w:trHeight w:val="300"/>
        </w:trPr>
        <w:tc>
          <w:tcPr>
            <w:tcW w:w="3647" w:type="dxa"/>
            <w:tcBorders>
              <w:top w:val="single" w:sz="4" w:space="0" w:color="auto"/>
              <w:left w:val="single" w:sz="4" w:space="0" w:color="auto"/>
              <w:bottom w:val="single" w:sz="4" w:space="0" w:color="auto"/>
              <w:right w:val="single" w:sz="4" w:space="0" w:color="auto"/>
            </w:tcBorders>
            <w:shd w:val="clear" w:color="000000" w:fill="C0C0C0"/>
            <w:noWrap/>
          </w:tcPr>
          <w:p w:rsidR="0058221A" w:rsidRPr="00823420" w:rsidRDefault="0058221A" w:rsidP="00514DA0">
            <w:pPr>
              <w:spacing w:after="0" w:line="240" w:lineRule="auto"/>
              <w:rPr>
                <w:rFonts w:cs="Arial"/>
                <w:lang w:eastAsia="en-GB"/>
              </w:rPr>
            </w:pPr>
          </w:p>
        </w:tc>
        <w:tc>
          <w:tcPr>
            <w:tcW w:w="3641" w:type="dxa"/>
            <w:tcBorders>
              <w:top w:val="single" w:sz="4" w:space="0" w:color="auto"/>
              <w:left w:val="nil"/>
              <w:bottom w:val="single" w:sz="4" w:space="0" w:color="auto"/>
              <w:right w:val="single" w:sz="4" w:space="0" w:color="000000"/>
            </w:tcBorders>
            <w:shd w:val="clear" w:color="000000" w:fill="C0C0C0"/>
            <w:noWrap/>
          </w:tcPr>
          <w:p w:rsidR="0058221A" w:rsidRPr="00823420" w:rsidRDefault="0058221A" w:rsidP="00514DA0">
            <w:pPr>
              <w:spacing w:after="0" w:line="240" w:lineRule="auto"/>
              <w:rPr>
                <w:rFonts w:cs="Arial"/>
                <w:b/>
                <w:lang w:eastAsia="en-GB"/>
              </w:rPr>
            </w:pPr>
            <w:r w:rsidRPr="00823420">
              <w:rPr>
                <w:rFonts w:cs="Arial"/>
                <w:b/>
                <w:lang w:eastAsia="en-GB"/>
              </w:rPr>
              <w:t>Q1 Progress</w:t>
            </w:r>
          </w:p>
        </w:tc>
        <w:tc>
          <w:tcPr>
            <w:tcW w:w="2242" w:type="dxa"/>
            <w:tcBorders>
              <w:top w:val="single" w:sz="4" w:space="0" w:color="auto"/>
              <w:left w:val="nil"/>
              <w:bottom w:val="single" w:sz="4" w:space="0" w:color="auto"/>
              <w:right w:val="single" w:sz="4" w:space="0" w:color="auto"/>
            </w:tcBorders>
            <w:shd w:val="clear" w:color="000000" w:fill="C0C0C0"/>
            <w:noWrap/>
          </w:tcPr>
          <w:p w:rsidR="0058221A" w:rsidRPr="00823420" w:rsidRDefault="0058221A" w:rsidP="00514DA0">
            <w:pPr>
              <w:spacing w:after="0" w:line="240" w:lineRule="auto"/>
              <w:rPr>
                <w:rFonts w:cs="Arial"/>
                <w:b/>
                <w:lang w:eastAsia="en-GB"/>
              </w:rPr>
            </w:pPr>
            <w:r w:rsidRPr="00823420">
              <w:rPr>
                <w:rFonts w:cs="Arial"/>
                <w:b/>
                <w:lang w:eastAsia="en-GB"/>
              </w:rPr>
              <w:t>Q1 Milestone</w:t>
            </w:r>
          </w:p>
        </w:tc>
        <w:tc>
          <w:tcPr>
            <w:tcW w:w="398" w:type="dxa"/>
            <w:tcBorders>
              <w:top w:val="single" w:sz="4" w:space="0" w:color="auto"/>
              <w:left w:val="nil"/>
              <w:bottom w:val="single" w:sz="4" w:space="0" w:color="auto"/>
              <w:right w:val="single" w:sz="4" w:space="0" w:color="auto"/>
            </w:tcBorders>
            <w:shd w:val="clear" w:color="000000" w:fill="C0C0C0"/>
          </w:tcPr>
          <w:p w:rsidR="0058221A" w:rsidRPr="00823420" w:rsidRDefault="0058221A" w:rsidP="00514DA0">
            <w:pPr>
              <w:spacing w:after="0" w:line="240" w:lineRule="auto"/>
              <w:rPr>
                <w:rFonts w:cs="Arial"/>
                <w:b/>
                <w:lang w:eastAsia="en-GB"/>
              </w:rPr>
            </w:pPr>
          </w:p>
        </w:tc>
      </w:tr>
      <w:tr w:rsidR="0058221A" w:rsidRPr="00677B2B" w:rsidTr="000D0569">
        <w:trPr>
          <w:trHeight w:val="300"/>
        </w:trPr>
        <w:tc>
          <w:tcPr>
            <w:tcW w:w="9530" w:type="dxa"/>
            <w:gridSpan w:val="3"/>
            <w:tcBorders>
              <w:top w:val="single" w:sz="4" w:space="0" w:color="auto"/>
              <w:left w:val="single" w:sz="4" w:space="0" w:color="auto"/>
              <w:bottom w:val="single" w:sz="4" w:space="0" w:color="auto"/>
              <w:right w:val="single" w:sz="4" w:space="0" w:color="auto"/>
            </w:tcBorders>
            <w:shd w:val="clear" w:color="000000" w:fill="C0C0C0"/>
          </w:tcPr>
          <w:p w:rsidR="0058221A" w:rsidRPr="00823420" w:rsidRDefault="0058221A" w:rsidP="00823420">
            <w:pPr>
              <w:spacing w:after="0" w:line="240" w:lineRule="auto"/>
              <w:rPr>
                <w:rFonts w:cs="Arial"/>
                <w:b/>
                <w:lang w:eastAsia="en-GB"/>
              </w:rPr>
            </w:pPr>
            <w:r w:rsidRPr="00823420">
              <w:rPr>
                <w:rFonts w:cs="Arial"/>
                <w:b/>
                <w:lang w:eastAsia="en-GB"/>
              </w:rPr>
              <w:t>Oxfordshire and Buckinghamshire Adult and Older Adult</w:t>
            </w:r>
          </w:p>
        </w:tc>
        <w:tc>
          <w:tcPr>
            <w:tcW w:w="398" w:type="dxa"/>
            <w:tcBorders>
              <w:top w:val="single" w:sz="4" w:space="0" w:color="auto"/>
              <w:left w:val="single" w:sz="4" w:space="0" w:color="auto"/>
              <w:bottom w:val="single" w:sz="4" w:space="0" w:color="auto"/>
              <w:right w:val="single" w:sz="4" w:space="0" w:color="auto"/>
            </w:tcBorders>
            <w:shd w:val="clear" w:color="000000" w:fill="C0C0C0"/>
          </w:tcPr>
          <w:p w:rsidR="0058221A" w:rsidRPr="00823420" w:rsidRDefault="0058221A" w:rsidP="00823420">
            <w:pPr>
              <w:spacing w:after="0" w:line="240" w:lineRule="auto"/>
              <w:rPr>
                <w:rFonts w:cs="Arial"/>
                <w:b/>
                <w:lang w:eastAsia="en-GB"/>
              </w:rPr>
            </w:pPr>
          </w:p>
        </w:tc>
      </w:tr>
      <w:tr w:rsidR="0058221A" w:rsidRPr="00677B2B" w:rsidTr="000D0569">
        <w:trPr>
          <w:trHeight w:val="3060"/>
        </w:trPr>
        <w:tc>
          <w:tcPr>
            <w:tcW w:w="3647" w:type="dxa"/>
            <w:tcBorders>
              <w:top w:val="single" w:sz="4" w:space="0" w:color="auto"/>
              <w:left w:val="single" w:sz="4" w:space="0" w:color="auto"/>
              <w:bottom w:val="single" w:sz="4" w:space="0" w:color="auto"/>
              <w:right w:val="single" w:sz="4" w:space="0" w:color="auto"/>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To participate in the Leading Improvements in Patient Safety Programme and agreement of action plan to deliver project</w:t>
            </w:r>
          </w:p>
        </w:tc>
        <w:tc>
          <w:tcPr>
            <w:tcW w:w="3641" w:type="dxa"/>
            <w:tcBorders>
              <w:top w:val="single" w:sz="4" w:space="0" w:color="auto"/>
              <w:left w:val="nil"/>
              <w:bottom w:val="single" w:sz="4" w:space="0" w:color="auto"/>
              <w:right w:val="single" w:sz="4" w:space="0" w:color="000000"/>
            </w:tcBorders>
          </w:tcPr>
          <w:p w:rsidR="0058221A" w:rsidRPr="00595928" w:rsidRDefault="0058221A" w:rsidP="00514DA0">
            <w:pPr>
              <w:spacing w:after="0" w:line="240" w:lineRule="auto"/>
              <w:rPr>
                <w:rFonts w:cs="Arial"/>
                <w:sz w:val="20"/>
                <w:szCs w:val="20"/>
                <w:lang w:eastAsia="en-GB"/>
              </w:rPr>
            </w:pPr>
            <w:r w:rsidRPr="00595928">
              <w:rPr>
                <w:rFonts w:cs="Arial"/>
                <w:sz w:val="20"/>
                <w:szCs w:val="20"/>
                <w:lang w:eastAsia="en-GB"/>
              </w:rPr>
              <w:t>Q</w:t>
            </w:r>
            <w:r w:rsidR="00595928" w:rsidRPr="00595928">
              <w:rPr>
                <w:rFonts w:cs="Arial"/>
                <w:sz w:val="20"/>
                <w:szCs w:val="20"/>
                <w:lang w:eastAsia="en-GB"/>
              </w:rPr>
              <w:t>2</w:t>
            </w:r>
            <w:r w:rsidRPr="00595928">
              <w:rPr>
                <w:rFonts w:cs="Arial"/>
                <w:sz w:val="20"/>
                <w:szCs w:val="20"/>
                <w:lang w:eastAsia="en-GB"/>
              </w:rPr>
              <w:t xml:space="preserve"> participated in all relevant LIPs modules. </w:t>
            </w:r>
          </w:p>
          <w:p w:rsidR="0058221A" w:rsidRPr="00595928" w:rsidRDefault="0058221A" w:rsidP="00595928">
            <w:pPr>
              <w:spacing w:after="0" w:line="240" w:lineRule="auto"/>
              <w:rPr>
                <w:rFonts w:cs="Arial"/>
                <w:sz w:val="20"/>
                <w:szCs w:val="20"/>
                <w:lang w:eastAsia="en-GB"/>
              </w:rPr>
            </w:pPr>
            <w:r w:rsidRPr="00595928">
              <w:rPr>
                <w:rFonts w:cs="Arial"/>
                <w:sz w:val="20"/>
                <w:szCs w:val="20"/>
                <w:lang w:eastAsia="en-GB"/>
              </w:rPr>
              <w:br/>
              <w:t xml:space="preserve">A programme plan is in place to deliver the project and a new Steering Board </w:t>
            </w:r>
            <w:r w:rsidR="00595928" w:rsidRPr="00595928">
              <w:rPr>
                <w:rFonts w:cs="Arial"/>
                <w:sz w:val="20"/>
                <w:szCs w:val="20"/>
                <w:lang w:eastAsia="en-GB"/>
              </w:rPr>
              <w:t xml:space="preserve">was </w:t>
            </w:r>
            <w:r w:rsidRPr="00595928">
              <w:rPr>
                <w:rFonts w:cs="Arial"/>
                <w:sz w:val="20"/>
                <w:szCs w:val="20"/>
                <w:lang w:eastAsia="en-GB"/>
              </w:rPr>
              <w:t>established by September 2011, chaired by the Director of Nursing and Clinical Standards, to monitor progress with the programme. A new lead for the project has been identified from within the Improvement and Innovation team.</w:t>
            </w:r>
          </w:p>
        </w:tc>
        <w:tc>
          <w:tcPr>
            <w:tcW w:w="2242" w:type="dxa"/>
            <w:tcBorders>
              <w:top w:val="single" w:sz="4" w:space="0" w:color="auto"/>
              <w:left w:val="nil"/>
              <w:bottom w:val="single" w:sz="4" w:space="0" w:color="auto"/>
              <w:right w:val="single" w:sz="4" w:space="0" w:color="auto"/>
            </w:tcBorders>
            <w:noWrap/>
          </w:tcPr>
          <w:p w:rsidR="0058221A" w:rsidRPr="00595928" w:rsidRDefault="0058221A" w:rsidP="00823420">
            <w:pPr>
              <w:spacing w:after="0" w:line="240" w:lineRule="auto"/>
              <w:rPr>
                <w:rFonts w:cs="Arial"/>
                <w:sz w:val="20"/>
                <w:szCs w:val="20"/>
                <w:lang w:eastAsia="en-GB"/>
              </w:rPr>
            </w:pPr>
            <w:r w:rsidRPr="00595928">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00B050"/>
                <w:sz w:val="20"/>
                <w:szCs w:val="20"/>
                <w:lang w:eastAsia="en-GB"/>
              </w:rPr>
            </w:pPr>
          </w:p>
        </w:tc>
      </w:tr>
      <w:tr w:rsidR="0058221A" w:rsidRPr="00677B2B" w:rsidTr="000D0569">
        <w:trPr>
          <w:trHeight w:val="1830"/>
        </w:trPr>
        <w:tc>
          <w:tcPr>
            <w:tcW w:w="3647" w:type="dxa"/>
            <w:tcBorders>
              <w:top w:val="single" w:sz="4" w:space="0" w:color="auto"/>
              <w:left w:val="single" w:sz="4" w:space="0" w:color="auto"/>
              <w:bottom w:val="single" w:sz="4" w:space="0" w:color="auto"/>
              <w:right w:val="nil"/>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Audit risk assessment of patients who have presented to A&amp;E hospital for self harm against key recommendations in Self Harm NICE Clinical Guideline</w:t>
            </w:r>
          </w:p>
        </w:tc>
        <w:tc>
          <w:tcPr>
            <w:tcW w:w="3641" w:type="dxa"/>
            <w:tcBorders>
              <w:top w:val="single" w:sz="4" w:space="0" w:color="auto"/>
              <w:left w:val="single" w:sz="4" w:space="0" w:color="auto"/>
              <w:bottom w:val="single" w:sz="4" w:space="0" w:color="auto"/>
              <w:right w:val="single" w:sz="4" w:space="0" w:color="000000"/>
            </w:tcBorders>
          </w:tcPr>
          <w:p w:rsidR="0058221A" w:rsidRPr="00595928" w:rsidRDefault="0058221A" w:rsidP="00595928">
            <w:pPr>
              <w:spacing w:after="0" w:line="240" w:lineRule="auto"/>
              <w:rPr>
                <w:rFonts w:cs="Arial"/>
                <w:sz w:val="20"/>
                <w:szCs w:val="20"/>
                <w:lang w:eastAsia="en-GB"/>
              </w:rPr>
            </w:pPr>
            <w:r w:rsidRPr="00595928">
              <w:rPr>
                <w:rFonts w:cs="Arial"/>
                <w:sz w:val="20"/>
                <w:szCs w:val="20"/>
                <w:lang w:eastAsia="en-GB"/>
              </w:rPr>
              <w:t>Q</w:t>
            </w:r>
            <w:r w:rsidR="00595928" w:rsidRPr="00595928">
              <w:rPr>
                <w:rFonts w:cs="Arial"/>
                <w:sz w:val="20"/>
                <w:szCs w:val="20"/>
                <w:lang w:eastAsia="en-GB"/>
              </w:rPr>
              <w:t>2</w:t>
            </w:r>
            <w:r w:rsidRPr="00595928">
              <w:rPr>
                <w:rFonts w:cs="Arial"/>
                <w:sz w:val="20"/>
                <w:szCs w:val="20"/>
                <w:lang w:eastAsia="en-GB"/>
              </w:rPr>
              <w:t xml:space="preserve"> Oxon- action plan </w:t>
            </w:r>
            <w:r w:rsidR="00595928" w:rsidRPr="00595928">
              <w:rPr>
                <w:rFonts w:cs="Arial"/>
                <w:sz w:val="20"/>
                <w:szCs w:val="20"/>
                <w:lang w:eastAsia="en-GB"/>
              </w:rPr>
              <w:t>being implemented and progress updates produced</w:t>
            </w:r>
            <w:r w:rsidRPr="00595928">
              <w:rPr>
                <w:rFonts w:cs="Arial"/>
                <w:sz w:val="20"/>
                <w:szCs w:val="20"/>
                <w:lang w:eastAsia="en-GB"/>
              </w:rPr>
              <w:t>.</w:t>
            </w:r>
            <w:r w:rsidRPr="00595928">
              <w:rPr>
                <w:rFonts w:cs="Arial"/>
                <w:sz w:val="20"/>
                <w:szCs w:val="20"/>
                <w:lang w:eastAsia="en-GB"/>
              </w:rPr>
              <w:br/>
              <w:t xml:space="preserve">Q1 Bucks – </w:t>
            </w:r>
            <w:r w:rsidR="00595928" w:rsidRPr="00595928">
              <w:rPr>
                <w:rFonts w:cs="Arial"/>
                <w:sz w:val="20"/>
                <w:szCs w:val="20"/>
                <w:lang w:eastAsia="en-GB"/>
              </w:rPr>
              <w:t>A</w:t>
            </w:r>
            <w:r w:rsidRPr="00595928">
              <w:rPr>
                <w:rFonts w:cs="Arial"/>
                <w:sz w:val="20"/>
                <w:szCs w:val="20"/>
                <w:lang w:eastAsia="en-GB"/>
              </w:rPr>
              <w:t>udit completed by 30th Sept 2011.</w:t>
            </w:r>
          </w:p>
        </w:tc>
        <w:tc>
          <w:tcPr>
            <w:tcW w:w="2242" w:type="dxa"/>
            <w:tcBorders>
              <w:top w:val="single" w:sz="4" w:space="0" w:color="auto"/>
              <w:left w:val="nil"/>
              <w:bottom w:val="single" w:sz="4" w:space="0" w:color="auto"/>
              <w:right w:val="single" w:sz="4" w:space="0" w:color="auto"/>
            </w:tcBorders>
            <w:noWrap/>
          </w:tcPr>
          <w:p w:rsidR="0058221A" w:rsidRPr="00595928" w:rsidRDefault="0058221A" w:rsidP="00823420">
            <w:pPr>
              <w:spacing w:after="0" w:line="240" w:lineRule="auto"/>
              <w:rPr>
                <w:rFonts w:cs="Arial"/>
                <w:sz w:val="20"/>
                <w:szCs w:val="20"/>
                <w:lang w:eastAsia="en-GB"/>
              </w:rPr>
            </w:pPr>
            <w:r w:rsidRPr="00595928">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00B050"/>
                <w:sz w:val="20"/>
                <w:szCs w:val="20"/>
                <w:lang w:eastAsia="en-GB"/>
              </w:rPr>
            </w:pPr>
          </w:p>
        </w:tc>
      </w:tr>
      <w:tr w:rsidR="0058221A" w:rsidRPr="00677B2B" w:rsidTr="000D0569">
        <w:trPr>
          <w:trHeight w:val="1261"/>
        </w:trPr>
        <w:tc>
          <w:tcPr>
            <w:tcW w:w="3647" w:type="dxa"/>
            <w:tcBorders>
              <w:top w:val="single" w:sz="4" w:space="0" w:color="auto"/>
              <w:left w:val="single" w:sz="4" w:space="0" w:color="auto"/>
              <w:bottom w:val="single" w:sz="4" w:space="0" w:color="auto"/>
              <w:right w:val="single" w:sz="4" w:space="0" w:color="auto"/>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Each CMHT to implement one new service improvement to reduce community deaths.</w:t>
            </w:r>
          </w:p>
        </w:tc>
        <w:tc>
          <w:tcPr>
            <w:tcW w:w="3641" w:type="dxa"/>
            <w:tcBorders>
              <w:top w:val="single" w:sz="4" w:space="0" w:color="auto"/>
              <w:left w:val="nil"/>
              <w:bottom w:val="single" w:sz="4" w:space="0" w:color="auto"/>
              <w:right w:val="single" w:sz="4" w:space="0" w:color="000000"/>
            </w:tcBorders>
          </w:tcPr>
          <w:p w:rsidR="0058221A" w:rsidRPr="00595928" w:rsidRDefault="00595928" w:rsidP="00595928">
            <w:pPr>
              <w:spacing w:after="0" w:line="240" w:lineRule="auto"/>
              <w:rPr>
                <w:rFonts w:cs="Arial"/>
                <w:sz w:val="20"/>
                <w:szCs w:val="20"/>
                <w:lang w:eastAsia="en-GB"/>
              </w:rPr>
            </w:pPr>
            <w:r>
              <w:rPr>
                <w:rFonts w:cs="Arial"/>
                <w:sz w:val="20"/>
                <w:szCs w:val="20"/>
                <w:lang w:eastAsia="en-GB"/>
              </w:rPr>
              <w:t>Additional modules for mandatory staff training have been rolled out regarding advanced assessment skills</w:t>
            </w:r>
            <w:r w:rsidR="0058221A" w:rsidRPr="00595928">
              <w:rPr>
                <w:rFonts w:cs="Arial"/>
                <w:sz w:val="20"/>
                <w:szCs w:val="20"/>
                <w:lang w:eastAsia="en-GB"/>
              </w:rPr>
              <w:t xml:space="preserve"> </w:t>
            </w:r>
          </w:p>
        </w:tc>
        <w:tc>
          <w:tcPr>
            <w:tcW w:w="2242" w:type="dxa"/>
            <w:tcBorders>
              <w:top w:val="single" w:sz="4" w:space="0" w:color="auto"/>
              <w:left w:val="nil"/>
              <w:bottom w:val="single" w:sz="4" w:space="0" w:color="auto"/>
              <w:right w:val="single" w:sz="4" w:space="0" w:color="auto"/>
            </w:tcBorders>
            <w:noWrap/>
          </w:tcPr>
          <w:p w:rsidR="0058221A" w:rsidRPr="00595928" w:rsidRDefault="0058221A" w:rsidP="00823420">
            <w:pPr>
              <w:spacing w:after="0" w:line="240" w:lineRule="auto"/>
              <w:rPr>
                <w:rFonts w:cs="Arial"/>
                <w:sz w:val="20"/>
                <w:szCs w:val="20"/>
                <w:lang w:eastAsia="en-GB"/>
              </w:rPr>
            </w:pPr>
            <w:r w:rsidRPr="00595928">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00B050"/>
                <w:sz w:val="20"/>
                <w:szCs w:val="20"/>
                <w:lang w:eastAsia="en-GB"/>
              </w:rPr>
            </w:pPr>
          </w:p>
        </w:tc>
      </w:tr>
      <w:tr w:rsidR="0058221A" w:rsidRPr="00677B2B" w:rsidTr="000D0569">
        <w:trPr>
          <w:trHeight w:val="1265"/>
        </w:trPr>
        <w:tc>
          <w:tcPr>
            <w:tcW w:w="3647" w:type="dxa"/>
            <w:tcBorders>
              <w:top w:val="single" w:sz="4" w:space="0" w:color="auto"/>
              <w:left w:val="single" w:sz="4" w:space="0" w:color="auto"/>
              <w:bottom w:val="single" w:sz="4" w:space="0" w:color="auto"/>
              <w:right w:val="single" w:sz="4" w:space="0" w:color="auto"/>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Review through patient interview the person’s experience of being cared for while on level 2, 3 or 4 patient observations.</w:t>
            </w:r>
          </w:p>
        </w:tc>
        <w:tc>
          <w:tcPr>
            <w:tcW w:w="3641" w:type="dxa"/>
            <w:tcBorders>
              <w:top w:val="single" w:sz="4" w:space="0" w:color="auto"/>
              <w:left w:val="nil"/>
              <w:bottom w:val="single" w:sz="4" w:space="0" w:color="auto"/>
              <w:right w:val="single" w:sz="4" w:space="0" w:color="000000"/>
            </w:tcBorders>
          </w:tcPr>
          <w:p w:rsidR="0058221A" w:rsidRPr="00595928" w:rsidRDefault="00595928" w:rsidP="00823420">
            <w:pPr>
              <w:spacing w:after="0" w:line="240" w:lineRule="auto"/>
              <w:rPr>
                <w:rFonts w:cs="Arial"/>
                <w:sz w:val="20"/>
                <w:szCs w:val="20"/>
                <w:lang w:eastAsia="en-GB"/>
              </w:rPr>
            </w:pPr>
            <w:r>
              <w:rPr>
                <w:rFonts w:cs="Arial"/>
                <w:sz w:val="20"/>
                <w:szCs w:val="20"/>
                <w:lang w:eastAsia="en-GB"/>
              </w:rPr>
              <w:t>Survey carried out and action plan being produced</w:t>
            </w:r>
          </w:p>
        </w:tc>
        <w:tc>
          <w:tcPr>
            <w:tcW w:w="2242" w:type="dxa"/>
            <w:tcBorders>
              <w:top w:val="single" w:sz="4" w:space="0" w:color="auto"/>
              <w:left w:val="nil"/>
              <w:bottom w:val="single" w:sz="4" w:space="0" w:color="auto"/>
              <w:right w:val="single" w:sz="4" w:space="0" w:color="auto"/>
            </w:tcBorders>
            <w:noWrap/>
          </w:tcPr>
          <w:p w:rsidR="0058221A" w:rsidRPr="00595928" w:rsidRDefault="0058221A" w:rsidP="00823420">
            <w:pPr>
              <w:spacing w:after="0" w:line="240" w:lineRule="auto"/>
              <w:rPr>
                <w:rFonts w:cs="Arial"/>
                <w:sz w:val="20"/>
                <w:szCs w:val="20"/>
                <w:lang w:eastAsia="en-GB"/>
              </w:rPr>
            </w:pPr>
            <w:r w:rsidRPr="00595928">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00B050"/>
                <w:sz w:val="20"/>
                <w:szCs w:val="20"/>
                <w:lang w:eastAsia="en-GB"/>
              </w:rPr>
            </w:pPr>
          </w:p>
        </w:tc>
      </w:tr>
      <w:tr w:rsidR="0058221A" w:rsidRPr="00677B2B" w:rsidTr="00595928">
        <w:trPr>
          <w:trHeight w:val="945"/>
        </w:trPr>
        <w:tc>
          <w:tcPr>
            <w:tcW w:w="3647" w:type="dxa"/>
            <w:tcBorders>
              <w:top w:val="single" w:sz="4" w:space="0" w:color="auto"/>
              <w:left w:val="single" w:sz="4" w:space="0" w:color="auto"/>
              <w:bottom w:val="single" w:sz="4" w:space="0" w:color="auto"/>
              <w:right w:val="nil"/>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 xml:space="preserve">% of patients who have 2 HoNOS scores </w:t>
            </w:r>
            <w:r w:rsidRPr="00823420">
              <w:rPr>
                <w:rFonts w:cs="Arial"/>
                <w:sz w:val="20"/>
                <w:szCs w:val="20"/>
                <w:u w:val="single"/>
                <w:lang w:eastAsia="en-GB"/>
              </w:rPr>
              <w:t>within the last 12 months</w:t>
            </w:r>
            <w:r w:rsidRPr="00823420">
              <w:rPr>
                <w:rFonts w:cs="Arial"/>
                <w:sz w:val="20"/>
                <w:szCs w:val="20"/>
                <w:lang w:eastAsia="en-GB"/>
              </w:rPr>
              <w:t xml:space="preserve"> as part of mental health clustering tool following being open for 9 months or more</w:t>
            </w:r>
          </w:p>
        </w:tc>
        <w:tc>
          <w:tcPr>
            <w:tcW w:w="3641" w:type="dxa"/>
            <w:tcBorders>
              <w:top w:val="single" w:sz="4" w:space="0" w:color="auto"/>
              <w:left w:val="single" w:sz="4" w:space="0" w:color="auto"/>
              <w:bottom w:val="single" w:sz="4" w:space="0" w:color="auto"/>
              <w:right w:val="single" w:sz="4" w:space="0" w:color="000000"/>
            </w:tcBorders>
          </w:tcPr>
          <w:p w:rsidR="005C35BF" w:rsidRPr="005C35BF" w:rsidRDefault="0058221A" w:rsidP="005C35BF">
            <w:pPr>
              <w:spacing w:after="0" w:line="240" w:lineRule="auto"/>
              <w:rPr>
                <w:rFonts w:cs="Arial"/>
                <w:sz w:val="20"/>
                <w:szCs w:val="20"/>
                <w:lang w:eastAsia="en-GB"/>
              </w:rPr>
            </w:pPr>
            <w:r w:rsidRPr="005C35BF">
              <w:rPr>
                <w:rFonts w:cs="Arial"/>
                <w:sz w:val="20"/>
                <w:szCs w:val="20"/>
                <w:lang w:eastAsia="en-GB"/>
              </w:rPr>
              <w:t xml:space="preserve">Q1 46% </w:t>
            </w:r>
          </w:p>
          <w:p w:rsidR="0058221A" w:rsidRPr="007D54EB" w:rsidRDefault="005C35BF" w:rsidP="005C35BF">
            <w:pPr>
              <w:spacing w:after="0" w:line="240" w:lineRule="auto"/>
              <w:rPr>
                <w:rFonts w:cs="Arial"/>
                <w:color w:val="4F81BD" w:themeColor="accent1"/>
                <w:sz w:val="20"/>
                <w:szCs w:val="20"/>
                <w:lang w:eastAsia="en-GB"/>
              </w:rPr>
            </w:pPr>
            <w:r w:rsidRPr="005C35BF">
              <w:rPr>
                <w:rFonts w:cs="Arial"/>
                <w:sz w:val="20"/>
                <w:szCs w:val="20"/>
                <w:lang w:eastAsia="en-GB"/>
              </w:rPr>
              <w:t>Q2 48% (target 55%)</w:t>
            </w:r>
          </w:p>
        </w:tc>
        <w:tc>
          <w:tcPr>
            <w:tcW w:w="2242" w:type="dxa"/>
            <w:tcBorders>
              <w:top w:val="single" w:sz="4" w:space="0" w:color="auto"/>
              <w:left w:val="nil"/>
              <w:bottom w:val="single" w:sz="4" w:space="0" w:color="auto"/>
              <w:right w:val="single" w:sz="4" w:space="0" w:color="auto"/>
            </w:tcBorders>
          </w:tcPr>
          <w:p w:rsidR="0058221A" w:rsidRPr="007D54EB" w:rsidRDefault="0058221A" w:rsidP="00823420">
            <w:pPr>
              <w:spacing w:after="0" w:line="240" w:lineRule="auto"/>
              <w:rPr>
                <w:rFonts w:cs="Arial"/>
                <w:color w:val="4F81BD" w:themeColor="accent1"/>
                <w:sz w:val="20"/>
                <w:szCs w:val="20"/>
                <w:lang w:eastAsia="en-GB"/>
              </w:rPr>
            </w:pPr>
          </w:p>
        </w:tc>
        <w:tc>
          <w:tcPr>
            <w:tcW w:w="398" w:type="dxa"/>
            <w:tcBorders>
              <w:top w:val="single" w:sz="4" w:space="0" w:color="auto"/>
              <w:left w:val="nil"/>
              <w:bottom w:val="single" w:sz="4" w:space="0" w:color="auto"/>
              <w:right w:val="single" w:sz="4" w:space="0" w:color="auto"/>
            </w:tcBorders>
            <w:shd w:val="clear" w:color="auto" w:fill="FFC000"/>
          </w:tcPr>
          <w:p w:rsidR="0058221A" w:rsidRPr="00823420" w:rsidRDefault="0058221A" w:rsidP="00823420">
            <w:pPr>
              <w:spacing w:after="0" w:line="240" w:lineRule="auto"/>
              <w:rPr>
                <w:rFonts w:cs="Arial"/>
                <w:color w:val="FFC000"/>
                <w:sz w:val="20"/>
                <w:szCs w:val="20"/>
                <w:lang w:eastAsia="en-GB"/>
              </w:rPr>
            </w:pPr>
          </w:p>
        </w:tc>
      </w:tr>
      <w:tr w:rsidR="0058221A" w:rsidRPr="00677B2B" w:rsidTr="00595928">
        <w:trPr>
          <w:trHeight w:val="960"/>
        </w:trPr>
        <w:tc>
          <w:tcPr>
            <w:tcW w:w="3647" w:type="dxa"/>
            <w:tcBorders>
              <w:top w:val="single" w:sz="4" w:space="0" w:color="auto"/>
              <w:left w:val="single" w:sz="4" w:space="0" w:color="auto"/>
              <w:bottom w:val="single" w:sz="4" w:space="0" w:color="auto"/>
              <w:right w:val="single" w:sz="4" w:space="0" w:color="auto"/>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 of patients open to Trust for longer than 2 months identified to a mental health cluster</w:t>
            </w:r>
          </w:p>
        </w:tc>
        <w:tc>
          <w:tcPr>
            <w:tcW w:w="3641" w:type="dxa"/>
            <w:tcBorders>
              <w:top w:val="single" w:sz="4" w:space="0" w:color="auto"/>
              <w:left w:val="nil"/>
              <w:bottom w:val="single" w:sz="4" w:space="0" w:color="auto"/>
              <w:right w:val="single" w:sz="4" w:space="0" w:color="000000"/>
            </w:tcBorders>
          </w:tcPr>
          <w:p w:rsidR="005C35BF" w:rsidRPr="005C35BF" w:rsidRDefault="0058221A" w:rsidP="00823420">
            <w:pPr>
              <w:spacing w:after="0" w:line="240" w:lineRule="auto"/>
              <w:rPr>
                <w:rFonts w:cs="Arial"/>
                <w:sz w:val="20"/>
                <w:szCs w:val="20"/>
                <w:lang w:eastAsia="en-GB"/>
              </w:rPr>
            </w:pPr>
            <w:r w:rsidRPr="005C35BF">
              <w:rPr>
                <w:rFonts w:cs="Arial"/>
                <w:sz w:val="20"/>
                <w:szCs w:val="20"/>
                <w:lang w:eastAsia="en-GB"/>
              </w:rPr>
              <w:t>Q1 53%</w:t>
            </w:r>
          </w:p>
          <w:p w:rsidR="005C35BF" w:rsidRPr="005C35BF" w:rsidRDefault="005C35BF" w:rsidP="00823420">
            <w:pPr>
              <w:spacing w:after="0" w:line="240" w:lineRule="auto"/>
              <w:rPr>
                <w:rFonts w:cs="Arial"/>
                <w:sz w:val="20"/>
                <w:szCs w:val="20"/>
                <w:lang w:eastAsia="en-GB"/>
              </w:rPr>
            </w:pPr>
            <w:r w:rsidRPr="005C35BF">
              <w:rPr>
                <w:rFonts w:cs="Arial"/>
                <w:sz w:val="20"/>
                <w:szCs w:val="20"/>
                <w:lang w:eastAsia="en-GB"/>
              </w:rPr>
              <w:t>Q2 82% (target 77%)</w:t>
            </w:r>
          </w:p>
          <w:p w:rsidR="0058221A" w:rsidRPr="007D54EB" w:rsidRDefault="0058221A" w:rsidP="00823420">
            <w:pPr>
              <w:spacing w:after="0" w:line="240" w:lineRule="auto"/>
              <w:rPr>
                <w:rFonts w:cs="Arial"/>
                <w:color w:val="4F81BD" w:themeColor="accent1"/>
                <w:sz w:val="20"/>
                <w:szCs w:val="20"/>
                <w:lang w:eastAsia="en-GB"/>
              </w:rPr>
            </w:pPr>
            <w:r w:rsidRPr="005C35BF">
              <w:rPr>
                <w:rFonts w:cs="Arial"/>
                <w:sz w:val="20"/>
                <w:szCs w:val="20"/>
                <w:lang w:eastAsia="en-GB"/>
              </w:rPr>
              <w:t>An action plan is in place to ensure clustering is in place for all patients by 31st Dec 2011.</w:t>
            </w:r>
          </w:p>
        </w:tc>
        <w:tc>
          <w:tcPr>
            <w:tcW w:w="2242" w:type="dxa"/>
            <w:tcBorders>
              <w:top w:val="single" w:sz="4" w:space="0" w:color="auto"/>
              <w:left w:val="nil"/>
              <w:bottom w:val="single" w:sz="4" w:space="0" w:color="auto"/>
              <w:right w:val="single" w:sz="4" w:space="0" w:color="auto"/>
            </w:tcBorders>
          </w:tcPr>
          <w:p w:rsidR="0058221A" w:rsidRPr="007D54EB" w:rsidRDefault="0058221A" w:rsidP="00823420">
            <w:pPr>
              <w:spacing w:after="0" w:line="240" w:lineRule="auto"/>
              <w:rPr>
                <w:rFonts w:cs="Arial"/>
                <w:color w:val="4F81BD" w:themeColor="accent1"/>
                <w:sz w:val="20"/>
                <w:szCs w:val="20"/>
                <w:lang w:eastAsia="en-GB"/>
              </w:rPr>
            </w:pP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FFC000"/>
                <w:sz w:val="20"/>
                <w:szCs w:val="20"/>
                <w:lang w:eastAsia="en-GB"/>
              </w:rPr>
            </w:pPr>
          </w:p>
        </w:tc>
      </w:tr>
      <w:tr w:rsidR="0058221A" w:rsidRPr="00677B2B" w:rsidTr="000D0569">
        <w:trPr>
          <w:trHeight w:val="900"/>
        </w:trPr>
        <w:tc>
          <w:tcPr>
            <w:tcW w:w="3647" w:type="dxa"/>
            <w:tcBorders>
              <w:top w:val="single" w:sz="4" w:space="0" w:color="auto"/>
              <w:left w:val="single" w:sz="4" w:space="0" w:color="auto"/>
              <w:bottom w:val="single" w:sz="4" w:space="0" w:color="auto"/>
              <w:right w:val="single" w:sz="4" w:space="0" w:color="auto"/>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Urgent community referrals from GPs for people with Dementia are seen and assessed within 48 hours and accepted referrals plan of care in place within 1 week of assessment</w:t>
            </w:r>
          </w:p>
        </w:tc>
        <w:tc>
          <w:tcPr>
            <w:tcW w:w="3641" w:type="dxa"/>
            <w:tcBorders>
              <w:top w:val="single" w:sz="4" w:space="0" w:color="auto"/>
              <w:left w:val="nil"/>
              <w:bottom w:val="single" w:sz="4" w:space="0" w:color="auto"/>
              <w:right w:val="single" w:sz="4" w:space="0" w:color="000000"/>
            </w:tcBorders>
          </w:tcPr>
          <w:p w:rsidR="0058221A" w:rsidRPr="00595928" w:rsidRDefault="00595928" w:rsidP="00823420">
            <w:pPr>
              <w:spacing w:after="0" w:line="240" w:lineRule="auto"/>
              <w:rPr>
                <w:rFonts w:cs="Arial"/>
                <w:sz w:val="20"/>
                <w:szCs w:val="20"/>
                <w:lang w:eastAsia="en-GB"/>
              </w:rPr>
            </w:pPr>
            <w:r w:rsidRPr="00595928">
              <w:rPr>
                <w:rFonts w:cs="Arial"/>
                <w:sz w:val="20"/>
                <w:szCs w:val="20"/>
                <w:lang w:eastAsia="en-GB"/>
              </w:rPr>
              <w:t>Audit tool developed and implemented</w:t>
            </w:r>
          </w:p>
        </w:tc>
        <w:tc>
          <w:tcPr>
            <w:tcW w:w="2242" w:type="dxa"/>
            <w:tcBorders>
              <w:top w:val="single" w:sz="4" w:space="0" w:color="auto"/>
              <w:left w:val="nil"/>
              <w:bottom w:val="single" w:sz="4" w:space="0" w:color="auto"/>
              <w:right w:val="single" w:sz="4" w:space="0" w:color="auto"/>
            </w:tcBorders>
          </w:tcPr>
          <w:p w:rsidR="0058221A" w:rsidRPr="00595928" w:rsidRDefault="0058221A" w:rsidP="00823420">
            <w:pPr>
              <w:spacing w:after="0" w:line="240" w:lineRule="auto"/>
              <w:rPr>
                <w:rFonts w:cs="Arial"/>
                <w:sz w:val="20"/>
                <w:szCs w:val="20"/>
                <w:lang w:eastAsia="en-GB"/>
              </w:rPr>
            </w:pPr>
            <w:r w:rsidRPr="00595928">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00B050"/>
                <w:sz w:val="20"/>
                <w:szCs w:val="20"/>
                <w:lang w:eastAsia="en-GB"/>
              </w:rPr>
            </w:pPr>
          </w:p>
        </w:tc>
      </w:tr>
      <w:tr w:rsidR="0058221A" w:rsidRPr="00677B2B" w:rsidTr="000D0569">
        <w:trPr>
          <w:trHeight w:val="600"/>
        </w:trPr>
        <w:tc>
          <w:tcPr>
            <w:tcW w:w="3647" w:type="dxa"/>
            <w:tcBorders>
              <w:top w:val="single" w:sz="4" w:space="0" w:color="auto"/>
              <w:left w:val="single" w:sz="4" w:space="0" w:color="auto"/>
              <w:bottom w:val="single" w:sz="4" w:space="0" w:color="auto"/>
              <w:right w:val="nil"/>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Asking carers/ relatives for the preferences of the person they care for with dementia whilst they are on the ward</w:t>
            </w:r>
          </w:p>
        </w:tc>
        <w:tc>
          <w:tcPr>
            <w:tcW w:w="3641" w:type="dxa"/>
            <w:tcBorders>
              <w:top w:val="single" w:sz="4" w:space="0" w:color="auto"/>
              <w:left w:val="single" w:sz="4" w:space="0" w:color="auto"/>
              <w:bottom w:val="single" w:sz="4" w:space="0" w:color="auto"/>
              <w:right w:val="single" w:sz="4" w:space="0" w:color="000000"/>
            </w:tcBorders>
          </w:tcPr>
          <w:p w:rsidR="0058221A" w:rsidRPr="000D2023" w:rsidRDefault="000D2023" w:rsidP="00823420">
            <w:pPr>
              <w:spacing w:after="0" w:line="240" w:lineRule="auto"/>
              <w:rPr>
                <w:rFonts w:cs="Arial"/>
                <w:sz w:val="20"/>
                <w:szCs w:val="20"/>
                <w:lang w:eastAsia="en-GB"/>
              </w:rPr>
            </w:pPr>
            <w:r>
              <w:rPr>
                <w:rFonts w:cs="Arial"/>
                <w:sz w:val="20"/>
                <w:szCs w:val="20"/>
                <w:lang w:eastAsia="en-GB"/>
              </w:rPr>
              <w:t>Audit tool to be implemented by end of March.  New form rolled out on 1</w:t>
            </w:r>
            <w:r w:rsidRPr="000D2023">
              <w:rPr>
                <w:rFonts w:cs="Arial"/>
                <w:sz w:val="20"/>
                <w:szCs w:val="20"/>
                <w:vertAlign w:val="superscript"/>
                <w:lang w:eastAsia="en-GB"/>
              </w:rPr>
              <w:t>st</w:t>
            </w:r>
            <w:r>
              <w:rPr>
                <w:rFonts w:cs="Arial"/>
                <w:sz w:val="20"/>
                <w:szCs w:val="20"/>
                <w:lang w:eastAsia="en-GB"/>
              </w:rPr>
              <w:t xml:space="preserve"> September 2011</w:t>
            </w:r>
          </w:p>
        </w:tc>
        <w:tc>
          <w:tcPr>
            <w:tcW w:w="2242" w:type="dxa"/>
            <w:tcBorders>
              <w:top w:val="single" w:sz="4" w:space="0" w:color="auto"/>
              <w:left w:val="nil"/>
              <w:bottom w:val="single" w:sz="4" w:space="0" w:color="auto"/>
              <w:right w:val="single" w:sz="4" w:space="0" w:color="auto"/>
            </w:tcBorders>
          </w:tcPr>
          <w:p w:rsidR="0058221A" w:rsidRPr="000D2023" w:rsidRDefault="0058221A" w:rsidP="00823420">
            <w:pPr>
              <w:spacing w:after="0" w:line="240" w:lineRule="auto"/>
              <w:rPr>
                <w:rFonts w:cs="Arial"/>
                <w:sz w:val="20"/>
                <w:szCs w:val="20"/>
                <w:lang w:eastAsia="en-GB"/>
              </w:rPr>
            </w:pPr>
            <w:r w:rsidRPr="000D2023">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00B050"/>
                <w:sz w:val="20"/>
                <w:szCs w:val="20"/>
                <w:lang w:eastAsia="en-GB"/>
              </w:rPr>
            </w:pPr>
          </w:p>
        </w:tc>
      </w:tr>
      <w:tr w:rsidR="0058221A" w:rsidRPr="00677B2B" w:rsidTr="000D0569">
        <w:trPr>
          <w:trHeight w:val="1770"/>
        </w:trPr>
        <w:tc>
          <w:tcPr>
            <w:tcW w:w="3647" w:type="dxa"/>
            <w:tcBorders>
              <w:top w:val="single" w:sz="4" w:space="0" w:color="auto"/>
              <w:left w:val="single" w:sz="4" w:space="0" w:color="auto"/>
              <w:bottom w:val="single" w:sz="4" w:space="0" w:color="auto"/>
              <w:right w:val="single" w:sz="4" w:space="0" w:color="auto"/>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lastRenderedPageBreak/>
              <w:t>Carry out POMH-UK audit on use of antipsychotics in older adult CMHTs and implement an action plan around identified areas</w:t>
            </w:r>
          </w:p>
        </w:tc>
        <w:tc>
          <w:tcPr>
            <w:tcW w:w="3641" w:type="dxa"/>
            <w:tcBorders>
              <w:top w:val="single" w:sz="4" w:space="0" w:color="auto"/>
              <w:left w:val="nil"/>
              <w:bottom w:val="single" w:sz="4" w:space="0" w:color="auto"/>
              <w:right w:val="single" w:sz="4" w:space="0" w:color="000000"/>
            </w:tcBorders>
          </w:tcPr>
          <w:p w:rsidR="0058221A" w:rsidRPr="000D2023" w:rsidRDefault="000D2023" w:rsidP="00823420">
            <w:pPr>
              <w:spacing w:after="0" w:line="240" w:lineRule="auto"/>
              <w:rPr>
                <w:rFonts w:cs="Arial"/>
                <w:sz w:val="20"/>
                <w:szCs w:val="20"/>
                <w:lang w:eastAsia="en-GB"/>
              </w:rPr>
            </w:pPr>
            <w:r>
              <w:rPr>
                <w:rFonts w:cs="Arial"/>
                <w:sz w:val="20"/>
                <w:szCs w:val="20"/>
                <w:lang w:eastAsia="en-GB"/>
              </w:rPr>
              <w:t>Audit carried out and action plan produced</w:t>
            </w:r>
          </w:p>
        </w:tc>
        <w:tc>
          <w:tcPr>
            <w:tcW w:w="2242" w:type="dxa"/>
            <w:tcBorders>
              <w:top w:val="single" w:sz="4" w:space="0" w:color="auto"/>
              <w:left w:val="nil"/>
              <w:bottom w:val="single" w:sz="4" w:space="0" w:color="auto"/>
              <w:right w:val="single" w:sz="4" w:space="0" w:color="auto"/>
            </w:tcBorders>
          </w:tcPr>
          <w:p w:rsidR="0058221A" w:rsidRPr="000D2023" w:rsidRDefault="000D2023" w:rsidP="00823420">
            <w:pPr>
              <w:spacing w:after="0" w:line="240" w:lineRule="auto"/>
              <w:rPr>
                <w:rFonts w:cs="Arial"/>
                <w:sz w:val="20"/>
                <w:szCs w:val="20"/>
                <w:lang w:eastAsia="en-GB"/>
              </w:rPr>
            </w:pPr>
            <w:r>
              <w:rPr>
                <w:rFonts w:cs="Arial"/>
                <w:sz w:val="20"/>
                <w:szCs w:val="20"/>
                <w:lang w:eastAsia="en-GB"/>
              </w:rPr>
              <w:t>Completed</w:t>
            </w: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00B050"/>
                <w:sz w:val="20"/>
                <w:szCs w:val="20"/>
                <w:lang w:eastAsia="en-GB"/>
              </w:rPr>
            </w:pPr>
          </w:p>
        </w:tc>
      </w:tr>
      <w:tr w:rsidR="0058221A" w:rsidRPr="00677B2B" w:rsidTr="000D0569">
        <w:trPr>
          <w:trHeight w:val="1260"/>
        </w:trPr>
        <w:tc>
          <w:tcPr>
            <w:tcW w:w="3647" w:type="dxa"/>
            <w:tcBorders>
              <w:top w:val="single" w:sz="4" w:space="0" w:color="auto"/>
              <w:left w:val="single" w:sz="4" w:space="0" w:color="auto"/>
              <w:bottom w:val="single" w:sz="4" w:space="0" w:color="auto"/>
              <w:right w:val="nil"/>
            </w:tcBorders>
          </w:tcPr>
          <w:p w:rsidR="0058221A" w:rsidRPr="00823420" w:rsidRDefault="0058221A" w:rsidP="00823420">
            <w:pPr>
              <w:spacing w:after="0" w:line="240" w:lineRule="auto"/>
              <w:rPr>
                <w:rFonts w:cs="Arial"/>
                <w:sz w:val="20"/>
                <w:szCs w:val="20"/>
                <w:lang w:eastAsia="en-GB"/>
              </w:rPr>
            </w:pPr>
            <w:r w:rsidRPr="00823420">
              <w:rPr>
                <w:rFonts w:cs="Arial"/>
                <w:sz w:val="20"/>
                <w:szCs w:val="20"/>
                <w:lang w:eastAsia="en-GB"/>
              </w:rPr>
              <w:t>Purpose of admission documented within 72 hours of admission date.</w:t>
            </w:r>
          </w:p>
        </w:tc>
        <w:tc>
          <w:tcPr>
            <w:tcW w:w="3641" w:type="dxa"/>
            <w:tcBorders>
              <w:top w:val="single" w:sz="4" w:space="0" w:color="auto"/>
              <w:left w:val="single" w:sz="4" w:space="0" w:color="auto"/>
              <w:bottom w:val="single" w:sz="4" w:space="0" w:color="auto"/>
              <w:right w:val="single" w:sz="4" w:space="0" w:color="000000"/>
            </w:tcBorders>
          </w:tcPr>
          <w:p w:rsidR="0058221A" w:rsidRPr="000D2023" w:rsidRDefault="000D2023" w:rsidP="00823420">
            <w:pPr>
              <w:spacing w:after="0" w:line="240" w:lineRule="auto"/>
              <w:rPr>
                <w:rFonts w:cs="Arial"/>
                <w:sz w:val="20"/>
                <w:szCs w:val="20"/>
                <w:lang w:eastAsia="en-GB"/>
              </w:rPr>
            </w:pPr>
            <w:r w:rsidRPr="000D2023">
              <w:rPr>
                <w:rFonts w:cs="Arial"/>
                <w:sz w:val="20"/>
                <w:szCs w:val="20"/>
                <w:lang w:eastAsia="en-GB"/>
              </w:rPr>
              <w:t>Audit carried out.  Action plan being drafted</w:t>
            </w:r>
          </w:p>
        </w:tc>
        <w:tc>
          <w:tcPr>
            <w:tcW w:w="2242" w:type="dxa"/>
            <w:tcBorders>
              <w:top w:val="single" w:sz="4" w:space="0" w:color="auto"/>
              <w:left w:val="nil"/>
              <w:bottom w:val="single" w:sz="4" w:space="0" w:color="auto"/>
              <w:right w:val="single" w:sz="4" w:space="0" w:color="auto"/>
            </w:tcBorders>
          </w:tcPr>
          <w:p w:rsidR="0058221A" w:rsidRPr="000D2023" w:rsidRDefault="0058221A" w:rsidP="00823420">
            <w:pPr>
              <w:spacing w:after="0" w:line="240" w:lineRule="auto"/>
              <w:rPr>
                <w:rFonts w:cs="Arial"/>
                <w:sz w:val="20"/>
                <w:szCs w:val="20"/>
                <w:lang w:eastAsia="en-GB"/>
              </w:rPr>
            </w:pPr>
            <w:r w:rsidRPr="000D2023">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58221A" w:rsidRPr="00823420" w:rsidRDefault="0058221A" w:rsidP="00823420">
            <w:pPr>
              <w:spacing w:after="0" w:line="240" w:lineRule="auto"/>
              <w:rPr>
                <w:rFonts w:cs="Arial"/>
                <w:color w:val="00B050"/>
                <w:sz w:val="20"/>
                <w:szCs w:val="20"/>
                <w:lang w:eastAsia="en-GB"/>
              </w:rPr>
            </w:pPr>
          </w:p>
        </w:tc>
      </w:tr>
      <w:tr w:rsidR="000D2023" w:rsidRPr="00677B2B" w:rsidTr="000D0569">
        <w:trPr>
          <w:trHeight w:val="1200"/>
        </w:trPr>
        <w:tc>
          <w:tcPr>
            <w:tcW w:w="3647" w:type="dxa"/>
            <w:tcBorders>
              <w:top w:val="single" w:sz="4" w:space="0" w:color="auto"/>
              <w:left w:val="single" w:sz="4" w:space="0" w:color="auto"/>
              <w:bottom w:val="single" w:sz="4" w:space="0" w:color="auto"/>
              <w:right w:val="single" w:sz="4" w:space="0" w:color="auto"/>
            </w:tcBorders>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Inpatient discharge summaries/ letter to GP within 1 week of discharge date and that contain the basic requirements as set out in the SIGN Guidance 65</w:t>
            </w:r>
          </w:p>
        </w:tc>
        <w:tc>
          <w:tcPr>
            <w:tcW w:w="3641" w:type="dxa"/>
            <w:tcBorders>
              <w:top w:val="single" w:sz="4" w:space="0" w:color="auto"/>
              <w:left w:val="nil"/>
              <w:bottom w:val="single" w:sz="4" w:space="0" w:color="auto"/>
              <w:right w:val="single" w:sz="4" w:space="0" w:color="000000"/>
            </w:tcBorders>
          </w:tcPr>
          <w:p w:rsidR="000D2023" w:rsidRPr="000D2023" w:rsidRDefault="000D2023" w:rsidP="000D2023">
            <w:pPr>
              <w:spacing w:after="0" w:line="240" w:lineRule="auto"/>
              <w:rPr>
                <w:rFonts w:cs="Arial"/>
                <w:sz w:val="20"/>
                <w:szCs w:val="20"/>
                <w:lang w:eastAsia="en-GB"/>
              </w:rPr>
            </w:pPr>
            <w:r w:rsidRPr="000D2023">
              <w:rPr>
                <w:rFonts w:cs="Arial"/>
                <w:sz w:val="20"/>
                <w:szCs w:val="20"/>
                <w:lang w:eastAsia="en-GB"/>
              </w:rPr>
              <w:t>Audit carried out.  Action plan being drafted</w:t>
            </w:r>
          </w:p>
        </w:tc>
        <w:tc>
          <w:tcPr>
            <w:tcW w:w="2242" w:type="dxa"/>
            <w:tcBorders>
              <w:top w:val="single" w:sz="4" w:space="0" w:color="auto"/>
              <w:left w:val="nil"/>
              <w:bottom w:val="single" w:sz="4" w:space="0" w:color="auto"/>
              <w:right w:val="single" w:sz="4" w:space="0" w:color="auto"/>
            </w:tcBorders>
          </w:tcPr>
          <w:p w:rsidR="000D2023" w:rsidRPr="000D2023" w:rsidRDefault="000D2023" w:rsidP="000D2023">
            <w:pPr>
              <w:spacing w:after="0" w:line="240" w:lineRule="auto"/>
              <w:rPr>
                <w:rFonts w:cs="Arial"/>
                <w:sz w:val="20"/>
                <w:szCs w:val="20"/>
                <w:lang w:eastAsia="en-GB"/>
              </w:rPr>
            </w:pPr>
            <w:r w:rsidRPr="000D2023">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0D2023" w:rsidRPr="00677B2B" w:rsidTr="000D0569">
        <w:trPr>
          <w:trHeight w:val="2430"/>
        </w:trPr>
        <w:tc>
          <w:tcPr>
            <w:tcW w:w="3647" w:type="dxa"/>
            <w:tcBorders>
              <w:top w:val="single" w:sz="4" w:space="0" w:color="auto"/>
              <w:left w:val="single" w:sz="4" w:space="0" w:color="auto"/>
              <w:bottom w:val="single" w:sz="4" w:space="0" w:color="auto"/>
              <w:right w:val="single" w:sz="4" w:space="0" w:color="auto"/>
            </w:tcBorders>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Evidence of improving the services following feedback from service users</w:t>
            </w:r>
          </w:p>
        </w:tc>
        <w:tc>
          <w:tcPr>
            <w:tcW w:w="3641" w:type="dxa"/>
            <w:tcBorders>
              <w:top w:val="single" w:sz="4" w:space="0" w:color="auto"/>
              <w:left w:val="nil"/>
              <w:bottom w:val="single" w:sz="4" w:space="0" w:color="auto"/>
              <w:right w:val="single" w:sz="4" w:space="0" w:color="000000"/>
            </w:tcBorders>
          </w:tcPr>
          <w:p w:rsidR="000D2023" w:rsidRPr="000D2023" w:rsidRDefault="000D2023" w:rsidP="00823420">
            <w:pPr>
              <w:spacing w:after="0" w:line="240" w:lineRule="auto"/>
              <w:rPr>
                <w:rFonts w:cs="Arial"/>
                <w:sz w:val="20"/>
                <w:szCs w:val="20"/>
                <w:lang w:eastAsia="en-GB"/>
              </w:rPr>
            </w:pPr>
            <w:r w:rsidRPr="000D2023">
              <w:rPr>
                <w:rFonts w:cs="Arial"/>
                <w:sz w:val="20"/>
                <w:szCs w:val="20"/>
                <w:lang w:eastAsia="en-GB"/>
              </w:rPr>
              <w:t>Action plans being finalised for implementation in 3Q</w:t>
            </w:r>
          </w:p>
        </w:tc>
        <w:tc>
          <w:tcPr>
            <w:tcW w:w="2242" w:type="dxa"/>
            <w:tcBorders>
              <w:top w:val="single" w:sz="4" w:space="0" w:color="auto"/>
              <w:left w:val="nil"/>
              <w:bottom w:val="single" w:sz="4" w:space="0" w:color="auto"/>
              <w:right w:val="single" w:sz="4" w:space="0" w:color="auto"/>
            </w:tcBorders>
          </w:tcPr>
          <w:p w:rsidR="000D2023" w:rsidRPr="000D2023" w:rsidRDefault="000D2023" w:rsidP="00823420">
            <w:pPr>
              <w:spacing w:after="0" w:line="240" w:lineRule="auto"/>
              <w:rPr>
                <w:rFonts w:cs="Arial"/>
                <w:sz w:val="20"/>
                <w:szCs w:val="20"/>
                <w:lang w:eastAsia="en-GB"/>
              </w:rPr>
            </w:pPr>
            <w:r w:rsidRPr="000D2023">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0D2023" w:rsidRPr="00677B2B" w:rsidTr="000D0569">
        <w:trPr>
          <w:trHeight w:val="300"/>
        </w:trPr>
        <w:tc>
          <w:tcPr>
            <w:tcW w:w="9928" w:type="dxa"/>
            <w:gridSpan w:val="4"/>
            <w:tcBorders>
              <w:top w:val="single" w:sz="4" w:space="0" w:color="auto"/>
              <w:left w:val="single" w:sz="4" w:space="0" w:color="auto"/>
              <w:bottom w:val="single" w:sz="4" w:space="0" w:color="auto"/>
              <w:right w:val="single" w:sz="4" w:space="0" w:color="auto"/>
            </w:tcBorders>
            <w:shd w:val="clear" w:color="000000" w:fill="C0C0C0"/>
          </w:tcPr>
          <w:p w:rsidR="000D2023" w:rsidRPr="000D0569" w:rsidRDefault="000D2023" w:rsidP="00514DA0">
            <w:pPr>
              <w:spacing w:after="0" w:line="240" w:lineRule="auto"/>
              <w:rPr>
                <w:rFonts w:cs="Arial"/>
                <w:b/>
                <w:lang w:eastAsia="en-GB"/>
              </w:rPr>
            </w:pPr>
            <w:r w:rsidRPr="000D0569">
              <w:rPr>
                <w:rFonts w:cs="Arial"/>
                <w:b/>
                <w:lang w:eastAsia="en-GB"/>
              </w:rPr>
              <w:t>Forensic Specialist Commissioning Group</w:t>
            </w:r>
          </w:p>
        </w:tc>
      </w:tr>
      <w:tr w:rsidR="000D2023" w:rsidRPr="00677B2B" w:rsidTr="000D0569">
        <w:trPr>
          <w:trHeight w:val="1287"/>
        </w:trPr>
        <w:tc>
          <w:tcPr>
            <w:tcW w:w="3647" w:type="dxa"/>
            <w:tcBorders>
              <w:top w:val="single" w:sz="4" w:space="0" w:color="auto"/>
              <w:left w:val="single" w:sz="4" w:space="0" w:color="auto"/>
              <w:bottom w:val="single" w:sz="4" w:space="0" w:color="auto"/>
              <w:right w:val="single" w:sz="4" w:space="0" w:color="auto"/>
            </w:tcBorders>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Continue to implement ESSEN Scale</w:t>
            </w:r>
          </w:p>
        </w:tc>
        <w:tc>
          <w:tcPr>
            <w:tcW w:w="3641" w:type="dxa"/>
            <w:tcBorders>
              <w:top w:val="single" w:sz="4" w:space="0" w:color="auto"/>
              <w:left w:val="nil"/>
              <w:bottom w:val="single" w:sz="4" w:space="0" w:color="auto"/>
              <w:right w:val="single" w:sz="4" w:space="0" w:color="000000"/>
            </w:tcBorders>
          </w:tcPr>
          <w:p w:rsidR="000D2023" w:rsidRPr="000D2023" w:rsidRDefault="000D2023" w:rsidP="00823420">
            <w:pPr>
              <w:spacing w:after="0" w:line="240" w:lineRule="auto"/>
              <w:rPr>
                <w:rFonts w:cs="Arial"/>
                <w:sz w:val="20"/>
                <w:szCs w:val="20"/>
                <w:lang w:eastAsia="en-GB"/>
              </w:rPr>
            </w:pPr>
            <w:r>
              <w:rPr>
                <w:rFonts w:cs="Arial"/>
                <w:sz w:val="20"/>
                <w:szCs w:val="20"/>
                <w:lang w:eastAsia="en-GB"/>
              </w:rPr>
              <w:t>Action plan being implemented</w:t>
            </w:r>
          </w:p>
        </w:tc>
        <w:tc>
          <w:tcPr>
            <w:tcW w:w="2242" w:type="dxa"/>
            <w:tcBorders>
              <w:top w:val="single" w:sz="4" w:space="0" w:color="auto"/>
              <w:left w:val="nil"/>
              <w:bottom w:val="single" w:sz="4" w:space="0" w:color="auto"/>
              <w:right w:val="single" w:sz="4" w:space="0" w:color="auto"/>
            </w:tcBorders>
            <w:noWrap/>
          </w:tcPr>
          <w:p w:rsidR="000D2023" w:rsidRPr="000D2023" w:rsidRDefault="000D2023" w:rsidP="00823420">
            <w:pPr>
              <w:spacing w:after="0" w:line="240" w:lineRule="auto"/>
              <w:rPr>
                <w:rFonts w:cs="Arial"/>
                <w:sz w:val="20"/>
                <w:szCs w:val="20"/>
                <w:lang w:eastAsia="en-GB"/>
              </w:rPr>
            </w:pPr>
            <w:r w:rsidRPr="000D2023">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0D2023" w:rsidRPr="00677B2B" w:rsidTr="000D0569">
        <w:trPr>
          <w:trHeight w:val="900"/>
        </w:trPr>
        <w:tc>
          <w:tcPr>
            <w:tcW w:w="3647" w:type="dxa"/>
            <w:tcBorders>
              <w:top w:val="single" w:sz="4" w:space="0" w:color="auto"/>
              <w:left w:val="single" w:sz="4" w:space="0" w:color="auto"/>
              <w:bottom w:val="single" w:sz="4" w:space="0" w:color="auto"/>
              <w:right w:val="single" w:sz="4" w:space="0" w:color="auto"/>
            </w:tcBorders>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HoNOS – patient level detail of scores and reporting to allow 6 monthly monitoring of improvements, same and worsening scores</w:t>
            </w:r>
          </w:p>
        </w:tc>
        <w:tc>
          <w:tcPr>
            <w:tcW w:w="3641" w:type="dxa"/>
            <w:tcBorders>
              <w:top w:val="single" w:sz="4" w:space="0" w:color="auto"/>
              <w:left w:val="nil"/>
              <w:bottom w:val="single" w:sz="4" w:space="0" w:color="auto"/>
              <w:right w:val="single" w:sz="4" w:space="0" w:color="000000"/>
            </w:tcBorders>
          </w:tcPr>
          <w:p w:rsidR="000D2023" w:rsidRPr="000D2023" w:rsidRDefault="000D2023" w:rsidP="00823420">
            <w:pPr>
              <w:spacing w:after="0" w:line="240" w:lineRule="auto"/>
              <w:rPr>
                <w:rFonts w:cs="Arial"/>
                <w:sz w:val="20"/>
                <w:szCs w:val="20"/>
                <w:lang w:eastAsia="en-GB"/>
              </w:rPr>
            </w:pPr>
            <w:r w:rsidRPr="000D2023">
              <w:rPr>
                <w:rFonts w:cs="Arial"/>
                <w:sz w:val="20"/>
                <w:szCs w:val="20"/>
                <w:lang w:eastAsia="en-GB"/>
              </w:rPr>
              <w:t>Reporting commenced in Q2</w:t>
            </w:r>
          </w:p>
        </w:tc>
        <w:tc>
          <w:tcPr>
            <w:tcW w:w="2242" w:type="dxa"/>
            <w:tcBorders>
              <w:top w:val="single" w:sz="4" w:space="0" w:color="auto"/>
              <w:left w:val="nil"/>
              <w:bottom w:val="single" w:sz="4" w:space="0" w:color="auto"/>
              <w:right w:val="single" w:sz="4" w:space="0" w:color="auto"/>
            </w:tcBorders>
            <w:noWrap/>
          </w:tcPr>
          <w:p w:rsidR="000D2023" w:rsidRPr="000D2023" w:rsidRDefault="000D2023" w:rsidP="00823420">
            <w:pPr>
              <w:spacing w:after="0" w:line="240" w:lineRule="auto"/>
              <w:rPr>
                <w:rFonts w:cs="Arial"/>
                <w:sz w:val="20"/>
                <w:szCs w:val="20"/>
                <w:lang w:eastAsia="en-GB"/>
              </w:rPr>
            </w:pPr>
            <w:r w:rsidRPr="000D2023">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0D2023" w:rsidRPr="00677B2B" w:rsidTr="000D0569">
        <w:trPr>
          <w:trHeight w:val="696"/>
        </w:trPr>
        <w:tc>
          <w:tcPr>
            <w:tcW w:w="3647" w:type="dxa"/>
            <w:tcBorders>
              <w:top w:val="single" w:sz="4" w:space="0" w:color="auto"/>
              <w:left w:val="single" w:sz="4" w:space="0" w:color="auto"/>
              <w:bottom w:val="single" w:sz="4" w:space="0" w:color="auto"/>
              <w:right w:val="single" w:sz="4" w:space="0" w:color="auto"/>
            </w:tcBorders>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Length of Stay</w:t>
            </w:r>
          </w:p>
        </w:tc>
        <w:tc>
          <w:tcPr>
            <w:tcW w:w="3641" w:type="dxa"/>
            <w:tcBorders>
              <w:top w:val="single" w:sz="4" w:space="0" w:color="auto"/>
              <w:left w:val="nil"/>
              <w:bottom w:val="single" w:sz="4" w:space="0" w:color="auto"/>
              <w:right w:val="single" w:sz="4" w:space="0" w:color="000000"/>
            </w:tcBorders>
          </w:tcPr>
          <w:p w:rsidR="000D2023" w:rsidRPr="000D2023" w:rsidRDefault="000D2023" w:rsidP="00823420">
            <w:pPr>
              <w:spacing w:after="0" w:line="240" w:lineRule="auto"/>
              <w:rPr>
                <w:rFonts w:cs="Arial"/>
                <w:sz w:val="20"/>
                <w:szCs w:val="20"/>
                <w:lang w:eastAsia="en-GB"/>
              </w:rPr>
            </w:pPr>
            <w:r w:rsidRPr="000D2023">
              <w:rPr>
                <w:rFonts w:cs="Arial"/>
                <w:sz w:val="20"/>
                <w:szCs w:val="20"/>
                <w:lang w:eastAsia="en-GB"/>
              </w:rPr>
              <w:t>Recording and reporting system in place</w:t>
            </w:r>
          </w:p>
        </w:tc>
        <w:tc>
          <w:tcPr>
            <w:tcW w:w="2242" w:type="dxa"/>
            <w:tcBorders>
              <w:top w:val="single" w:sz="4" w:space="0" w:color="auto"/>
              <w:left w:val="nil"/>
              <w:bottom w:val="single" w:sz="4" w:space="0" w:color="auto"/>
              <w:right w:val="single" w:sz="4" w:space="0" w:color="auto"/>
            </w:tcBorders>
            <w:noWrap/>
          </w:tcPr>
          <w:p w:rsidR="000D2023" w:rsidRPr="000D2023" w:rsidRDefault="000D2023" w:rsidP="00823420">
            <w:pPr>
              <w:spacing w:after="0" w:line="240" w:lineRule="auto"/>
              <w:rPr>
                <w:rFonts w:cs="Arial"/>
                <w:sz w:val="20"/>
                <w:szCs w:val="20"/>
                <w:lang w:eastAsia="en-GB"/>
              </w:rPr>
            </w:pPr>
            <w:r w:rsidRPr="000D2023">
              <w:rPr>
                <w:rFonts w:cs="Arial"/>
                <w:sz w:val="20"/>
                <w:szCs w:val="20"/>
                <w:lang w:eastAsia="en-GB"/>
              </w:rPr>
              <w:t xml:space="preserve">Completed </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0D2023" w:rsidRPr="00677B2B" w:rsidTr="000D0569">
        <w:trPr>
          <w:trHeight w:val="806"/>
        </w:trPr>
        <w:tc>
          <w:tcPr>
            <w:tcW w:w="3647" w:type="dxa"/>
            <w:tcBorders>
              <w:top w:val="single" w:sz="4" w:space="0" w:color="auto"/>
              <w:left w:val="single" w:sz="4" w:space="0" w:color="auto"/>
              <w:bottom w:val="single" w:sz="4" w:space="0" w:color="auto"/>
              <w:right w:val="single" w:sz="4" w:space="0" w:color="auto"/>
            </w:tcBorders>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25 hours of meaningful activity</w:t>
            </w:r>
          </w:p>
        </w:tc>
        <w:tc>
          <w:tcPr>
            <w:tcW w:w="3641" w:type="dxa"/>
            <w:tcBorders>
              <w:top w:val="single" w:sz="4" w:space="0" w:color="auto"/>
              <w:left w:val="nil"/>
              <w:bottom w:val="single" w:sz="4" w:space="0" w:color="auto"/>
              <w:right w:val="single" w:sz="4" w:space="0" w:color="000000"/>
            </w:tcBorders>
          </w:tcPr>
          <w:p w:rsidR="000D2023" w:rsidRPr="00FD62F9" w:rsidRDefault="000D2023" w:rsidP="00823420">
            <w:pPr>
              <w:spacing w:after="0" w:line="240" w:lineRule="auto"/>
              <w:rPr>
                <w:rFonts w:cs="Arial"/>
                <w:sz w:val="20"/>
                <w:szCs w:val="20"/>
                <w:lang w:eastAsia="en-GB"/>
              </w:rPr>
            </w:pPr>
            <w:r w:rsidRPr="00FD62F9">
              <w:rPr>
                <w:rFonts w:cs="Arial"/>
                <w:sz w:val="20"/>
                <w:szCs w:val="20"/>
                <w:lang w:eastAsia="en-GB"/>
              </w:rPr>
              <w:t>Q1 25 hour a week activity plans and recording system to be assessed against national definition.</w:t>
            </w:r>
          </w:p>
        </w:tc>
        <w:tc>
          <w:tcPr>
            <w:tcW w:w="2242" w:type="dxa"/>
            <w:tcBorders>
              <w:top w:val="single" w:sz="4" w:space="0" w:color="auto"/>
              <w:left w:val="nil"/>
              <w:bottom w:val="single" w:sz="4" w:space="0" w:color="auto"/>
              <w:right w:val="single" w:sz="4" w:space="0" w:color="auto"/>
            </w:tcBorders>
            <w:noWrap/>
          </w:tcPr>
          <w:p w:rsidR="000D2023" w:rsidRPr="00FD62F9" w:rsidRDefault="000D2023" w:rsidP="00823420">
            <w:pPr>
              <w:spacing w:after="0" w:line="240" w:lineRule="auto"/>
              <w:rPr>
                <w:rFonts w:cs="Arial"/>
                <w:sz w:val="20"/>
                <w:szCs w:val="20"/>
                <w:lang w:eastAsia="en-GB"/>
              </w:rPr>
            </w:pPr>
            <w:r w:rsidRPr="00FD62F9">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0D2023" w:rsidRPr="00677B2B" w:rsidTr="00FD62F9">
        <w:trPr>
          <w:trHeight w:val="371"/>
        </w:trPr>
        <w:tc>
          <w:tcPr>
            <w:tcW w:w="3647" w:type="dxa"/>
            <w:tcBorders>
              <w:top w:val="single" w:sz="4" w:space="0" w:color="auto"/>
              <w:left w:val="single" w:sz="4" w:space="0" w:color="auto"/>
              <w:bottom w:val="single" w:sz="4" w:space="0" w:color="auto"/>
              <w:right w:val="single" w:sz="4" w:space="0" w:color="auto"/>
            </w:tcBorders>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Involvement, Choice and Responsibility</w:t>
            </w:r>
          </w:p>
        </w:tc>
        <w:tc>
          <w:tcPr>
            <w:tcW w:w="3641" w:type="dxa"/>
            <w:tcBorders>
              <w:top w:val="single" w:sz="4" w:space="0" w:color="auto"/>
              <w:left w:val="nil"/>
              <w:bottom w:val="single" w:sz="4" w:space="0" w:color="auto"/>
              <w:right w:val="single" w:sz="4" w:space="0" w:color="000000"/>
            </w:tcBorders>
          </w:tcPr>
          <w:p w:rsidR="000D2023" w:rsidRPr="00FD62F9" w:rsidRDefault="000D2023" w:rsidP="00823420">
            <w:pPr>
              <w:spacing w:after="0" w:line="240" w:lineRule="auto"/>
              <w:rPr>
                <w:rFonts w:cs="Arial"/>
                <w:sz w:val="20"/>
                <w:szCs w:val="20"/>
                <w:lang w:eastAsia="en-GB"/>
              </w:rPr>
            </w:pPr>
            <w:r w:rsidRPr="00FD62F9">
              <w:rPr>
                <w:rFonts w:cs="Arial"/>
                <w:sz w:val="20"/>
                <w:szCs w:val="20"/>
                <w:lang w:eastAsia="en-GB"/>
              </w:rPr>
              <w:t>Q1 identify service user and staff involvement leads</w:t>
            </w:r>
          </w:p>
        </w:tc>
        <w:tc>
          <w:tcPr>
            <w:tcW w:w="2242" w:type="dxa"/>
            <w:tcBorders>
              <w:top w:val="single" w:sz="4" w:space="0" w:color="auto"/>
              <w:left w:val="nil"/>
              <w:bottom w:val="single" w:sz="4" w:space="0" w:color="auto"/>
              <w:right w:val="single" w:sz="4" w:space="0" w:color="auto"/>
            </w:tcBorders>
            <w:noWrap/>
          </w:tcPr>
          <w:p w:rsidR="000D2023" w:rsidRPr="00FD62F9" w:rsidRDefault="000D2023" w:rsidP="00823420">
            <w:pPr>
              <w:spacing w:after="0" w:line="240" w:lineRule="auto"/>
              <w:rPr>
                <w:rFonts w:cs="Arial"/>
                <w:sz w:val="20"/>
                <w:szCs w:val="20"/>
                <w:lang w:eastAsia="en-GB"/>
              </w:rPr>
            </w:pPr>
            <w:r w:rsidRPr="00FD62F9">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0D2023" w:rsidRPr="00677B2B" w:rsidTr="000D0569">
        <w:trPr>
          <w:trHeight w:val="1125"/>
        </w:trPr>
        <w:tc>
          <w:tcPr>
            <w:tcW w:w="3647" w:type="dxa"/>
            <w:tcBorders>
              <w:top w:val="single" w:sz="4" w:space="0" w:color="auto"/>
              <w:left w:val="single" w:sz="4" w:space="0" w:color="auto"/>
              <w:bottom w:val="single" w:sz="4" w:space="0" w:color="auto"/>
              <w:right w:val="single" w:sz="4" w:space="0" w:color="auto"/>
            </w:tcBorders>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Recovery planning</w:t>
            </w:r>
          </w:p>
        </w:tc>
        <w:tc>
          <w:tcPr>
            <w:tcW w:w="3641" w:type="dxa"/>
            <w:tcBorders>
              <w:top w:val="single" w:sz="4" w:space="0" w:color="auto"/>
              <w:left w:val="nil"/>
              <w:bottom w:val="single" w:sz="4" w:space="0" w:color="auto"/>
              <w:right w:val="single" w:sz="4" w:space="0" w:color="000000"/>
            </w:tcBorders>
          </w:tcPr>
          <w:p w:rsidR="000D2023" w:rsidRPr="00FD62F9" w:rsidRDefault="000D2023" w:rsidP="00823420">
            <w:pPr>
              <w:spacing w:after="0" w:line="240" w:lineRule="auto"/>
              <w:rPr>
                <w:rFonts w:cs="Arial"/>
                <w:sz w:val="20"/>
                <w:szCs w:val="20"/>
                <w:lang w:eastAsia="en-GB"/>
              </w:rPr>
            </w:pPr>
            <w:r w:rsidRPr="00FD62F9">
              <w:rPr>
                <w:rFonts w:cs="Arial"/>
                <w:sz w:val="20"/>
                <w:szCs w:val="20"/>
                <w:lang w:eastAsia="en-GB"/>
              </w:rPr>
              <w:t>Q1 identify service users and staff recovery leads that will organise a workshop to explore learning from use of recovery tools from 2010-2011.</w:t>
            </w:r>
          </w:p>
        </w:tc>
        <w:tc>
          <w:tcPr>
            <w:tcW w:w="2242" w:type="dxa"/>
            <w:tcBorders>
              <w:top w:val="single" w:sz="4" w:space="0" w:color="auto"/>
              <w:left w:val="nil"/>
              <w:bottom w:val="single" w:sz="4" w:space="0" w:color="auto"/>
              <w:right w:val="single" w:sz="4" w:space="0" w:color="auto"/>
            </w:tcBorders>
          </w:tcPr>
          <w:p w:rsidR="000D2023" w:rsidRPr="00FD62F9" w:rsidRDefault="000D2023" w:rsidP="00823420">
            <w:pPr>
              <w:spacing w:after="0" w:line="240" w:lineRule="auto"/>
              <w:rPr>
                <w:rFonts w:cs="Arial"/>
                <w:sz w:val="20"/>
                <w:szCs w:val="20"/>
                <w:lang w:eastAsia="en-GB"/>
              </w:rPr>
            </w:pPr>
            <w:r w:rsidRPr="00FD62F9">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0D2023" w:rsidRPr="00677B2B" w:rsidTr="000D0569">
        <w:trPr>
          <w:trHeight w:val="300"/>
        </w:trPr>
        <w:tc>
          <w:tcPr>
            <w:tcW w:w="9928" w:type="dxa"/>
            <w:gridSpan w:val="4"/>
            <w:tcBorders>
              <w:top w:val="single" w:sz="4" w:space="0" w:color="auto"/>
              <w:left w:val="single" w:sz="4" w:space="0" w:color="auto"/>
              <w:bottom w:val="single" w:sz="4" w:space="0" w:color="auto"/>
              <w:right w:val="single" w:sz="4" w:space="0" w:color="auto"/>
            </w:tcBorders>
            <w:shd w:val="clear" w:color="000000" w:fill="C0C0C0"/>
          </w:tcPr>
          <w:p w:rsidR="000D2023" w:rsidRPr="000D0569" w:rsidRDefault="000D2023" w:rsidP="00823420">
            <w:pPr>
              <w:spacing w:after="0" w:line="240" w:lineRule="auto"/>
              <w:rPr>
                <w:rFonts w:cs="Arial"/>
                <w:b/>
                <w:lang w:eastAsia="en-GB"/>
              </w:rPr>
            </w:pPr>
            <w:r w:rsidRPr="000D0569">
              <w:rPr>
                <w:rFonts w:cs="Arial"/>
                <w:b/>
                <w:lang w:eastAsia="en-GB"/>
              </w:rPr>
              <w:t xml:space="preserve">Wiltshire and </w:t>
            </w:r>
            <w:proofErr w:type="spellStart"/>
            <w:r w:rsidRPr="000D0569">
              <w:rPr>
                <w:rFonts w:cs="Arial"/>
                <w:b/>
                <w:lang w:eastAsia="en-GB"/>
              </w:rPr>
              <w:t>BaNES</w:t>
            </w:r>
            <w:proofErr w:type="spellEnd"/>
            <w:r w:rsidRPr="000D0569">
              <w:rPr>
                <w:rFonts w:cs="Arial"/>
                <w:b/>
                <w:lang w:eastAsia="en-GB"/>
              </w:rPr>
              <w:t xml:space="preserve"> CAMHS</w:t>
            </w:r>
          </w:p>
        </w:tc>
      </w:tr>
      <w:tr w:rsidR="000D2023" w:rsidRPr="00677B2B" w:rsidTr="000D0569">
        <w:trPr>
          <w:trHeight w:val="630"/>
        </w:trPr>
        <w:tc>
          <w:tcPr>
            <w:tcW w:w="3647" w:type="dxa"/>
            <w:tcBorders>
              <w:top w:val="single" w:sz="4" w:space="0" w:color="auto"/>
              <w:left w:val="single" w:sz="4" w:space="0" w:color="auto"/>
              <w:bottom w:val="single" w:sz="4" w:space="0" w:color="auto"/>
              <w:right w:val="nil"/>
            </w:tcBorders>
            <w:noWrap/>
          </w:tcPr>
          <w:p w:rsidR="000D2023" w:rsidRPr="00823420" w:rsidRDefault="000D2023" w:rsidP="00823420">
            <w:pPr>
              <w:spacing w:after="0" w:line="240" w:lineRule="auto"/>
              <w:rPr>
                <w:rFonts w:cs="Arial"/>
                <w:sz w:val="20"/>
                <w:szCs w:val="20"/>
                <w:lang w:eastAsia="en-GB"/>
              </w:rPr>
            </w:pPr>
            <w:r w:rsidRPr="00823420">
              <w:rPr>
                <w:rFonts w:cs="Arial"/>
                <w:sz w:val="20"/>
                <w:szCs w:val="20"/>
                <w:lang w:eastAsia="en-GB"/>
              </w:rPr>
              <w:t>Using patient experience to directly influence service provision</w:t>
            </w:r>
          </w:p>
        </w:tc>
        <w:tc>
          <w:tcPr>
            <w:tcW w:w="3641" w:type="dxa"/>
            <w:tcBorders>
              <w:top w:val="single" w:sz="4" w:space="0" w:color="auto"/>
              <w:left w:val="single" w:sz="4" w:space="0" w:color="auto"/>
              <w:bottom w:val="single" w:sz="4" w:space="0" w:color="auto"/>
              <w:right w:val="single" w:sz="4" w:space="0" w:color="000000"/>
            </w:tcBorders>
          </w:tcPr>
          <w:p w:rsidR="000D2023" w:rsidRPr="009B699F" w:rsidRDefault="009B699F" w:rsidP="00823420">
            <w:pPr>
              <w:spacing w:after="0" w:line="240" w:lineRule="auto"/>
              <w:rPr>
                <w:rFonts w:cs="Arial"/>
                <w:sz w:val="20"/>
                <w:szCs w:val="20"/>
                <w:lang w:eastAsia="en-GB"/>
              </w:rPr>
            </w:pPr>
            <w:r w:rsidRPr="009B699F">
              <w:rPr>
                <w:rFonts w:cs="Arial"/>
                <w:sz w:val="20"/>
                <w:szCs w:val="20"/>
                <w:lang w:eastAsia="en-GB"/>
              </w:rPr>
              <w:t>Q2 milestone achieved</w:t>
            </w:r>
          </w:p>
        </w:tc>
        <w:tc>
          <w:tcPr>
            <w:tcW w:w="2242" w:type="dxa"/>
            <w:tcBorders>
              <w:top w:val="single" w:sz="4" w:space="0" w:color="auto"/>
              <w:left w:val="nil"/>
              <w:bottom w:val="single" w:sz="4" w:space="0" w:color="auto"/>
              <w:right w:val="single" w:sz="4" w:space="0" w:color="auto"/>
            </w:tcBorders>
          </w:tcPr>
          <w:p w:rsidR="000D2023" w:rsidRPr="009B699F" w:rsidRDefault="000D2023" w:rsidP="00823420">
            <w:pPr>
              <w:spacing w:after="0" w:line="240" w:lineRule="auto"/>
              <w:rPr>
                <w:rFonts w:cs="Arial"/>
                <w:sz w:val="20"/>
                <w:szCs w:val="20"/>
                <w:lang w:eastAsia="en-GB"/>
              </w:rPr>
            </w:pPr>
            <w:r w:rsidRPr="009B699F">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0D2023" w:rsidRPr="00823420" w:rsidRDefault="000D2023" w:rsidP="00823420">
            <w:pPr>
              <w:spacing w:after="0" w:line="240" w:lineRule="auto"/>
              <w:rPr>
                <w:rFonts w:cs="Arial"/>
                <w:color w:val="00B050"/>
                <w:sz w:val="20"/>
                <w:szCs w:val="20"/>
                <w:lang w:eastAsia="en-GB"/>
              </w:rPr>
            </w:pPr>
          </w:p>
        </w:tc>
      </w:tr>
      <w:tr w:rsidR="009B699F" w:rsidRPr="00677B2B" w:rsidTr="009B699F">
        <w:trPr>
          <w:trHeight w:val="274"/>
        </w:trPr>
        <w:tc>
          <w:tcPr>
            <w:tcW w:w="3647" w:type="dxa"/>
            <w:tcBorders>
              <w:top w:val="single" w:sz="4" w:space="0" w:color="auto"/>
              <w:left w:val="single" w:sz="4" w:space="0" w:color="auto"/>
              <w:bottom w:val="single" w:sz="4" w:space="0" w:color="auto"/>
              <w:right w:val="single" w:sz="4" w:space="0" w:color="auto"/>
            </w:tcBorders>
          </w:tcPr>
          <w:p w:rsidR="009B699F" w:rsidRPr="00823420" w:rsidRDefault="009B699F" w:rsidP="00823420">
            <w:pPr>
              <w:spacing w:after="0" w:line="240" w:lineRule="auto"/>
              <w:rPr>
                <w:rFonts w:cs="Arial"/>
                <w:sz w:val="20"/>
                <w:szCs w:val="20"/>
                <w:lang w:eastAsia="en-GB"/>
              </w:rPr>
            </w:pPr>
            <w:r w:rsidRPr="00823420">
              <w:rPr>
                <w:rFonts w:cs="Arial"/>
                <w:sz w:val="20"/>
                <w:szCs w:val="20"/>
                <w:lang w:eastAsia="en-GB"/>
              </w:rPr>
              <w:t>% of discharge summaries/ notifications audited that have 90% of recommended dataset and sent out within 24 hours of discharge to the GP.</w:t>
            </w:r>
          </w:p>
        </w:tc>
        <w:tc>
          <w:tcPr>
            <w:tcW w:w="3641" w:type="dxa"/>
            <w:tcBorders>
              <w:top w:val="single" w:sz="4" w:space="0" w:color="auto"/>
              <w:left w:val="nil"/>
              <w:bottom w:val="single" w:sz="4" w:space="0" w:color="auto"/>
              <w:right w:val="single" w:sz="4" w:space="0" w:color="000000"/>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Q2 milestone achieved</w:t>
            </w:r>
          </w:p>
        </w:tc>
        <w:tc>
          <w:tcPr>
            <w:tcW w:w="2242" w:type="dxa"/>
            <w:tcBorders>
              <w:top w:val="single" w:sz="4" w:space="0" w:color="auto"/>
              <w:left w:val="nil"/>
              <w:bottom w:val="single" w:sz="4" w:space="0" w:color="auto"/>
              <w:right w:val="single" w:sz="4" w:space="0" w:color="auto"/>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9B699F" w:rsidRPr="00823420" w:rsidRDefault="009B699F" w:rsidP="00823420">
            <w:pPr>
              <w:spacing w:after="0" w:line="240" w:lineRule="auto"/>
              <w:rPr>
                <w:rFonts w:cs="Arial"/>
                <w:color w:val="00B050"/>
                <w:sz w:val="20"/>
                <w:szCs w:val="20"/>
                <w:lang w:eastAsia="en-GB"/>
              </w:rPr>
            </w:pPr>
          </w:p>
        </w:tc>
      </w:tr>
      <w:tr w:rsidR="009B699F" w:rsidRPr="00677B2B" w:rsidTr="000D0569">
        <w:trPr>
          <w:trHeight w:val="1200"/>
        </w:trPr>
        <w:tc>
          <w:tcPr>
            <w:tcW w:w="3647" w:type="dxa"/>
            <w:tcBorders>
              <w:top w:val="single" w:sz="4" w:space="0" w:color="auto"/>
              <w:left w:val="single" w:sz="4" w:space="0" w:color="auto"/>
              <w:bottom w:val="single" w:sz="4" w:space="0" w:color="auto"/>
              <w:right w:val="single" w:sz="4" w:space="0" w:color="auto"/>
            </w:tcBorders>
          </w:tcPr>
          <w:p w:rsidR="009B699F" w:rsidRPr="00823420" w:rsidRDefault="009B699F" w:rsidP="00823420">
            <w:pPr>
              <w:spacing w:after="0" w:line="240" w:lineRule="auto"/>
              <w:rPr>
                <w:rFonts w:cs="Arial"/>
                <w:sz w:val="20"/>
                <w:szCs w:val="20"/>
                <w:lang w:eastAsia="en-GB"/>
              </w:rPr>
            </w:pPr>
            <w:r w:rsidRPr="00823420">
              <w:rPr>
                <w:rFonts w:cs="Arial"/>
                <w:sz w:val="20"/>
                <w:szCs w:val="20"/>
                <w:lang w:eastAsia="en-GB"/>
              </w:rPr>
              <w:lastRenderedPageBreak/>
              <w:t>Reduction of ALOS from contract commencement- through working with the Level 3 teams to ensure effective and timely transition back to local community services (work towards 50 days).</w:t>
            </w:r>
          </w:p>
        </w:tc>
        <w:tc>
          <w:tcPr>
            <w:tcW w:w="3641" w:type="dxa"/>
            <w:tcBorders>
              <w:top w:val="single" w:sz="4" w:space="0" w:color="auto"/>
              <w:left w:val="nil"/>
              <w:bottom w:val="single" w:sz="4" w:space="0" w:color="auto"/>
              <w:right w:val="single" w:sz="4" w:space="0" w:color="000000"/>
            </w:tcBorders>
          </w:tcPr>
          <w:p w:rsidR="009B13A5" w:rsidRPr="009B13A5" w:rsidRDefault="009B13A5" w:rsidP="009B13A5">
            <w:pPr>
              <w:spacing w:after="0"/>
            </w:pPr>
            <w:r w:rsidRPr="009B13A5">
              <w:t xml:space="preserve">Qtr 1 position- 42 ALOS YTD </w:t>
            </w:r>
          </w:p>
          <w:p w:rsidR="009B13A5" w:rsidRPr="009B13A5" w:rsidRDefault="009B13A5" w:rsidP="009B13A5">
            <w:pPr>
              <w:spacing w:after="0"/>
            </w:pPr>
            <w:r w:rsidRPr="009B13A5">
              <w:t xml:space="preserve">Qtr 2 position- 37 ALOS YTD </w:t>
            </w:r>
          </w:p>
          <w:p w:rsidR="009B13A5" w:rsidRPr="009B13A5" w:rsidRDefault="009B13A5" w:rsidP="009B13A5">
            <w:pPr>
              <w:spacing w:after="0"/>
            </w:pPr>
            <w:r>
              <w:t xml:space="preserve">ALOS </w:t>
            </w:r>
            <w:proofErr w:type="gramStart"/>
            <w:r>
              <w:t xml:space="preserve">is </w:t>
            </w:r>
            <w:r w:rsidRPr="009B13A5">
              <w:t xml:space="preserve"> monitor</w:t>
            </w:r>
            <w:r>
              <w:t>ed</w:t>
            </w:r>
            <w:proofErr w:type="gramEnd"/>
            <w:r>
              <w:t xml:space="preserve"> </w:t>
            </w:r>
            <w:r w:rsidRPr="009B13A5">
              <w:t>monthly and quarterly but it is the year end position which is the final indicator.</w:t>
            </w:r>
          </w:p>
          <w:p w:rsidR="009B699F" w:rsidRPr="009B13A5" w:rsidRDefault="009B699F" w:rsidP="00823420">
            <w:pPr>
              <w:spacing w:after="0" w:line="240" w:lineRule="auto"/>
              <w:rPr>
                <w:rFonts w:cs="Arial"/>
                <w:sz w:val="20"/>
                <w:szCs w:val="20"/>
                <w:lang w:eastAsia="en-GB"/>
              </w:rPr>
            </w:pPr>
          </w:p>
        </w:tc>
        <w:tc>
          <w:tcPr>
            <w:tcW w:w="2242" w:type="dxa"/>
            <w:tcBorders>
              <w:top w:val="single" w:sz="4" w:space="0" w:color="auto"/>
              <w:left w:val="nil"/>
              <w:bottom w:val="single" w:sz="4" w:space="0" w:color="auto"/>
              <w:right w:val="single" w:sz="4" w:space="0" w:color="auto"/>
            </w:tcBorders>
          </w:tcPr>
          <w:p w:rsidR="009B699F" w:rsidRPr="009B13A5" w:rsidRDefault="009B699F" w:rsidP="00823420">
            <w:pPr>
              <w:spacing w:after="0" w:line="240" w:lineRule="auto"/>
              <w:rPr>
                <w:rFonts w:cs="Arial"/>
                <w:sz w:val="20"/>
                <w:szCs w:val="20"/>
                <w:lang w:eastAsia="en-GB"/>
              </w:rPr>
            </w:pPr>
            <w:r w:rsidRPr="009B13A5">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00B050"/>
          </w:tcPr>
          <w:p w:rsidR="009B699F" w:rsidRPr="00823420" w:rsidRDefault="009B699F" w:rsidP="00823420">
            <w:pPr>
              <w:spacing w:after="0" w:line="240" w:lineRule="auto"/>
              <w:rPr>
                <w:rFonts w:cs="Arial"/>
                <w:color w:val="00B050"/>
                <w:sz w:val="20"/>
                <w:szCs w:val="20"/>
                <w:lang w:eastAsia="en-GB"/>
              </w:rPr>
            </w:pPr>
          </w:p>
        </w:tc>
      </w:tr>
      <w:tr w:rsidR="009B699F" w:rsidRPr="00677B2B" w:rsidTr="000D0569">
        <w:trPr>
          <w:trHeight w:val="300"/>
        </w:trPr>
        <w:tc>
          <w:tcPr>
            <w:tcW w:w="9928" w:type="dxa"/>
            <w:gridSpan w:val="4"/>
            <w:tcBorders>
              <w:top w:val="single" w:sz="4" w:space="0" w:color="auto"/>
              <w:left w:val="single" w:sz="4" w:space="0" w:color="auto"/>
              <w:bottom w:val="single" w:sz="4" w:space="0" w:color="auto"/>
              <w:right w:val="single" w:sz="4" w:space="0" w:color="auto"/>
            </w:tcBorders>
            <w:shd w:val="clear" w:color="auto" w:fill="BFBFBF"/>
          </w:tcPr>
          <w:p w:rsidR="009B699F" w:rsidRPr="000D0569" w:rsidRDefault="009B699F" w:rsidP="00823420">
            <w:pPr>
              <w:spacing w:after="0" w:line="240" w:lineRule="auto"/>
              <w:rPr>
                <w:rFonts w:cs="Arial"/>
                <w:b/>
                <w:lang w:eastAsia="en-GB"/>
              </w:rPr>
            </w:pPr>
            <w:r w:rsidRPr="000D0569">
              <w:rPr>
                <w:rFonts w:cs="Arial"/>
                <w:b/>
                <w:lang w:eastAsia="en-GB"/>
              </w:rPr>
              <w:t>Swindon CAMHS</w:t>
            </w:r>
          </w:p>
        </w:tc>
      </w:tr>
      <w:tr w:rsidR="009B699F" w:rsidRPr="00677B2B" w:rsidTr="000D0569">
        <w:trPr>
          <w:trHeight w:val="600"/>
        </w:trPr>
        <w:tc>
          <w:tcPr>
            <w:tcW w:w="3647" w:type="dxa"/>
            <w:tcBorders>
              <w:top w:val="single" w:sz="4" w:space="0" w:color="auto"/>
              <w:left w:val="single" w:sz="4" w:space="0" w:color="auto"/>
              <w:bottom w:val="single" w:sz="4" w:space="0" w:color="auto"/>
              <w:right w:val="single" w:sz="4" w:space="0" w:color="auto"/>
            </w:tcBorders>
          </w:tcPr>
          <w:p w:rsidR="009B699F" w:rsidRPr="00823420" w:rsidRDefault="009B699F" w:rsidP="00823420">
            <w:pPr>
              <w:spacing w:after="0" w:line="240" w:lineRule="auto"/>
              <w:rPr>
                <w:rFonts w:cs="Arial"/>
                <w:sz w:val="20"/>
                <w:szCs w:val="20"/>
                <w:lang w:eastAsia="en-GB"/>
              </w:rPr>
            </w:pPr>
            <w:r w:rsidRPr="00823420">
              <w:rPr>
                <w:rFonts w:cs="Arial"/>
                <w:sz w:val="20"/>
                <w:szCs w:val="20"/>
                <w:lang w:eastAsia="en-GB"/>
              </w:rPr>
              <w:t>Audit inpatient physical health assessments and identify any improvements</w:t>
            </w:r>
          </w:p>
        </w:tc>
        <w:tc>
          <w:tcPr>
            <w:tcW w:w="3641" w:type="dxa"/>
            <w:tcBorders>
              <w:top w:val="single" w:sz="4" w:space="0" w:color="auto"/>
              <w:left w:val="nil"/>
              <w:bottom w:val="single" w:sz="4" w:space="0" w:color="auto"/>
              <w:right w:val="single" w:sz="4" w:space="0" w:color="000000"/>
            </w:tcBorders>
          </w:tcPr>
          <w:p w:rsidR="009B699F" w:rsidRPr="009B699F" w:rsidRDefault="009B699F" w:rsidP="00823420">
            <w:pPr>
              <w:spacing w:after="0" w:line="240" w:lineRule="auto"/>
              <w:rPr>
                <w:rFonts w:cs="Arial"/>
                <w:sz w:val="20"/>
                <w:szCs w:val="20"/>
                <w:lang w:eastAsia="en-GB"/>
              </w:rPr>
            </w:pPr>
            <w:r w:rsidRPr="009B699F">
              <w:rPr>
                <w:rFonts w:cs="Arial"/>
                <w:sz w:val="20"/>
                <w:szCs w:val="20"/>
                <w:lang w:eastAsia="en-GB"/>
              </w:rPr>
              <w:t>Audit carried out in August 2011</w:t>
            </w:r>
          </w:p>
        </w:tc>
        <w:tc>
          <w:tcPr>
            <w:tcW w:w="2242" w:type="dxa"/>
            <w:tcBorders>
              <w:top w:val="single" w:sz="4" w:space="0" w:color="auto"/>
              <w:left w:val="nil"/>
              <w:bottom w:val="single" w:sz="4" w:space="0" w:color="auto"/>
              <w:right w:val="single" w:sz="4" w:space="0" w:color="auto"/>
            </w:tcBorders>
          </w:tcPr>
          <w:p w:rsidR="009B699F" w:rsidRPr="009B699F" w:rsidRDefault="009B699F" w:rsidP="00823420">
            <w:pPr>
              <w:spacing w:after="0" w:line="240" w:lineRule="auto"/>
              <w:rPr>
                <w:rFonts w:cs="Arial"/>
                <w:sz w:val="20"/>
                <w:szCs w:val="20"/>
                <w:lang w:eastAsia="en-GB"/>
              </w:rPr>
            </w:pPr>
            <w:r w:rsidRPr="009B699F">
              <w:rPr>
                <w:rFonts w:cs="Arial"/>
                <w:sz w:val="20"/>
                <w:szCs w:val="20"/>
                <w:lang w:eastAsia="en-GB"/>
              </w:rPr>
              <w:t>Completed</w:t>
            </w:r>
          </w:p>
        </w:tc>
        <w:tc>
          <w:tcPr>
            <w:tcW w:w="398" w:type="dxa"/>
            <w:tcBorders>
              <w:top w:val="single" w:sz="4" w:space="0" w:color="auto"/>
              <w:left w:val="nil"/>
              <w:bottom w:val="single" w:sz="4" w:space="0" w:color="auto"/>
              <w:right w:val="single" w:sz="4" w:space="0" w:color="auto"/>
            </w:tcBorders>
            <w:shd w:val="clear" w:color="auto" w:fill="00B050"/>
          </w:tcPr>
          <w:p w:rsidR="009B699F" w:rsidRPr="00823420" w:rsidRDefault="009B699F" w:rsidP="00823420">
            <w:pPr>
              <w:spacing w:after="0" w:line="240" w:lineRule="auto"/>
              <w:rPr>
                <w:rFonts w:cs="Arial"/>
                <w:color w:val="00B050"/>
                <w:sz w:val="20"/>
                <w:szCs w:val="20"/>
                <w:lang w:eastAsia="en-GB"/>
              </w:rPr>
            </w:pPr>
          </w:p>
        </w:tc>
      </w:tr>
      <w:tr w:rsidR="009B699F" w:rsidRPr="00677B2B" w:rsidTr="009B699F">
        <w:trPr>
          <w:trHeight w:val="630"/>
        </w:trPr>
        <w:tc>
          <w:tcPr>
            <w:tcW w:w="3647" w:type="dxa"/>
            <w:tcBorders>
              <w:top w:val="single" w:sz="4" w:space="0" w:color="auto"/>
              <w:left w:val="single" w:sz="4" w:space="0" w:color="auto"/>
              <w:bottom w:val="single" w:sz="4" w:space="0" w:color="auto"/>
              <w:right w:val="single" w:sz="4" w:space="0" w:color="auto"/>
            </w:tcBorders>
          </w:tcPr>
          <w:p w:rsidR="009B699F" w:rsidRPr="00823420" w:rsidRDefault="009B699F" w:rsidP="00823420">
            <w:pPr>
              <w:spacing w:after="0" w:line="240" w:lineRule="auto"/>
              <w:rPr>
                <w:rFonts w:cs="Arial"/>
                <w:sz w:val="20"/>
                <w:szCs w:val="20"/>
                <w:lang w:eastAsia="en-GB"/>
              </w:rPr>
            </w:pPr>
            <w:r w:rsidRPr="00823420">
              <w:rPr>
                <w:rFonts w:cs="Arial"/>
                <w:sz w:val="20"/>
                <w:szCs w:val="20"/>
                <w:lang w:eastAsia="en-GB"/>
              </w:rPr>
              <w:t>Community audit against Consent and Confidentiality Policy</w:t>
            </w:r>
          </w:p>
        </w:tc>
        <w:tc>
          <w:tcPr>
            <w:tcW w:w="3641" w:type="dxa"/>
            <w:tcBorders>
              <w:top w:val="single" w:sz="4" w:space="0" w:color="auto"/>
              <w:left w:val="nil"/>
              <w:bottom w:val="single" w:sz="4" w:space="0" w:color="auto"/>
              <w:right w:val="single" w:sz="4" w:space="0" w:color="000000"/>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Audit carried out in August 2011</w:t>
            </w:r>
          </w:p>
        </w:tc>
        <w:tc>
          <w:tcPr>
            <w:tcW w:w="2242" w:type="dxa"/>
            <w:tcBorders>
              <w:top w:val="single" w:sz="4" w:space="0" w:color="auto"/>
              <w:left w:val="nil"/>
              <w:bottom w:val="single" w:sz="4" w:space="0" w:color="auto"/>
              <w:right w:val="single" w:sz="4" w:space="0" w:color="auto"/>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Completed</w:t>
            </w:r>
          </w:p>
        </w:tc>
        <w:tc>
          <w:tcPr>
            <w:tcW w:w="398" w:type="dxa"/>
            <w:tcBorders>
              <w:top w:val="single" w:sz="4" w:space="0" w:color="auto"/>
              <w:left w:val="nil"/>
              <w:bottom w:val="single" w:sz="4" w:space="0" w:color="auto"/>
              <w:right w:val="single" w:sz="4" w:space="0" w:color="auto"/>
            </w:tcBorders>
            <w:shd w:val="clear" w:color="auto" w:fill="00B050"/>
          </w:tcPr>
          <w:p w:rsidR="009B699F" w:rsidRPr="00823420" w:rsidRDefault="009B699F" w:rsidP="00823420">
            <w:pPr>
              <w:spacing w:after="0" w:line="240" w:lineRule="auto"/>
              <w:rPr>
                <w:rFonts w:cs="Arial"/>
                <w:color w:val="00B050"/>
                <w:sz w:val="20"/>
                <w:szCs w:val="20"/>
                <w:lang w:eastAsia="en-GB"/>
              </w:rPr>
            </w:pPr>
          </w:p>
        </w:tc>
      </w:tr>
      <w:tr w:rsidR="009B699F" w:rsidRPr="00677B2B" w:rsidTr="009B699F">
        <w:trPr>
          <w:trHeight w:val="660"/>
        </w:trPr>
        <w:tc>
          <w:tcPr>
            <w:tcW w:w="3647" w:type="dxa"/>
            <w:tcBorders>
              <w:top w:val="single" w:sz="4" w:space="0" w:color="auto"/>
              <w:left w:val="single" w:sz="4" w:space="0" w:color="auto"/>
              <w:bottom w:val="single" w:sz="4" w:space="0" w:color="auto"/>
              <w:right w:val="single" w:sz="4" w:space="0" w:color="auto"/>
            </w:tcBorders>
            <w:noWrap/>
          </w:tcPr>
          <w:p w:rsidR="009B699F" w:rsidRPr="00823420" w:rsidRDefault="009B699F" w:rsidP="00823420">
            <w:pPr>
              <w:spacing w:after="0" w:line="240" w:lineRule="auto"/>
              <w:rPr>
                <w:rFonts w:cs="Arial"/>
                <w:sz w:val="20"/>
                <w:szCs w:val="20"/>
                <w:lang w:eastAsia="en-GB"/>
              </w:rPr>
            </w:pPr>
            <w:r w:rsidRPr="00823420">
              <w:rPr>
                <w:rFonts w:cs="Arial"/>
                <w:sz w:val="20"/>
                <w:szCs w:val="20"/>
                <w:lang w:eastAsia="en-GB"/>
              </w:rPr>
              <w:t>Copying letters to patients, parents and GPs</w:t>
            </w:r>
          </w:p>
        </w:tc>
        <w:tc>
          <w:tcPr>
            <w:tcW w:w="3641" w:type="dxa"/>
            <w:tcBorders>
              <w:top w:val="single" w:sz="4" w:space="0" w:color="auto"/>
              <w:left w:val="nil"/>
              <w:bottom w:val="single" w:sz="4" w:space="0" w:color="auto"/>
              <w:right w:val="single" w:sz="4" w:space="0" w:color="000000"/>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Audit deferred to later this year.</w:t>
            </w:r>
          </w:p>
        </w:tc>
        <w:tc>
          <w:tcPr>
            <w:tcW w:w="2242" w:type="dxa"/>
            <w:tcBorders>
              <w:top w:val="single" w:sz="4" w:space="0" w:color="auto"/>
              <w:left w:val="nil"/>
              <w:bottom w:val="single" w:sz="4" w:space="0" w:color="auto"/>
              <w:right w:val="single" w:sz="4" w:space="0" w:color="auto"/>
            </w:tcBorders>
          </w:tcPr>
          <w:p w:rsidR="009B699F" w:rsidRPr="009B699F" w:rsidRDefault="009B699F" w:rsidP="00823420">
            <w:pPr>
              <w:spacing w:after="0" w:line="240" w:lineRule="auto"/>
              <w:rPr>
                <w:rFonts w:cs="Arial"/>
                <w:sz w:val="20"/>
                <w:szCs w:val="20"/>
                <w:lang w:eastAsia="en-GB"/>
              </w:rPr>
            </w:pPr>
            <w:r w:rsidRPr="009B699F">
              <w:rPr>
                <w:rFonts w:cs="Arial"/>
                <w:sz w:val="20"/>
                <w:szCs w:val="20"/>
                <w:lang w:eastAsia="en-GB"/>
              </w:rPr>
              <w:t>Met</w:t>
            </w:r>
          </w:p>
        </w:tc>
        <w:tc>
          <w:tcPr>
            <w:tcW w:w="398" w:type="dxa"/>
            <w:tcBorders>
              <w:top w:val="single" w:sz="4" w:space="0" w:color="auto"/>
              <w:left w:val="nil"/>
              <w:bottom w:val="single" w:sz="4" w:space="0" w:color="auto"/>
              <w:right w:val="single" w:sz="4" w:space="0" w:color="auto"/>
            </w:tcBorders>
            <w:shd w:val="clear" w:color="auto" w:fill="FFC000"/>
          </w:tcPr>
          <w:p w:rsidR="009B699F" w:rsidRPr="00823420" w:rsidRDefault="009B699F" w:rsidP="00823420">
            <w:pPr>
              <w:spacing w:after="0" w:line="240" w:lineRule="auto"/>
              <w:rPr>
                <w:rFonts w:cs="Arial"/>
                <w:color w:val="00B050"/>
                <w:sz w:val="20"/>
                <w:szCs w:val="20"/>
                <w:lang w:eastAsia="en-GB"/>
              </w:rPr>
            </w:pPr>
          </w:p>
        </w:tc>
      </w:tr>
      <w:tr w:rsidR="009B699F" w:rsidRPr="00677B2B" w:rsidTr="000D0569">
        <w:trPr>
          <w:trHeight w:val="900"/>
        </w:trPr>
        <w:tc>
          <w:tcPr>
            <w:tcW w:w="3647" w:type="dxa"/>
            <w:tcBorders>
              <w:top w:val="single" w:sz="4" w:space="0" w:color="auto"/>
              <w:left w:val="single" w:sz="4" w:space="0" w:color="auto"/>
              <w:bottom w:val="single" w:sz="4" w:space="0" w:color="auto"/>
              <w:right w:val="single" w:sz="4" w:space="0" w:color="auto"/>
            </w:tcBorders>
          </w:tcPr>
          <w:p w:rsidR="009B699F" w:rsidRPr="00823420" w:rsidRDefault="009B699F" w:rsidP="00823420">
            <w:pPr>
              <w:spacing w:after="0" w:line="240" w:lineRule="auto"/>
              <w:rPr>
                <w:rFonts w:cs="Arial"/>
                <w:sz w:val="20"/>
                <w:szCs w:val="20"/>
                <w:lang w:eastAsia="en-GB"/>
              </w:rPr>
            </w:pPr>
            <w:r w:rsidRPr="00823420">
              <w:rPr>
                <w:rFonts w:cs="Arial"/>
                <w:sz w:val="20"/>
                <w:szCs w:val="20"/>
                <w:lang w:eastAsia="en-GB"/>
              </w:rPr>
              <w:t>Quality and timeliness of inpatient discharge summaries</w:t>
            </w:r>
            <w:r w:rsidRPr="00823420">
              <w:rPr>
                <w:rFonts w:cs="Arial"/>
                <w:sz w:val="20"/>
                <w:szCs w:val="20"/>
                <w:lang w:eastAsia="en-GB"/>
              </w:rPr>
              <w:br/>
              <w:t xml:space="preserve">(see Wiltshire and </w:t>
            </w:r>
            <w:proofErr w:type="spellStart"/>
            <w:r w:rsidRPr="00823420">
              <w:rPr>
                <w:rFonts w:cs="Arial"/>
                <w:sz w:val="20"/>
                <w:szCs w:val="20"/>
                <w:lang w:eastAsia="en-GB"/>
              </w:rPr>
              <w:t>BaNES</w:t>
            </w:r>
            <w:proofErr w:type="spellEnd"/>
            <w:r w:rsidRPr="00823420">
              <w:rPr>
                <w:rFonts w:cs="Arial"/>
                <w:sz w:val="20"/>
                <w:szCs w:val="20"/>
                <w:lang w:eastAsia="en-GB"/>
              </w:rPr>
              <w:t xml:space="preserve"> CQUIN goal)</w:t>
            </w:r>
          </w:p>
        </w:tc>
        <w:tc>
          <w:tcPr>
            <w:tcW w:w="3641" w:type="dxa"/>
            <w:tcBorders>
              <w:top w:val="single" w:sz="4" w:space="0" w:color="auto"/>
              <w:left w:val="nil"/>
              <w:bottom w:val="single" w:sz="4" w:space="0" w:color="auto"/>
              <w:right w:val="single" w:sz="4" w:space="0" w:color="000000"/>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Audit carried out in August 2011</w:t>
            </w:r>
          </w:p>
        </w:tc>
        <w:tc>
          <w:tcPr>
            <w:tcW w:w="2242" w:type="dxa"/>
            <w:tcBorders>
              <w:top w:val="single" w:sz="4" w:space="0" w:color="auto"/>
              <w:left w:val="nil"/>
              <w:bottom w:val="single" w:sz="4" w:space="0" w:color="auto"/>
              <w:right w:val="single" w:sz="4" w:space="0" w:color="auto"/>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Completed</w:t>
            </w:r>
          </w:p>
        </w:tc>
        <w:tc>
          <w:tcPr>
            <w:tcW w:w="398" w:type="dxa"/>
            <w:tcBorders>
              <w:top w:val="single" w:sz="4" w:space="0" w:color="auto"/>
              <w:left w:val="nil"/>
              <w:bottom w:val="single" w:sz="4" w:space="0" w:color="auto"/>
              <w:right w:val="single" w:sz="4" w:space="0" w:color="auto"/>
            </w:tcBorders>
            <w:shd w:val="clear" w:color="auto" w:fill="00B050"/>
          </w:tcPr>
          <w:p w:rsidR="009B699F" w:rsidRPr="00823420" w:rsidRDefault="009B699F" w:rsidP="00823420">
            <w:pPr>
              <w:spacing w:after="0" w:line="240" w:lineRule="auto"/>
              <w:rPr>
                <w:rFonts w:cs="Arial"/>
                <w:color w:val="00B050"/>
                <w:sz w:val="20"/>
                <w:szCs w:val="20"/>
                <w:lang w:eastAsia="en-GB"/>
              </w:rPr>
            </w:pPr>
          </w:p>
        </w:tc>
      </w:tr>
      <w:tr w:rsidR="009B699F" w:rsidRPr="00677B2B" w:rsidTr="000D0569">
        <w:trPr>
          <w:trHeight w:val="585"/>
        </w:trPr>
        <w:tc>
          <w:tcPr>
            <w:tcW w:w="3647" w:type="dxa"/>
            <w:tcBorders>
              <w:top w:val="single" w:sz="4" w:space="0" w:color="auto"/>
              <w:left w:val="single" w:sz="4" w:space="0" w:color="auto"/>
              <w:bottom w:val="single" w:sz="4" w:space="0" w:color="auto"/>
              <w:right w:val="single" w:sz="4" w:space="0" w:color="auto"/>
            </w:tcBorders>
            <w:noWrap/>
          </w:tcPr>
          <w:p w:rsidR="009B699F" w:rsidRPr="00823420" w:rsidRDefault="009B699F" w:rsidP="00823420">
            <w:pPr>
              <w:spacing w:after="0" w:line="240" w:lineRule="auto"/>
              <w:rPr>
                <w:rFonts w:cs="Arial"/>
                <w:sz w:val="20"/>
                <w:szCs w:val="20"/>
                <w:lang w:eastAsia="en-GB"/>
              </w:rPr>
            </w:pPr>
            <w:r w:rsidRPr="00823420">
              <w:rPr>
                <w:rFonts w:cs="Arial"/>
                <w:sz w:val="20"/>
                <w:szCs w:val="20"/>
                <w:lang w:eastAsia="en-GB"/>
              </w:rPr>
              <w:t>Timeliness of clinic letters sent to GP/ patients</w:t>
            </w:r>
          </w:p>
        </w:tc>
        <w:tc>
          <w:tcPr>
            <w:tcW w:w="3641" w:type="dxa"/>
            <w:tcBorders>
              <w:top w:val="single" w:sz="4" w:space="0" w:color="auto"/>
              <w:left w:val="nil"/>
              <w:bottom w:val="single" w:sz="4" w:space="0" w:color="auto"/>
              <w:right w:val="single" w:sz="4" w:space="0" w:color="000000"/>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Audit carried out in August 2011</w:t>
            </w:r>
          </w:p>
        </w:tc>
        <w:tc>
          <w:tcPr>
            <w:tcW w:w="2242" w:type="dxa"/>
            <w:tcBorders>
              <w:top w:val="single" w:sz="4" w:space="0" w:color="auto"/>
              <w:left w:val="nil"/>
              <w:bottom w:val="single" w:sz="4" w:space="0" w:color="auto"/>
              <w:right w:val="single" w:sz="4" w:space="0" w:color="auto"/>
            </w:tcBorders>
          </w:tcPr>
          <w:p w:rsidR="009B699F" w:rsidRPr="009B699F" w:rsidRDefault="009B699F" w:rsidP="009B699F">
            <w:pPr>
              <w:spacing w:after="0" w:line="240" w:lineRule="auto"/>
              <w:rPr>
                <w:rFonts w:cs="Arial"/>
                <w:sz w:val="20"/>
                <w:szCs w:val="20"/>
                <w:lang w:eastAsia="en-GB"/>
              </w:rPr>
            </w:pPr>
            <w:r w:rsidRPr="009B699F">
              <w:rPr>
                <w:rFonts w:cs="Arial"/>
                <w:sz w:val="20"/>
                <w:szCs w:val="20"/>
                <w:lang w:eastAsia="en-GB"/>
              </w:rPr>
              <w:t>Completed</w:t>
            </w:r>
          </w:p>
        </w:tc>
        <w:tc>
          <w:tcPr>
            <w:tcW w:w="398" w:type="dxa"/>
            <w:tcBorders>
              <w:top w:val="single" w:sz="4" w:space="0" w:color="auto"/>
              <w:left w:val="nil"/>
              <w:bottom w:val="single" w:sz="4" w:space="0" w:color="auto"/>
              <w:right w:val="single" w:sz="4" w:space="0" w:color="auto"/>
            </w:tcBorders>
            <w:shd w:val="clear" w:color="auto" w:fill="00B050"/>
          </w:tcPr>
          <w:p w:rsidR="009B699F" w:rsidRPr="00823420" w:rsidRDefault="009B699F" w:rsidP="00823420">
            <w:pPr>
              <w:spacing w:after="0" w:line="240" w:lineRule="auto"/>
              <w:rPr>
                <w:rFonts w:cs="Arial"/>
                <w:color w:val="00B050"/>
                <w:sz w:val="20"/>
                <w:szCs w:val="20"/>
                <w:lang w:eastAsia="en-GB"/>
              </w:rPr>
            </w:pPr>
          </w:p>
        </w:tc>
      </w:tr>
    </w:tbl>
    <w:p w:rsidR="0058221A" w:rsidRDefault="0058221A"/>
    <w:p w:rsidR="0058221A" w:rsidRDefault="0058221A">
      <w:r>
        <w:br w:type="page"/>
      </w:r>
    </w:p>
    <w:tbl>
      <w:tblPr>
        <w:tblW w:w="9752" w:type="dxa"/>
        <w:tblInd w:w="103" w:type="dxa"/>
        <w:tblLook w:val="00A0"/>
      </w:tblPr>
      <w:tblGrid>
        <w:gridCol w:w="4825"/>
        <w:gridCol w:w="1417"/>
        <w:gridCol w:w="1841"/>
        <w:gridCol w:w="1669"/>
      </w:tblGrid>
      <w:tr w:rsidR="0058221A" w:rsidRPr="00677B2B" w:rsidTr="003D1B35">
        <w:trPr>
          <w:trHeight w:val="300"/>
        </w:trPr>
        <w:tc>
          <w:tcPr>
            <w:tcW w:w="9752" w:type="dxa"/>
            <w:gridSpan w:val="4"/>
            <w:tcBorders>
              <w:top w:val="single" w:sz="4" w:space="0" w:color="auto"/>
              <w:left w:val="single" w:sz="4" w:space="0" w:color="auto"/>
              <w:bottom w:val="single" w:sz="4" w:space="0" w:color="auto"/>
              <w:right w:val="single" w:sz="4" w:space="0" w:color="auto"/>
            </w:tcBorders>
            <w:shd w:val="clear" w:color="000000" w:fill="0070C0"/>
          </w:tcPr>
          <w:p w:rsidR="0058221A" w:rsidRPr="00823420" w:rsidRDefault="0058221A" w:rsidP="00F8691B">
            <w:pPr>
              <w:pStyle w:val="Heading2"/>
              <w:numPr>
                <w:ilvl w:val="0"/>
                <w:numId w:val="6"/>
              </w:numPr>
              <w:rPr>
                <w:rFonts w:ascii="Arial" w:hAnsi="Arial" w:cs="Arial"/>
                <w:b w:val="0"/>
                <w:caps/>
                <w:color w:val="FFFFFF"/>
                <w:szCs w:val="22"/>
                <w:lang w:eastAsia="en-GB"/>
              </w:rPr>
            </w:pPr>
            <w:r>
              <w:rPr>
                <w:rFonts w:ascii="Arial" w:hAnsi="Arial" w:cs="Arial"/>
                <w:b w:val="0"/>
                <w:caps/>
                <w:color w:val="FFFFFF"/>
                <w:szCs w:val="22"/>
                <w:lang w:eastAsia="en-GB"/>
              </w:rPr>
              <w:lastRenderedPageBreak/>
              <w:t>PARTICIPATION IN CLINICAL AUDITS</w:t>
            </w:r>
          </w:p>
        </w:tc>
      </w:tr>
      <w:tr w:rsidR="0058221A" w:rsidRPr="00677B2B" w:rsidTr="003D1B35">
        <w:trPr>
          <w:trHeight w:val="300"/>
        </w:trPr>
        <w:tc>
          <w:tcPr>
            <w:tcW w:w="9752" w:type="dxa"/>
            <w:gridSpan w:val="4"/>
            <w:tcBorders>
              <w:top w:val="single" w:sz="4" w:space="0" w:color="auto"/>
              <w:left w:val="single" w:sz="4" w:space="0" w:color="auto"/>
              <w:bottom w:val="single" w:sz="4" w:space="0" w:color="auto"/>
              <w:right w:val="single" w:sz="4" w:space="0" w:color="auto"/>
            </w:tcBorders>
            <w:shd w:val="clear" w:color="000000" w:fill="BFBFBF"/>
          </w:tcPr>
          <w:p w:rsidR="0058221A" w:rsidRPr="003D1B35" w:rsidRDefault="0058221A" w:rsidP="003D1B35">
            <w:pPr>
              <w:pStyle w:val="Heading2"/>
              <w:rPr>
                <w:rFonts w:ascii="Arial" w:hAnsi="Arial" w:cs="Arial"/>
                <w:b w:val="0"/>
                <w:color w:val="auto"/>
                <w:szCs w:val="22"/>
                <w:lang w:eastAsia="en-GB"/>
              </w:rPr>
            </w:pPr>
            <w:r w:rsidRPr="003D1B35">
              <w:rPr>
                <w:rFonts w:ascii="Arial" w:hAnsi="Arial" w:cs="Arial"/>
                <w:color w:val="auto"/>
                <w:sz w:val="24"/>
                <w:szCs w:val="24"/>
                <w:lang w:eastAsia="en-GB"/>
              </w:rPr>
              <w:t>National Clinical Audits &amp; National Confidential Enquiries</w:t>
            </w:r>
          </w:p>
        </w:tc>
      </w:tr>
      <w:tr w:rsidR="0058221A" w:rsidRPr="00677B2B" w:rsidTr="003D1B35">
        <w:trPr>
          <w:trHeight w:val="300"/>
        </w:trPr>
        <w:tc>
          <w:tcPr>
            <w:tcW w:w="4825" w:type="dxa"/>
            <w:tcBorders>
              <w:top w:val="single" w:sz="4" w:space="0" w:color="auto"/>
              <w:left w:val="single" w:sz="4" w:space="0" w:color="auto"/>
              <w:bottom w:val="single" w:sz="4" w:space="0" w:color="auto"/>
              <w:right w:val="single" w:sz="4" w:space="0" w:color="auto"/>
            </w:tcBorders>
            <w:shd w:val="clear" w:color="000000" w:fill="C0C0C0"/>
            <w:noWrap/>
          </w:tcPr>
          <w:p w:rsidR="0058221A" w:rsidRPr="00DD3FAF" w:rsidRDefault="0058221A" w:rsidP="00DD3FAF">
            <w:pPr>
              <w:spacing w:after="0" w:line="240" w:lineRule="auto"/>
              <w:rPr>
                <w:rFonts w:cs="Arial"/>
                <w:b/>
                <w:lang w:eastAsia="en-GB"/>
              </w:rPr>
            </w:pPr>
            <w:r w:rsidRPr="00DD3FAF">
              <w:rPr>
                <w:rFonts w:cs="Arial"/>
                <w:b/>
                <w:lang w:eastAsia="en-GB"/>
              </w:rPr>
              <w:t>Audit or Inquiry</w:t>
            </w:r>
          </w:p>
        </w:tc>
        <w:tc>
          <w:tcPr>
            <w:tcW w:w="1417" w:type="dxa"/>
            <w:tcBorders>
              <w:top w:val="single" w:sz="4" w:space="0" w:color="auto"/>
              <w:left w:val="nil"/>
              <w:bottom w:val="single" w:sz="4" w:space="0" w:color="auto"/>
              <w:right w:val="single" w:sz="4" w:space="0" w:color="auto"/>
            </w:tcBorders>
            <w:shd w:val="clear" w:color="000000" w:fill="C0C0C0"/>
          </w:tcPr>
          <w:p w:rsidR="0058221A" w:rsidRPr="00823420" w:rsidRDefault="0058221A" w:rsidP="00DD3FAF">
            <w:pPr>
              <w:spacing w:after="0" w:line="240" w:lineRule="auto"/>
              <w:rPr>
                <w:rFonts w:cs="Arial"/>
                <w:b/>
                <w:lang w:eastAsia="en-GB"/>
              </w:rPr>
            </w:pPr>
            <w:r>
              <w:rPr>
                <w:rFonts w:cs="Arial"/>
                <w:b/>
                <w:lang w:eastAsia="en-GB"/>
              </w:rPr>
              <w:t>Participation (Yes/No)</w:t>
            </w:r>
          </w:p>
        </w:tc>
        <w:tc>
          <w:tcPr>
            <w:tcW w:w="1841" w:type="dxa"/>
            <w:tcBorders>
              <w:top w:val="single" w:sz="4" w:space="0" w:color="auto"/>
              <w:left w:val="single" w:sz="4" w:space="0" w:color="auto"/>
              <w:bottom w:val="single" w:sz="4" w:space="0" w:color="auto"/>
              <w:right w:val="single" w:sz="4" w:space="0" w:color="000000"/>
            </w:tcBorders>
            <w:shd w:val="clear" w:color="000000" w:fill="C0C0C0"/>
            <w:noWrap/>
          </w:tcPr>
          <w:p w:rsidR="0058221A" w:rsidRPr="00823420" w:rsidRDefault="0058221A" w:rsidP="00DD3FAF">
            <w:pPr>
              <w:spacing w:after="0" w:line="240" w:lineRule="auto"/>
              <w:rPr>
                <w:rFonts w:cs="Arial"/>
                <w:b/>
                <w:lang w:eastAsia="en-GB"/>
              </w:rPr>
            </w:pPr>
            <w:r>
              <w:rPr>
                <w:rFonts w:cs="Arial"/>
                <w:b/>
                <w:lang w:eastAsia="en-GB"/>
              </w:rPr>
              <w:t>Number of Cases Required by Terms</w:t>
            </w:r>
          </w:p>
        </w:tc>
        <w:tc>
          <w:tcPr>
            <w:tcW w:w="1669" w:type="dxa"/>
            <w:tcBorders>
              <w:top w:val="single" w:sz="4" w:space="0" w:color="auto"/>
              <w:left w:val="nil"/>
              <w:bottom w:val="single" w:sz="4" w:space="0" w:color="auto"/>
              <w:right w:val="single" w:sz="4" w:space="0" w:color="auto"/>
            </w:tcBorders>
            <w:shd w:val="clear" w:color="000000" w:fill="C0C0C0"/>
            <w:noWrap/>
          </w:tcPr>
          <w:p w:rsidR="0058221A" w:rsidRPr="00823420" w:rsidRDefault="0058221A" w:rsidP="00DD3FAF">
            <w:pPr>
              <w:spacing w:after="0" w:line="240" w:lineRule="auto"/>
              <w:rPr>
                <w:rFonts w:cs="Arial"/>
                <w:b/>
                <w:lang w:eastAsia="en-GB"/>
              </w:rPr>
            </w:pPr>
            <w:r>
              <w:rPr>
                <w:rFonts w:cs="Arial"/>
                <w:b/>
                <w:lang w:eastAsia="en-GB"/>
              </w:rPr>
              <w:t>Number of Cases Submitted</w:t>
            </w:r>
          </w:p>
        </w:tc>
      </w:tr>
      <w:tr w:rsidR="0058221A" w:rsidRPr="00677B2B" w:rsidTr="00CE3B87">
        <w:trPr>
          <w:trHeight w:val="498"/>
        </w:trPr>
        <w:tc>
          <w:tcPr>
            <w:tcW w:w="4825" w:type="dxa"/>
            <w:tcBorders>
              <w:top w:val="single" w:sz="4" w:space="0" w:color="auto"/>
              <w:left w:val="single" w:sz="4" w:space="0" w:color="auto"/>
              <w:right w:val="single" w:sz="4" w:space="0" w:color="auto"/>
            </w:tcBorders>
          </w:tcPr>
          <w:p w:rsidR="0058221A" w:rsidRPr="009B699F" w:rsidRDefault="009B699F" w:rsidP="00CE3B87">
            <w:pPr>
              <w:spacing w:after="0" w:line="240" w:lineRule="auto"/>
              <w:rPr>
                <w:rFonts w:cs="Arial"/>
                <w:sz w:val="20"/>
                <w:szCs w:val="20"/>
                <w:lang w:eastAsia="en-GB"/>
              </w:rPr>
            </w:pPr>
            <w:r w:rsidRPr="00CE3B87">
              <w:rPr>
                <w:rFonts w:cs="Arial"/>
                <w:sz w:val="20"/>
                <w:szCs w:val="20"/>
                <w:lang w:eastAsia="en-GB"/>
              </w:rPr>
              <w:t>Eliminating Mixed Sex Accommodation – audit data quality</w:t>
            </w:r>
          </w:p>
        </w:tc>
        <w:tc>
          <w:tcPr>
            <w:tcW w:w="1417" w:type="dxa"/>
            <w:tcBorders>
              <w:top w:val="single" w:sz="4" w:space="0" w:color="auto"/>
              <w:left w:val="nil"/>
              <w:right w:val="single" w:sz="4" w:space="0" w:color="auto"/>
            </w:tcBorders>
            <w:vAlign w:val="center"/>
          </w:tcPr>
          <w:p w:rsidR="0058221A" w:rsidRPr="00823420" w:rsidRDefault="003C2F8D" w:rsidP="003C2F8D">
            <w:pPr>
              <w:spacing w:after="0" w:line="240" w:lineRule="auto"/>
              <w:jc w:val="center"/>
              <w:rPr>
                <w:rFonts w:cs="Arial"/>
                <w:sz w:val="20"/>
                <w:szCs w:val="20"/>
                <w:lang w:eastAsia="en-GB"/>
              </w:rPr>
            </w:pPr>
            <w:r>
              <w:rPr>
                <w:rFonts w:cs="Arial"/>
                <w:sz w:val="20"/>
                <w:szCs w:val="20"/>
                <w:lang w:eastAsia="en-GB"/>
              </w:rPr>
              <w:t>YES</w:t>
            </w:r>
          </w:p>
        </w:tc>
        <w:tc>
          <w:tcPr>
            <w:tcW w:w="1841" w:type="dxa"/>
            <w:tcBorders>
              <w:top w:val="single" w:sz="4" w:space="0" w:color="auto"/>
              <w:left w:val="single" w:sz="4" w:space="0" w:color="auto"/>
              <w:right w:val="single" w:sz="4" w:space="0" w:color="000000"/>
            </w:tcBorders>
            <w:vAlign w:val="center"/>
          </w:tcPr>
          <w:p w:rsidR="0058221A"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top w:val="single" w:sz="4" w:space="0" w:color="auto"/>
              <w:left w:val="nil"/>
              <w:right w:val="single" w:sz="4" w:space="0" w:color="auto"/>
            </w:tcBorders>
            <w:noWrap/>
            <w:vAlign w:val="center"/>
          </w:tcPr>
          <w:p w:rsidR="0058221A"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3C2F8D" w:rsidRPr="00677B2B" w:rsidTr="003C2F8D">
        <w:trPr>
          <w:trHeight w:val="432"/>
        </w:trPr>
        <w:tc>
          <w:tcPr>
            <w:tcW w:w="4825" w:type="dxa"/>
            <w:tcBorders>
              <w:left w:val="single" w:sz="4" w:space="0" w:color="auto"/>
              <w:right w:val="single" w:sz="4" w:space="0" w:color="auto"/>
            </w:tcBorders>
          </w:tcPr>
          <w:p w:rsidR="003C2F8D" w:rsidRPr="009B699F" w:rsidRDefault="003C2F8D" w:rsidP="00DD3FAF">
            <w:pPr>
              <w:spacing w:after="0" w:line="240" w:lineRule="auto"/>
              <w:rPr>
                <w:rFonts w:cs="Arial"/>
                <w:sz w:val="20"/>
                <w:szCs w:val="20"/>
                <w:lang w:eastAsia="en-GB"/>
              </w:rPr>
            </w:pPr>
            <w:r>
              <w:rPr>
                <w:rFonts w:cs="Arial"/>
                <w:sz w:val="20"/>
                <w:szCs w:val="20"/>
                <w:lang w:eastAsia="en-GB"/>
              </w:rPr>
              <w:t>Back pain management by NHS Occupational Health Services in England</w:t>
            </w:r>
          </w:p>
        </w:tc>
        <w:tc>
          <w:tcPr>
            <w:tcW w:w="1417" w:type="dxa"/>
            <w:tcBorders>
              <w:left w:val="nil"/>
              <w:right w:val="single" w:sz="4" w:space="0" w:color="auto"/>
            </w:tcBorders>
            <w:vAlign w:val="center"/>
          </w:tcPr>
          <w:p w:rsidR="003C2F8D" w:rsidRDefault="003C2F8D" w:rsidP="003C2F8D">
            <w:pPr>
              <w:jc w:val="center"/>
            </w:pPr>
            <w:r w:rsidRPr="00AE22B1">
              <w:rPr>
                <w:rFonts w:cs="Arial"/>
                <w:sz w:val="20"/>
                <w:szCs w:val="20"/>
                <w:lang w:eastAsia="en-GB"/>
              </w:rPr>
              <w:t>YES</w:t>
            </w:r>
          </w:p>
        </w:tc>
        <w:tc>
          <w:tcPr>
            <w:tcW w:w="1841" w:type="dxa"/>
            <w:tcBorders>
              <w:left w:val="single" w:sz="4" w:space="0" w:color="auto"/>
              <w:right w:val="single" w:sz="4" w:space="0" w:color="000000"/>
            </w:tcBorders>
            <w:vAlign w:val="center"/>
          </w:tcPr>
          <w:p w:rsidR="003C2F8D"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left w:val="nil"/>
              <w:right w:val="single" w:sz="4" w:space="0" w:color="auto"/>
            </w:tcBorders>
            <w:noWrap/>
            <w:vAlign w:val="center"/>
          </w:tcPr>
          <w:p w:rsidR="003C2F8D"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3C2F8D" w:rsidRPr="00677B2B" w:rsidTr="003C2F8D">
        <w:trPr>
          <w:trHeight w:val="510"/>
        </w:trPr>
        <w:tc>
          <w:tcPr>
            <w:tcW w:w="4825" w:type="dxa"/>
            <w:tcBorders>
              <w:left w:val="single" w:sz="4" w:space="0" w:color="auto"/>
              <w:right w:val="single" w:sz="4" w:space="0" w:color="auto"/>
            </w:tcBorders>
          </w:tcPr>
          <w:p w:rsidR="003C2F8D" w:rsidRPr="00823420" w:rsidRDefault="003C2F8D" w:rsidP="00DD3FAF">
            <w:pPr>
              <w:spacing w:after="0" w:line="240" w:lineRule="auto"/>
              <w:rPr>
                <w:rFonts w:cs="Arial"/>
                <w:sz w:val="20"/>
                <w:szCs w:val="20"/>
                <w:lang w:eastAsia="en-GB"/>
              </w:rPr>
            </w:pPr>
            <w:r>
              <w:rPr>
                <w:rFonts w:cs="Arial"/>
                <w:sz w:val="20"/>
                <w:szCs w:val="20"/>
                <w:lang w:eastAsia="en-GB"/>
              </w:rPr>
              <w:t>POMH-UK Topic 1 Proscribing high dose and combined antipsychotics on Adult &amp; PICU wards</w:t>
            </w:r>
          </w:p>
        </w:tc>
        <w:tc>
          <w:tcPr>
            <w:tcW w:w="1417" w:type="dxa"/>
            <w:tcBorders>
              <w:left w:val="nil"/>
              <w:right w:val="single" w:sz="4" w:space="0" w:color="auto"/>
            </w:tcBorders>
            <w:vAlign w:val="center"/>
          </w:tcPr>
          <w:p w:rsidR="003C2F8D" w:rsidRDefault="003C2F8D" w:rsidP="003C2F8D">
            <w:pPr>
              <w:jc w:val="center"/>
            </w:pPr>
            <w:r w:rsidRPr="00AE22B1">
              <w:rPr>
                <w:rFonts w:cs="Arial"/>
                <w:sz w:val="20"/>
                <w:szCs w:val="20"/>
                <w:lang w:eastAsia="en-GB"/>
              </w:rPr>
              <w:t>YES</w:t>
            </w:r>
          </w:p>
        </w:tc>
        <w:tc>
          <w:tcPr>
            <w:tcW w:w="1841" w:type="dxa"/>
            <w:tcBorders>
              <w:left w:val="single" w:sz="4" w:space="0" w:color="auto"/>
              <w:right w:val="single" w:sz="4" w:space="0" w:color="000000"/>
            </w:tcBorders>
            <w:vAlign w:val="center"/>
          </w:tcPr>
          <w:p w:rsidR="003C2F8D"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left w:val="nil"/>
              <w:right w:val="single" w:sz="4" w:space="0" w:color="auto"/>
            </w:tcBorders>
            <w:noWrap/>
            <w:vAlign w:val="center"/>
          </w:tcPr>
          <w:p w:rsidR="003C2F8D"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3C2F8D" w:rsidRPr="00677B2B" w:rsidTr="003C2F8D">
        <w:trPr>
          <w:trHeight w:val="510"/>
        </w:trPr>
        <w:tc>
          <w:tcPr>
            <w:tcW w:w="4825" w:type="dxa"/>
            <w:tcBorders>
              <w:left w:val="single" w:sz="4" w:space="0" w:color="auto"/>
              <w:right w:val="single" w:sz="4" w:space="0" w:color="auto"/>
            </w:tcBorders>
          </w:tcPr>
          <w:p w:rsidR="003C2F8D" w:rsidRDefault="003C2F8D" w:rsidP="00DD3FAF">
            <w:pPr>
              <w:spacing w:after="0" w:line="240" w:lineRule="auto"/>
              <w:rPr>
                <w:rFonts w:cs="Arial"/>
                <w:sz w:val="20"/>
                <w:szCs w:val="20"/>
                <w:lang w:eastAsia="en-GB"/>
              </w:rPr>
            </w:pPr>
            <w:r>
              <w:rPr>
                <w:rFonts w:cs="Arial"/>
                <w:sz w:val="20"/>
                <w:szCs w:val="20"/>
                <w:lang w:eastAsia="en-GB"/>
              </w:rPr>
              <w:t>POMH-UK Topic 6 Assessment of side effects of depot antipsychotic medication</w:t>
            </w:r>
          </w:p>
        </w:tc>
        <w:tc>
          <w:tcPr>
            <w:tcW w:w="1417" w:type="dxa"/>
            <w:tcBorders>
              <w:left w:val="nil"/>
              <w:right w:val="single" w:sz="4" w:space="0" w:color="auto"/>
            </w:tcBorders>
            <w:vAlign w:val="center"/>
          </w:tcPr>
          <w:p w:rsidR="003C2F8D" w:rsidRDefault="003C2F8D" w:rsidP="003C2F8D">
            <w:pPr>
              <w:jc w:val="center"/>
            </w:pPr>
            <w:r w:rsidRPr="00AE22B1">
              <w:rPr>
                <w:rFonts w:cs="Arial"/>
                <w:sz w:val="20"/>
                <w:szCs w:val="20"/>
                <w:lang w:eastAsia="en-GB"/>
              </w:rPr>
              <w:t>YES</w:t>
            </w:r>
          </w:p>
        </w:tc>
        <w:tc>
          <w:tcPr>
            <w:tcW w:w="1841" w:type="dxa"/>
            <w:tcBorders>
              <w:left w:val="single" w:sz="4" w:space="0" w:color="auto"/>
              <w:right w:val="single" w:sz="4" w:space="0" w:color="000000"/>
            </w:tcBorders>
            <w:vAlign w:val="center"/>
          </w:tcPr>
          <w:p w:rsidR="003C2F8D"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left w:val="nil"/>
              <w:right w:val="single" w:sz="4" w:space="0" w:color="auto"/>
            </w:tcBorders>
            <w:noWrap/>
            <w:vAlign w:val="center"/>
          </w:tcPr>
          <w:p w:rsidR="003C2F8D"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3C2F8D" w:rsidRPr="00677B2B" w:rsidTr="003C2F8D">
        <w:trPr>
          <w:trHeight w:val="510"/>
        </w:trPr>
        <w:tc>
          <w:tcPr>
            <w:tcW w:w="4825" w:type="dxa"/>
            <w:tcBorders>
              <w:left w:val="single" w:sz="4" w:space="0" w:color="auto"/>
              <w:right w:val="single" w:sz="4" w:space="0" w:color="auto"/>
            </w:tcBorders>
          </w:tcPr>
          <w:p w:rsidR="003C2F8D" w:rsidRDefault="003C2F8D" w:rsidP="00DD3FAF">
            <w:pPr>
              <w:spacing w:after="0" w:line="240" w:lineRule="auto"/>
              <w:rPr>
                <w:rFonts w:cs="Arial"/>
                <w:sz w:val="20"/>
                <w:szCs w:val="20"/>
                <w:lang w:eastAsia="en-GB"/>
              </w:rPr>
            </w:pPr>
            <w:r>
              <w:rPr>
                <w:rFonts w:cs="Arial"/>
                <w:sz w:val="20"/>
                <w:szCs w:val="20"/>
                <w:lang w:eastAsia="en-GB"/>
              </w:rPr>
              <w:t>POMH-UK Topic 7 Monitoring of patients prescribed lithium</w:t>
            </w:r>
          </w:p>
        </w:tc>
        <w:tc>
          <w:tcPr>
            <w:tcW w:w="1417" w:type="dxa"/>
            <w:tcBorders>
              <w:left w:val="nil"/>
              <w:right w:val="single" w:sz="4" w:space="0" w:color="auto"/>
            </w:tcBorders>
            <w:vAlign w:val="center"/>
          </w:tcPr>
          <w:p w:rsidR="003C2F8D" w:rsidRDefault="003C2F8D" w:rsidP="003C2F8D">
            <w:pPr>
              <w:jc w:val="center"/>
            </w:pPr>
            <w:r w:rsidRPr="00AE22B1">
              <w:rPr>
                <w:rFonts w:cs="Arial"/>
                <w:sz w:val="20"/>
                <w:szCs w:val="20"/>
                <w:lang w:eastAsia="en-GB"/>
              </w:rPr>
              <w:t>YES</w:t>
            </w:r>
          </w:p>
        </w:tc>
        <w:tc>
          <w:tcPr>
            <w:tcW w:w="1841" w:type="dxa"/>
            <w:tcBorders>
              <w:left w:val="single" w:sz="4" w:space="0" w:color="auto"/>
              <w:right w:val="single" w:sz="4" w:space="0" w:color="000000"/>
            </w:tcBorders>
            <w:vAlign w:val="center"/>
          </w:tcPr>
          <w:p w:rsidR="003C2F8D"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left w:val="nil"/>
              <w:right w:val="single" w:sz="4" w:space="0" w:color="auto"/>
            </w:tcBorders>
            <w:noWrap/>
            <w:vAlign w:val="center"/>
          </w:tcPr>
          <w:p w:rsidR="003C2F8D"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3C2F8D" w:rsidRPr="00677B2B" w:rsidTr="003C2F8D">
        <w:trPr>
          <w:trHeight w:val="510"/>
        </w:trPr>
        <w:tc>
          <w:tcPr>
            <w:tcW w:w="4825" w:type="dxa"/>
            <w:tcBorders>
              <w:left w:val="single" w:sz="4" w:space="0" w:color="auto"/>
              <w:right w:val="single" w:sz="4" w:space="0" w:color="auto"/>
            </w:tcBorders>
          </w:tcPr>
          <w:p w:rsidR="003C2F8D" w:rsidRDefault="003C2F8D" w:rsidP="00DD3FAF">
            <w:pPr>
              <w:spacing w:after="0" w:line="240" w:lineRule="auto"/>
              <w:rPr>
                <w:rFonts w:cs="Arial"/>
                <w:sz w:val="20"/>
                <w:szCs w:val="20"/>
                <w:lang w:eastAsia="en-GB"/>
              </w:rPr>
            </w:pPr>
            <w:r>
              <w:rPr>
                <w:rFonts w:cs="Arial"/>
                <w:sz w:val="20"/>
                <w:szCs w:val="20"/>
                <w:lang w:eastAsia="en-GB"/>
              </w:rPr>
              <w:t>POMH-UK Topic 10 Use of antipsychotic medicine in CAMHS</w:t>
            </w:r>
          </w:p>
        </w:tc>
        <w:tc>
          <w:tcPr>
            <w:tcW w:w="1417" w:type="dxa"/>
            <w:tcBorders>
              <w:left w:val="nil"/>
              <w:right w:val="single" w:sz="4" w:space="0" w:color="auto"/>
            </w:tcBorders>
            <w:vAlign w:val="center"/>
          </w:tcPr>
          <w:p w:rsidR="003C2F8D" w:rsidRDefault="003C2F8D" w:rsidP="003C2F8D">
            <w:pPr>
              <w:jc w:val="center"/>
            </w:pPr>
            <w:r w:rsidRPr="00AE22B1">
              <w:rPr>
                <w:rFonts w:cs="Arial"/>
                <w:sz w:val="20"/>
                <w:szCs w:val="20"/>
                <w:lang w:eastAsia="en-GB"/>
              </w:rPr>
              <w:t>YES</w:t>
            </w:r>
          </w:p>
        </w:tc>
        <w:tc>
          <w:tcPr>
            <w:tcW w:w="1841" w:type="dxa"/>
            <w:tcBorders>
              <w:left w:val="single" w:sz="4" w:space="0" w:color="auto"/>
              <w:right w:val="single" w:sz="4" w:space="0" w:color="000000"/>
            </w:tcBorders>
            <w:vAlign w:val="center"/>
          </w:tcPr>
          <w:p w:rsidR="003C2F8D"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left w:val="nil"/>
              <w:right w:val="single" w:sz="4" w:space="0" w:color="auto"/>
            </w:tcBorders>
            <w:noWrap/>
            <w:vAlign w:val="center"/>
          </w:tcPr>
          <w:p w:rsidR="003C2F8D"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3C2F8D" w:rsidRPr="00677B2B" w:rsidTr="003C2F8D">
        <w:trPr>
          <w:trHeight w:val="455"/>
        </w:trPr>
        <w:tc>
          <w:tcPr>
            <w:tcW w:w="4825" w:type="dxa"/>
            <w:tcBorders>
              <w:left w:val="single" w:sz="4" w:space="0" w:color="auto"/>
              <w:right w:val="single" w:sz="4" w:space="0" w:color="auto"/>
            </w:tcBorders>
          </w:tcPr>
          <w:p w:rsidR="003C2F8D" w:rsidRDefault="003C2F8D" w:rsidP="005D32BE">
            <w:pPr>
              <w:spacing w:after="0" w:line="240" w:lineRule="auto"/>
              <w:rPr>
                <w:rFonts w:cs="Arial"/>
                <w:sz w:val="20"/>
                <w:szCs w:val="20"/>
                <w:lang w:eastAsia="en-GB"/>
              </w:rPr>
            </w:pPr>
            <w:r>
              <w:rPr>
                <w:rFonts w:cs="Arial"/>
                <w:sz w:val="20"/>
                <w:szCs w:val="20"/>
                <w:lang w:eastAsia="en-GB"/>
              </w:rPr>
              <w:t>POMH-UK Topic 11 Dementia</w:t>
            </w:r>
          </w:p>
        </w:tc>
        <w:tc>
          <w:tcPr>
            <w:tcW w:w="1417" w:type="dxa"/>
            <w:tcBorders>
              <w:left w:val="nil"/>
              <w:right w:val="single" w:sz="4" w:space="0" w:color="auto"/>
            </w:tcBorders>
            <w:vAlign w:val="center"/>
          </w:tcPr>
          <w:p w:rsidR="003C2F8D" w:rsidRDefault="003C2F8D" w:rsidP="003C2F8D">
            <w:pPr>
              <w:jc w:val="center"/>
            </w:pPr>
            <w:r w:rsidRPr="00AE22B1">
              <w:rPr>
                <w:rFonts w:cs="Arial"/>
                <w:sz w:val="20"/>
                <w:szCs w:val="20"/>
                <w:lang w:eastAsia="en-GB"/>
              </w:rPr>
              <w:t>YES</w:t>
            </w:r>
          </w:p>
        </w:tc>
        <w:tc>
          <w:tcPr>
            <w:tcW w:w="1841" w:type="dxa"/>
            <w:tcBorders>
              <w:left w:val="single" w:sz="4" w:space="0" w:color="auto"/>
              <w:right w:val="single" w:sz="4" w:space="0" w:color="000000"/>
            </w:tcBorders>
            <w:vAlign w:val="center"/>
          </w:tcPr>
          <w:p w:rsidR="003C2F8D"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left w:val="nil"/>
              <w:right w:val="single" w:sz="4" w:space="0" w:color="auto"/>
            </w:tcBorders>
            <w:noWrap/>
            <w:vAlign w:val="center"/>
          </w:tcPr>
          <w:p w:rsidR="003C2F8D"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3C2F8D" w:rsidRPr="00677B2B" w:rsidTr="003C2F8D">
        <w:trPr>
          <w:trHeight w:val="377"/>
        </w:trPr>
        <w:tc>
          <w:tcPr>
            <w:tcW w:w="4825" w:type="dxa"/>
            <w:tcBorders>
              <w:left w:val="single" w:sz="4" w:space="0" w:color="auto"/>
              <w:right w:val="single" w:sz="4" w:space="0" w:color="auto"/>
            </w:tcBorders>
          </w:tcPr>
          <w:p w:rsidR="003C2F8D" w:rsidRDefault="003C2F8D" w:rsidP="005D32BE">
            <w:pPr>
              <w:spacing w:after="0" w:line="240" w:lineRule="auto"/>
              <w:rPr>
                <w:rFonts w:cs="Arial"/>
                <w:sz w:val="20"/>
                <w:szCs w:val="20"/>
                <w:lang w:eastAsia="en-GB"/>
              </w:rPr>
            </w:pPr>
            <w:r>
              <w:rPr>
                <w:rFonts w:cs="Arial"/>
                <w:sz w:val="20"/>
                <w:szCs w:val="20"/>
                <w:lang w:eastAsia="en-GB"/>
              </w:rPr>
              <w:t>National Audit of Schizophrenia (NAS)</w:t>
            </w:r>
          </w:p>
        </w:tc>
        <w:tc>
          <w:tcPr>
            <w:tcW w:w="1417" w:type="dxa"/>
            <w:tcBorders>
              <w:left w:val="nil"/>
              <w:right w:val="single" w:sz="4" w:space="0" w:color="auto"/>
            </w:tcBorders>
            <w:vAlign w:val="center"/>
          </w:tcPr>
          <w:p w:rsidR="003C2F8D" w:rsidRDefault="003C2F8D" w:rsidP="003C2F8D">
            <w:pPr>
              <w:jc w:val="center"/>
            </w:pPr>
            <w:r w:rsidRPr="00AE22B1">
              <w:rPr>
                <w:rFonts w:cs="Arial"/>
                <w:sz w:val="20"/>
                <w:szCs w:val="20"/>
                <w:lang w:eastAsia="en-GB"/>
              </w:rPr>
              <w:t>YES</w:t>
            </w:r>
          </w:p>
        </w:tc>
        <w:tc>
          <w:tcPr>
            <w:tcW w:w="1841" w:type="dxa"/>
            <w:tcBorders>
              <w:left w:val="single" w:sz="4" w:space="0" w:color="auto"/>
              <w:right w:val="single" w:sz="4" w:space="0" w:color="000000"/>
            </w:tcBorders>
            <w:vAlign w:val="center"/>
          </w:tcPr>
          <w:p w:rsidR="003C2F8D"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left w:val="nil"/>
              <w:right w:val="single" w:sz="4" w:space="0" w:color="auto"/>
            </w:tcBorders>
            <w:noWrap/>
            <w:vAlign w:val="center"/>
          </w:tcPr>
          <w:p w:rsidR="003C2F8D"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3C2F8D" w:rsidRPr="00677B2B" w:rsidTr="003C2F8D">
        <w:trPr>
          <w:trHeight w:val="510"/>
        </w:trPr>
        <w:tc>
          <w:tcPr>
            <w:tcW w:w="4825" w:type="dxa"/>
            <w:tcBorders>
              <w:left w:val="single" w:sz="4" w:space="0" w:color="auto"/>
              <w:right w:val="single" w:sz="4" w:space="0" w:color="auto"/>
            </w:tcBorders>
          </w:tcPr>
          <w:p w:rsidR="003C2F8D" w:rsidRDefault="003C2F8D" w:rsidP="005D32BE">
            <w:pPr>
              <w:spacing w:after="0" w:line="240" w:lineRule="auto"/>
              <w:rPr>
                <w:rFonts w:cs="Arial"/>
                <w:sz w:val="20"/>
                <w:szCs w:val="20"/>
                <w:lang w:eastAsia="en-GB"/>
              </w:rPr>
            </w:pPr>
            <w:r>
              <w:rPr>
                <w:rFonts w:cs="Arial"/>
                <w:sz w:val="20"/>
                <w:szCs w:val="20"/>
                <w:lang w:eastAsia="en-GB"/>
              </w:rPr>
              <w:t>Infection Control Programme:</w:t>
            </w:r>
          </w:p>
          <w:p w:rsidR="003C2F8D" w:rsidRDefault="003C2F8D" w:rsidP="005D32BE">
            <w:pPr>
              <w:pStyle w:val="ListParagraph"/>
              <w:numPr>
                <w:ilvl w:val="0"/>
                <w:numId w:val="16"/>
              </w:numPr>
              <w:spacing w:after="0" w:line="240" w:lineRule="auto"/>
              <w:rPr>
                <w:rFonts w:cs="Arial"/>
                <w:sz w:val="20"/>
                <w:szCs w:val="20"/>
                <w:lang w:eastAsia="en-GB"/>
              </w:rPr>
            </w:pPr>
            <w:r>
              <w:rPr>
                <w:rFonts w:cs="Arial"/>
                <w:sz w:val="20"/>
                <w:szCs w:val="20"/>
                <w:lang w:eastAsia="en-GB"/>
              </w:rPr>
              <w:t>Hand hygiene audit</w:t>
            </w:r>
          </w:p>
          <w:p w:rsidR="003C2F8D" w:rsidRDefault="003C2F8D" w:rsidP="005D32BE">
            <w:pPr>
              <w:pStyle w:val="ListParagraph"/>
              <w:numPr>
                <w:ilvl w:val="0"/>
                <w:numId w:val="16"/>
              </w:numPr>
              <w:spacing w:after="0" w:line="240" w:lineRule="auto"/>
              <w:rPr>
                <w:rFonts w:cs="Arial"/>
                <w:sz w:val="20"/>
                <w:szCs w:val="20"/>
                <w:lang w:eastAsia="en-GB"/>
              </w:rPr>
            </w:pPr>
            <w:r>
              <w:rPr>
                <w:rFonts w:cs="Arial"/>
                <w:sz w:val="20"/>
                <w:szCs w:val="20"/>
                <w:lang w:eastAsia="en-GB"/>
              </w:rPr>
              <w:t>Survey of staff knowledge and training needs on infection prevention and control</w:t>
            </w:r>
          </w:p>
          <w:p w:rsidR="003C2F8D" w:rsidRPr="005D32BE" w:rsidRDefault="003C2F8D" w:rsidP="005D32BE">
            <w:pPr>
              <w:pStyle w:val="ListParagraph"/>
              <w:numPr>
                <w:ilvl w:val="0"/>
                <w:numId w:val="16"/>
              </w:numPr>
              <w:spacing w:after="0" w:line="240" w:lineRule="auto"/>
              <w:rPr>
                <w:rFonts w:cs="Arial"/>
                <w:sz w:val="20"/>
                <w:szCs w:val="20"/>
                <w:lang w:eastAsia="en-GB"/>
              </w:rPr>
            </w:pPr>
            <w:r>
              <w:rPr>
                <w:rFonts w:cs="Arial"/>
                <w:sz w:val="20"/>
                <w:szCs w:val="20"/>
                <w:lang w:eastAsia="en-GB"/>
              </w:rPr>
              <w:t>Environmental audit</w:t>
            </w:r>
          </w:p>
        </w:tc>
        <w:tc>
          <w:tcPr>
            <w:tcW w:w="1417" w:type="dxa"/>
            <w:tcBorders>
              <w:left w:val="nil"/>
              <w:right w:val="single" w:sz="4" w:space="0" w:color="auto"/>
            </w:tcBorders>
            <w:vAlign w:val="center"/>
          </w:tcPr>
          <w:p w:rsidR="003C2F8D" w:rsidRDefault="003C2F8D" w:rsidP="003C2F8D">
            <w:pPr>
              <w:jc w:val="center"/>
            </w:pPr>
            <w:r w:rsidRPr="00AE22B1">
              <w:rPr>
                <w:rFonts w:cs="Arial"/>
                <w:sz w:val="20"/>
                <w:szCs w:val="20"/>
                <w:lang w:eastAsia="en-GB"/>
              </w:rPr>
              <w:t>YES</w:t>
            </w:r>
          </w:p>
        </w:tc>
        <w:tc>
          <w:tcPr>
            <w:tcW w:w="1841" w:type="dxa"/>
            <w:tcBorders>
              <w:left w:val="single" w:sz="4" w:space="0" w:color="auto"/>
              <w:right w:val="single" w:sz="4" w:space="0" w:color="000000"/>
            </w:tcBorders>
            <w:vAlign w:val="center"/>
          </w:tcPr>
          <w:p w:rsidR="003C2F8D" w:rsidRPr="00823420" w:rsidRDefault="003C2F8D" w:rsidP="003C2F8D">
            <w:pPr>
              <w:spacing w:after="0" w:line="240" w:lineRule="auto"/>
              <w:jc w:val="center"/>
              <w:rPr>
                <w:rFonts w:cs="Arial"/>
                <w:sz w:val="20"/>
                <w:szCs w:val="20"/>
                <w:lang w:eastAsia="en-GB"/>
              </w:rPr>
            </w:pPr>
            <w:r>
              <w:rPr>
                <w:rFonts w:cs="Arial"/>
                <w:sz w:val="20"/>
                <w:szCs w:val="20"/>
                <w:lang w:eastAsia="en-GB"/>
              </w:rPr>
              <w:t>TBA</w:t>
            </w:r>
          </w:p>
        </w:tc>
        <w:tc>
          <w:tcPr>
            <w:tcW w:w="1669" w:type="dxa"/>
            <w:tcBorders>
              <w:left w:val="nil"/>
              <w:right w:val="single" w:sz="4" w:space="0" w:color="auto"/>
            </w:tcBorders>
            <w:noWrap/>
            <w:vAlign w:val="center"/>
          </w:tcPr>
          <w:p w:rsidR="003C2F8D" w:rsidRPr="003C2F8D" w:rsidRDefault="003C2F8D" w:rsidP="003C2F8D">
            <w:pPr>
              <w:spacing w:after="0" w:line="240" w:lineRule="auto"/>
              <w:jc w:val="center"/>
              <w:rPr>
                <w:rFonts w:cs="Arial"/>
                <w:sz w:val="20"/>
                <w:szCs w:val="20"/>
                <w:lang w:eastAsia="en-GB"/>
              </w:rPr>
            </w:pPr>
            <w:r w:rsidRPr="003C2F8D">
              <w:rPr>
                <w:rFonts w:cs="Arial"/>
                <w:sz w:val="20"/>
                <w:szCs w:val="20"/>
                <w:lang w:eastAsia="en-GB"/>
              </w:rPr>
              <w:t>TBA</w:t>
            </w:r>
          </w:p>
        </w:tc>
      </w:tr>
      <w:tr w:rsidR="0058221A" w:rsidRPr="00677B2B" w:rsidTr="00E9082E">
        <w:trPr>
          <w:trHeight w:val="117"/>
        </w:trPr>
        <w:tc>
          <w:tcPr>
            <w:tcW w:w="4825" w:type="dxa"/>
            <w:tcBorders>
              <w:left w:val="single" w:sz="4" w:space="0" w:color="auto"/>
              <w:bottom w:val="single" w:sz="4" w:space="0" w:color="auto"/>
              <w:right w:val="single" w:sz="4" w:space="0" w:color="auto"/>
            </w:tcBorders>
          </w:tcPr>
          <w:p w:rsidR="0058221A" w:rsidRPr="00823420" w:rsidRDefault="0058221A" w:rsidP="00DD3FAF">
            <w:pPr>
              <w:spacing w:after="0" w:line="240" w:lineRule="auto"/>
              <w:rPr>
                <w:rFonts w:cs="Arial"/>
                <w:sz w:val="20"/>
                <w:szCs w:val="20"/>
                <w:lang w:eastAsia="en-GB"/>
              </w:rPr>
            </w:pPr>
          </w:p>
        </w:tc>
        <w:tc>
          <w:tcPr>
            <w:tcW w:w="1417" w:type="dxa"/>
            <w:tcBorders>
              <w:left w:val="nil"/>
              <w:bottom w:val="single" w:sz="4" w:space="0" w:color="auto"/>
              <w:right w:val="single" w:sz="4" w:space="0" w:color="auto"/>
            </w:tcBorders>
          </w:tcPr>
          <w:p w:rsidR="0058221A" w:rsidRPr="00823420" w:rsidRDefault="0058221A" w:rsidP="00DD3FAF">
            <w:pPr>
              <w:spacing w:after="0" w:line="240" w:lineRule="auto"/>
              <w:rPr>
                <w:rFonts w:cs="Arial"/>
                <w:sz w:val="20"/>
                <w:szCs w:val="20"/>
                <w:lang w:eastAsia="en-GB"/>
              </w:rPr>
            </w:pPr>
          </w:p>
        </w:tc>
        <w:tc>
          <w:tcPr>
            <w:tcW w:w="1841" w:type="dxa"/>
            <w:tcBorders>
              <w:left w:val="single" w:sz="4" w:space="0" w:color="auto"/>
              <w:bottom w:val="single" w:sz="4" w:space="0" w:color="auto"/>
              <w:right w:val="single" w:sz="4" w:space="0" w:color="000000"/>
            </w:tcBorders>
          </w:tcPr>
          <w:p w:rsidR="0058221A" w:rsidRPr="00823420" w:rsidRDefault="0058221A" w:rsidP="00DD3FAF">
            <w:pPr>
              <w:spacing w:after="0" w:line="240" w:lineRule="auto"/>
              <w:rPr>
                <w:rFonts w:cs="Arial"/>
                <w:sz w:val="20"/>
                <w:szCs w:val="20"/>
                <w:lang w:eastAsia="en-GB"/>
              </w:rPr>
            </w:pPr>
          </w:p>
        </w:tc>
        <w:tc>
          <w:tcPr>
            <w:tcW w:w="1669" w:type="dxa"/>
            <w:tcBorders>
              <w:left w:val="nil"/>
              <w:bottom w:val="single" w:sz="4" w:space="0" w:color="auto"/>
              <w:right w:val="single" w:sz="4" w:space="0" w:color="auto"/>
            </w:tcBorders>
            <w:noWrap/>
          </w:tcPr>
          <w:p w:rsidR="0058221A" w:rsidRPr="00823420" w:rsidRDefault="0058221A" w:rsidP="00DD3FAF">
            <w:pPr>
              <w:spacing w:after="0" w:line="240" w:lineRule="auto"/>
              <w:rPr>
                <w:rFonts w:cs="Arial"/>
                <w:color w:val="00B050"/>
                <w:sz w:val="20"/>
                <w:szCs w:val="20"/>
                <w:lang w:eastAsia="en-GB"/>
              </w:rPr>
            </w:pPr>
          </w:p>
        </w:tc>
      </w:tr>
    </w:tbl>
    <w:p w:rsidR="0058221A" w:rsidRDefault="0058221A"/>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4961"/>
      </w:tblGrid>
      <w:tr w:rsidR="0058221A" w:rsidRPr="00677B2B" w:rsidTr="00677B2B">
        <w:tc>
          <w:tcPr>
            <w:tcW w:w="9781" w:type="dxa"/>
            <w:gridSpan w:val="2"/>
            <w:shd w:val="clear" w:color="auto" w:fill="BFBFBF"/>
          </w:tcPr>
          <w:p w:rsidR="0058221A" w:rsidRPr="00677B2B" w:rsidRDefault="0058221A" w:rsidP="00677B2B">
            <w:pPr>
              <w:pStyle w:val="Heading2"/>
              <w:spacing w:line="240" w:lineRule="auto"/>
              <w:rPr>
                <w:b w:val="0"/>
              </w:rPr>
            </w:pPr>
            <w:r w:rsidRPr="00677B2B">
              <w:rPr>
                <w:rFonts w:ascii="Arial" w:hAnsi="Arial" w:cs="Arial"/>
                <w:color w:val="auto"/>
                <w:sz w:val="24"/>
                <w:szCs w:val="24"/>
                <w:lang w:eastAsia="en-GB"/>
              </w:rPr>
              <w:t>National Clinical Audit Improvements</w:t>
            </w:r>
          </w:p>
        </w:tc>
      </w:tr>
      <w:tr w:rsidR="0058221A" w:rsidRPr="00677B2B" w:rsidTr="00CE3B87">
        <w:tc>
          <w:tcPr>
            <w:tcW w:w="4820" w:type="dxa"/>
            <w:shd w:val="clear" w:color="auto" w:fill="BFBFBF"/>
          </w:tcPr>
          <w:p w:rsidR="0058221A" w:rsidRPr="00677B2B" w:rsidRDefault="0058221A" w:rsidP="00677B2B">
            <w:pPr>
              <w:spacing w:after="0" w:line="240" w:lineRule="auto"/>
              <w:rPr>
                <w:b/>
              </w:rPr>
            </w:pPr>
            <w:r w:rsidRPr="00677B2B">
              <w:rPr>
                <w:b/>
              </w:rPr>
              <w:t>Title of National Audit</w:t>
            </w:r>
          </w:p>
        </w:tc>
        <w:tc>
          <w:tcPr>
            <w:tcW w:w="4961" w:type="dxa"/>
            <w:shd w:val="clear" w:color="auto" w:fill="BFBFBF"/>
          </w:tcPr>
          <w:p w:rsidR="0058221A" w:rsidRPr="00677B2B" w:rsidRDefault="0058221A" w:rsidP="00677B2B">
            <w:pPr>
              <w:spacing w:after="0" w:line="240" w:lineRule="auto"/>
              <w:rPr>
                <w:b/>
              </w:rPr>
            </w:pPr>
            <w:r w:rsidRPr="00677B2B">
              <w:rPr>
                <w:b/>
              </w:rPr>
              <w:t>Agreed actions to improve the quality of healthcare</w:t>
            </w:r>
          </w:p>
        </w:tc>
      </w:tr>
      <w:tr w:rsidR="0058221A" w:rsidRPr="00677B2B" w:rsidTr="00CE3B87">
        <w:tc>
          <w:tcPr>
            <w:tcW w:w="4820" w:type="dxa"/>
          </w:tcPr>
          <w:p w:rsidR="0058221A" w:rsidRPr="00677B2B" w:rsidRDefault="00CE3B87" w:rsidP="00677B2B">
            <w:pPr>
              <w:spacing w:after="0" w:line="240" w:lineRule="auto"/>
              <w:ind w:left="39"/>
            </w:pPr>
            <w:r>
              <w:rPr>
                <w:rFonts w:cs="Arial"/>
                <w:sz w:val="20"/>
                <w:szCs w:val="20"/>
                <w:lang w:eastAsia="en-GB"/>
              </w:rPr>
              <w:t>POMH-UK Topic 11 Dementia</w:t>
            </w:r>
          </w:p>
        </w:tc>
        <w:tc>
          <w:tcPr>
            <w:tcW w:w="4961" w:type="dxa"/>
          </w:tcPr>
          <w:p w:rsidR="0058221A" w:rsidRPr="00DE1966" w:rsidRDefault="00CE3B87" w:rsidP="00CE3B87">
            <w:pPr>
              <w:pStyle w:val="ListParagraph"/>
              <w:numPr>
                <w:ilvl w:val="0"/>
                <w:numId w:val="1"/>
              </w:numPr>
              <w:spacing w:after="0" w:line="240" w:lineRule="auto"/>
              <w:ind w:left="318" w:hanging="284"/>
              <w:rPr>
                <w:sz w:val="20"/>
                <w:szCs w:val="20"/>
              </w:rPr>
            </w:pPr>
            <w:r w:rsidRPr="00DE1966">
              <w:rPr>
                <w:sz w:val="20"/>
                <w:szCs w:val="20"/>
              </w:rPr>
              <w:t>Guidelines for managing BPSD to be drawn up</w:t>
            </w:r>
          </w:p>
          <w:p w:rsidR="00CE3B87" w:rsidRPr="00DE1966" w:rsidRDefault="00CE3B87" w:rsidP="00CE3B87">
            <w:pPr>
              <w:pStyle w:val="ListParagraph"/>
              <w:numPr>
                <w:ilvl w:val="0"/>
                <w:numId w:val="1"/>
              </w:numPr>
              <w:spacing w:after="0" w:line="240" w:lineRule="auto"/>
              <w:ind w:left="318" w:hanging="284"/>
              <w:rPr>
                <w:sz w:val="20"/>
                <w:szCs w:val="20"/>
              </w:rPr>
            </w:pPr>
            <w:r w:rsidRPr="00DE1966">
              <w:rPr>
                <w:sz w:val="20"/>
                <w:szCs w:val="20"/>
              </w:rPr>
              <w:t>Better liaison between GP &amp; secondary care</w:t>
            </w:r>
          </w:p>
          <w:p w:rsidR="00CE3B87" w:rsidRPr="00DE1966" w:rsidRDefault="00CE3B87" w:rsidP="00CE3B87">
            <w:pPr>
              <w:pStyle w:val="ListParagraph"/>
              <w:numPr>
                <w:ilvl w:val="0"/>
                <w:numId w:val="1"/>
              </w:numPr>
              <w:spacing w:after="0" w:line="240" w:lineRule="auto"/>
              <w:ind w:left="318" w:hanging="284"/>
              <w:rPr>
                <w:sz w:val="20"/>
                <w:szCs w:val="20"/>
              </w:rPr>
            </w:pPr>
            <w:r w:rsidRPr="00DE1966">
              <w:rPr>
                <w:sz w:val="20"/>
                <w:szCs w:val="20"/>
              </w:rPr>
              <w:t>Develop forms to be used before prescribing antipsychotics</w:t>
            </w:r>
          </w:p>
        </w:tc>
      </w:tr>
      <w:tr w:rsidR="0058221A" w:rsidRPr="00677B2B" w:rsidTr="00CE3B87">
        <w:tc>
          <w:tcPr>
            <w:tcW w:w="4820" w:type="dxa"/>
          </w:tcPr>
          <w:p w:rsidR="0058221A" w:rsidRPr="00CE3B87" w:rsidRDefault="00CE3B87" w:rsidP="00677B2B">
            <w:pPr>
              <w:spacing w:after="0" w:line="240" w:lineRule="auto"/>
              <w:rPr>
                <w:i/>
              </w:rPr>
            </w:pPr>
            <w:r w:rsidRPr="00CE3B87">
              <w:rPr>
                <w:i/>
              </w:rPr>
              <w:t>Others TBA</w:t>
            </w:r>
          </w:p>
        </w:tc>
        <w:tc>
          <w:tcPr>
            <w:tcW w:w="4961" w:type="dxa"/>
          </w:tcPr>
          <w:p w:rsidR="0058221A" w:rsidRPr="00DE1966" w:rsidRDefault="0058221A" w:rsidP="00677B2B">
            <w:pPr>
              <w:spacing w:after="0" w:line="240" w:lineRule="auto"/>
              <w:rPr>
                <w:sz w:val="20"/>
                <w:szCs w:val="20"/>
              </w:rPr>
            </w:pPr>
          </w:p>
        </w:tc>
      </w:tr>
      <w:tr w:rsidR="0058221A" w:rsidRPr="00677B2B" w:rsidTr="00CE3B87">
        <w:tc>
          <w:tcPr>
            <w:tcW w:w="4820" w:type="dxa"/>
          </w:tcPr>
          <w:p w:rsidR="0058221A" w:rsidRPr="00677B2B" w:rsidRDefault="0058221A" w:rsidP="00677B2B">
            <w:pPr>
              <w:spacing w:after="0" w:line="240" w:lineRule="auto"/>
            </w:pPr>
          </w:p>
        </w:tc>
        <w:tc>
          <w:tcPr>
            <w:tcW w:w="4961" w:type="dxa"/>
          </w:tcPr>
          <w:p w:rsidR="0058221A" w:rsidRPr="00677B2B" w:rsidRDefault="0058221A" w:rsidP="00677B2B">
            <w:pPr>
              <w:spacing w:after="0" w:line="240" w:lineRule="auto"/>
            </w:pPr>
          </w:p>
        </w:tc>
      </w:tr>
    </w:tbl>
    <w:p w:rsidR="0058221A" w:rsidRDefault="0058221A"/>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3"/>
        <w:gridCol w:w="2552"/>
        <w:gridCol w:w="2126"/>
      </w:tblGrid>
      <w:tr w:rsidR="0058221A" w:rsidRPr="00677B2B" w:rsidTr="00677B2B">
        <w:tc>
          <w:tcPr>
            <w:tcW w:w="9781" w:type="dxa"/>
            <w:gridSpan w:val="3"/>
            <w:shd w:val="clear" w:color="auto" w:fill="BFBFBF"/>
          </w:tcPr>
          <w:p w:rsidR="0058221A" w:rsidRPr="00677B2B" w:rsidRDefault="0058221A" w:rsidP="00677B2B">
            <w:pPr>
              <w:pStyle w:val="Heading2"/>
              <w:spacing w:line="240" w:lineRule="auto"/>
              <w:rPr>
                <w:b w:val="0"/>
              </w:rPr>
            </w:pPr>
            <w:r w:rsidRPr="00677B2B">
              <w:rPr>
                <w:rFonts w:ascii="Arial" w:hAnsi="Arial" w:cs="Arial"/>
                <w:color w:val="auto"/>
                <w:sz w:val="24"/>
                <w:szCs w:val="24"/>
                <w:lang w:eastAsia="en-GB"/>
              </w:rPr>
              <w:t>National Quality Improvement Programmes</w:t>
            </w:r>
          </w:p>
        </w:tc>
      </w:tr>
      <w:tr w:rsidR="0058221A" w:rsidRPr="00677B2B" w:rsidTr="00677B2B">
        <w:tc>
          <w:tcPr>
            <w:tcW w:w="5103" w:type="dxa"/>
            <w:shd w:val="clear" w:color="auto" w:fill="BFBFBF"/>
          </w:tcPr>
          <w:p w:rsidR="0058221A" w:rsidRPr="00677B2B" w:rsidRDefault="0058221A" w:rsidP="00677B2B">
            <w:pPr>
              <w:spacing w:after="0" w:line="240" w:lineRule="auto"/>
              <w:rPr>
                <w:b/>
              </w:rPr>
            </w:pPr>
            <w:r w:rsidRPr="00677B2B">
              <w:rPr>
                <w:b/>
              </w:rPr>
              <w:t>CCQI Programme</w:t>
            </w:r>
          </w:p>
        </w:tc>
        <w:tc>
          <w:tcPr>
            <w:tcW w:w="2552" w:type="dxa"/>
            <w:shd w:val="clear" w:color="auto" w:fill="BFBFBF"/>
          </w:tcPr>
          <w:p w:rsidR="0058221A" w:rsidRPr="00677B2B" w:rsidRDefault="0058221A" w:rsidP="00677B2B">
            <w:pPr>
              <w:spacing w:after="0" w:line="240" w:lineRule="auto"/>
              <w:rPr>
                <w:b/>
              </w:rPr>
            </w:pPr>
            <w:r w:rsidRPr="00677B2B">
              <w:rPr>
                <w:b/>
              </w:rPr>
              <w:t>Participation by Oxford Health NHS FT</w:t>
            </w:r>
          </w:p>
        </w:tc>
        <w:tc>
          <w:tcPr>
            <w:tcW w:w="2126" w:type="dxa"/>
            <w:shd w:val="clear" w:color="auto" w:fill="BFBFBF"/>
          </w:tcPr>
          <w:p w:rsidR="0058221A" w:rsidRPr="00677B2B" w:rsidRDefault="0058221A" w:rsidP="00677B2B">
            <w:pPr>
              <w:spacing w:after="0" w:line="240" w:lineRule="auto"/>
              <w:rPr>
                <w:b/>
              </w:rPr>
            </w:pPr>
            <w:r w:rsidRPr="00677B2B">
              <w:rPr>
                <w:b/>
              </w:rPr>
              <w:t>National Participation</w:t>
            </w:r>
          </w:p>
        </w:tc>
      </w:tr>
      <w:tr w:rsidR="0058221A" w:rsidRPr="00677B2B" w:rsidTr="00677B2B">
        <w:tc>
          <w:tcPr>
            <w:tcW w:w="5103" w:type="dxa"/>
          </w:tcPr>
          <w:p w:rsidR="0058221A" w:rsidRPr="00677B2B" w:rsidRDefault="0058221A" w:rsidP="00677B2B">
            <w:pPr>
              <w:spacing w:after="0" w:line="240" w:lineRule="auto"/>
              <w:ind w:left="39"/>
              <w:rPr>
                <w:rFonts w:cs="Arial"/>
                <w:b/>
                <w:bCs/>
                <w:i/>
                <w:lang w:eastAsia="en-GB"/>
              </w:rPr>
            </w:pPr>
            <w:r w:rsidRPr="00677B2B">
              <w:rPr>
                <w:rFonts w:cs="Arial"/>
                <w:b/>
                <w:bCs/>
                <w:i/>
                <w:lang w:eastAsia="en-GB"/>
              </w:rPr>
              <w:t>[To be completed]</w:t>
            </w:r>
          </w:p>
        </w:tc>
        <w:tc>
          <w:tcPr>
            <w:tcW w:w="2552" w:type="dxa"/>
          </w:tcPr>
          <w:p w:rsidR="0058221A" w:rsidRPr="00677B2B" w:rsidRDefault="0058221A" w:rsidP="00677B2B">
            <w:pPr>
              <w:spacing w:after="0" w:line="240" w:lineRule="auto"/>
            </w:pPr>
          </w:p>
        </w:tc>
        <w:tc>
          <w:tcPr>
            <w:tcW w:w="2126" w:type="dxa"/>
          </w:tcPr>
          <w:p w:rsidR="0058221A" w:rsidRPr="00677B2B" w:rsidRDefault="0058221A" w:rsidP="00677B2B">
            <w:pPr>
              <w:spacing w:after="0" w:line="240" w:lineRule="auto"/>
            </w:pPr>
          </w:p>
        </w:tc>
      </w:tr>
      <w:tr w:rsidR="0058221A" w:rsidRPr="00677B2B" w:rsidTr="00677B2B">
        <w:tc>
          <w:tcPr>
            <w:tcW w:w="5103" w:type="dxa"/>
          </w:tcPr>
          <w:p w:rsidR="0058221A" w:rsidRPr="00677B2B" w:rsidRDefault="0058221A" w:rsidP="00677B2B">
            <w:pPr>
              <w:spacing w:after="0" w:line="240" w:lineRule="auto"/>
            </w:pPr>
          </w:p>
        </w:tc>
        <w:tc>
          <w:tcPr>
            <w:tcW w:w="2552" w:type="dxa"/>
          </w:tcPr>
          <w:p w:rsidR="0058221A" w:rsidRPr="00677B2B" w:rsidRDefault="0058221A" w:rsidP="00677B2B">
            <w:pPr>
              <w:spacing w:after="0" w:line="240" w:lineRule="auto"/>
            </w:pPr>
          </w:p>
        </w:tc>
        <w:tc>
          <w:tcPr>
            <w:tcW w:w="2126" w:type="dxa"/>
          </w:tcPr>
          <w:p w:rsidR="0058221A" w:rsidRPr="00677B2B" w:rsidRDefault="0058221A" w:rsidP="00677B2B">
            <w:pPr>
              <w:spacing w:after="0" w:line="240" w:lineRule="auto"/>
            </w:pPr>
          </w:p>
        </w:tc>
      </w:tr>
      <w:tr w:rsidR="0058221A" w:rsidRPr="00677B2B" w:rsidTr="00677B2B">
        <w:tc>
          <w:tcPr>
            <w:tcW w:w="5103" w:type="dxa"/>
          </w:tcPr>
          <w:p w:rsidR="0058221A" w:rsidRPr="00677B2B" w:rsidRDefault="0058221A" w:rsidP="00677B2B">
            <w:pPr>
              <w:spacing w:after="0" w:line="240" w:lineRule="auto"/>
            </w:pPr>
          </w:p>
        </w:tc>
        <w:tc>
          <w:tcPr>
            <w:tcW w:w="2552" w:type="dxa"/>
          </w:tcPr>
          <w:p w:rsidR="0058221A" w:rsidRPr="00677B2B" w:rsidRDefault="0058221A" w:rsidP="00677B2B">
            <w:pPr>
              <w:spacing w:after="0" w:line="240" w:lineRule="auto"/>
            </w:pPr>
          </w:p>
        </w:tc>
        <w:tc>
          <w:tcPr>
            <w:tcW w:w="2126" w:type="dxa"/>
          </w:tcPr>
          <w:p w:rsidR="0058221A" w:rsidRPr="00677B2B" w:rsidRDefault="0058221A" w:rsidP="00677B2B">
            <w:pPr>
              <w:spacing w:after="0" w:line="240" w:lineRule="auto"/>
            </w:pPr>
          </w:p>
        </w:tc>
      </w:tr>
    </w:tbl>
    <w:p w:rsidR="0058221A" w:rsidRDefault="0058221A"/>
    <w:p w:rsidR="0058221A" w:rsidRDefault="0058221A">
      <w:r>
        <w:br w:type="page"/>
      </w:r>
    </w:p>
    <w:tbl>
      <w:tblPr>
        <w:tblW w:w="9752" w:type="dxa"/>
        <w:tblInd w:w="103" w:type="dxa"/>
        <w:tblLook w:val="00A0"/>
      </w:tblPr>
      <w:tblGrid>
        <w:gridCol w:w="9752"/>
      </w:tblGrid>
      <w:tr w:rsidR="0058221A" w:rsidRPr="00677B2B" w:rsidTr="002E3B51">
        <w:trPr>
          <w:trHeight w:val="300"/>
        </w:trPr>
        <w:tc>
          <w:tcPr>
            <w:tcW w:w="9752" w:type="dxa"/>
            <w:tcBorders>
              <w:top w:val="single" w:sz="4" w:space="0" w:color="auto"/>
              <w:left w:val="single" w:sz="4" w:space="0" w:color="auto"/>
              <w:bottom w:val="single" w:sz="4" w:space="0" w:color="auto"/>
              <w:right w:val="single" w:sz="4" w:space="0" w:color="auto"/>
            </w:tcBorders>
            <w:shd w:val="clear" w:color="000000" w:fill="0070C0"/>
          </w:tcPr>
          <w:p w:rsidR="0058221A" w:rsidRPr="00823420" w:rsidRDefault="0058221A" w:rsidP="00F8691B">
            <w:pPr>
              <w:pStyle w:val="Heading2"/>
              <w:numPr>
                <w:ilvl w:val="0"/>
                <w:numId w:val="6"/>
              </w:numPr>
              <w:rPr>
                <w:rFonts w:ascii="Arial" w:hAnsi="Arial" w:cs="Arial"/>
                <w:b w:val="0"/>
                <w:caps/>
                <w:color w:val="FFFFFF"/>
                <w:szCs w:val="22"/>
                <w:lang w:eastAsia="en-GB"/>
              </w:rPr>
            </w:pPr>
            <w:r>
              <w:rPr>
                <w:rFonts w:ascii="Arial" w:hAnsi="Arial" w:cs="Arial"/>
                <w:b w:val="0"/>
                <w:caps/>
                <w:color w:val="FFFFFF"/>
                <w:szCs w:val="22"/>
                <w:lang w:eastAsia="en-GB"/>
              </w:rPr>
              <w:lastRenderedPageBreak/>
              <w:t xml:space="preserve">CARE QUALITY COMMISSION </w:t>
            </w:r>
          </w:p>
        </w:tc>
      </w:tr>
      <w:tr w:rsidR="0058221A" w:rsidRPr="00677B2B" w:rsidTr="002E3B51">
        <w:trPr>
          <w:trHeight w:val="300"/>
        </w:trPr>
        <w:tc>
          <w:tcPr>
            <w:tcW w:w="9752" w:type="dxa"/>
            <w:tcBorders>
              <w:top w:val="single" w:sz="4" w:space="0" w:color="auto"/>
              <w:left w:val="single" w:sz="4" w:space="0" w:color="auto"/>
              <w:bottom w:val="single" w:sz="4" w:space="0" w:color="auto"/>
              <w:right w:val="single" w:sz="4" w:space="0" w:color="auto"/>
            </w:tcBorders>
            <w:shd w:val="clear" w:color="000000" w:fill="BFBFBF"/>
          </w:tcPr>
          <w:p w:rsidR="0058221A" w:rsidRPr="003D1B35" w:rsidRDefault="0058221A" w:rsidP="002E3B51">
            <w:pPr>
              <w:pStyle w:val="Heading2"/>
              <w:rPr>
                <w:rFonts w:ascii="Arial" w:hAnsi="Arial" w:cs="Arial"/>
                <w:b w:val="0"/>
                <w:color w:val="auto"/>
                <w:szCs w:val="22"/>
                <w:lang w:eastAsia="en-GB"/>
              </w:rPr>
            </w:pPr>
            <w:r>
              <w:rPr>
                <w:rFonts w:ascii="Arial" w:hAnsi="Arial" w:cs="Arial"/>
                <w:color w:val="auto"/>
                <w:sz w:val="24"/>
                <w:szCs w:val="24"/>
                <w:lang w:eastAsia="en-GB"/>
              </w:rPr>
              <w:t>Quality &amp; Risk Profile</w:t>
            </w:r>
          </w:p>
        </w:tc>
      </w:tr>
      <w:tr w:rsidR="0058221A" w:rsidRPr="00677B2B" w:rsidTr="00EC7095">
        <w:trPr>
          <w:trHeight w:val="6711"/>
        </w:trPr>
        <w:tc>
          <w:tcPr>
            <w:tcW w:w="9752" w:type="dxa"/>
            <w:tcBorders>
              <w:left w:val="single" w:sz="4" w:space="0" w:color="auto"/>
              <w:right w:val="single" w:sz="4" w:space="0" w:color="auto"/>
            </w:tcBorders>
          </w:tcPr>
          <w:p w:rsidR="0058221A" w:rsidRDefault="0058221A" w:rsidP="002E3B51">
            <w:pPr>
              <w:spacing w:after="0" w:line="240" w:lineRule="auto"/>
              <w:rPr>
                <w:rFonts w:cs="Arial"/>
                <w:color w:val="00B050"/>
                <w:sz w:val="20"/>
                <w:szCs w:val="20"/>
                <w:lang w:eastAsia="en-GB"/>
              </w:rPr>
            </w:pPr>
          </w:p>
          <w:p w:rsidR="0058221A" w:rsidRDefault="006F6D1D" w:rsidP="002E3B51">
            <w:pPr>
              <w:spacing w:after="0" w:line="240" w:lineRule="auto"/>
              <w:rPr>
                <w:rFonts w:cs="Arial"/>
                <w:color w:val="00B050"/>
                <w:sz w:val="20"/>
                <w:szCs w:val="20"/>
                <w:lang w:eastAsia="en-GB"/>
              </w:rPr>
            </w:pPr>
            <w:r>
              <w:rPr>
                <w:rFonts w:cs="Arial"/>
                <w:noProof/>
                <w:color w:val="00B050"/>
                <w:sz w:val="20"/>
                <w:szCs w:val="20"/>
                <w:lang w:eastAsia="en-GB"/>
              </w:rPr>
              <w:drawing>
                <wp:inline distT="0" distB="0" distL="0" distR="0">
                  <wp:extent cx="6038850" cy="3133993"/>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6038850" cy="3133993"/>
                          </a:xfrm>
                          <a:prstGeom prst="rect">
                            <a:avLst/>
                          </a:prstGeom>
                          <a:noFill/>
                          <a:ln w="9525">
                            <a:noFill/>
                            <a:miter lim="800000"/>
                            <a:headEnd/>
                            <a:tailEnd/>
                          </a:ln>
                        </pic:spPr>
                      </pic:pic>
                    </a:graphicData>
                  </a:graphic>
                </wp:inline>
              </w:drawing>
            </w:r>
          </w:p>
          <w:p w:rsidR="0058221A" w:rsidRDefault="0058221A" w:rsidP="002E3B51">
            <w:pPr>
              <w:spacing w:after="0" w:line="240" w:lineRule="auto"/>
              <w:rPr>
                <w:rFonts w:cs="Arial"/>
                <w:color w:val="00B050"/>
                <w:sz w:val="20"/>
                <w:szCs w:val="20"/>
                <w:lang w:eastAsia="en-GB"/>
              </w:rPr>
            </w:pPr>
          </w:p>
          <w:p w:rsidR="0058221A" w:rsidRPr="006F6D1D" w:rsidRDefault="0058221A" w:rsidP="0010725B">
            <w:pPr>
              <w:autoSpaceDE w:val="0"/>
              <w:autoSpaceDN w:val="0"/>
              <w:adjustRightInd w:val="0"/>
              <w:spacing w:after="0" w:line="240" w:lineRule="auto"/>
              <w:rPr>
                <w:rFonts w:ascii="Arial" w:hAnsi="Arial" w:cs="Arial"/>
                <w:sz w:val="16"/>
                <w:szCs w:val="16"/>
              </w:rPr>
            </w:pPr>
            <w:r w:rsidRPr="006F6D1D">
              <w:rPr>
                <w:rFonts w:ascii="Arial" w:hAnsi="Arial" w:cs="Arial"/>
                <w:sz w:val="16"/>
                <w:szCs w:val="16"/>
              </w:rPr>
              <w:t>Outcome 1: Respecting and involving people who use services</w:t>
            </w:r>
          </w:p>
          <w:p w:rsidR="0058221A" w:rsidRDefault="0058221A" w:rsidP="0010725B">
            <w:pPr>
              <w:autoSpaceDE w:val="0"/>
              <w:autoSpaceDN w:val="0"/>
              <w:adjustRightInd w:val="0"/>
              <w:spacing w:after="0" w:line="240" w:lineRule="auto"/>
              <w:rPr>
                <w:rFonts w:ascii="Arial" w:hAnsi="Arial" w:cs="Arial"/>
                <w:sz w:val="16"/>
                <w:szCs w:val="16"/>
              </w:rPr>
            </w:pPr>
            <w:r w:rsidRPr="006F6D1D">
              <w:rPr>
                <w:rFonts w:ascii="Arial" w:hAnsi="Arial" w:cs="Arial"/>
                <w:sz w:val="16"/>
                <w:szCs w:val="16"/>
              </w:rPr>
              <w:t>Outcome 2: Consent to care and treatment</w:t>
            </w:r>
          </w:p>
          <w:p w:rsidR="00FD371C" w:rsidRPr="00FD371C" w:rsidRDefault="00FD371C" w:rsidP="0010725B">
            <w:pPr>
              <w:autoSpaceDE w:val="0"/>
              <w:autoSpaceDN w:val="0"/>
              <w:adjustRightInd w:val="0"/>
              <w:spacing w:after="0" w:line="240" w:lineRule="auto"/>
              <w:rPr>
                <w:rFonts w:ascii="Arial" w:hAnsi="Arial" w:cs="Arial"/>
                <w:sz w:val="20"/>
                <w:szCs w:val="20"/>
              </w:rPr>
            </w:pPr>
          </w:p>
          <w:p w:rsidR="00EC7095" w:rsidRPr="00493FD9" w:rsidRDefault="00FD371C" w:rsidP="00493FD9">
            <w:pPr>
              <w:pStyle w:val="ListParagraph"/>
              <w:numPr>
                <w:ilvl w:val="0"/>
                <w:numId w:val="25"/>
              </w:numPr>
              <w:autoSpaceDE w:val="0"/>
              <w:autoSpaceDN w:val="0"/>
              <w:adjustRightInd w:val="0"/>
              <w:spacing w:after="0" w:line="240" w:lineRule="auto"/>
              <w:rPr>
                <w:rFonts w:cs="Arial"/>
                <w:lang w:eastAsia="en-GB"/>
              </w:rPr>
            </w:pPr>
            <w:r w:rsidRPr="00493FD9">
              <w:rPr>
                <w:rFonts w:ascii="Arial" w:hAnsi="Arial" w:cs="Arial"/>
              </w:rPr>
              <w:t xml:space="preserve">The decline in the rating for Outcome 1 is due to </w:t>
            </w:r>
            <w:r w:rsidR="00EC7095" w:rsidRPr="00493FD9">
              <w:rPr>
                <w:rFonts w:ascii="Arial" w:hAnsi="Arial" w:cs="Arial"/>
              </w:rPr>
              <w:t>the inclusion of results of 2010</w:t>
            </w:r>
            <w:r w:rsidRPr="00493FD9">
              <w:rPr>
                <w:rFonts w:cs="Arial"/>
                <w:lang w:eastAsia="en-GB"/>
              </w:rPr>
              <w:t xml:space="preserve"> </w:t>
            </w:r>
            <w:r w:rsidR="00EC7095" w:rsidRPr="00493FD9">
              <w:rPr>
                <w:rFonts w:cs="Arial"/>
                <w:lang w:eastAsia="en-GB"/>
              </w:rPr>
              <w:t>National Community Survey and some negative results from Mental Health visits.</w:t>
            </w:r>
          </w:p>
        </w:tc>
      </w:tr>
      <w:tr w:rsidR="0058221A" w:rsidRPr="00677B2B" w:rsidTr="00B526C8">
        <w:trPr>
          <w:trHeight w:val="902"/>
        </w:trPr>
        <w:tc>
          <w:tcPr>
            <w:tcW w:w="9752" w:type="dxa"/>
            <w:tcBorders>
              <w:left w:val="single" w:sz="4" w:space="0" w:color="auto"/>
              <w:right w:val="single" w:sz="4" w:space="0" w:color="auto"/>
            </w:tcBorders>
          </w:tcPr>
          <w:p w:rsidR="0058221A" w:rsidRDefault="006F6D1D" w:rsidP="002E3B51">
            <w:pPr>
              <w:spacing w:after="0" w:line="240" w:lineRule="auto"/>
              <w:rPr>
                <w:rFonts w:cs="Arial"/>
                <w:color w:val="00B050"/>
                <w:sz w:val="20"/>
                <w:szCs w:val="20"/>
                <w:lang w:eastAsia="en-GB"/>
              </w:rPr>
            </w:pPr>
            <w:r>
              <w:rPr>
                <w:rFonts w:cs="Arial"/>
                <w:noProof/>
                <w:color w:val="00B050"/>
                <w:sz w:val="20"/>
                <w:szCs w:val="20"/>
                <w:lang w:eastAsia="en-GB"/>
              </w:rPr>
              <w:drawing>
                <wp:inline distT="0" distB="0" distL="0" distR="0">
                  <wp:extent cx="5962650" cy="3273612"/>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5962650" cy="3273612"/>
                          </a:xfrm>
                          <a:prstGeom prst="rect">
                            <a:avLst/>
                          </a:prstGeom>
                          <a:noFill/>
                          <a:ln w="9525">
                            <a:noFill/>
                            <a:miter lim="800000"/>
                            <a:headEnd/>
                            <a:tailEnd/>
                          </a:ln>
                        </pic:spPr>
                      </pic:pic>
                    </a:graphicData>
                  </a:graphic>
                </wp:inline>
              </w:drawing>
            </w:r>
          </w:p>
          <w:p w:rsidR="0058221A" w:rsidRDefault="0058221A" w:rsidP="002E3B51">
            <w:pPr>
              <w:spacing w:after="0" w:line="240" w:lineRule="auto"/>
              <w:rPr>
                <w:rFonts w:cs="Arial"/>
                <w:color w:val="00B050"/>
                <w:sz w:val="20"/>
                <w:szCs w:val="20"/>
                <w:lang w:eastAsia="en-GB"/>
              </w:rPr>
            </w:pPr>
          </w:p>
          <w:p w:rsidR="0058221A" w:rsidRPr="00677B2B" w:rsidRDefault="0058221A" w:rsidP="0010725B">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 xml:space="preserve">Outcome 4: Care and welfare of people who use services </w:t>
            </w:r>
          </w:p>
          <w:p w:rsidR="0058221A" w:rsidRPr="00677B2B" w:rsidRDefault="0058221A" w:rsidP="0010725B">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 xml:space="preserve">Outcome 5: Meeting nutritional needs </w:t>
            </w:r>
          </w:p>
          <w:p w:rsidR="0058221A" w:rsidRDefault="0058221A" w:rsidP="00CE7A44">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Outcome 6: Cooperating with other providers</w:t>
            </w:r>
          </w:p>
          <w:p w:rsidR="00EC7095" w:rsidRPr="00493FD9" w:rsidRDefault="00EC7095" w:rsidP="00CE7A44">
            <w:pPr>
              <w:autoSpaceDE w:val="0"/>
              <w:autoSpaceDN w:val="0"/>
              <w:adjustRightInd w:val="0"/>
              <w:spacing w:after="0" w:line="240" w:lineRule="auto"/>
              <w:rPr>
                <w:rFonts w:cs="Arial"/>
                <w:lang w:eastAsia="en-GB"/>
              </w:rPr>
            </w:pPr>
          </w:p>
          <w:p w:rsidR="00493FD9" w:rsidRPr="00493FD9" w:rsidRDefault="00EC7095" w:rsidP="00493FD9">
            <w:pPr>
              <w:pStyle w:val="ListParagraph"/>
              <w:numPr>
                <w:ilvl w:val="0"/>
                <w:numId w:val="24"/>
              </w:numPr>
              <w:autoSpaceDE w:val="0"/>
              <w:autoSpaceDN w:val="0"/>
              <w:adjustRightInd w:val="0"/>
              <w:spacing w:after="0" w:line="240" w:lineRule="auto"/>
              <w:rPr>
                <w:rFonts w:cs="Arial"/>
                <w:sz w:val="20"/>
                <w:szCs w:val="20"/>
                <w:lang w:eastAsia="en-GB"/>
              </w:rPr>
            </w:pPr>
            <w:r w:rsidRPr="00493FD9">
              <w:rPr>
                <w:rFonts w:cs="Arial"/>
                <w:lang w:eastAsia="en-GB"/>
              </w:rPr>
              <w:t>Outcome 4 has similarly suffered from the results of the 2010 Community Survey</w:t>
            </w:r>
          </w:p>
        </w:tc>
      </w:tr>
      <w:tr w:rsidR="0058221A" w:rsidRPr="00677B2B" w:rsidTr="0010725B">
        <w:trPr>
          <w:trHeight w:val="902"/>
        </w:trPr>
        <w:tc>
          <w:tcPr>
            <w:tcW w:w="9752" w:type="dxa"/>
            <w:tcBorders>
              <w:left w:val="single" w:sz="4" w:space="0" w:color="auto"/>
              <w:right w:val="single" w:sz="4" w:space="0" w:color="auto"/>
            </w:tcBorders>
          </w:tcPr>
          <w:p w:rsidR="0058221A" w:rsidRDefault="006F6D1D" w:rsidP="002E3B51">
            <w:pPr>
              <w:spacing w:after="0" w:line="240" w:lineRule="auto"/>
              <w:rPr>
                <w:rFonts w:cs="Arial"/>
                <w:noProof/>
                <w:color w:val="00B050"/>
                <w:sz w:val="20"/>
                <w:szCs w:val="20"/>
                <w:lang w:eastAsia="en-GB"/>
              </w:rPr>
            </w:pPr>
            <w:r>
              <w:rPr>
                <w:rFonts w:cs="Arial"/>
                <w:noProof/>
                <w:color w:val="00B050"/>
                <w:sz w:val="20"/>
                <w:szCs w:val="20"/>
                <w:lang w:eastAsia="en-GB"/>
              </w:rPr>
              <w:lastRenderedPageBreak/>
              <w:drawing>
                <wp:inline distT="0" distB="0" distL="0" distR="0">
                  <wp:extent cx="6000750" cy="3529853"/>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6000750" cy="3529853"/>
                          </a:xfrm>
                          <a:prstGeom prst="rect">
                            <a:avLst/>
                          </a:prstGeom>
                          <a:noFill/>
                          <a:ln w="9525">
                            <a:noFill/>
                            <a:miter lim="800000"/>
                            <a:headEnd/>
                            <a:tailEnd/>
                          </a:ln>
                        </pic:spPr>
                      </pic:pic>
                    </a:graphicData>
                  </a:graphic>
                </wp:inline>
              </w:drawing>
            </w:r>
          </w:p>
          <w:p w:rsidR="006F6D1D" w:rsidRDefault="006F6D1D" w:rsidP="002E3B51">
            <w:pPr>
              <w:spacing w:after="0" w:line="240" w:lineRule="auto"/>
              <w:rPr>
                <w:rFonts w:cs="Arial"/>
                <w:noProof/>
                <w:color w:val="00B050"/>
                <w:sz w:val="20"/>
                <w:szCs w:val="20"/>
                <w:lang w:eastAsia="en-GB"/>
              </w:rPr>
            </w:pPr>
          </w:p>
          <w:p w:rsidR="0058221A" w:rsidRPr="00677B2B" w:rsidRDefault="0058221A" w:rsidP="00CE7A44">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Outcome 7:Safeguarding people who use services from abuse</w:t>
            </w:r>
          </w:p>
          <w:p w:rsidR="0058221A" w:rsidRPr="00677B2B" w:rsidRDefault="0058221A" w:rsidP="00CE7A44">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Outcome 8: Cleanliness and infection Control</w:t>
            </w:r>
          </w:p>
          <w:p w:rsidR="0058221A" w:rsidRPr="00677B2B" w:rsidRDefault="0058221A" w:rsidP="00CE7A44">
            <w:pPr>
              <w:spacing w:after="0" w:line="240" w:lineRule="auto"/>
              <w:rPr>
                <w:rFonts w:ascii="Arial" w:hAnsi="Arial" w:cs="Arial"/>
                <w:sz w:val="16"/>
                <w:szCs w:val="16"/>
              </w:rPr>
            </w:pPr>
            <w:r w:rsidRPr="00677B2B">
              <w:rPr>
                <w:rFonts w:ascii="Arial" w:hAnsi="Arial" w:cs="Arial"/>
                <w:sz w:val="16"/>
                <w:szCs w:val="16"/>
              </w:rPr>
              <w:t>Outcome 9: Management of medicines</w:t>
            </w:r>
          </w:p>
          <w:p w:rsidR="0058221A" w:rsidRPr="00677B2B" w:rsidRDefault="0058221A" w:rsidP="00CE7A44">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Outcome 10: Safety and suitability of premises</w:t>
            </w:r>
          </w:p>
          <w:p w:rsidR="0058221A" w:rsidRDefault="0058221A" w:rsidP="00CE7A44">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Outcome 11: Safety, availability and suitability of equipment</w:t>
            </w:r>
          </w:p>
          <w:p w:rsidR="00EC7095" w:rsidRDefault="00EC7095" w:rsidP="00CE7A44">
            <w:pPr>
              <w:autoSpaceDE w:val="0"/>
              <w:autoSpaceDN w:val="0"/>
              <w:adjustRightInd w:val="0"/>
              <w:spacing w:after="0" w:line="240" w:lineRule="auto"/>
              <w:rPr>
                <w:rFonts w:ascii="Arial" w:hAnsi="Arial" w:cs="Arial"/>
                <w:sz w:val="16"/>
                <w:szCs w:val="16"/>
              </w:rPr>
            </w:pPr>
          </w:p>
          <w:p w:rsidR="00EC7095" w:rsidRDefault="00EC7095" w:rsidP="00CE7A44">
            <w:pPr>
              <w:autoSpaceDE w:val="0"/>
              <w:autoSpaceDN w:val="0"/>
              <w:adjustRightInd w:val="0"/>
              <w:spacing w:after="0" w:line="240" w:lineRule="auto"/>
              <w:rPr>
                <w:rFonts w:cs="Arial"/>
                <w:noProof/>
                <w:color w:val="00B050"/>
                <w:sz w:val="20"/>
                <w:szCs w:val="20"/>
                <w:lang w:eastAsia="en-GB"/>
              </w:rPr>
            </w:pPr>
          </w:p>
        </w:tc>
      </w:tr>
      <w:tr w:rsidR="0058221A" w:rsidRPr="00677B2B" w:rsidTr="0010725B">
        <w:trPr>
          <w:trHeight w:val="902"/>
        </w:trPr>
        <w:tc>
          <w:tcPr>
            <w:tcW w:w="9752" w:type="dxa"/>
            <w:tcBorders>
              <w:left w:val="single" w:sz="4" w:space="0" w:color="auto"/>
              <w:right w:val="single" w:sz="4" w:space="0" w:color="auto"/>
            </w:tcBorders>
          </w:tcPr>
          <w:p w:rsidR="0058221A" w:rsidRDefault="006F6D1D" w:rsidP="002E3B51">
            <w:pPr>
              <w:spacing w:after="0" w:line="240" w:lineRule="auto"/>
              <w:rPr>
                <w:rFonts w:cs="Arial"/>
                <w:noProof/>
                <w:color w:val="00B050"/>
                <w:sz w:val="20"/>
                <w:szCs w:val="20"/>
                <w:lang w:eastAsia="en-GB"/>
              </w:rPr>
            </w:pPr>
            <w:r>
              <w:rPr>
                <w:rFonts w:cs="Arial"/>
                <w:noProof/>
                <w:color w:val="00B050"/>
                <w:sz w:val="20"/>
                <w:szCs w:val="20"/>
                <w:lang w:eastAsia="en-GB"/>
              </w:rPr>
              <w:drawing>
                <wp:inline distT="0" distB="0" distL="0" distR="0">
                  <wp:extent cx="6000750" cy="3250406"/>
                  <wp:effectExtent l="1905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6000750" cy="3250406"/>
                          </a:xfrm>
                          <a:prstGeom prst="rect">
                            <a:avLst/>
                          </a:prstGeom>
                          <a:noFill/>
                          <a:ln w="9525">
                            <a:noFill/>
                            <a:miter lim="800000"/>
                            <a:headEnd/>
                            <a:tailEnd/>
                          </a:ln>
                        </pic:spPr>
                      </pic:pic>
                    </a:graphicData>
                  </a:graphic>
                </wp:inline>
              </w:drawing>
            </w:r>
          </w:p>
          <w:p w:rsidR="0058221A" w:rsidRDefault="0058221A" w:rsidP="002E3B51">
            <w:pPr>
              <w:spacing w:after="0" w:line="240" w:lineRule="auto"/>
              <w:rPr>
                <w:rFonts w:cs="Arial"/>
                <w:noProof/>
                <w:color w:val="00B050"/>
                <w:sz w:val="20"/>
                <w:szCs w:val="20"/>
                <w:lang w:eastAsia="en-GB"/>
              </w:rPr>
            </w:pPr>
          </w:p>
          <w:p w:rsidR="0058221A" w:rsidRPr="00677B2B" w:rsidRDefault="0058221A" w:rsidP="00CE7A44">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Outcome 12: Requirements relating to Workers</w:t>
            </w:r>
          </w:p>
          <w:p w:rsidR="0058221A" w:rsidRPr="00677B2B" w:rsidRDefault="0058221A" w:rsidP="00CE7A44">
            <w:pPr>
              <w:spacing w:after="0" w:line="240" w:lineRule="auto"/>
              <w:rPr>
                <w:rFonts w:ascii="Arial" w:hAnsi="Arial" w:cs="Arial"/>
                <w:sz w:val="16"/>
                <w:szCs w:val="16"/>
              </w:rPr>
            </w:pPr>
            <w:r w:rsidRPr="00677B2B">
              <w:rPr>
                <w:rFonts w:ascii="Arial" w:hAnsi="Arial" w:cs="Arial"/>
                <w:sz w:val="16"/>
                <w:szCs w:val="16"/>
              </w:rPr>
              <w:t>Outcome 13: Staffing</w:t>
            </w:r>
          </w:p>
          <w:p w:rsidR="0058221A" w:rsidRDefault="0058221A" w:rsidP="00CE7A44">
            <w:pPr>
              <w:spacing w:after="0" w:line="240" w:lineRule="auto"/>
              <w:rPr>
                <w:rFonts w:ascii="Arial" w:hAnsi="Arial" w:cs="Arial"/>
                <w:sz w:val="16"/>
                <w:szCs w:val="16"/>
              </w:rPr>
            </w:pPr>
            <w:r w:rsidRPr="00677B2B">
              <w:rPr>
                <w:rFonts w:ascii="Arial" w:hAnsi="Arial" w:cs="Arial"/>
                <w:sz w:val="16"/>
                <w:szCs w:val="16"/>
              </w:rPr>
              <w:t>Outcome 14: Supporting staff</w:t>
            </w:r>
          </w:p>
          <w:p w:rsidR="00493FD9" w:rsidRDefault="00493FD9" w:rsidP="00CE7A44">
            <w:pPr>
              <w:spacing w:after="0" w:line="240" w:lineRule="auto"/>
              <w:rPr>
                <w:rFonts w:ascii="Arial" w:hAnsi="Arial" w:cs="Arial"/>
                <w:sz w:val="16"/>
                <w:szCs w:val="16"/>
              </w:rPr>
            </w:pPr>
          </w:p>
          <w:p w:rsidR="00493FD9" w:rsidRPr="00493FD9" w:rsidRDefault="00493FD9" w:rsidP="00493FD9">
            <w:pPr>
              <w:pStyle w:val="ListParagraph"/>
              <w:numPr>
                <w:ilvl w:val="0"/>
                <w:numId w:val="23"/>
              </w:numPr>
              <w:spacing w:after="0" w:line="240" w:lineRule="auto"/>
              <w:rPr>
                <w:rFonts w:cs="Arial"/>
                <w:noProof/>
                <w:sz w:val="20"/>
                <w:szCs w:val="20"/>
                <w:lang w:eastAsia="en-GB"/>
              </w:rPr>
            </w:pPr>
            <w:r w:rsidRPr="00493FD9">
              <w:rPr>
                <w:rFonts w:ascii="Arial" w:hAnsi="Arial" w:cs="Arial"/>
                <w:sz w:val="20"/>
                <w:szCs w:val="20"/>
              </w:rPr>
              <w:t>The decline in the grading for Outcome 14 is due to the inclusion of the results of the 2010 National Staff Survey</w:t>
            </w:r>
          </w:p>
        </w:tc>
      </w:tr>
      <w:tr w:rsidR="0058221A" w:rsidRPr="00677B2B" w:rsidTr="0010725B">
        <w:trPr>
          <w:trHeight w:val="902"/>
        </w:trPr>
        <w:tc>
          <w:tcPr>
            <w:tcW w:w="9752" w:type="dxa"/>
            <w:tcBorders>
              <w:left w:val="single" w:sz="4" w:space="0" w:color="auto"/>
              <w:right w:val="single" w:sz="4" w:space="0" w:color="auto"/>
            </w:tcBorders>
          </w:tcPr>
          <w:p w:rsidR="0058221A" w:rsidRDefault="00E9082E" w:rsidP="002E3B51">
            <w:pPr>
              <w:spacing w:after="0" w:line="240" w:lineRule="auto"/>
              <w:rPr>
                <w:rFonts w:cs="Arial"/>
                <w:noProof/>
                <w:color w:val="00B050"/>
                <w:sz w:val="20"/>
                <w:szCs w:val="20"/>
                <w:lang w:eastAsia="en-GB"/>
              </w:rPr>
            </w:pPr>
            <w:r>
              <w:rPr>
                <w:rFonts w:cs="Arial"/>
                <w:noProof/>
                <w:color w:val="00B050"/>
                <w:sz w:val="20"/>
                <w:szCs w:val="20"/>
                <w:lang w:eastAsia="en-GB"/>
              </w:rPr>
              <w:lastRenderedPageBreak/>
              <w:drawing>
                <wp:inline distT="0" distB="0" distL="0" distR="0">
                  <wp:extent cx="6038850" cy="3287157"/>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6038850" cy="3287157"/>
                          </a:xfrm>
                          <a:prstGeom prst="rect">
                            <a:avLst/>
                          </a:prstGeom>
                          <a:noFill/>
                          <a:ln w="9525">
                            <a:noFill/>
                            <a:miter lim="800000"/>
                            <a:headEnd/>
                            <a:tailEnd/>
                          </a:ln>
                        </pic:spPr>
                      </pic:pic>
                    </a:graphicData>
                  </a:graphic>
                </wp:inline>
              </w:drawing>
            </w:r>
          </w:p>
          <w:p w:rsidR="0058221A" w:rsidRDefault="0058221A" w:rsidP="002E3B51">
            <w:pPr>
              <w:spacing w:after="0" w:line="240" w:lineRule="auto"/>
              <w:rPr>
                <w:rFonts w:cs="Arial"/>
                <w:noProof/>
                <w:color w:val="00B050"/>
                <w:sz w:val="20"/>
                <w:szCs w:val="20"/>
                <w:lang w:eastAsia="en-GB"/>
              </w:rPr>
            </w:pPr>
          </w:p>
          <w:p w:rsidR="0058221A" w:rsidRPr="00677B2B" w:rsidRDefault="0058221A" w:rsidP="00CE7A44">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Outcome 16: Assessing and monitoring the quality of service provision</w:t>
            </w:r>
          </w:p>
          <w:p w:rsidR="0058221A" w:rsidRPr="00677B2B" w:rsidRDefault="0058221A" w:rsidP="00CE7A44">
            <w:pPr>
              <w:autoSpaceDE w:val="0"/>
              <w:autoSpaceDN w:val="0"/>
              <w:adjustRightInd w:val="0"/>
              <w:spacing w:after="0" w:line="240" w:lineRule="auto"/>
              <w:rPr>
                <w:rFonts w:ascii="Arial" w:hAnsi="Arial" w:cs="Arial"/>
                <w:sz w:val="16"/>
                <w:szCs w:val="16"/>
              </w:rPr>
            </w:pPr>
            <w:r w:rsidRPr="00677B2B">
              <w:rPr>
                <w:rFonts w:ascii="Arial" w:hAnsi="Arial" w:cs="Arial"/>
                <w:sz w:val="16"/>
                <w:szCs w:val="16"/>
              </w:rPr>
              <w:t>Outcome 17: Complaints</w:t>
            </w:r>
          </w:p>
          <w:p w:rsidR="0058221A" w:rsidRDefault="0058221A" w:rsidP="00CE7A44">
            <w:pPr>
              <w:autoSpaceDE w:val="0"/>
              <w:autoSpaceDN w:val="0"/>
              <w:adjustRightInd w:val="0"/>
              <w:spacing w:after="0" w:line="240" w:lineRule="auto"/>
              <w:rPr>
                <w:rFonts w:cs="Arial"/>
                <w:noProof/>
                <w:color w:val="00B050"/>
                <w:sz w:val="20"/>
                <w:szCs w:val="20"/>
                <w:lang w:eastAsia="en-GB"/>
              </w:rPr>
            </w:pPr>
            <w:r w:rsidRPr="00677B2B">
              <w:rPr>
                <w:rFonts w:ascii="Arial" w:hAnsi="Arial" w:cs="Arial"/>
                <w:sz w:val="16"/>
                <w:szCs w:val="16"/>
              </w:rPr>
              <w:t>Outcome 21: Records</w:t>
            </w:r>
          </w:p>
        </w:tc>
      </w:tr>
      <w:tr w:rsidR="0058221A" w:rsidRPr="00677B2B" w:rsidTr="002E3B51">
        <w:trPr>
          <w:trHeight w:val="902"/>
        </w:trPr>
        <w:tc>
          <w:tcPr>
            <w:tcW w:w="9752" w:type="dxa"/>
            <w:tcBorders>
              <w:left w:val="single" w:sz="4" w:space="0" w:color="auto"/>
              <w:bottom w:val="single" w:sz="4" w:space="0" w:color="auto"/>
              <w:right w:val="single" w:sz="4" w:space="0" w:color="auto"/>
            </w:tcBorders>
          </w:tcPr>
          <w:p w:rsidR="0058221A" w:rsidRDefault="0058221A" w:rsidP="002E3B51">
            <w:pPr>
              <w:spacing w:after="0" w:line="240" w:lineRule="auto"/>
              <w:rPr>
                <w:rFonts w:cs="Arial"/>
                <w:noProof/>
                <w:color w:val="00B050"/>
                <w:sz w:val="20"/>
                <w:szCs w:val="20"/>
                <w:lang w:eastAsia="en-GB"/>
              </w:rPr>
            </w:pPr>
          </w:p>
        </w:tc>
      </w:tr>
    </w:tbl>
    <w:p w:rsidR="0058221A" w:rsidRDefault="0058221A"/>
    <w:sectPr w:rsidR="0058221A" w:rsidSect="00EE2384">
      <w:headerReference w:type="even" r:id="rId28"/>
      <w:headerReference w:type="default" r:id="rId29"/>
      <w:footerReference w:type="even" r:id="rId30"/>
      <w:footerReference w:type="default" r:id="rId31"/>
      <w:headerReference w:type="first" r:id="rId32"/>
      <w:footerReference w:type="first" r:id="rId33"/>
      <w:pgSz w:w="11906" w:h="16838"/>
      <w:pgMar w:top="1440" w:right="1133"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9A6" w:rsidRDefault="00CE79A6" w:rsidP="008B3D69">
      <w:pPr>
        <w:spacing w:after="0" w:line="240" w:lineRule="auto"/>
      </w:pPr>
      <w:r>
        <w:separator/>
      </w:r>
    </w:p>
  </w:endnote>
  <w:endnote w:type="continuationSeparator" w:id="1">
    <w:p w:rsidR="00CE79A6" w:rsidRDefault="00CE79A6" w:rsidP="008B3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A6" w:rsidRDefault="00CE79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A6" w:rsidRDefault="00CE79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A6" w:rsidRDefault="00CE7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9A6" w:rsidRDefault="00CE79A6" w:rsidP="008B3D69">
      <w:pPr>
        <w:spacing w:after="0" w:line="240" w:lineRule="auto"/>
      </w:pPr>
      <w:r>
        <w:separator/>
      </w:r>
    </w:p>
  </w:footnote>
  <w:footnote w:type="continuationSeparator" w:id="1">
    <w:p w:rsidR="00CE79A6" w:rsidRDefault="00CE79A6" w:rsidP="008B3D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A6" w:rsidRDefault="00CE79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8688"/>
      <w:docPartObj>
        <w:docPartGallery w:val="Watermarks"/>
        <w:docPartUnique/>
      </w:docPartObj>
    </w:sdtPr>
    <w:sdtContent>
      <w:p w:rsidR="00CE79A6" w:rsidRDefault="009C023F">
        <w:pPr>
          <w:pStyle w:val="Header"/>
        </w:pPr>
        <w:r w:rsidRPr="009C023F">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A6" w:rsidRDefault="00CE7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646"/>
    <w:multiLevelType w:val="hybridMultilevel"/>
    <w:tmpl w:val="68E8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B60BA"/>
    <w:multiLevelType w:val="hybridMultilevel"/>
    <w:tmpl w:val="CCDE18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DE700B"/>
    <w:multiLevelType w:val="hybridMultilevel"/>
    <w:tmpl w:val="2A68403E"/>
    <w:lvl w:ilvl="0" w:tplc="52840C4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9FF34FE"/>
    <w:multiLevelType w:val="hybridMultilevel"/>
    <w:tmpl w:val="8066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C32DB0"/>
    <w:multiLevelType w:val="hybridMultilevel"/>
    <w:tmpl w:val="DE469E34"/>
    <w:lvl w:ilvl="0" w:tplc="B0CAB0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F74105A"/>
    <w:multiLevelType w:val="hybridMultilevel"/>
    <w:tmpl w:val="5EF0AA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7210CF1"/>
    <w:multiLevelType w:val="hybridMultilevel"/>
    <w:tmpl w:val="6B9A93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F0E0BFF"/>
    <w:multiLevelType w:val="hybridMultilevel"/>
    <w:tmpl w:val="BE6CB988"/>
    <w:lvl w:ilvl="0" w:tplc="9AC60E5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FAB1C8B"/>
    <w:multiLevelType w:val="hybridMultilevel"/>
    <w:tmpl w:val="781400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5655D08"/>
    <w:multiLevelType w:val="hybridMultilevel"/>
    <w:tmpl w:val="A3987AFA"/>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0">
    <w:nsid w:val="274410E3"/>
    <w:multiLevelType w:val="hybridMultilevel"/>
    <w:tmpl w:val="F062AA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8CB294E"/>
    <w:multiLevelType w:val="hybridMultilevel"/>
    <w:tmpl w:val="DE469E34"/>
    <w:lvl w:ilvl="0" w:tplc="B0CAB0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A6F31A7"/>
    <w:multiLevelType w:val="hybridMultilevel"/>
    <w:tmpl w:val="1CEE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010829"/>
    <w:multiLevelType w:val="hybridMultilevel"/>
    <w:tmpl w:val="80AA8B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A685FD3"/>
    <w:multiLevelType w:val="hybridMultilevel"/>
    <w:tmpl w:val="DA2A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BB4619"/>
    <w:multiLevelType w:val="hybridMultilevel"/>
    <w:tmpl w:val="BC26ABFC"/>
    <w:lvl w:ilvl="0" w:tplc="52840C4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77E73B0"/>
    <w:multiLevelType w:val="hybridMultilevel"/>
    <w:tmpl w:val="999804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8477FBD"/>
    <w:multiLevelType w:val="hybridMultilevel"/>
    <w:tmpl w:val="BC26ABFC"/>
    <w:lvl w:ilvl="0" w:tplc="52840C4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02845F9"/>
    <w:multiLevelType w:val="hybridMultilevel"/>
    <w:tmpl w:val="DE469E34"/>
    <w:lvl w:ilvl="0" w:tplc="B0CAB0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56176682"/>
    <w:multiLevelType w:val="hybridMultilevel"/>
    <w:tmpl w:val="DE469E34"/>
    <w:lvl w:ilvl="0" w:tplc="B0CAB0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5958511C"/>
    <w:multiLevelType w:val="hybridMultilevel"/>
    <w:tmpl w:val="C4F8F1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1B349D6"/>
    <w:multiLevelType w:val="hybridMultilevel"/>
    <w:tmpl w:val="DE469E34"/>
    <w:lvl w:ilvl="0" w:tplc="B0CAB0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6407D95"/>
    <w:multiLevelType w:val="hybridMultilevel"/>
    <w:tmpl w:val="8D325490"/>
    <w:lvl w:ilvl="0" w:tplc="BAF24D3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93D2413"/>
    <w:multiLevelType w:val="hybridMultilevel"/>
    <w:tmpl w:val="BC26ABFC"/>
    <w:lvl w:ilvl="0" w:tplc="52840C4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F6A1122"/>
    <w:multiLevelType w:val="hybridMultilevel"/>
    <w:tmpl w:val="01AC834A"/>
    <w:lvl w:ilvl="0" w:tplc="52840C4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767544D1"/>
    <w:multiLevelType w:val="hybridMultilevel"/>
    <w:tmpl w:val="98F6AC32"/>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nsid w:val="7B0D7BFA"/>
    <w:multiLevelType w:val="hybridMultilevel"/>
    <w:tmpl w:val="D362169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num w:numId="1">
    <w:abstractNumId w:val="14"/>
  </w:num>
  <w:num w:numId="2">
    <w:abstractNumId w:val="16"/>
  </w:num>
  <w:num w:numId="3">
    <w:abstractNumId w:val="7"/>
  </w:num>
  <w:num w:numId="4">
    <w:abstractNumId w:val="25"/>
  </w:num>
  <w:num w:numId="5">
    <w:abstractNumId w:val="9"/>
  </w:num>
  <w:num w:numId="6">
    <w:abstractNumId w:val="2"/>
  </w:num>
  <w:num w:numId="7">
    <w:abstractNumId w:val="15"/>
  </w:num>
  <w:num w:numId="8">
    <w:abstractNumId w:val="18"/>
  </w:num>
  <w:num w:numId="9">
    <w:abstractNumId w:val="19"/>
  </w:num>
  <w:num w:numId="10">
    <w:abstractNumId w:val="21"/>
  </w:num>
  <w:num w:numId="11">
    <w:abstractNumId w:val="4"/>
  </w:num>
  <w:num w:numId="12">
    <w:abstractNumId w:val="23"/>
  </w:num>
  <w:num w:numId="13">
    <w:abstractNumId w:val="20"/>
  </w:num>
  <w:num w:numId="14">
    <w:abstractNumId w:val="22"/>
  </w:num>
  <w:num w:numId="15">
    <w:abstractNumId w:val="24"/>
  </w:num>
  <w:num w:numId="16">
    <w:abstractNumId w:val="1"/>
  </w:num>
  <w:num w:numId="17">
    <w:abstractNumId w:val="11"/>
  </w:num>
  <w:num w:numId="18">
    <w:abstractNumId w:val="26"/>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7"/>
  </w:num>
  <w:num w:numId="23">
    <w:abstractNumId w:val="12"/>
  </w:num>
  <w:num w:numId="24">
    <w:abstractNumId w:val="3"/>
  </w:num>
  <w:num w:numId="25">
    <w:abstractNumId w:val="0"/>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637A68"/>
    <w:rsid w:val="000213F2"/>
    <w:rsid w:val="00031FA8"/>
    <w:rsid w:val="00044F96"/>
    <w:rsid w:val="0004626B"/>
    <w:rsid w:val="000A4CBF"/>
    <w:rsid w:val="000C0C53"/>
    <w:rsid w:val="000D0569"/>
    <w:rsid w:val="000D2023"/>
    <w:rsid w:val="000E685D"/>
    <w:rsid w:val="000F3B49"/>
    <w:rsid w:val="0010201E"/>
    <w:rsid w:val="0010662F"/>
    <w:rsid w:val="0010725B"/>
    <w:rsid w:val="00111A93"/>
    <w:rsid w:val="00121437"/>
    <w:rsid w:val="001764AF"/>
    <w:rsid w:val="00187092"/>
    <w:rsid w:val="001909CF"/>
    <w:rsid w:val="001919EF"/>
    <w:rsid w:val="00191E99"/>
    <w:rsid w:val="00197B71"/>
    <w:rsid w:val="001B720F"/>
    <w:rsid w:val="001F3C11"/>
    <w:rsid w:val="001F401C"/>
    <w:rsid w:val="00205819"/>
    <w:rsid w:val="002112FB"/>
    <w:rsid w:val="00224317"/>
    <w:rsid w:val="002255D4"/>
    <w:rsid w:val="00250850"/>
    <w:rsid w:val="0025614C"/>
    <w:rsid w:val="002575E1"/>
    <w:rsid w:val="00273284"/>
    <w:rsid w:val="0027569B"/>
    <w:rsid w:val="002825FD"/>
    <w:rsid w:val="00283439"/>
    <w:rsid w:val="002947AC"/>
    <w:rsid w:val="002D40D5"/>
    <w:rsid w:val="002E3B51"/>
    <w:rsid w:val="002E6105"/>
    <w:rsid w:val="002F4FAC"/>
    <w:rsid w:val="002F5DCB"/>
    <w:rsid w:val="00300730"/>
    <w:rsid w:val="0031219D"/>
    <w:rsid w:val="003126CE"/>
    <w:rsid w:val="00324ACB"/>
    <w:rsid w:val="00366C1A"/>
    <w:rsid w:val="0037420C"/>
    <w:rsid w:val="00374F2E"/>
    <w:rsid w:val="003A2E02"/>
    <w:rsid w:val="003B3EC7"/>
    <w:rsid w:val="003C2F8D"/>
    <w:rsid w:val="003D182E"/>
    <w:rsid w:val="003D1B35"/>
    <w:rsid w:val="003D3413"/>
    <w:rsid w:val="003D53FF"/>
    <w:rsid w:val="003E2064"/>
    <w:rsid w:val="003E6AFE"/>
    <w:rsid w:val="003F372D"/>
    <w:rsid w:val="003F626B"/>
    <w:rsid w:val="00401BC4"/>
    <w:rsid w:val="0042017C"/>
    <w:rsid w:val="00430426"/>
    <w:rsid w:val="004430B8"/>
    <w:rsid w:val="00451F19"/>
    <w:rsid w:val="00453F24"/>
    <w:rsid w:val="0046221F"/>
    <w:rsid w:val="004746F4"/>
    <w:rsid w:val="00476906"/>
    <w:rsid w:val="0047707E"/>
    <w:rsid w:val="004803E5"/>
    <w:rsid w:val="00486A95"/>
    <w:rsid w:val="00493FD9"/>
    <w:rsid w:val="004E4C9D"/>
    <w:rsid w:val="004E5C40"/>
    <w:rsid w:val="004F40B4"/>
    <w:rsid w:val="004F52AF"/>
    <w:rsid w:val="00500A37"/>
    <w:rsid w:val="005046E3"/>
    <w:rsid w:val="00506CC4"/>
    <w:rsid w:val="00514DA0"/>
    <w:rsid w:val="00516DEB"/>
    <w:rsid w:val="0051748F"/>
    <w:rsid w:val="005372D6"/>
    <w:rsid w:val="00543B35"/>
    <w:rsid w:val="0056474A"/>
    <w:rsid w:val="0058221A"/>
    <w:rsid w:val="00582446"/>
    <w:rsid w:val="005934F5"/>
    <w:rsid w:val="00595928"/>
    <w:rsid w:val="005B3BF0"/>
    <w:rsid w:val="005C1447"/>
    <w:rsid w:val="005C35BF"/>
    <w:rsid w:val="005D32BE"/>
    <w:rsid w:val="005D7A20"/>
    <w:rsid w:val="005D7D92"/>
    <w:rsid w:val="005E65F1"/>
    <w:rsid w:val="005F5F2D"/>
    <w:rsid w:val="006033E1"/>
    <w:rsid w:val="00623AE9"/>
    <w:rsid w:val="00633EE1"/>
    <w:rsid w:val="00637A68"/>
    <w:rsid w:val="00666C45"/>
    <w:rsid w:val="00671CD1"/>
    <w:rsid w:val="0067241F"/>
    <w:rsid w:val="00676B0D"/>
    <w:rsid w:val="00676C27"/>
    <w:rsid w:val="00677B2B"/>
    <w:rsid w:val="00680419"/>
    <w:rsid w:val="00687651"/>
    <w:rsid w:val="00697128"/>
    <w:rsid w:val="006A40E4"/>
    <w:rsid w:val="006A5444"/>
    <w:rsid w:val="006B3B28"/>
    <w:rsid w:val="006B5D31"/>
    <w:rsid w:val="006F6D1D"/>
    <w:rsid w:val="00707D51"/>
    <w:rsid w:val="007331B5"/>
    <w:rsid w:val="007570FD"/>
    <w:rsid w:val="00780D59"/>
    <w:rsid w:val="00785777"/>
    <w:rsid w:val="00792F08"/>
    <w:rsid w:val="00793E2B"/>
    <w:rsid w:val="007A0999"/>
    <w:rsid w:val="007A2982"/>
    <w:rsid w:val="007B1A67"/>
    <w:rsid w:val="007D54EB"/>
    <w:rsid w:val="007D5896"/>
    <w:rsid w:val="00811CA4"/>
    <w:rsid w:val="008132A4"/>
    <w:rsid w:val="00815D39"/>
    <w:rsid w:val="00823420"/>
    <w:rsid w:val="00825C96"/>
    <w:rsid w:val="00827D0B"/>
    <w:rsid w:val="008478F4"/>
    <w:rsid w:val="00851B57"/>
    <w:rsid w:val="008616D1"/>
    <w:rsid w:val="00874531"/>
    <w:rsid w:val="00884BE4"/>
    <w:rsid w:val="008A559B"/>
    <w:rsid w:val="008B3D69"/>
    <w:rsid w:val="008F24A4"/>
    <w:rsid w:val="00902581"/>
    <w:rsid w:val="0090547D"/>
    <w:rsid w:val="00907C85"/>
    <w:rsid w:val="00940B16"/>
    <w:rsid w:val="00973D1A"/>
    <w:rsid w:val="00980611"/>
    <w:rsid w:val="00982214"/>
    <w:rsid w:val="00997399"/>
    <w:rsid w:val="009A1CFC"/>
    <w:rsid w:val="009B13A5"/>
    <w:rsid w:val="009B168B"/>
    <w:rsid w:val="009B699F"/>
    <w:rsid w:val="009C023F"/>
    <w:rsid w:val="009C18BD"/>
    <w:rsid w:val="009C4294"/>
    <w:rsid w:val="009D11DF"/>
    <w:rsid w:val="00A21FD8"/>
    <w:rsid w:val="00A34CA9"/>
    <w:rsid w:val="00A476C9"/>
    <w:rsid w:val="00A65EFD"/>
    <w:rsid w:val="00A92802"/>
    <w:rsid w:val="00A97D28"/>
    <w:rsid w:val="00AA383C"/>
    <w:rsid w:val="00AC040C"/>
    <w:rsid w:val="00AC65AE"/>
    <w:rsid w:val="00AD7279"/>
    <w:rsid w:val="00AE793D"/>
    <w:rsid w:val="00AE7AB3"/>
    <w:rsid w:val="00AF22C1"/>
    <w:rsid w:val="00B10886"/>
    <w:rsid w:val="00B123E2"/>
    <w:rsid w:val="00B26319"/>
    <w:rsid w:val="00B50E7D"/>
    <w:rsid w:val="00B526C8"/>
    <w:rsid w:val="00B531FB"/>
    <w:rsid w:val="00B62C58"/>
    <w:rsid w:val="00B67169"/>
    <w:rsid w:val="00B70CD3"/>
    <w:rsid w:val="00B91935"/>
    <w:rsid w:val="00BD5A58"/>
    <w:rsid w:val="00BF5F4A"/>
    <w:rsid w:val="00C0160F"/>
    <w:rsid w:val="00C333CE"/>
    <w:rsid w:val="00C45008"/>
    <w:rsid w:val="00C6227D"/>
    <w:rsid w:val="00C62C59"/>
    <w:rsid w:val="00C77C54"/>
    <w:rsid w:val="00CD0119"/>
    <w:rsid w:val="00CD4A48"/>
    <w:rsid w:val="00CE03F0"/>
    <w:rsid w:val="00CE3B87"/>
    <w:rsid w:val="00CE5377"/>
    <w:rsid w:val="00CE79A6"/>
    <w:rsid w:val="00CE7A44"/>
    <w:rsid w:val="00CF3276"/>
    <w:rsid w:val="00D06762"/>
    <w:rsid w:val="00D451BE"/>
    <w:rsid w:val="00D82647"/>
    <w:rsid w:val="00D872BA"/>
    <w:rsid w:val="00D936C8"/>
    <w:rsid w:val="00DA660D"/>
    <w:rsid w:val="00DD3FAF"/>
    <w:rsid w:val="00DD76FB"/>
    <w:rsid w:val="00DE1966"/>
    <w:rsid w:val="00E01990"/>
    <w:rsid w:val="00E05D70"/>
    <w:rsid w:val="00E13A7D"/>
    <w:rsid w:val="00E13E18"/>
    <w:rsid w:val="00E20519"/>
    <w:rsid w:val="00E81959"/>
    <w:rsid w:val="00E82007"/>
    <w:rsid w:val="00E871F7"/>
    <w:rsid w:val="00E9082E"/>
    <w:rsid w:val="00EA00F6"/>
    <w:rsid w:val="00EC58C9"/>
    <w:rsid w:val="00EC7095"/>
    <w:rsid w:val="00ED35B9"/>
    <w:rsid w:val="00EE2384"/>
    <w:rsid w:val="00EF506C"/>
    <w:rsid w:val="00F00414"/>
    <w:rsid w:val="00F12F6B"/>
    <w:rsid w:val="00F21236"/>
    <w:rsid w:val="00F53123"/>
    <w:rsid w:val="00F828C8"/>
    <w:rsid w:val="00F8691B"/>
    <w:rsid w:val="00FB76BA"/>
    <w:rsid w:val="00FD371C"/>
    <w:rsid w:val="00FD62F9"/>
    <w:rsid w:val="00FE2EF1"/>
    <w:rsid w:val="00FE5F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2A4"/>
    <w:pPr>
      <w:spacing w:after="200" w:line="276" w:lineRule="auto"/>
    </w:pPr>
    <w:rPr>
      <w:lang w:eastAsia="en-US"/>
    </w:rPr>
  </w:style>
  <w:style w:type="paragraph" w:styleId="Heading1">
    <w:name w:val="heading 1"/>
    <w:basedOn w:val="Normal"/>
    <w:next w:val="Normal"/>
    <w:link w:val="Heading1Char"/>
    <w:uiPriority w:val="99"/>
    <w:qFormat/>
    <w:rsid w:val="003E206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622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locked/>
    <w:rsid w:val="002756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206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6221F"/>
    <w:rPr>
      <w:rFonts w:ascii="Cambria" w:hAnsi="Cambria" w:cs="Times New Roman"/>
      <w:b/>
      <w:bCs/>
      <w:color w:val="4F81BD"/>
      <w:sz w:val="26"/>
      <w:szCs w:val="26"/>
    </w:rPr>
  </w:style>
  <w:style w:type="paragraph" w:styleId="BalloonText">
    <w:name w:val="Balloon Text"/>
    <w:basedOn w:val="Normal"/>
    <w:link w:val="BalloonTextChar"/>
    <w:uiPriority w:val="99"/>
    <w:semiHidden/>
    <w:rsid w:val="003E2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064"/>
    <w:rPr>
      <w:rFonts w:ascii="Tahoma" w:hAnsi="Tahoma" w:cs="Tahoma"/>
      <w:sz w:val="16"/>
      <w:szCs w:val="16"/>
    </w:rPr>
  </w:style>
  <w:style w:type="paragraph" w:styleId="ListParagraph">
    <w:name w:val="List Paragraph"/>
    <w:basedOn w:val="Normal"/>
    <w:uiPriority w:val="34"/>
    <w:qFormat/>
    <w:rsid w:val="00CD4A48"/>
    <w:pPr>
      <w:ind w:left="720"/>
      <w:contextualSpacing/>
    </w:pPr>
  </w:style>
  <w:style w:type="table" w:styleId="TableGrid">
    <w:name w:val="Table Grid"/>
    <w:basedOn w:val="TableNormal"/>
    <w:rsid w:val="003D1B3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11A93"/>
    <w:rPr>
      <w:rFonts w:cs="Times New Roman"/>
      <w:sz w:val="16"/>
      <w:szCs w:val="16"/>
    </w:rPr>
  </w:style>
  <w:style w:type="paragraph" w:styleId="CommentText">
    <w:name w:val="annotation text"/>
    <w:basedOn w:val="Normal"/>
    <w:link w:val="CommentTextChar"/>
    <w:uiPriority w:val="99"/>
    <w:semiHidden/>
    <w:rsid w:val="00111A9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A93"/>
    <w:rPr>
      <w:rFonts w:cs="Times New Roman"/>
      <w:sz w:val="20"/>
      <w:szCs w:val="20"/>
    </w:rPr>
  </w:style>
  <w:style w:type="paragraph" w:styleId="CommentSubject">
    <w:name w:val="annotation subject"/>
    <w:basedOn w:val="CommentText"/>
    <w:next w:val="CommentText"/>
    <w:link w:val="CommentSubjectChar"/>
    <w:uiPriority w:val="99"/>
    <w:semiHidden/>
    <w:rsid w:val="00111A93"/>
    <w:rPr>
      <w:b/>
      <w:bCs/>
    </w:rPr>
  </w:style>
  <w:style w:type="character" w:customStyle="1" w:styleId="CommentSubjectChar">
    <w:name w:val="Comment Subject Char"/>
    <w:basedOn w:val="CommentTextChar"/>
    <w:link w:val="CommentSubject"/>
    <w:uiPriority w:val="99"/>
    <w:semiHidden/>
    <w:locked/>
    <w:rsid w:val="00111A93"/>
    <w:rPr>
      <w:b/>
      <w:bCs/>
    </w:rPr>
  </w:style>
  <w:style w:type="paragraph" w:styleId="DocumentMap">
    <w:name w:val="Document Map"/>
    <w:basedOn w:val="Normal"/>
    <w:link w:val="DocumentMapChar"/>
    <w:uiPriority w:val="99"/>
    <w:semiHidden/>
    <w:rsid w:val="002575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239F1"/>
    <w:rPr>
      <w:rFonts w:ascii="Times New Roman" w:hAnsi="Times New Roman"/>
      <w:sz w:val="0"/>
      <w:szCs w:val="0"/>
      <w:lang w:eastAsia="en-US"/>
    </w:rPr>
  </w:style>
  <w:style w:type="character" w:customStyle="1" w:styleId="Heading3Char">
    <w:name w:val="Heading 3 Char"/>
    <w:basedOn w:val="DefaultParagraphFont"/>
    <w:link w:val="Heading3"/>
    <w:rsid w:val="0027569B"/>
    <w:rPr>
      <w:rFonts w:asciiTheme="majorHAnsi" w:eastAsiaTheme="majorEastAsia" w:hAnsiTheme="majorHAnsi" w:cstheme="majorBidi"/>
      <w:b/>
      <w:bCs/>
      <w:color w:val="4F81BD" w:themeColor="accent1"/>
      <w:lang w:eastAsia="en-US"/>
    </w:rPr>
  </w:style>
  <w:style w:type="paragraph" w:styleId="Header">
    <w:name w:val="header"/>
    <w:basedOn w:val="Normal"/>
    <w:link w:val="HeaderChar"/>
    <w:uiPriority w:val="99"/>
    <w:semiHidden/>
    <w:unhideWhenUsed/>
    <w:rsid w:val="008B3D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3D69"/>
    <w:rPr>
      <w:lang w:eastAsia="en-US"/>
    </w:rPr>
  </w:style>
  <w:style w:type="paragraph" w:styleId="Footer">
    <w:name w:val="footer"/>
    <w:basedOn w:val="Normal"/>
    <w:link w:val="FooterChar"/>
    <w:uiPriority w:val="99"/>
    <w:semiHidden/>
    <w:unhideWhenUsed/>
    <w:rsid w:val="008B3D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3D69"/>
    <w:rPr>
      <w:lang w:eastAsia="en-US"/>
    </w:rPr>
  </w:style>
  <w:style w:type="paragraph" w:styleId="BodyText">
    <w:name w:val="Body Text"/>
    <w:basedOn w:val="Normal"/>
    <w:link w:val="BodyTextChar"/>
    <w:uiPriority w:val="99"/>
    <w:semiHidden/>
    <w:unhideWhenUsed/>
    <w:rsid w:val="00FE5FA1"/>
    <w:pPr>
      <w:spacing w:after="120"/>
    </w:pPr>
  </w:style>
  <w:style w:type="character" w:customStyle="1" w:styleId="BodyTextChar">
    <w:name w:val="Body Text Char"/>
    <w:basedOn w:val="DefaultParagraphFont"/>
    <w:link w:val="BodyText"/>
    <w:uiPriority w:val="99"/>
    <w:semiHidden/>
    <w:rsid w:val="00FE5FA1"/>
    <w:rPr>
      <w:lang w:eastAsia="en-US"/>
    </w:rPr>
  </w:style>
</w:styles>
</file>

<file path=word/webSettings.xml><?xml version="1.0" encoding="utf-8"?>
<w:webSettings xmlns:r="http://schemas.openxmlformats.org/officeDocument/2006/relationships" xmlns:w="http://schemas.openxmlformats.org/wordprocessingml/2006/main">
  <w:divs>
    <w:div w:id="62145101">
      <w:bodyDiv w:val="1"/>
      <w:marLeft w:val="0"/>
      <w:marRight w:val="0"/>
      <w:marTop w:val="0"/>
      <w:marBottom w:val="0"/>
      <w:divBdr>
        <w:top w:val="none" w:sz="0" w:space="0" w:color="auto"/>
        <w:left w:val="none" w:sz="0" w:space="0" w:color="auto"/>
        <w:bottom w:val="none" w:sz="0" w:space="0" w:color="auto"/>
        <w:right w:val="none" w:sz="0" w:space="0" w:color="auto"/>
      </w:divBdr>
    </w:div>
    <w:div w:id="103695690">
      <w:bodyDiv w:val="1"/>
      <w:marLeft w:val="0"/>
      <w:marRight w:val="0"/>
      <w:marTop w:val="0"/>
      <w:marBottom w:val="0"/>
      <w:divBdr>
        <w:top w:val="none" w:sz="0" w:space="0" w:color="auto"/>
        <w:left w:val="none" w:sz="0" w:space="0" w:color="auto"/>
        <w:bottom w:val="none" w:sz="0" w:space="0" w:color="auto"/>
        <w:right w:val="none" w:sz="0" w:space="0" w:color="auto"/>
      </w:divBdr>
    </w:div>
    <w:div w:id="109983969">
      <w:bodyDiv w:val="1"/>
      <w:marLeft w:val="0"/>
      <w:marRight w:val="0"/>
      <w:marTop w:val="0"/>
      <w:marBottom w:val="0"/>
      <w:divBdr>
        <w:top w:val="none" w:sz="0" w:space="0" w:color="auto"/>
        <w:left w:val="none" w:sz="0" w:space="0" w:color="auto"/>
        <w:bottom w:val="none" w:sz="0" w:space="0" w:color="auto"/>
        <w:right w:val="none" w:sz="0" w:space="0" w:color="auto"/>
      </w:divBdr>
    </w:div>
    <w:div w:id="117996675">
      <w:marLeft w:val="0"/>
      <w:marRight w:val="0"/>
      <w:marTop w:val="0"/>
      <w:marBottom w:val="0"/>
      <w:divBdr>
        <w:top w:val="none" w:sz="0" w:space="0" w:color="auto"/>
        <w:left w:val="none" w:sz="0" w:space="0" w:color="auto"/>
        <w:bottom w:val="none" w:sz="0" w:space="0" w:color="auto"/>
        <w:right w:val="none" w:sz="0" w:space="0" w:color="auto"/>
      </w:divBdr>
    </w:div>
    <w:div w:id="117996676">
      <w:marLeft w:val="0"/>
      <w:marRight w:val="0"/>
      <w:marTop w:val="0"/>
      <w:marBottom w:val="0"/>
      <w:divBdr>
        <w:top w:val="none" w:sz="0" w:space="0" w:color="auto"/>
        <w:left w:val="none" w:sz="0" w:space="0" w:color="auto"/>
        <w:bottom w:val="none" w:sz="0" w:space="0" w:color="auto"/>
        <w:right w:val="none" w:sz="0" w:space="0" w:color="auto"/>
      </w:divBdr>
    </w:div>
    <w:div w:id="117996677">
      <w:marLeft w:val="0"/>
      <w:marRight w:val="0"/>
      <w:marTop w:val="0"/>
      <w:marBottom w:val="0"/>
      <w:divBdr>
        <w:top w:val="none" w:sz="0" w:space="0" w:color="auto"/>
        <w:left w:val="none" w:sz="0" w:space="0" w:color="auto"/>
        <w:bottom w:val="none" w:sz="0" w:space="0" w:color="auto"/>
        <w:right w:val="none" w:sz="0" w:space="0" w:color="auto"/>
      </w:divBdr>
    </w:div>
    <w:div w:id="117996678">
      <w:marLeft w:val="0"/>
      <w:marRight w:val="0"/>
      <w:marTop w:val="0"/>
      <w:marBottom w:val="0"/>
      <w:divBdr>
        <w:top w:val="none" w:sz="0" w:space="0" w:color="auto"/>
        <w:left w:val="none" w:sz="0" w:space="0" w:color="auto"/>
        <w:bottom w:val="none" w:sz="0" w:space="0" w:color="auto"/>
        <w:right w:val="none" w:sz="0" w:space="0" w:color="auto"/>
      </w:divBdr>
    </w:div>
    <w:div w:id="117996679">
      <w:marLeft w:val="0"/>
      <w:marRight w:val="0"/>
      <w:marTop w:val="0"/>
      <w:marBottom w:val="0"/>
      <w:divBdr>
        <w:top w:val="none" w:sz="0" w:space="0" w:color="auto"/>
        <w:left w:val="none" w:sz="0" w:space="0" w:color="auto"/>
        <w:bottom w:val="none" w:sz="0" w:space="0" w:color="auto"/>
        <w:right w:val="none" w:sz="0" w:space="0" w:color="auto"/>
      </w:divBdr>
    </w:div>
    <w:div w:id="212431529">
      <w:bodyDiv w:val="1"/>
      <w:marLeft w:val="0"/>
      <w:marRight w:val="0"/>
      <w:marTop w:val="0"/>
      <w:marBottom w:val="0"/>
      <w:divBdr>
        <w:top w:val="none" w:sz="0" w:space="0" w:color="auto"/>
        <w:left w:val="none" w:sz="0" w:space="0" w:color="auto"/>
        <w:bottom w:val="none" w:sz="0" w:space="0" w:color="auto"/>
        <w:right w:val="none" w:sz="0" w:space="0" w:color="auto"/>
      </w:divBdr>
    </w:div>
    <w:div w:id="402724718">
      <w:bodyDiv w:val="1"/>
      <w:marLeft w:val="0"/>
      <w:marRight w:val="0"/>
      <w:marTop w:val="0"/>
      <w:marBottom w:val="0"/>
      <w:divBdr>
        <w:top w:val="none" w:sz="0" w:space="0" w:color="auto"/>
        <w:left w:val="none" w:sz="0" w:space="0" w:color="auto"/>
        <w:bottom w:val="none" w:sz="0" w:space="0" w:color="auto"/>
        <w:right w:val="none" w:sz="0" w:space="0" w:color="auto"/>
      </w:divBdr>
    </w:div>
    <w:div w:id="582759604">
      <w:bodyDiv w:val="1"/>
      <w:marLeft w:val="0"/>
      <w:marRight w:val="0"/>
      <w:marTop w:val="0"/>
      <w:marBottom w:val="0"/>
      <w:divBdr>
        <w:top w:val="none" w:sz="0" w:space="0" w:color="auto"/>
        <w:left w:val="none" w:sz="0" w:space="0" w:color="auto"/>
        <w:bottom w:val="none" w:sz="0" w:space="0" w:color="auto"/>
        <w:right w:val="none" w:sz="0" w:space="0" w:color="auto"/>
      </w:divBdr>
    </w:div>
    <w:div w:id="1060253098">
      <w:bodyDiv w:val="1"/>
      <w:marLeft w:val="0"/>
      <w:marRight w:val="0"/>
      <w:marTop w:val="0"/>
      <w:marBottom w:val="0"/>
      <w:divBdr>
        <w:top w:val="none" w:sz="0" w:space="0" w:color="auto"/>
        <w:left w:val="none" w:sz="0" w:space="0" w:color="auto"/>
        <w:bottom w:val="none" w:sz="0" w:space="0" w:color="auto"/>
        <w:right w:val="none" w:sz="0" w:space="0" w:color="auto"/>
      </w:divBdr>
    </w:div>
    <w:div w:id="1090740262">
      <w:bodyDiv w:val="1"/>
      <w:marLeft w:val="0"/>
      <w:marRight w:val="0"/>
      <w:marTop w:val="0"/>
      <w:marBottom w:val="0"/>
      <w:divBdr>
        <w:top w:val="none" w:sz="0" w:space="0" w:color="auto"/>
        <w:left w:val="none" w:sz="0" w:space="0" w:color="auto"/>
        <w:bottom w:val="none" w:sz="0" w:space="0" w:color="auto"/>
        <w:right w:val="none" w:sz="0" w:space="0" w:color="auto"/>
      </w:divBdr>
    </w:div>
    <w:div w:id="1107583959">
      <w:bodyDiv w:val="1"/>
      <w:marLeft w:val="0"/>
      <w:marRight w:val="0"/>
      <w:marTop w:val="0"/>
      <w:marBottom w:val="0"/>
      <w:divBdr>
        <w:top w:val="none" w:sz="0" w:space="0" w:color="auto"/>
        <w:left w:val="none" w:sz="0" w:space="0" w:color="auto"/>
        <w:bottom w:val="none" w:sz="0" w:space="0" w:color="auto"/>
        <w:right w:val="none" w:sz="0" w:space="0" w:color="auto"/>
      </w:divBdr>
    </w:div>
    <w:div w:id="1293555816">
      <w:bodyDiv w:val="1"/>
      <w:marLeft w:val="0"/>
      <w:marRight w:val="0"/>
      <w:marTop w:val="0"/>
      <w:marBottom w:val="0"/>
      <w:divBdr>
        <w:top w:val="none" w:sz="0" w:space="0" w:color="auto"/>
        <w:left w:val="none" w:sz="0" w:space="0" w:color="auto"/>
        <w:bottom w:val="none" w:sz="0" w:space="0" w:color="auto"/>
        <w:right w:val="none" w:sz="0" w:space="0" w:color="auto"/>
      </w:divBdr>
    </w:div>
    <w:div w:id="1446539771">
      <w:bodyDiv w:val="1"/>
      <w:marLeft w:val="0"/>
      <w:marRight w:val="0"/>
      <w:marTop w:val="0"/>
      <w:marBottom w:val="0"/>
      <w:divBdr>
        <w:top w:val="none" w:sz="0" w:space="0" w:color="auto"/>
        <w:left w:val="none" w:sz="0" w:space="0" w:color="auto"/>
        <w:bottom w:val="none" w:sz="0" w:space="0" w:color="auto"/>
        <w:right w:val="none" w:sz="0" w:space="0" w:color="auto"/>
      </w:divBdr>
    </w:div>
    <w:div w:id="1802579472">
      <w:bodyDiv w:val="1"/>
      <w:marLeft w:val="0"/>
      <w:marRight w:val="0"/>
      <w:marTop w:val="0"/>
      <w:marBottom w:val="0"/>
      <w:divBdr>
        <w:top w:val="none" w:sz="0" w:space="0" w:color="auto"/>
        <w:left w:val="none" w:sz="0" w:space="0" w:color="auto"/>
        <w:bottom w:val="none" w:sz="0" w:space="0" w:color="auto"/>
        <w:right w:val="none" w:sz="0" w:space="0" w:color="auto"/>
      </w:divBdr>
    </w:div>
    <w:div w:id="2002005782">
      <w:bodyDiv w:val="1"/>
      <w:marLeft w:val="0"/>
      <w:marRight w:val="0"/>
      <w:marTop w:val="0"/>
      <w:marBottom w:val="0"/>
      <w:divBdr>
        <w:top w:val="none" w:sz="0" w:space="0" w:color="auto"/>
        <w:left w:val="none" w:sz="0" w:space="0" w:color="auto"/>
        <w:bottom w:val="none" w:sz="0" w:space="0" w:color="auto"/>
        <w:right w:val="none" w:sz="0" w:space="0" w:color="auto"/>
      </w:divBdr>
    </w:div>
    <w:div w:id="20470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3.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6.png"/><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Quality%20Account%20Charts%20Q1%20201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Quality%20Account%20Charts%20Q1%2020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Quality%20Account%20Charts%20Q1%20201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Quality%20Account%20Charts%20Q1%20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Quality%20Account%20Charts%20Q1%202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hoxfsv01\Home%20Folders%20Ox\davids.allen\My%20Documents\Quality%20Account\2011Q2\Quality%20Account%20Charts%20Q2%20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Inpatient</a:t>
            </a:r>
            <a:r>
              <a:rPr lang="en-GB" baseline="0"/>
              <a:t> Suicides</a:t>
            </a:r>
            <a:endParaRPr lang="en-GB"/>
          </a:p>
        </c:rich>
      </c:tx>
    </c:title>
    <c:plotArea>
      <c:layout/>
      <c:barChart>
        <c:barDir val="col"/>
        <c:grouping val="clustered"/>
        <c:ser>
          <c:idx val="0"/>
          <c:order val="0"/>
          <c:cat>
            <c:strRef>
              <c:f>'Dimension 1'!$B$5:$B$8</c:f>
              <c:strCache>
                <c:ptCount val="4"/>
                <c:pt idx="0">
                  <c:v>2008/9</c:v>
                </c:pt>
                <c:pt idx="1">
                  <c:v>2009/10</c:v>
                </c:pt>
                <c:pt idx="2">
                  <c:v>2010/11</c:v>
                </c:pt>
                <c:pt idx="3">
                  <c:v>2011/12</c:v>
                </c:pt>
              </c:strCache>
            </c:strRef>
          </c:cat>
          <c:val>
            <c:numRef>
              <c:f>'Dimension 1'!$C$5:$C$8</c:f>
              <c:numCache>
                <c:formatCode>General</c:formatCode>
                <c:ptCount val="4"/>
                <c:pt idx="0">
                  <c:v>6</c:v>
                </c:pt>
                <c:pt idx="1">
                  <c:v>1</c:v>
                </c:pt>
                <c:pt idx="2">
                  <c:v>1</c:v>
                </c:pt>
                <c:pt idx="3">
                  <c:v>0</c:v>
                </c:pt>
              </c:numCache>
            </c:numRef>
          </c:val>
        </c:ser>
        <c:axId val="160024064"/>
        <c:axId val="160025600"/>
      </c:barChart>
      <c:catAx>
        <c:axId val="160024064"/>
        <c:scaling>
          <c:orientation val="minMax"/>
        </c:scaling>
        <c:axPos val="b"/>
        <c:majorTickMark val="none"/>
        <c:tickLblPos val="nextTo"/>
        <c:crossAx val="160025600"/>
        <c:crosses val="autoZero"/>
        <c:auto val="1"/>
        <c:lblAlgn val="ctr"/>
        <c:lblOffset val="100"/>
      </c:catAx>
      <c:valAx>
        <c:axId val="160025600"/>
        <c:scaling>
          <c:orientation val="minMax"/>
        </c:scaling>
        <c:axPos val="l"/>
        <c:majorGridlines/>
        <c:title>
          <c:tx>
            <c:rich>
              <a:bodyPr rot="-5400000" vert="horz"/>
              <a:lstStyle/>
              <a:p>
                <a:pPr>
                  <a:defRPr/>
                </a:pPr>
                <a:r>
                  <a:rPr lang="en-US"/>
                  <a:t>Number of Suicides</a:t>
                </a:r>
              </a:p>
            </c:rich>
          </c:tx>
        </c:title>
        <c:numFmt formatCode="General" sourceLinked="1"/>
        <c:majorTickMark val="none"/>
        <c:tickLblPos val="nextTo"/>
        <c:crossAx val="16002406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a:t>Overall how do you rate the care you are receiving from Mental Health Services?</a:t>
            </a:r>
          </a:p>
        </c:rich>
      </c:tx>
    </c:title>
    <c:plotArea>
      <c:layout/>
      <c:barChart>
        <c:barDir val="col"/>
        <c:grouping val="stacked"/>
        <c:ser>
          <c:idx val="0"/>
          <c:order val="0"/>
          <c:tx>
            <c:strRef>
              <c:f>'Dimension 5'!$C$3</c:f>
              <c:strCache>
                <c:ptCount val="1"/>
                <c:pt idx="0">
                  <c:v>Excellent</c:v>
                </c:pt>
              </c:strCache>
            </c:strRef>
          </c:tx>
          <c:cat>
            <c:numRef>
              <c:f>'Dimension 5'!$B$4:$B$5</c:f>
              <c:numCache>
                <c:formatCode>mmm\-yy</c:formatCode>
                <c:ptCount val="2"/>
                <c:pt idx="0">
                  <c:v>40725</c:v>
                </c:pt>
                <c:pt idx="1">
                  <c:v>40756</c:v>
                </c:pt>
              </c:numCache>
            </c:numRef>
          </c:cat>
          <c:val>
            <c:numRef>
              <c:f>'Dimension 5'!$C$4:$C$5</c:f>
              <c:numCache>
                <c:formatCode>0%</c:formatCode>
                <c:ptCount val="2"/>
                <c:pt idx="0">
                  <c:v>0.39000000000000085</c:v>
                </c:pt>
                <c:pt idx="1">
                  <c:v>0.42000000000000032</c:v>
                </c:pt>
              </c:numCache>
            </c:numRef>
          </c:val>
        </c:ser>
        <c:ser>
          <c:idx val="1"/>
          <c:order val="1"/>
          <c:tx>
            <c:strRef>
              <c:f>'Dimension 5'!$D$3</c:f>
              <c:strCache>
                <c:ptCount val="1"/>
                <c:pt idx="0">
                  <c:v>Good</c:v>
                </c:pt>
              </c:strCache>
            </c:strRef>
          </c:tx>
          <c:cat>
            <c:numRef>
              <c:f>'Dimension 5'!$B$4:$B$5</c:f>
              <c:numCache>
                <c:formatCode>mmm\-yy</c:formatCode>
                <c:ptCount val="2"/>
                <c:pt idx="0">
                  <c:v>40725</c:v>
                </c:pt>
                <c:pt idx="1">
                  <c:v>40756</c:v>
                </c:pt>
              </c:numCache>
            </c:numRef>
          </c:cat>
          <c:val>
            <c:numRef>
              <c:f>'Dimension 5'!$D$4:$D$5</c:f>
              <c:numCache>
                <c:formatCode>0%</c:formatCode>
                <c:ptCount val="2"/>
                <c:pt idx="0">
                  <c:v>0.37000000000000038</c:v>
                </c:pt>
                <c:pt idx="1">
                  <c:v>0.38000000000000084</c:v>
                </c:pt>
              </c:numCache>
            </c:numRef>
          </c:val>
        </c:ser>
        <c:overlap val="100"/>
        <c:axId val="162124160"/>
        <c:axId val="162125696"/>
      </c:barChart>
      <c:dateAx>
        <c:axId val="162124160"/>
        <c:scaling>
          <c:orientation val="minMax"/>
        </c:scaling>
        <c:axPos val="b"/>
        <c:numFmt formatCode="mmm\-yy" sourceLinked="1"/>
        <c:tickLblPos val="nextTo"/>
        <c:crossAx val="162125696"/>
        <c:crosses val="autoZero"/>
        <c:auto val="1"/>
        <c:lblOffset val="100"/>
      </c:dateAx>
      <c:valAx>
        <c:axId val="162125696"/>
        <c:scaling>
          <c:orientation val="minMax"/>
          <c:max val="1"/>
        </c:scaling>
        <c:axPos val="l"/>
        <c:majorGridlines/>
        <c:numFmt formatCode="0%" sourceLinked="1"/>
        <c:tickLblPos val="nextTo"/>
        <c:crossAx val="162124160"/>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600"/>
              <a:t>Community Services Satisfaction Survey</a:t>
            </a:r>
          </a:p>
        </c:rich>
      </c:tx>
    </c:title>
    <c:plotArea>
      <c:layout/>
      <c:barChart>
        <c:barDir val="col"/>
        <c:grouping val="clustered"/>
        <c:ser>
          <c:idx val="0"/>
          <c:order val="0"/>
          <c:tx>
            <c:strRef>
              <c:f>'Dimension 5'!$C$21</c:f>
              <c:strCache>
                <c:ptCount val="1"/>
                <c:pt idx="0">
                  <c:v>Children Therapies</c:v>
                </c:pt>
              </c:strCache>
            </c:strRef>
          </c:tx>
          <c:cat>
            <c:strRef>
              <c:f>'Dimension 5'!$B$22</c:f>
              <c:strCache>
                <c:ptCount val="1"/>
                <c:pt idx="0">
                  <c:v>2011 Q2</c:v>
                </c:pt>
              </c:strCache>
            </c:strRef>
          </c:cat>
          <c:val>
            <c:numRef>
              <c:f>'Dimension 5'!$C$22</c:f>
              <c:numCache>
                <c:formatCode>0%</c:formatCode>
                <c:ptCount val="1"/>
                <c:pt idx="0">
                  <c:v>0.78</c:v>
                </c:pt>
              </c:numCache>
            </c:numRef>
          </c:val>
        </c:ser>
        <c:ser>
          <c:idx val="1"/>
          <c:order val="1"/>
          <c:tx>
            <c:strRef>
              <c:f>'Dimension 5'!$D$21</c:f>
              <c:strCache>
                <c:ptCount val="1"/>
                <c:pt idx="0">
                  <c:v>Health Visitors</c:v>
                </c:pt>
              </c:strCache>
            </c:strRef>
          </c:tx>
          <c:cat>
            <c:strRef>
              <c:f>'Dimension 5'!$B$22</c:f>
              <c:strCache>
                <c:ptCount val="1"/>
                <c:pt idx="0">
                  <c:v>2011 Q2</c:v>
                </c:pt>
              </c:strCache>
            </c:strRef>
          </c:cat>
          <c:val>
            <c:numRef>
              <c:f>'Dimension 5'!$D$22</c:f>
              <c:numCache>
                <c:formatCode>0%</c:formatCode>
                <c:ptCount val="1"/>
                <c:pt idx="0">
                  <c:v>0.8</c:v>
                </c:pt>
              </c:numCache>
            </c:numRef>
          </c:val>
        </c:ser>
        <c:ser>
          <c:idx val="2"/>
          <c:order val="2"/>
          <c:tx>
            <c:strRef>
              <c:f>'Dimension 5'!$E$21</c:f>
              <c:strCache>
                <c:ptCount val="1"/>
                <c:pt idx="0">
                  <c:v>School Nurses</c:v>
                </c:pt>
              </c:strCache>
            </c:strRef>
          </c:tx>
          <c:cat>
            <c:strRef>
              <c:f>'Dimension 5'!$B$22</c:f>
              <c:strCache>
                <c:ptCount val="1"/>
                <c:pt idx="0">
                  <c:v>2011 Q2</c:v>
                </c:pt>
              </c:strCache>
            </c:strRef>
          </c:cat>
          <c:val>
            <c:numRef>
              <c:f>'Dimension 5'!$E$22</c:f>
              <c:numCache>
                <c:formatCode>0%</c:formatCode>
                <c:ptCount val="1"/>
                <c:pt idx="0">
                  <c:v>0.8</c:v>
                </c:pt>
              </c:numCache>
            </c:numRef>
          </c:val>
        </c:ser>
        <c:ser>
          <c:idx val="3"/>
          <c:order val="3"/>
          <c:tx>
            <c:strRef>
              <c:f>'Dimension 5'!$F$21</c:f>
              <c:strCache>
                <c:ptCount val="1"/>
                <c:pt idx="0">
                  <c:v>Overall</c:v>
                </c:pt>
              </c:strCache>
            </c:strRef>
          </c:tx>
          <c:cat>
            <c:strRef>
              <c:f>'Dimension 5'!$B$22</c:f>
              <c:strCache>
                <c:ptCount val="1"/>
                <c:pt idx="0">
                  <c:v>2011 Q2</c:v>
                </c:pt>
              </c:strCache>
            </c:strRef>
          </c:cat>
          <c:val>
            <c:numRef>
              <c:f>'Dimension 5'!$F$22</c:f>
              <c:numCache>
                <c:formatCode>0%</c:formatCode>
                <c:ptCount val="1"/>
                <c:pt idx="0">
                  <c:v>0.79</c:v>
                </c:pt>
              </c:numCache>
            </c:numRef>
          </c:val>
        </c:ser>
        <c:axId val="162250752"/>
        <c:axId val="162252288"/>
      </c:barChart>
      <c:catAx>
        <c:axId val="162250752"/>
        <c:scaling>
          <c:orientation val="minMax"/>
        </c:scaling>
        <c:axPos val="b"/>
        <c:tickLblPos val="nextTo"/>
        <c:crossAx val="162252288"/>
        <c:crosses val="autoZero"/>
        <c:auto val="1"/>
        <c:lblAlgn val="ctr"/>
        <c:lblOffset val="100"/>
      </c:catAx>
      <c:valAx>
        <c:axId val="162252288"/>
        <c:scaling>
          <c:orientation val="minMax"/>
          <c:max val="1"/>
          <c:min val="0"/>
        </c:scaling>
        <c:axPos val="l"/>
        <c:majorGridlines/>
        <c:numFmt formatCode="0%" sourceLinked="1"/>
        <c:tickLblPos val="nextTo"/>
        <c:crossAx val="162250752"/>
        <c:crosses val="autoZero"/>
        <c:crossBetween val="between"/>
        <c:majorUnit val="0.1"/>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200" b="1" i="0" u="none" strike="noStrike" baseline="0"/>
              <a:t>Staff suffering work-related stress in last 12 months </a:t>
            </a:r>
            <a:endParaRPr lang="en-US" sz="1200"/>
          </a:p>
        </c:rich>
      </c:tx>
      <c:layout>
        <c:manualLayout>
          <c:xMode val="edge"/>
          <c:yMode val="edge"/>
          <c:x val="0.10293938724949098"/>
          <c:y val="3.8207194688899292E-2"/>
        </c:manualLayout>
      </c:layout>
      <c:overlay val="1"/>
    </c:title>
    <c:plotArea>
      <c:layout>
        <c:manualLayout>
          <c:layoutTarget val="inner"/>
          <c:xMode val="edge"/>
          <c:yMode val="edge"/>
          <c:x val="0.13605023671106631"/>
          <c:y val="0.24408800370541944"/>
          <c:w val="0.63852331542669361"/>
          <c:h val="0.55750559751460005"/>
        </c:manualLayout>
      </c:layout>
      <c:lineChart>
        <c:grouping val="standard"/>
        <c:ser>
          <c:idx val="0"/>
          <c:order val="0"/>
          <c:tx>
            <c:strRef>
              <c:f>'Dimension 6'!$F$6</c:f>
              <c:strCache>
                <c:ptCount val="1"/>
                <c:pt idx="0">
                  <c:v>Trust</c:v>
                </c:pt>
              </c:strCache>
            </c:strRef>
          </c:tx>
          <c:marker>
            <c:symbol val="none"/>
          </c:marker>
          <c:cat>
            <c:numRef>
              <c:f>'Dimension 6'!$G$5:$K$5</c:f>
              <c:numCache>
                <c:formatCode>General</c:formatCode>
                <c:ptCount val="5"/>
                <c:pt idx="0">
                  <c:v>2005</c:v>
                </c:pt>
                <c:pt idx="1">
                  <c:v>2007</c:v>
                </c:pt>
                <c:pt idx="2">
                  <c:v>2008</c:v>
                </c:pt>
                <c:pt idx="3">
                  <c:v>2009</c:v>
                </c:pt>
                <c:pt idx="4">
                  <c:v>2010</c:v>
                </c:pt>
              </c:numCache>
            </c:numRef>
          </c:cat>
          <c:val>
            <c:numRef>
              <c:f>'Dimension 6'!$G$6:$K$6</c:f>
              <c:numCache>
                <c:formatCode>General</c:formatCode>
                <c:ptCount val="5"/>
                <c:pt idx="0">
                  <c:v>29</c:v>
                </c:pt>
                <c:pt idx="1">
                  <c:v>33</c:v>
                </c:pt>
                <c:pt idx="2">
                  <c:v>33</c:v>
                </c:pt>
                <c:pt idx="3">
                  <c:v>27</c:v>
                </c:pt>
                <c:pt idx="4">
                  <c:v>37</c:v>
                </c:pt>
              </c:numCache>
            </c:numRef>
          </c:val>
        </c:ser>
        <c:ser>
          <c:idx val="1"/>
          <c:order val="1"/>
          <c:tx>
            <c:strRef>
              <c:f>'Dimension 6'!$F$7</c:f>
              <c:strCache>
                <c:ptCount val="1"/>
                <c:pt idx="0">
                  <c:v>Average</c:v>
                </c:pt>
              </c:strCache>
            </c:strRef>
          </c:tx>
          <c:marker>
            <c:symbol val="none"/>
          </c:marker>
          <c:cat>
            <c:numRef>
              <c:f>'Dimension 6'!$G$5:$K$5</c:f>
              <c:numCache>
                <c:formatCode>General</c:formatCode>
                <c:ptCount val="5"/>
                <c:pt idx="0">
                  <c:v>2005</c:v>
                </c:pt>
                <c:pt idx="1">
                  <c:v>2007</c:v>
                </c:pt>
                <c:pt idx="2">
                  <c:v>2008</c:v>
                </c:pt>
                <c:pt idx="3">
                  <c:v>2009</c:v>
                </c:pt>
                <c:pt idx="4">
                  <c:v>2010</c:v>
                </c:pt>
              </c:numCache>
            </c:numRef>
          </c:cat>
          <c:val>
            <c:numRef>
              <c:f>'Dimension 6'!$G$7:$K$7</c:f>
              <c:numCache>
                <c:formatCode>General</c:formatCode>
                <c:ptCount val="5"/>
                <c:pt idx="0">
                  <c:v>38</c:v>
                </c:pt>
                <c:pt idx="1">
                  <c:v>34</c:v>
                </c:pt>
                <c:pt idx="2">
                  <c:v>30</c:v>
                </c:pt>
                <c:pt idx="3">
                  <c:v>30</c:v>
                </c:pt>
                <c:pt idx="4">
                  <c:v>31</c:v>
                </c:pt>
              </c:numCache>
            </c:numRef>
          </c:val>
        </c:ser>
        <c:marker val="1"/>
        <c:axId val="162273152"/>
        <c:axId val="162287616"/>
      </c:lineChart>
      <c:catAx>
        <c:axId val="162273152"/>
        <c:scaling>
          <c:orientation val="minMax"/>
        </c:scaling>
        <c:axPos val="b"/>
        <c:title>
          <c:tx>
            <c:rich>
              <a:bodyPr/>
              <a:lstStyle/>
              <a:p>
                <a:pPr>
                  <a:defRPr/>
                </a:pPr>
                <a:r>
                  <a:rPr lang="en-US"/>
                  <a:t>Year of Survey</a:t>
                </a:r>
              </a:p>
            </c:rich>
          </c:tx>
          <c:layout>
            <c:manualLayout>
              <c:xMode val="edge"/>
              <c:yMode val="edge"/>
              <c:x val="0.33704859322491809"/>
              <c:y val="0.94037239462714217"/>
            </c:manualLayout>
          </c:layout>
        </c:title>
        <c:numFmt formatCode="General" sourceLinked="1"/>
        <c:tickLblPos val="nextTo"/>
        <c:crossAx val="162287616"/>
        <c:crosses val="autoZero"/>
        <c:auto val="1"/>
        <c:lblAlgn val="ctr"/>
        <c:lblOffset val="100"/>
      </c:catAx>
      <c:valAx>
        <c:axId val="162287616"/>
        <c:scaling>
          <c:orientation val="minMax"/>
        </c:scaling>
        <c:axPos val="l"/>
        <c:majorGridlines/>
        <c:title>
          <c:tx>
            <c:rich>
              <a:bodyPr rot="0" vert="horz"/>
              <a:lstStyle/>
              <a:p>
                <a:pPr>
                  <a:defRPr/>
                </a:pPr>
                <a:r>
                  <a:rPr lang="en-GB"/>
                  <a:t>%</a:t>
                </a:r>
              </a:p>
              <a:p>
                <a:pPr>
                  <a:defRPr/>
                </a:pPr>
                <a:endParaRPr lang="en-GB"/>
              </a:p>
            </c:rich>
          </c:tx>
          <c:layout>
            <c:manualLayout>
              <c:xMode val="edge"/>
              <c:yMode val="edge"/>
              <c:x val="0"/>
              <c:y val="0.50839123050795121"/>
            </c:manualLayout>
          </c:layout>
        </c:title>
        <c:numFmt formatCode="General" sourceLinked="1"/>
        <c:tickLblPos val="nextTo"/>
        <c:crossAx val="162273152"/>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100" b="1" i="0" u="none" strike="noStrike" baseline="0"/>
              <a:t>Staff experiencing harassment, bullying or abuse from patients, relatives or the public in last 12 months</a:t>
            </a:r>
            <a:endParaRPr lang="en-GB" sz="1100"/>
          </a:p>
        </c:rich>
      </c:tx>
      <c:layout>
        <c:manualLayout>
          <c:xMode val="edge"/>
          <c:yMode val="edge"/>
          <c:x val="9.1958223972003567E-2"/>
          <c:y val="0"/>
        </c:manualLayout>
      </c:layout>
    </c:title>
    <c:plotArea>
      <c:layout>
        <c:manualLayout>
          <c:layoutTarget val="inner"/>
          <c:xMode val="edge"/>
          <c:yMode val="edge"/>
          <c:x val="0.10814183421247102"/>
          <c:y val="0.25047462817147881"/>
          <c:w val="0.65842723543052772"/>
          <c:h val="0.54123706234833868"/>
        </c:manualLayout>
      </c:layout>
      <c:lineChart>
        <c:grouping val="standard"/>
        <c:ser>
          <c:idx val="0"/>
          <c:order val="0"/>
          <c:tx>
            <c:strRef>
              <c:f>'Dimension 6'!$F$11</c:f>
              <c:strCache>
                <c:ptCount val="1"/>
                <c:pt idx="0">
                  <c:v>Trust</c:v>
                </c:pt>
              </c:strCache>
            </c:strRef>
          </c:tx>
          <c:marker>
            <c:symbol val="none"/>
          </c:marker>
          <c:cat>
            <c:numRef>
              <c:f>'Dimension 6'!$G$10:$K$10</c:f>
              <c:numCache>
                <c:formatCode>General</c:formatCode>
                <c:ptCount val="5"/>
                <c:pt idx="0">
                  <c:v>2005</c:v>
                </c:pt>
                <c:pt idx="1">
                  <c:v>2007</c:v>
                </c:pt>
                <c:pt idx="2">
                  <c:v>2008</c:v>
                </c:pt>
                <c:pt idx="3">
                  <c:v>2009</c:v>
                </c:pt>
                <c:pt idx="4">
                  <c:v>2010</c:v>
                </c:pt>
              </c:numCache>
            </c:numRef>
          </c:cat>
          <c:val>
            <c:numRef>
              <c:f>'Dimension 6'!$G$11:$K$11</c:f>
              <c:numCache>
                <c:formatCode>General</c:formatCode>
                <c:ptCount val="5"/>
                <c:pt idx="0">
                  <c:v>26</c:v>
                </c:pt>
                <c:pt idx="1">
                  <c:v>32</c:v>
                </c:pt>
                <c:pt idx="2">
                  <c:v>30</c:v>
                </c:pt>
                <c:pt idx="3">
                  <c:v>24</c:v>
                </c:pt>
                <c:pt idx="4">
                  <c:v>22</c:v>
                </c:pt>
              </c:numCache>
            </c:numRef>
          </c:val>
        </c:ser>
        <c:ser>
          <c:idx val="1"/>
          <c:order val="1"/>
          <c:tx>
            <c:strRef>
              <c:f>'Dimension 6'!$F$12</c:f>
              <c:strCache>
                <c:ptCount val="1"/>
                <c:pt idx="0">
                  <c:v>Average</c:v>
                </c:pt>
              </c:strCache>
            </c:strRef>
          </c:tx>
          <c:marker>
            <c:symbol val="none"/>
          </c:marker>
          <c:cat>
            <c:numRef>
              <c:f>'Dimension 6'!$G$10:$K$10</c:f>
              <c:numCache>
                <c:formatCode>General</c:formatCode>
                <c:ptCount val="5"/>
                <c:pt idx="0">
                  <c:v>2005</c:v>
                </c:pt>
                <c:pt idx="1">
                  <c:v>2007</c:v>
                </c:pt>
                <c:pt idx="2">
                  <c:v>2008</c:v>
                </c:pt>
                <c:pt idx="3">
                  <c:v>2009</c:v>
                </c:pt>
                <c:pt idx="4">
                  <c:v>2010</c:v>
                </c:pt>
              </c:numCache>
            </c:numRef>
          </c:cat>
          <c:val>
            <c:numRef>
              <c:f>'Dimension 6'!$G$12:$K$12</c:f>
              <c:numCache>
                <c:formatCode>General</c:formatCode>
                <c:ptCount val="5"/>
                <c:pt idx="0">
                  <c:v>32</c:v>
                </c:pt>
                <c:pt idx="1">
                  <c:v>30</c:v>
                </c:pt>
                <c:pt idx="2">
                  <c:v>27</c:v>
                </c:pt>
                <c:pt idx="3">
                  <c:v>25</c:v>
                </c:pt>
                <c:pt idx="4">
                  <c:v>18</c:v>
                </c:pt>
              </c:numCache>
            </c:numRef>
          </c:val>
        </c:ser>
        <c:ser>
          <c:idx val="2"/>
          <c:order val="2"/>
          <c:tx>
            <c:strRef>
              <c:f>'Dimension 6'!$F$13</c:f>
              <c:strCache>
                <c:ptCount val="1"/>
                <c:pt idx="0">
                  <c:v>Target</c:v>
                </c:pt>
              </c:strCache>
            </c:strRef>
          </c:tx>
          <c:marker>
            <c:symbol val="none"/>
          </c:marker>
          <c:cat>
            <c:numRef>
              <c:f>'Dimension 6'!$G$10:$K$10</c:f>
              <c:numCache>
                <c:formatCode>General</c:formatCode>
                <c:ptCount val="5"/>
                <c:pt idx="0">
                  <c:v>2005</c:v>
                </c:pt>
                <c:pt idx="1">
                  <c:v>2007</c:v>
                </c:pt>
                <c:pt idx="2">
                  <c:v>2008</c:v>
                </c:pt>
                <c:pt idx="3">
                  <c:v>2009</c:v>
                </c:pt>
                <c:pt idx="4">
                  <c:v>2010</c:v>
                </c:pt>
              </c:numCache>
            </c:numRef>
          </c:cat>
          <c:val>
            <c:numRef>
              <c:f>'Dimension 6'!$G$13:$K$13</c:f>
              <c:numCache>
                <c:formatCode>General</c:formatCode>
                <c:ptCount val="5"/>
                <c:pt idx="0">
                  <c:v>22</c:v>
                </c:pt>
                <c:pt idx="1">
                  <c:v>22</c:v>
                </c:pt>
                <c:pt idx="2">
                  <c:v>22</c:v>
                </c:pt>
                <c:pt idx="3">
                  <c:v>22</c:v>
                </c:pt>
                <c:pt idx="4">
                  <c:v>22</c:v>
                </c:pt>
              </c:numCache>
            </c:numRef>
          </c:val>
        </c:ser>
        <c:marker val="1"/>
        <c:axId val="162305536"/>
        <c:axId val="162307456"/>
      </c:lineChart>
      <c:catAx>
        <c:axId val="162305536"/>
        <c:scaling>
          <c:orientation val="minMax"/>
        </c:scaling>
        <c:axPos val="b"/>
        <c:title>
          <c:tx>
            <c:rich>
              <a:bodyPr/>
              <a:lstStyle/>
              <a:p>
                <a:pPr>
                  <a:defRPr/>
                </a:pPr>
                <a:r>
                  <a:rPr lang="en-US" sz="1000" b="1" i="0" baseline="0"/>
                  <a:t>Year of Survey</a:t>
                </a:r>
                <a:endParaRPr lang="en-GB" sz="1000"/>
              </a:p>
            </c:rich>
          </c:tx>
          <c:layout>
            <c:manualLayout>
              <c:xMode val="edge"/>
              <c:yMode val="edge"/>
              <c:x val="0.33715312284993532"/>
              <c:y val="0.91560183335292433"/>
            </c:manualLayout>
          </c:layout>
        </c:title>
        <c:numFmt formatCode="General" sourceLinked="1"/>
        <c:tickLblPos val="nextTo"/>
        <c:crossAx val="162307456"/>
        <c:crosses val="autoZero"/>
        <c:auto val="1"/>
        <c:lblAlgn val="ctr"/>
        <c:lblOffset val="100"/>
      </c:catAx>
      <c:valAx>
        <c:axId val="162307456"/>
        <c:scaling>
          <c:orientation val="minMax"/>
        </c:scaling>
        <c:axPos val="l"/>
        <c:majorGridlines/>
        <c:title>
          <c:tx>
            <c:rich>
              <a:bodyPr rot="0" vert="wordArtVert"/>
              <a:lstStyle/>
              <a:p>
                <a:pPr>
                  <a:defRPr/>
                </a:pPr>
                <a:r>
                  <a:rPr lang="en-GB"/>
                  <a:t>%</a:t>
                </a:r>
              </a:p>
            </c:rich>
          </c:tx>
        </c:title>
        <c:numFmt formatCode="General" sourceLinked="1"/>
        <c:tickLblPos val="nextTo"/>
        <c:crossAx val="162305536"/>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200" b="1" i="0" u="none" strike="noStrike" baseline="0"/>
              <a:t>Support from immediate managers </a:t>
            </a:r>
            <a:endParaRPr lang="en-GB" sz="1200"/>
          </a:p>
        </c:rich>
      </c:tx>
      <c:layout>
        <c:manualLayout>
          <c:xMode val="edge"/>
          <c:yMode val="edge"/>
          <c:x val="0.15442835910571506"/>
          <c:y val="3.0221801673932392E-2"/>
        </c:manualLayout>
      </c:layout>
    </c:title>
    <c:plotArea>
      <c:layout>
        <c:manualLayout>
          <c:layoutTarget val="inner"/>
          <c:xMode val="edge"/>
          <c:yMode val="edge"/>
          <c:x val="0.11887139107611552"/>
          <c:y val="0.14980831941461864"/>
          <c:w val="0.63044408511436067"/>
          <c:h val="0.6332789310427106"/>
        </c:manualLayout>
      </c:layout>
      <c:lineChart>
        <c:grouping val="standard"/>
        <c:ser>
          <c:idx val="0"/>
          <c:order val="0"/>
          <c:tx>
            <c:strRef>
              <c:f>'Dimension 6'!$F$17</c:f>
              <c:strCache>
                <c:ptCount val="1"/>
                <c:pt idx="0">
                  <c:v>Trust</c:v>
                </c:pt>
              </c:strCache>
            </c:strRef>
          </c:tx>
          <c:marker>
            <c:symbol val="none"/>
          </c:marker>
          <c:cat>
            <c:numRef>
              <c:f>'Dimension 6'!$G$16:$K$16</c:f>
              <c:numCache>
                <c:formatCode>General</c:formatCode>
                <c:ptCount val="5"/>
                <c:pt idx="0">
                  <c:v>2005</c:v>
                </c:pt>
                <c:pt idx="1">
                  <c:v>2007</c:v>
                </c:pt>
                <c:pt idx="2">
                  <c:v>2008</c:v>
                </c:pt>
                <c:pt idx="3">
                  <c:v>2009</c:v>
                </c:pt>
                <c:pt idx="4">
                  <c:v>2010</c:v>
                </c:pt>
              </c:numCache>
            </c:numRef>
          </c:cat>
          <c:val>
            <c:numRef>
              <c:f>'Dimension 6'!$G$17:$K$17</c:f>
              <c:numCache>
                <c:formatCode>General</c:formatCode>
                <c:ptCount val="5"/>
                <c:pt idx="0">
                  <c:v>3.77</c:v>
                </c:pt>
                <c:pt idx="1">
                  <c:v>3.65</c:v>
                </c:pt>
                <c:pt idx="2">
                  <c:v>3.68</c:v>
                </c:pt>
                <c:pt idx="3">
                  <c:v>3.73</c:v>
                </c:pt>
                <c:pt idx="4">
                  <c:v>3.7</c:v>
                </c:pt>
              </c:numCache>
            </c:numRef>
          </c:val>
        </c:ser>
        <c:ser>
          <c:idx val="1"/>
          <c:order val="1"/>
          <c:tx>
            <c:strRef>
              <c:f>'Dimension 6'!$F$18</c:f>
              <c:strCache>
                <c:ptCount val="1"/>
                <c:pt idx="0">
                  <c:v>Average</c:v>
                </c:pt>
              </c:strCache>
            </c:strRef>
          </c:tx>
          <c:marker>
            <c:symbol val="none"/>
          </c:marker>
          <c:cat>
            <c:numRef>
              <c:f>'Dimension 6'!$G$16:$K$16</c:f>
              <c:numCache>
                <c:formatCode>General</c:formatCode>
                <c:ptCount val="5"/>
                <c:pt idx="0">
                  <c:v>2005</c:v>
                </c:pt>
                <c:pt idx="1">
                  <c:v>2007</c:v>
                </c:pt>
                <c:pt idx="2">
                  <c:v>2008</c:v>
                </c:pt>
                <c:pt idx="3">
                  <c:v>2009</c:v>
                </c:pt>
                <c:pt idx="4">
                  <c:v>2010</c:v>
                </c:pt>
              </c:numCache>
            </c:numRef>
          </c:cat>
          <c:val>
            <c:numRef>
              <c:f>'Dimension 6'!$G$18:$K$18</c:f>
              <c:numCache>
                <c:formatCode>General</c:formatCode>
                <c:ptCount val="5"/>
                <c:pt idx="0">
                  <c:v>3.63</c:v>
                </c:pt>
                <c:pt idx="1">
                  <c:v>3.72</c:v>
                </c:pt>
                <c:pt idx="2">
                  <c:v>3.73</c:v>
                </c:pt>
                <c:pt idx="3">
                  <c:v>3.7800000000000002</c:v>
                </c:pt>
                <c:pt idx="4">
                  <c:v>3.8</c:v>
                </c:pt>
              </c:numCache>
            </c:numRef>
          </c:val>
        </c:ser>
        <c:marker val="1"/>
        <c:axId val="162173312"/>
        <c:axId val="162175232"/>
      </c:lineChart>
      <c:catAx>
        <c:axId val="162173312"/>
        <c:scaling>
          <c:orientation val="minMax"/>
        </c:scaling>
        <c:axPos val="b"/>
        <c:title>
          <c:tx>
            <c:rich>
              <a:bodyPr/>
              <a:lstStyle/>
              <a:p>
                <a:pPr>
                  <a:defRPr/>
                </a:pPr>
                <a:r>
                  <a:rPr lang="en-US" sz="1000" b="1" i="0" baseline="0"/>
                  <a:t>Year of Survey</a:t>
                </a:r>
                <a:endParaRPr lang="en-GB" sz="1000"/>
              </a:p>
            </c:rich>
          </c:tx>
          <c:layout>
            <c:manualLayout>
              <c:xMode val="edge"/>
              <c:yMode val="edge"/>
              <c:x val="0.31962176602925019"/>
              <c:y val="0.88199984092897565"/>
            </c:manualLayout>
          </c:layout>
        </c:title>
        <c:numFmt formatCode="General" sourceLinked="1"/>
        <c:tickLblPos val="nextTo"/>
        <c:crossAx val="162175232"/>
        <c:crosses val="autoZero"/>
        <c:auto val="1"/>
        <c:lblAlgn val="ctr"/>
        <c:lblOffset val="100"/>
      </c:catAx>
      <c:valAx>
        <c:axId val="162175232"/>
        <c:scaling>
          <c:orientation val="minMax"/>
          <c:max val="5"/>
          <c:min val="0"/>
        </c:scaling>
        <c:axPos val="l"/>
        <c:majorGridlines/>
        <c:title>
          <c:tx>
            <c:rich>
              <a:bodyPr rot="-5400000" vert="horz"/>
              <a:lstStyle/>
              <a:p>
                <a:pPr>
                  <a:defRPr/>
                </a:pPr>
                <a:r>
                  <a:rPr lang="en-US"/>
                  <a:t>Score out of 5</a:t>
                </a:r>
              </a:p>
            </c:rich>
          </c:tx>
        </c:title>
        <c:numFmt formatCode="General" sourceLinked="1"/>
        <c:tickLblPos val="nextTo"/>
        <c:crossAx val="1621733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Analysis of Deaths by Verdict</a:t>
            </a:r>
          </a:p>
        </c:rich>
      </c:tx>
    </c:title>
    <c:plotArea>
      <c:layout/>
      <c:barChart>
        <c:barDir val="col"/>
        <c:grouping val="stacked"/>
        <c:ser>
          <c:idx val="0"/>
          <c:order val="0"/>
          <c:tx>
            <c:strRef>
              <c:f>[2]Sheet2!$C$2</c:f>
              <c:strCache>
                <c:ptCount val="1"/>
                <c:pt idx="0">
                  <c:v>Suicide</c:v>
                </c:pt>
              </c:strCache>
            </c:strRef>
          </c:tx>
          <c:cat>
            <c:strRef>
              <c:f>[2]Sheet2!$B$7:$B$10</c:f>
              <c:strCache>
                <c:ptCount val="4"/>
                <c:pt idx="0">
                  <c:v>2008/2009</c:v>
                </c:pt>
                <c:pt idx="1">
                  <c:v>2009/2010</c:v>
                </c:pt>
                <c:pt idx="2">
                  <c:v>2010/2011</c:v>
                </c:pt>
                <c:pt idx="3">
                  <c:v>2011/2012</c:v>
                </c:pt>
              </c:strCache>
            </c:strRef>
          </c:cat>
          <c:val>
            <c:numRef>
              <c:f>[2]Sheet2!$C$7:$C$10</c:f>
              <c:numCache>
                <c:formatCode>General</c:formatCode>
                <c:ptCount val="4"/>
                <c:pt idx="0">
                  <c:v>9</c:v>
                </c:pt>
                <c:pt idx="1">
                  <c:v>21</c:v>
                </c:pt>
                <c:pt idx="2">
                  <c:v>19</c:v>
                </c:pt>
                <c:pt idx="3">
                  <c:v>1</c:v>
                </c:pt>
              </c:numCache>
            </c:numRef>
          </c:val>
        </c:ser>
        <c:ser>
          <c:idx val="1"/>
          <c:order val="1"/>
          <c:tx>
            <c:strRef>
              <c:f>[2]Sheet2!$D$2</c:f>
              <c:strCache>
                <c:ptCount val="1"/>
                <c:pt idx="0">
                  <c:v>Narrative</c:v>
                </c:pt>
              </c:strCache>
            </c:strRef>
          </c:tx>
          <c:cat>
            <c:strRef>
              <c:f>[2]Sheet2!$B$7:$B$10</c:f>
              <c:strCache>
                <c:ptCount val="4"/>
                <c:pt idx="0">
                  <c:v>2008/2009</c:v>
                </c:pt>
                <c:pt idx="1">
                  <c:v>2009/2010</c:v>
                </c:pt>
                <c:pt idx="2">
                  <c:v>2010/2011</c:v>
                </c:pt>
                <c:pt idx="3">
                  <c:v>2011/2012</c:v>
                </c:pt>
              </c:strCache>
            </c:strRef>
          </c:cat>
          <c:val>
            <c:numRef>
              <c:f>[2]Sheet2!$D$7:$D$10</c:f>
              <c:numCache>
                <c:formatCode>General</c:formatCode>
                <c:ptCount val="4"/>
                <c:pt idx="0">
                  <c:v>1</c:v>
                </c:pt>
                <c:pt idx="1">
                  <c:v>2</c:v>
                </c:pt>
                <c:pt idx="2">
                  <c:v>3</c:v>
                </c:pt>
                <c:pt idx="3">
                  <c:v>0</c:v>
                </c:pt>
              </c:numCache>
            </c:numRef>
          </c:val>
        </c:ser>
        <c:ser>
          <c:idx val="2"/>
          <c:order val="2"/>
          <c:tx>
            <c:strRef>
              <c:f>[2]Sheet2!$E$2</c:f>
              <c:strCache>
                <c:ptCount val="1"/>
                <c:pt idx="0">
                  <c:v>Open</c:v>
                </c:pt>
              </c:strCache>
            </c:strRef>
          </c:tx>
          <c:cat>
            <c:strRef>
              <c:f>[2]Sheet2!$B$7:$B$10</c:f>
              <c:strCache>
                <c:ptCount val="4"/>
                <c:pt idx="0">
                  <c:v>2008/2009</c:v>
                </c:pt>
                <c:pt idx="1">
                  <c:v>2009/2010</c:v>
                </c:pt>
                <c:pt idx="2">
                  <c:v>2010/2011</c:v>
                </c:pt>
                <c:pt idx="3">
                  <c:v>2011/2012</c:v>
                </c:pt>
              </c:strCache>
            </c:strRef>
          </c:cat>
          <c:val>
            <c:numRef>
              <c:f>[2]Sheet2!$E$7:$E$10</c:f>
              <c:numCache>
                <c:formatCode>General</c:formatCode>
                <c:ptCount val="4"/>
                <c:pt idx="0">
                  <c:v>5</c:v>
                </c:pt>
                <c:pt idx="1">
                  <c:v>9</c:v>
                </c:pt>
                <c:pt idx="2">
                  <c:v>7</c:v>
                </c:pt>
                <c:pt idx="3">
                  <c:v>0</c:v>
                </c:pt>
              </c:numCache>
            </c:numRef>
          </c:val>
        </c:ser>
        <c:ser>
          <c:idx val="3"/>
          <c:order val="3"/>
          <c:tx>
            <c:strRef>
              <c:f>[2]Sheet2!$F$2</c:f>
              <c:strCache>
                <c:ptCount val="1"/>
                <c:pt idx="0">
                  <c:v>Pending</c:v>
                </c:pt>
              </c:strCache>
            </c:strRef>
          </c:tx>
          <c:cat>
            <c:strRef>
              <c:f>[2]Sheet2!$B$7:$B$10</c:f>
              <c:strCache>
                <c:ptCount val="4"/>
                <c:pt idx="0">
                  <c:v>2008/2009</c:v>
                </c:pt>
                <c:pt idx="1">
                  <c:v>2009/2010</c:v>
                </c:pt>
                <c:pt idx="2">
                  <c:v>2010/2011</c:v>
                </c:pt>
                <c:pt idx="3">
                  <c:v>2011/2012</c:v>
                </c:pt>
              </c:strCache>
            </c:strRef>
          </c:cat>
          <c:val>
            <c:numRef>
              <c:f>[2]Sheet2!$F$7:$F$10</c:f>
              <c:numCache>
                <c:formatCode>General</c:formatCode>
                <c:ptCount val="4"/>
                <c:pt idx="0">
                  <c:v>1</c:v>
                </c:pt>
                <c:pt idx="1">
                  <c:v>2</c:v>
                </c:pt>
                <c:pt idx="2">
                  <c:v>11</c:v>
                </c:pt>
                <c:pt idx="3">
                  <c:v>19</c:v>
                </c:pt>
              </c:numCache>
            </c:numRef>
          </c:val>
        </c:ser>
        <c:overlap val="100"/>
        <c:axId val="160093696"/>
        <c:axId val="160095232"/>
      </c:barChart>
      <c:catAx>
        <c:axId val="160093696"/>
        <c:scaling>
          <c:orientation val="minMax"/>
        </c:scaling>
        <c:axPos val="b"/>
        <c:numFmt formatCode="General" sourceLinked="1"/>
        <c:tickLblPos val="nextTo"/>
        <c:crossAx val="160095232"/>
        <c:crosses val="autoZero"/>
        <c:auto val="1"/>
        <c:lblAlgn val="ctr"/>
        <c:lblOffset val="100"/>
      </c:catAx>
      <c:valAx>
        <c:axId val="160095232"/>
        <c:scaling>
          <c:orientation val="minMax"/>
        </c:scaling>
        <c:axPos val="l"/>
        <c:majorGridlines/>
        <c:numFmt formatCode="General" sourceLinked="1"/>
        <c:tickLblPos val="nextTo"/>
        <c:crossAx val="16009369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400"/>
              <a:t>No. of Incidents on</a:t>
            </a:r>
            <a:r>
              <a:rPr lang="en-GB" sz="1400" baseline="0"/>
              <a:t> a Rolling 12 month basis</a:t>
            </a:r>
            <a:endParaRPr lang="en-GB" sz="1400"/>
          </a:p>
        </c:rich>
      </c:tx>
    </c:title>
    <c:plotArea>
      <c:layout/>
      <c:barChart>
        <c:barDir val="col"/>
        <c:grouping val="stacked"/>
        <c:ser>
          <c:idx val="0"/>
          <c:order val="0"/>
          <c:tx>
            <c:strRef>
              <c:f>'Dimension 1'!$C$64</c:f>
              <c:strCache>
                <c:ptCount val="1"/>
                <c:pt idx="0">
                  <c:v>Green</c:v>
                </c:pt>
              </c:strCache>
            </c:strRef>
          </c:tx>
          <c:spPr>
            <a:solidFill>
              <a:srgbClr val="00B050"/>
            </a:solidFill>
          </c:spPr>
          <c:cat>
            <c:strRef>
              <c:f>'Dimension 1'!$B$65:$B$76</c:f>
              <c:strCache>
                <c:ptCount val="12"/>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strCache>
            </c:strRef>
          </c:cat>
          <c:val>
            <c:numRef>
              <c:f>'Dimension 1'!$C$65:$C$76</c:f>
              <c:numCache>
                <c:formatCode>General</c:formatCode>
                <c:ptCount val="12"/>
                <c:pt idx="0">
                  <c:v>2534</c:v>
                </c:pt>
                <c:pt idx="1">
                  <c:v>2408</c:v>
                </c:pt>
                <c:pt idx="2">
                  <c:v>2432</c:v>
                </c:pt>
                <c:pt idx="3">
                  <c:v>2505</c:v>
                </c:pt>
                <c:pt idx="4">
                  <c:v>2622</c:v>
                </c:pt>
                <c:pt idx="5">
                  <c:v>2761</c:v>
                </c:pt>
                <c:pt idx="6">
                  <c:v>2885</c:v>
                </c:pt>
                <c:pt idx="7">
                  <c:v>2988</c:v>
                </c:pt>
                <c:pt idx="8">
                  <c:v>3148</c:v>
                </c:pt>
                <c:pt idx="9">
                  <c:v>3225</c:v>
                </c:pt>
                <c:pt idx="10">
                  <c:v>3107</c:v>
                </c:pt>
                <c:pt idx="11">
                  <c:v>3048</c:v>
                </c:pt>
              </c:numCache>
            </c:numRef>
          </c:val>
        </c:ser>
        <c:ser>
          <c:idx val="1"/>
          <c:order val="1"/>
          <c:tx>
            <c:strRef>
              <c:f>'Dimension 1'!$D$64</c:f>
              <c:strCache>
                <c:ptCount val="1"/>
                <c:pt idx="0">
                  <c:v>Yellow</c:v>
                </c:pt>
              </c:strCache>
            </c:strRef>
          </c:tx>
          <c:spPr>
            <a:solidFill>
              <a:srgbClr val="FFFF00"/>
            </a:solidFill>
          </c:spPr>
          <c:cat>
            <c:strRef>
              <c:f>'Dimension 1'!$B$65:$B$76</c:f>
              <c:strCache>
                <c:ptCount val="12"/>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strCache>
            </c:strRef>
          </c:cat>
          <c:val>
            <c:numRef>
              <c:f>'Dimension 1'!$D$65:$D$76</c:f>
              <c:numCache>
                <c:formatCode>General</c:formatCode>
                <c:ptCount val="12"/>
                <c:pt idx="0">
                  <c:v>1126</c:v>
                </c:pt>
                <c:pt idx="1">
                  <c:v>1137</c:v>
                </c:pt>
                <c:pt idx="2">
                  <c:v>1084</c:v>
                </c:pt>
                <c:pt idx="3">
                  <c:v>1167</c:v>
                </c:pt>
                <c:pt idx="4">
                  <c:v>1148</c:v>
                </c:pt>
                <c:pt idx="5">
                  <c:v>1159</c:v>
                </c:pt>
                <c:pt idx="6">
                  <c:v>1161</c:v>
                </c:pt>
                <c:pt idx="7">
                  <c:v>1099</c:v>
                </c:pt>
                <c:pt idx="8">
                  <c:v>1164</c:v>
                </c:pt>
                <c:pt idx="9">
                  <c:v>1180</c:v>
                </c:pt>
                <c:pt idx="10">
                  <c:v>1212</c:v>
                </c:pt>
                <c:pt idx="11">
                  <c:v>1334</c:v>
                </c:pt>
              </c:numCache>
            </c:numRef>
          </c:val>
        </c:ser>
        <c:ser>
          <c:idx val="2"/>
          <c:order val="2"/>
          <c:tx>
            <c:strRef>
              <c:f>'Dimension 1'!$E$64</c:f>
              <c:strCache>
                <c:ptCount val="1"/>
                <c:pt idx="0">
                  <c:v>Orange</c:v>
                </c:pt>
              </c:strCache>
            </c:strRef>
          </c:tx>
          <c:spPr>
            <a:solidFill>
              <a:srgbClr val="FFC000"/>
            </a:solidFill>
          </c:spPr>
          <c:cat>
            <c:strRef>
              <c:f>'Dimension 1'!$B$65:$B$76</c:f>
              <c:strCache>
                <c:ptCount val="12"/>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strCache>
            </c:strRef>
          </c:cat>
          <c:val>
            <c:numRef>
              <c:f>'Dimension 1'!$E$65:$E$76</c:f>
              <c:numCache>
                <c:formatCode>General</c:formatCode>
                <c:ptCount val="12"/>
                <c:pt idx="0">
                  <c:v>84</c:v>
                </c:pt>
                <c:pt idx="1">
                  <c:v>88</c:v>
                </c:pt>
                <c:pt idx="2">
                  <c:v>89</c:v>
                </c:pt>
                <c:pt idx="3">
                  <c:v>95</c:v>
                </c:pt>
                <c:pt idx="4">
                  <c:v>94</c:v>
                </c:pt>
                <c:pt idx="5">
                  <c:v>97</c:v>
                </c:pt>
                <c:pt idx="6">
                  <c:v>93</c:v>
                </c:pt>
                <c:pt idx="7">
                  <c:v>85</c:v>
                </c:pt>
                <c:pt idx="8">
                  <c:v>79</c:v>
                </c:pt>
                <c:pt idx="9">
                  <c:v>83</c:v>
                </c:pt>
                <c:pt idx="10">
                  <c:v>87</c:v>
                </c:pt>
                <c:pt idx="11">
                  <c:v>100</c:v>
                </c:pt>
              </c:numCache>
            </c:numRef>
          </c:val>
        </c:ser>
        <c:ser>
          <c:idx val="3"/>
          <c:order val="3"/>
          <c:tx>
            <c:strRef>
              <c:f>'Dimension 1'!$F$64</c:f>
              <c:strCache>
                <c:ptCount val="1"/>
                <c:pt idx="0">
                  <c:v>Red</c:v>
                </c:pt>
              </c:strCache>
            </c:strRef>
          </c:tx>
          <c:spPr>
            <a:solidFill>
              <a:srgbClr val="FF0000"/>
            </a:solidFill>
          </c:spPr>
          <c:cat>
            <c:strRef>
              <c:f>'Dimension 1'!$B$65:$B$76</c:f>
              <c:strCache>
                <c:ptCount val="12"/>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strCache>
            </c:strRef>
          </c:cat>
          <c:val>
            <c:numRef>
              <c:f>'Dimension 1'!$F$65:$F$76</c:f>
              <c:numCache>
                <c:formatCode>General</c:formatCode>
                <c:ptCount val="12"/>
                <c:pt idx="0">
                  <c:v>24</c:v>
                </c:pt>
                <c:pt idx="1">
                  <c:v>28</c:v>
                </c:pt>
                <c:pt idx="2">
                  <c:v>25</c:v>
                </c:pt>
                <c:pt idx="3">
                  <c:v>22</c:v>
                </c:pt>
                <c:pt idx="4">
                  <c:v>16</c:v>
                </c:pt>
                <c:pt idx="5">
                  <c:v>10</c:v>
                </c:pt>
                <c:pt idx="6">
                  <c:v>10</c:v>
                </c:pt>
                <c:pt idx="7">
                  <c:v>5</c:v>
                </c:pt>
                <c:pt idx="8">
                  <c:v>7</c:v>
                </c:pt>
                <c:pt idx="9">
                  <c:v>6</c:v>
                </c:pt>
                <c:pt idx="10">
                  <c:v>7</c:v>
                </c:pt>
                <c:pt idx="11">
                  <c:v>14</c:v>
                </c:pt>
              </c:numCache>
            </c:numRef>
          </c:val>
        </c:ser>
        <c:ser>
          <c:idx val="4"/>
          <c:order val="4"/>
          <c:tx>
            <c:strRef>
              <c:f>'Dimension 1'!$G$64</c:f>
              <c:strCache>
                <c:ptCount val="1"/>
                <c:pt idx="0">
                  <c:v>Red - Catastrophic</c:v>
                </c:pt>
              </c:strCache>
            </c:strRef>
          </c:tx>
          <c:spPr>
            <a:solidFill>
              <a:srgbClr val="C00000"/>
            </a:solidFill>
          </c:spPr>
          <c:cat>
            <c:strRef>
              <c:f>'Dimension 1'!$B$65:$B$76</c:f>
              <c:strCache>
                <c:ptCount val="12"/>
                <c:pt idx="0">
                  <c:v>2008 Q3</c:v>
                </c:pt>
                <c:pt idx="1">
                  <c:v>2008 Q4</c:v>
                </c:pt>
                <c:pt idx="2">
                  <c:v>2009 Q1</c:v>
                </c:pt>
                <c:pt idx="3">
                  <c:v>2009 Q2</c:v>
                </c:pt>
                <c:pt idx="4">
                  <c:v>2009 Q3</c:v>
                </c:pt>
                <c:pt idx="5">
                  <c:v>2009 Q4</c:v>
                </c:pt>
                <c:pt idx="6">
                  <c:v>2010 Q1</c:v>
                </c:pt>
                <c:pt idx="7">
                  <c:v>2010 Q2</c:v>
                </c:pt>
                <c:pt idx="8">
                  <c:v>2010 Q3</c:v>
                </c:pt>
                <c:pt idx="9">
                  <c:v>2010 Q4</c:v>
                </c:pt>
                <c:pt idx="10">
                  <c:v>2011 Q1</c:v>
                </c:pt>
                <c:pt idx="11">
                  <c:v>2011 Q2</c:v>
                </c:pt>
              </c:strCache>
            </c:strRef>
          </c:cat>
          <c:val>
            <c:numRef>
              <c:f>'Dimension 1'!$G$65:$G$76</c:f>
              <c:numCache>
                <c:formatCode>General</c:formatCode>
                <c:ptCount val="12"/>
                <c:pt idx="0">
                  <c:v>53</c:v>
                </c:pt>
                <c:pt idx="1">
                  <c:v>46</c:v>
                </c:pt>
                <c:pt idx="2">
                  <c:v>41</c:v>
                </c:pt>
                <c:pt idx="3">
                  <c:v>43</c:v>
                </c:pt>
                <c:pt idx="4">
                  <c:v>45</c:v>
                </c:pt>
                <c:pt idx="5">
                  <c:v>59</c:v>
                </c:pt>
                <c:pt idx="6">
                  <c:v>75</c:v>
                </c:pt>
                <c:pt idx="7">
                  <c:v>76</c:v>
                </c:pt>
                <c:pt idx="8">
                  <c:v>80</c:v>
                </c:pt>
                <c:pt idx="9">
                  <c:v>84</c:v>
                </c:pt>
                <c:pt idx="10">
                  <c:v>83</c:v>
                </c:pt>
                <c:pt idx="11">
                  <c:v>89</c:v>
                </c:pt>
              </c:numCache>
            </c:numRef>
          </c:val>
        </c:ser>
        <c:gapWidth val="55"/>
        <c:overlap val="100"/>
        <c:axId val="160625792"/>
        <c:axId val="160627328"/>
      </c:barChart>
      <c:lineChart>
        <c:grouping val="standard"/>
        <c:ser>
          <c:idx val="5"/>
          <c:order val="5"/>
          <c:tx>
            <c:strRef>
              <c:f>'Dimension 1'!$H$64</c:f>
              <c:strCache>
                <c:ptCount val="1"/>
                <c:pt idx="0">
                  <c:v>No/minimal harm</c:v>
                </c:pt>
              </c:strCache>
            </c:strRef>
          </c:tx>
          <c:spPr>
            <a:ln>
              <a:solidFill>
                <a:schemeClr val="tx1"/>
              </a:solidFill>
            </a:ln>
          </c:spPr>
          <c:marker>
            <c:symbol val="none"/>
          </c:marker>
          <c:val>
            <c:numRef>
              <c:f>'Dimension 1'!$H$65:$H$76</c:f>
              <c:numCache>
                <c:formatCode>General</c:formatCode>
                <c:ptCount val="12"/>
                <c:pt idx="0">
                  <c:v>3660</c:v>
                </c:pt>
                <c:pt idx="1">
                  <c:v>3545</c:v>
                </c:pt>
                <c:pt idx="2">
                  <c:v>3516</c:v>
                </c:pt>
                <c:pt idx="3">
                  <c:v>3672</c:v>
                </c:pt>
                <c:pt idx="4">
                  <c:v>3770</c:v>
                </c:pt>
                <c:pt idx="5">
                  <c:v>3920</c:v>
                </c:pt>
                <c:pt idx="6">
                  <c:v>4046</c:v>
                </c:pt>
                <c:pt idx="7">
                  <c:v>4087</c:v>
                </c:pt>
                <c:pt idx="8">
                  <c:v>4312</c:v>
                </c:pt>
                <c:pt idx="9">
                  <c:v>4405</c:v>
                </c:pt>
                <c:pt idx="10">
                  <c:v>4319</c:v>
                </c:pt>
                <c:pt idx="11">
                  <c:v>4382</c:v>
                </c:pt>
              </c:numCache>
            </c:numRef>
          </c:val>
        </c:ser>
        <c:ser>
          <c:idx val="6"/>
          <c:order val="6"/>
          <c:tx>
            <c:strRef>
              <c:f>'Dimension 1'!$J$64</c:f>
              <c:strCache>
                <c:ptCount val="1"/>
                <c:pt idx="0">
                  <c:v>Target</c:v>
                </c:pt>
              </c:strCache>
            </c:strRef>
          </c:tx>
          <c:marker>
            <c:symbol val="none"/>
          </c:marker>
          <c:val>
            <c:numRef>
              <c:f>'Dimension 1'!$J$65:$J$76</c:f>
              <c:numCache>
                <c:formatCode>General</c:formatCode>
                <c:ptCount val="12"/>
                <c:pt idx="0">
                  <c:v>6607.5</c:v>
                </c:pt>
                <c:pt idx="1">
                  <c:v>6607.5</c:v>
                </c:pt>
                <c:pt idx="2">
                  <c:v>6607.5</c:v>
                </c:pt>
                <c:pt idx="3">
                  <c:v>6607.5</c:v>
                </c:pt>
                <c:pt idx="4">
                  <c:v>6607.5</c:v>
                </c:pt>
                <c:pt idx="5">
                  <c:v>6607.5</c:v>
                </c:pt>
                <c:pt idx="6">
                  <c:v>6607.5</c:v>
                </c:pt>
                <c:pt idx="7">
                  <c:v>6607.5</c:v>
                </c:pt>
                <c:pt idx="8">
                  <c:v>6607.5</c:v>
                </c:pt>
                <c:pt idx="9">
                  <c:v>6607.5</c:v>
                </c:pt>
                <c:pt idx="10">
                  <c:v>6607.5</c:v>
                </c:pt>
                <c:pt idx="11">
                  <c:v>6607.5</c:v>
                </c:pt>
              </c:numCache>
            </c:numRef>
          </c:val>
        </c:ser>
        <c:marker val="1"/>
        <c:axId val="160625792"/>
        <c:axId val="160627328"/>
      </c:lineChart>
      <c:catAx>
        <c:axId val="160625792"/>
        <c:scaling>
          <c:orientation val="minMax"/>
        </c:scaling>
        <c:axPos val="b"/>
        <c:majorTickMark val="none"/>
        <c:tickLblPos val="nextTo"/>
        <c:txPr>
          <a:bodyPr rot="-3120000"/>
          <a:lstStyle/>
          <a:p>
            <a:pPr>
              <a:defRPr/>
            </a:pPr>
            <a:endParaRPr lang="en-US"/>
          </a:p>
        </c:txPr>
        <c:crossAx val="160627328"/>
        <c:crosses val="autoZero"/>
        <c:auto val="1"/>
        <c:lblAlgn val="ctr"/>
        <c:lblOffset val="100"/>
      </c:catAx>
      <c:valAx>
        <c:axId val="160627328"/>
        <c:scaling>
          <c:orientation val="minMax"/>
        </c:scaling>
        <c:axPos val="l"/>
        <c:majorGridlines/>
        <c:title>
          <c:tx>
            <c:rich>
              <a:bodyPr rot="-5400000" vert="horz"/>
              <a:lstStyle/>
              <a:p>
                <a:pPr>
                  <a:defRPr/>
                </a:pPr>
                <a:r>
                  <a:rPr lang="en-US"/>
                  <a:t>Number of Incidents Reported in the Previous 12 Months</a:t>
                </a:r>
              </a:p>
            </c:rich>
          </c:tx>
          <c:layout>
            <c:manualLayout>
              <c:xMode val="edge"/>
              <c:yMode val="edge"/>
              <c:x val="2.5867136978248089E-2"/>
              <c:y val="0.13515055409740448"/>
            </c:manualLayout>
          </c:layout>
        </c:title>
        <c:numFmt formatCode="General" sourceLinked="1"/>
        <c:majorTickMark val="none"/>
        <c:tickLblPos val="nextTo"/>
        <c:crossAx val="16062579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Skin Breakdown</a:t>
            </a:r>
            <a:r>
              <a:rPr lang="en-GB" baseline="0"/>
              <a:t> Compliance</a:t>
            </a:r>
            <a:endParaRPr lang="en-GB"/>
          </a:p>
        </c:rich>
      </c:tx>
    </c:title>
    <c:plotArea>
      <c:layout/>
      <c:barChart>
        <c:barDir val="col"/>
        <c:grouping val="clustered"/>
        <c:ser>
          <c:idx val="0"/>
          <c:order val="0"/>
          <c:tx>
            <c:strRef>
              <c:f>'Dimension 2'!$C$3</c:f>
              <c:strCache>
                <c:ptCount val="1"/>
                <c:pt idx="0">
                  <c:v>Community Nursing</c:v>
                </c:pt>
              </c:strCache>
            </c:strRef>
          </c:tx>
          <c:cat>
            <c:strRef>
              <c:f>'Dimension 2'!$B$4:$B$5</c:f>
              <c:strCache>
                <c:ptCount val="2"/>
                <c:pt idx="0">
                  <c:v>Q1 11</c:v>
                </c:pt>
                <c:pt idx="1">
                  <c:v>Q2 11</c:v>
                </c:pt>
              </c:strCache>
            </c:strRef>
          </c:cat>
          <c:val>
            <c:numRef>
              <c:f>'Dimension 2'!$C$4:$C$5</c:f>
              <c:numCache>
                <c:formatCode>0%</c:formatCode>
                <c:ptCount val="2"/>
                <c:pt idx="0">
                  <c:v>0.33000000000000074</c:v>
                </c:pt>
                <c:pt idx="1">
                  <c:v>0.95000000000000062</c:v>
                </c:pt>
              </c:numCache>
            </c:numRef>
          </c:val>
        </c:ser>
        <c:ser>
          <c:idx val="1"/>
          <c:order val="1"/>
          <c:tx>
            <c:strRef>
              <c:f>'Dimension 2'!$D$3</c:f>
              <c:strCache>
                <c:ptCount val="1"/>
                <c:pt idx="0">
                  <c:v>Community Hospitals</c:v>
                </c:pt>
              </c:strCache>
            </c:strRef>
          </c:tx>
          <c:cat>
            <c:strRef>
              <c:f>'Dimension 2'!$B$4:$B$5</c:f>
              <c:strCache>
                <c:ptCount val="2"/>
                <c:pt idx="0">
                  <c:v>Q1 11</c:v>
                </c:pt>
                <c:pt idx="1">
                  <c:v>Q2 11</c:v>
                </c:pt>
              </c:strCache>
            </c:strRef>
          </c:cat>
          <c:val>
            <c:numRef>
              <c:f>'Dimension 2'!$D$4:$D$5</c:f>
              <c:numCache>
                <c:formatCode>0%</c:formatCode>
                <c:ptCount val="2"/>
                <c:pt idx="1">
                  <c:v>0.84000000000000064</c:v>
                </c:pt>
              </c:numCache>
            </c:numRef>
          </c:val>
        </c:ser>
        <c:axId val="161840512"/>
        <c:axId val="161850496"/>
      </c:barChart>
      <c:lineChart>
        <c:grouping val="standard"/>
        <c:ser>
          <c:idx val="2"/>
          <c:order val="2"/>
          <c:tx>
            <c:strRef>
              <c:f>'Dimension 2'!$E$3</c:f>
              <c:strCache>
                <c:ptCount val="1"/>
                <c:pt idx="0">
                  <c:v>Target</c:v>
                </c:pt>
              </c:strCache>
            </c:strRef>
          </c:tx>
          <c:marker>
            <c:symbol val="none"/>
          </c:marker>
          <c:cat>
            <c:strRef>
              <c:f>'Dimension 2'!$B$4:$B$5</c:f>
              <c:strCache>
                <c:ptCount val="2"/>
                <c:pt idx="0">
                  <c:v>Q1 11</c:v>
                </c:pt>
                <c:pt idx="1">
                  <c:v>Q2 11</c:v>
                </c:pt>
              </c:strCache>
            </c:strRef>
          </c:cat>
          <c:val>
            <c:numRef>
              <c:f>'Dimension 2'!$E$4:$E$5</c:f>
              <c:numCache>
                <c:formatCode>0%</c:formatCode>
                <c:ptCount val="2"/>
                <c:pt idx="0">
                  <c:v>0.85000000000000064</c:v>
                </c:pt>
                <c:pt idx="1">
                  <c:v>0.85000000000000064</c:v>
                </c:pt>
              </c:numCache>
            </c:numRef>
          </c:val>
        </c:ser>
        <c:marker val="1"/>
        <c:axId val="161840512"/>
        <c:axId val="161850496"/>
      </c:lineChart>
      <c:catAx>
        <c:axId val="161840512"/>
        <c:scaling>
          <c:orientation val="minMax"/>
        </c:scaling>
        <c:axPos val="b"/>
        <c:majorTickMark val="none"/>
        <c:tickLblPos val="nextTo"/>
        <c:crossAx val="161850496"/>
        <c:crosses val="autoZero"/>
        <c:auto val="1"/>
        <c:lblAlgn val="ctr"/>
        <c:lblOffset val="100"/>
      </c:catAx>
      <c:valAx>
        <c:axId val="161850496"/>
        <c:scaling>
          <c:orientation val="minMax"/>
        </c:scaling>
        <c:axPos val="l"/>
        <c:majorGridlines/>
        <c:title>
          <c:tx>
            <c:rich>
              <a:bodyPr/>
              <a:lstStyle/>
              <a:p>
                <a:pPr>
                  <a:defRPr/>
                </a:pPr>
                <a:r>
                  <a:rPr lang="en-US"/>
                  <a:t>% Compliant</a:t>
                </a:r>
              </a:p>
            </c:rich>
          </c:tx>
        </c:title>
        <c:numFmt formatCode="0%" sourceLinked="1"/>
        <c:majorTickMark val="none"/>
        <c:tickLblPos val="nextTo"/>
        <c:crossAx val="16184051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a:t>Serious Drug Errors in Community Health on a rolling 12 month basis</a:t>
            </a:r>
          </a:p>
        </c:rich>
      </c:tx>
    </c:title>
    <c:plotArea>
      <c:layout/>
      <c:barChart>
        <c:barDir val="col"/>
        <c:grouping val="stacked"/>
        <c:ser>
          <c:idx val="0"/>
          <c:order val="0"/>
          <c:tx>
            <c:strRef>
              <c:f>'Dimension 2'!$B$31</c:f>
              <c:strCache>
                <c:ptCount val="1"/>
                <c:pt idx="0">
                  <c:v>Major (major or permanent harm)</c:v>
                </c:pt>
              </c:strCache>
            </c:strRef>
          </c:tx>
          <c:cat>
            <c:strRef>
              <c:f>'Dimension 2'!$C$30:$K$30</c:f>
              <c:strCache>
                <c:ptCount val="9"/>
                <c:pt idx="0">
                  <c:v>Q2 09/10</c:v>
                </c:pt>
                <c:pt idx="1">
                  <c:v>Q3 09/10</c:v>
                </c:pt>
                <c:pt idx="2">
                  <c:v>Q4 09/10</c:v>
                </c:pt>
                <c:pt idx="3">
                  <c:v>Q1 10/11</c:v>
                </c:pt>
                <c:pt idx="4">
                  <c:v>Q2 10/11 </c:v>
                </c:pt>
                <c:pt idx="5">
                  <c:v>Q3 10/11</c:v>
                </c:pt>
                <c:pt idx="6">
                  <c:v>Q4 10/11 </c:v>
                </c:pt>
                <c:pt idx="7">
                  <c:v>Q1 11/12</c:v>
                </c:pt>
                <c:pt idx="8">
                  <c:v>Q2 11/12</c:v>
                </c:pt>
              </c:strCache>
            </c:strRef>
          </c:cat>
          <c:val>
            <c:numRef>
              <c:f>'Dimension 2'!$C$31:$K$31</c:f>
              <c:numCache>
                <c:formatCode>General</c:formatCode>
                <c:ptCount val="9"/>
                <c:pt idx="0">
                  <c:v>5</c:v>
                </c:pt>
                <c:pt idx="1">
                  <c:v>8</c:v>
                </c:pt>
                <c:pt idx="2">
                  <c:v>10</c:v>
                </c:pt>
                <c:pt idx="3">
                  <c:v>9</c:v>
                </c:pt>
                <c:pt idx="4">
                  <c:v>14</c:v>
                </c:pt>
                <c:pt idx="5">
                  <c:v>20</c:v>
                </c:pt>
                <c:pt idx="6">
                  <c:v>21</c:v>
                </c:pt>
                <c:pt idx="7">
                  <c:v>21</c:v>
                </c:pt>
                <c:pt idx="8">
                  <c:v>16</c:v>
                </c:pt>
              </c:numCache>
            </c:numRef>
          </c:val>
        </c:ser>
        <c:ser>
          <c:idx val="1"/>
          <c:order val="1"/>
          <c:tx>
            <c:strRef>
              <c:f>'Dimension 2'!$B$32</c:f>
              <c:strCache>
                <c:ptCount val="1"/>
                <c:pt idx="0">
                  <c:v>Catastrophic (death)</c:v>
                </c:pt>
              </c:strCache>
            </c:strRef>
          </c:tx>
          <c:cat>
            <c:strRef>
              <c:f>'Dimension 2'!$C$30:$K$30</c:f>
              <c:strCache>
                <c:ptCount val="9"/>
                <c:pt idx="0">
                  <c:v>Q2 09/10</c:v>
                </c:pt>
                <c:pt idx="1">
                  <c:v>Q3 09/10</c:v>
                </c:pt>
                <c:pt idx="2">
                  <c:v>Q4 09/10</c:v>
                </c:pt>
                <c:pt idx="3">
                  <c:v>Q1 10/11</c:v>
                </c:pt>
                <c:pt idx="4">
                  <c:v>Q2 10/11 </c:v>
                </c:pt>
                <c:pt idx="5">
                  <c:v>Q3 10/11</c:v>
                </c:pt>
                <c:pt idx="6">
                  <c:v>Q4 10/11 </c:v>
                </c:pt>
                <c:pt idx="7">
                  <c:v>Q1 11/12</c:v>
                </c:pt>
                <c:pt idx="8">
                  <c:v>Q2 11/12</c:v>
                </c:pt>
              </c:strCache>
            </c:strRef>
          </c:cat>
          <c:val>
            <c:numRef>
              <c:f>'Dimension 2'!$C$32:$K$32</c:f>
              <c:numCache>
                <c:formatCode>General</c:formatCode>
                <c:ptCount val="9"/>
                <c:pt idx="0">
                  <c:v>2</c:v>
                </c:pt>
                <c:pt idx="1">
                  <c:v>2</c:v>
                </c:pt>
                <c:pt idx="2">
                  <c:v>1</c:v>
                </c:pt>
                <c:pt idx="3">
                  <c:v>1</c:v>
                </c:pt>
                <c:pt idx="4">
                  <c:v>0</c:v>
                </c:pt>
                <c:pt idx="5">
                  <c:v>0</c:v>
                </c:pt>
                <c:pt idx="6">
                  <c:v>0</c:v>
                </c:pt>
                <c:pt idx="7">
                  <c:v>0</c:v>
                </c:pt>
                <c:pt idx="8">
                  <c:v>0</c:v>
                </c:pt>
              </c:numCache>
            </c:numRef>
          </c:val>
        </c:ser>
        <c:overlap val="100"/>
        <c:axId val="161879936"/>
        <c:axId val="161881472"/>
      </c:barChart>
      <c:catAx>
        <c:axId val="161879936"/>
        <c:scaling>
          <c:orientation val="minMax"/>
        </c:scaling>
        <c:axPos val="b"/>
        <c:tickLblPos val="nextTo"/>
        <c:crossAx val="161881472"/>
        <c:crosses val="autoZero"/>
        <c:auto val="1"/>
        <c:lblAlgn val="ctr"/>
        <c:lblOffset val="100"/>
      </c:catAx>
      <c:valAx>
        <c:axId val="161881472"/>
        <c:scaling>
          <c:orientation val="minMax"/>
        </c:scaling>
        <c:axPos val="l"/>
        <c:majorGridlines/>
        <c:title>
          <c:tx>
            <c:rich>
              <a:bodyPr rot="-5400000" vert="horz"/>
              <a:lstStyle/>
              <a:p>
                <a:pPr>
                  <a:defRPr/>
                </a:pPr>
                <a:r>
                  <a:rPr lang="en-US"/>
                  <a:t>No. of Serious Drug Errors</a:t>
                </a:r>
              </a:p>
            </c:rich>
          </c:tx>
        </c:title>
        <c:numFmt formatCode="General" sourceLinked="1"/>
        <c:tickLblPos val="nextTo"/>
        <c:crossAx val="16187993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b="1" i="0" baseline="0"/>
              <a:t>No of Falls in Trust Hospitals on a rolling annual basis against target (999)</a:t>
            </a:r>
            <a:endParaRPr lang="en-GB" sz="1200"/>
          </a:p>
        </c:rich>
      </c:tx>
      <c:layout>
        <c:manualLayout>
          <c:xMode val="edge"/>
          <c:yMode val="edge"/>
          <c:x val="0.11868744531933505"/>
          <c:y val="1.3888888888888987E-2"/>
        </c:manualLayout>
      </c:layout>
    </c:title>
    <c:plotArea>
      <c:layout/>
      <c:barChart>
        <c:barDir val="col"/>
        <c:grouping val="stacked"/>
        <c:ser>
          <c:idx val="0"/>
          <c:order val="0"/>
          <c:tx>
            <c:strRef>
              <c:f>'Dimension 2'!$G$52</c:f>
              <c:strCache>
                <c:ptCount val="1"/>
                <c:pt idx="0">
                  <c:v>Community</c:v>
                </c:pt>
              </c:strCache>
            </c:strRef>
          </c:tx>
          <c:cat>
            <c:strRef>
              <c:f>'Dimension 2'!$B$53:$B$64</c:f>
              <c:strCache>
                <c:ptCount val="12"/>
                <c:pt idx="0">
                  <c:v>Q3/08-09</c:v>
                </c:pt>
                <c:pt idx="1">
                  <c:v>Q4/08-09</c:v>
                </c:pt>
                <c:pt idx="2">
                  <c:v>Q1/09-10</c:v>
                </c:pt>
                <c:pt idx="3">
                  <c:v>Q2/09/10</c:v>
                </c:pt>
                <c:pt idx="4">
                  <c:v>Q3/09-10</c:v>
                </c:pt>
                <c:pt idx="5">
                  <c:v>Q4/09-10</c:v>
                </c:pt>
                <c:pt idx="6">
                  <c:v>Q1/10-11</c:v>
                </c:pt>
                <c:pt idx="7">
                  <c:v>Q2/10-11</c:v>
                </c:pt>
                <c:pt idx="8">
                  <c:v>Q3/10-11</c:v>
                </c:pt>
                <c:pt idx="9">
                  <c:v>Q4/10-11</c:v>
                </c:pt>
                <c:pt idx="10">
                  <c:v>Q1/11-12</c:v>
                </c:pt>
                <c:pt idx="11">
                  <c:v>Q2/11-12</c:v>
                </c:pt>
              </c:strCache>
            </c:strRef>
          </c:cat>
          <c:val>
            <c:numRef>
              <c:f>'Dimension 2'!$G$53:$G$64</c:f>
              <c:numCache>
                <c:formatCode>0</c:formatCode>
                <c:ptCount val="12"/>
                <c:pt idx="0">
                  <c:v>474</c:v>
                </c:pt>
                <c:pt idx="1">
                  <c:v>692</c:v>
                </c:pt>
                <c:pt idx="2">
                  <c:v>822</c:v>
                </c:pt>
                <c:pt idx="3">
                  <c:v>789</c:v>
                </c:pt>
                <c:pt idx="4">
                  <c:v>783</c:v>
                </c:pt>
                <c:pt idx="5">
                  <c:v>731</c:v>
                </c:pt>
                <c:pt idx="6">
                  <c:v>732</c:v>
                </c:pt>
                <c:pt idx="7">
                  <c:v>746</c:v>
                </c:pt>
                <c:pt idx="8">
                  <c:v>762</c:v>
                </c:pt>
                <c:pt idx="9">
                  <c:v>813</c:v>
                </c:pt>
                <c:pt idx="10">
                  <c:v>782</c:v>
                </c:pt>
                <c:pt idx="11">
                  <c:v>667</c:v>
                </c:pt>
              </c:numCache>
            </c:numRef>
          </c:val>
        </c:ser>
        <c:ser>
          <c:idx val="1"/>
          <c:order val="1"/>
          <c:tx>
            <c:strRef>
              <c:f>'Dimension 2'!$H$52</c:f>
              <c:strCache>
                <c:ptCount val="1"/>
                <c:pt idx="0">
                  <c:v>Mental Health</c:v>
                </c:pt>
              </c:strCache>
            </c:strRef>
          </c:tx>
          <c:cat>
            <c:strRef>
              <c:f>'Dimension 2'!$B$53:$B$64</c:f>
              <c:strCache>
                <c:ptCount val="12"/>
                <c:pt idx="0">
                  <c:v>Q3/08-09</c:v>
                </c:pt>
                <c:pt idx="1">
                  <c:v>Q4/08-09</c:v>
                </c:pt>
                <c:pt idx="2">
                  <c:v>Q1/09-10</c:v>
                </c:pt>
                <c:pt idx="3">
                  <c:v>Q2/09/10</c:v>
                </c:pt>
                <c:pt idx="4">
                  <c:v>Q3/09-10</c:v>
                </c:pt>
                <c:pt idx="5">
                  <c:v>Q4/09-10</c:v>
                </c:pt>
                <c:pt idx="6">
                  <c:v>Q1/10-11</c:v>
                </c:pt>
                <c:pt idx="7">
                  <c:v>Q2/10-11</c:v>
                </c:pt>
                <c:pt idx="8">
                  <c:v>Q3/10-11</c:v>
                </c:pt>
                <c:pt idx="9">
                  <c:v>Q4/10-11</c:v>
                </c:pt>
                <c:pt idx="10">
                  <c:v>Q1/11-12</c:v>
                </c:pt>
                <c:pt idx="11">
                  <c:v>Q2/11-12</c:v>
                </c:pt>
              </c:strCache>
            </c:strRef>
          </c:cat>
          <c:val>
            <c:numRef>
              <c:f>'Dimension 2'!$H$53:$H$64</c:f>
              <c:numCache>
                <c:formatCode>General</c:formatCode>
                <c:ptCount val="12"/>
                <c:pt idx="0">
                  <c:v>288</c:v>
                </c:pt>
                <c:pt idx="1">
                  <c:v>283</c:v>
                </c:pt>
                <c:pt idx="2">
                  <c:v>265</c:v>
                </c:pt>
                <c:pt idx="3">
                  <c:v>314</c:v>
                </c:pt>
                <c:pt idx="4">
                  <c:v>318</c:v>
                </c:pt>
                <c:pt idx="5">
                  <c:v>322</c:v>
                </c:pt>
                <c:pt idx="6">
                  <c:v>306</c:v>
                </c:pt>
                <c:pt idx="7">
                  <c:v>281</c:v>
                </c:pt>
                <c:pt idx="8">
                  <c:v>296</c:v>
                </c:pt>
                <c:pt idx="9">
                  <c:v>297</c:v>
                </c:pt>
                <c:pt idx="10">
                  <c:v>322</c:v>
                </c:pt>
                <c:pt idx="11">
                  <c:v>238</c:v>
                </c:pt>
              </c:numCache>
            </c:numRef>
          </c:val>
        </c:ser>
        <c:ser>
          <c:idx val="3"/>
          <c:order val="3"/>
          <c:tx>
            <c:strRef>
              <c:f>'Dimension 2'!$I$52</c:f>
              <c:strCache>
                <c:ptCount val="1"/>
                <c:pt idx="0">
                  <c:v>Combined</c:v>
                </c:pt>
              </c:strCache>
            </c:strRef>
          </c:tx>
          <c:cat>
            <c:strRef>
              <c:f>'Dimension 2'!$B$53:$B$64</c:f>
              <c:strCache>
                <c:ptCount val="12"/>
                <c:pt idx="0">
                  <c:v>Q3/08-09</c:v>
                </c:pt>
                <c:pt idx="1">
                  <c:v>Q4/08-09</c:v>
                </c:pt>
                <c:pt idx="2">
                  <c:v>Q1/09-10</c:v>
                </c:pt>
                <c:pt idx="3">
                  <c:v>Q2/09/10</c:v>
                </c:pt>
                <c:pt idx="4">
                  <c:v>Q3/09-10</c:v>
                </c:pt>
                <c:pt idx="5">
                  <c:v>Q4/09-10</c:v>
                </c:pt>
                <c:pt idx="6">
                  <c:v>Q1/10-11</c:v>
                </c:pt>
                <c:pt idx="7">
                  <c:v>Q2/10-11</c:v>
                </c:pt>
                <c:pt idx="8">
                  <c:v>Q3/10-11</c:v>
                </c:pt>
                <c:pt idx="9">
                  <c:v>Q4/10-11</c:v>
                </c:pt>
                <c:pt idx="10">
                  <c:v>Q1/11-12</c:v>
                </c:pt>
                <c:pt idx="11">
                  <c:v>Q2/11-12</c:v>
                </c:pt>
              </c:strCache>
            </c:strRef>
          </c:cat>
          <c:val>
            <c:numRef>
              <c:f>'Dimension 2'!$I$53:$I$64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201</c:v>
                </c:pt>
              </c:numCache>
            </c:numRef>
          </c:val>
        </c:ser>
        <c:overlap val="100"/>
        <c:axId val="161926528"/>
        <c:axId val="161940608"/>
      </c:barChart>
      <c:lineChart>
        <c:grouping val="standard"/>
        <c:ser>
          <c:idx val="2"/>
          <c:order val="2"/>
          <c:tx>
            <c:strRef>
              <c:f>'Dimension 2'!$J$52</c:f>
              <c:strCache>
                <c:ptCount val="1"/>
                <c:pt idx="0">
                  <c:v>Target</c:v>
                </c:pt>
              </c:strCache>
            </c:strRef>
          </c:tx>
          <c:marker>
            <c:symbol val="none"/>
          </c:marker>
          <c:val>
            <c:numRef>
              <c:f>'Dimension 2'!$J$53:$J$64</c:f>
              <c:numCache>
                <c:formatCode>0</c:formatCode>
                <c:ptCount val="12"/>
                <c:pt idx="0">
                  <c:v>999</c:v>
                </c:pt>
                <c:pt idx="1">
                  <c:v>999</c:v>
                </c:pt>
                <c:pt idx="2">
                  <c:v>999</c:v>
                </c:pt>
                <c:pt idx="3">
                  <c:v>999</c:v>
                </c:pt>
                <c:pt idx="4">
                  <c:v>999</c:v>
                </c:pt>
                <c:pt idx="5">
                  <c:v>999</c:v>
                </c:pt>
                <c:pt idx="6">
                  <c:v>999</c:v>
                </c:pt>
                <c:pt idx="7">
                  <c:v>999</c:v>
                </c:pt>
                <c:pt idx="8">
                  <c:v>999</c:v>
                </c:pt>
                <c:pt idx="9">
                  <c:v>999</c:v>
                </c:pt>
                <c:pt idx="10">
                  <c:v>999</c:v>
                </c:pt>
                <c:pt idx="11">
                  <c:v>999</c:v>
                </c:pt>
              </c:numCache>
            </c:numRef>
          </c:val>
        </c:ser>
        <c:marker val="1"/>
        <c:axId val="161926528"/>
        <c:axId val="161940608"/>
      </c:lineChart>
      <c:catAx>
        <c:axId val="161926528"/>
        <c:scaling>
          <c:orientation val="minMax"/>
        </c:scaling>
        <c:axPos val="b"/>
        <c:majorTickMark val="none"/>
        <c:tickLblPos val="nextTo"/>
        <c:txPr>
          <a:bodyPr rot="-3000000"/>
          <a:lstStyle/>
          <a:p>
            <a:pPr>
              <a:defRPr/>
            </a:pPr>
            <a:endParaRPr lang="en-US"/>
          </a:p>
        </c:txPr>
        <c:crossAx val="161940608"/>
        <c:crosses val="autoZero"/>
        <c:auto val="1"/>
        <c:lblAlgn val="ctr"/>
        <c:lblOffset val="100"/>
      </c:catAx>
      <c:valAx>
        <c:axId val="161940608"/>
        <c:scaling>
          <c:orientation val="minMax"/>
        </c:scaling>
        <c:axPos val="l"/>
        <c:majorGridlines/>
        <c:title>
          <c:tx>
            <c:rich>
              <a:bodyPr rot="-5400000" vert="horz"/>
              <a:lstStyle/>
              <a:p>
                <a:pPr>
                  <a:defRPr/>
                </a:pPr>
                <a:r>
                  <a:rPr lang="en-US"/>
                  <a:t>Number of falls</a:t>
                </a:r>
              </a:p>
            </c:rich>
          </c:tx>
        </c:title>
        <c:numFmt formatCode="0" sourceLinked="1"/>
        <c:majorTickMark val="none"/>
        <c:tickLblPos val="nextTo"/>
        <c:crossAx val="161926528"/>
        <c:crosses val="autoZero"/>
        <c:crossBetween val="between"/>
      </c:valAx>
    </c:plotArea>
    <c:legend>
      <c:legendPos val="r"/>
      <c:layout>
        <c:manualLayout>
          <c:xMode val="edge"/>
          <c:yMode val="edge"/>
          <c:x val="0.73508333333333364"/>
          <c:y val="0.32863043161271532"/>
          <c:w val="0.24547222222222287"/>
          <c:h val="0.33486876640420227"/>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Evidence of Advanced Statements</a:t>
            </a:r>
          </a:p>
        </c:rich>
      </c:tx>
    </c:title>
    <c:plotArea>
      <c:layout/>
      <c:lineChart>
        <c:grouping val="standard"/>
        <c:ser>
          <c:idx val="0"/>
          <c:order val="0"/>
          <c:tx>
            <c:strRef>
              <c:f>'Dimension 3'!$A$4</c:f>
              <c:strCache>
                <c:ptCount val="1"/>
                <c:pt idx="0">
                  <c:v>Actual</c:v>
                </c:pt>
              </c:strCache>
            </c:strRef>
          </c:tx>
          <c:marker>
            <c:symbol val="none"/>
          </c:marker>
          <c:cat>
            <c:strRef>
              <c:f>'Dimension 3'!$B$3:$F$3</c:f>
              <c:strCache>
                <c:ptCount val="5"/>
                <c:pt idx="0">
                  <c:v>Q2 2010</c:v>
                </c:pt>
                <c:pt idx="1">
                  <c:v>Q3 2010</c:v>
                </c:pt>
                <c:pt idx="2">
                  <c:v>Q4 2010</c:v>
                </c:pt>
                <c:pt idx="3">
                  <c:v>Q1 2011</c:v>
                </c:pt>
                <c:pt idx="4">
                  <c:v>Q2 2012</c:v>
                </c:pt>
              </c:strCache>
            </c:strRef>
          </c:cat>
          <c:val>
            <c:numRef>
              <c:f>'Dimension 3'!$B$4:$F$4</c:f>
              <c:numCache>
                <c:formatCode>0%</c:formatCode>
                <c:ptCount val="5"/>
                <c:pt idx="0">
                  <c:v>0.29000000000000031</c:v>
                </c:pt>
                <c:pt idx="1">
                  <c:v>0.29000000000000031</c:v>
                </c:pt>
                <c:pt idx="2">
                  <c:v>0.39000000000000068</c:v>
                </c:pt>
                <c:pt idx="3">
                  <c:v>1.0000000000000005E-2</c:v>
                </c:pt>
                <c:pt idx="4">
                  <c:v>6.0000000000000032E-2</c:v>
                </c:pt>
              </c:numCache>
            </c:numRef>
          </c:val>
        </c:ser>
        <c:ser>
          <c:idx val="1"/>
          <c:order val="1"/>
          <c:tx>
            <c:strRef>
              <c:f>'Dimension 3'!$A$5</c:f>
              <c:strCache>
                <c:ptCount val="1"/>
                <c:pt idx="0">
                  <c:v>Target</c:v>
                </c:pt>
              </c:strCache>
            </c:strRef>
          </c:tx>
          <c:marker>
            <c:symbol val="none"/>
          </c:marker>
          <c:cat>
            <c:strRef>
              <c:f>'Dimension 3'!$B$3:$F$3</c:f>
              <c:strCache>
                <c:ptCount val="5"/>
                <c:pt idx="0">
                  <c:v>Q2 2010</c:v>
                </c:pt>
                <c:pt idx="1">
                  <c:v>Q3 2010</c:v>
                </c:pt>
                <c:pt idx="2">
                  <c:v>Q4 2010</c:v>
                </c:pt>
                <c:pt idx="3">
                  <c:v>Q1 2011</c:v>
                </c:pt>
                <c:pt idx="4">
                  <c:v>Q2 2012</c:v>
                </c:pt>
              </c:strCache>
            </c:strRef>
          </c:cat>
          <c:val>
            <c:numRef>
              <c:f>'Dimension 3'!$B$5:$F$5</c:f>
              <c:numCache>
                <c:formatCode>0%</c:formatCode>
                <c:ptCount val="5"/>
                <c:pt idx="0">
                  <c:v>0.32000000000000067</c:v>
                </c:pt>
                <c:pt idx="1">
                  <c:v>0.32000000000000067</c:v>
                </c:pt>
                <c:pt idx="2">
                  <c:v>0.32000000000000067</c:v>
                </c:pt>
                <c:pt idx="3">
                  <c:v>0.32000000000000067</c:v>
                </c:pt>
                <c:pt idx="4">
                  <c:v>0.32000000000000067</c:v>
                </c:pt>
              </c:numCache>
            </c:numRef>
          </c:val>
        </c:ser>
        <c:marker val="1"/>
        <c:axId val="161958144"/>
        <c:axId val="161964032"/>
      </c:lineChart>
      <c:catAx>
        <c:axId val="161958144"/>
        <c:scaling>
          <c:orientation val="minMax"/>
        </c:scaling>
        <c:axPos val="b"/>
        <c:tickLblPos val="nextTo"/>
        <c:crossAx val="161964032"/>
        <c:crosses val="autoZero"/>
        <c:auto val="1"/>
        <c:lblAlgn val="ctr"/>
        <c:lblOffset val="100"/>
      </c:catAx>
      <c:valAx>
        <c:axId val="161964032"/>
        <c:scaling>
          <c:orientation val="minMax"/>
        </c:scaling>
        <c:axPos val="l"/>
        <c:majorGridlines/>
        <c:numFmt formatCode="0%" sourceLinked="1"/>
        <c:tickLblPos val="nextTo"/>
        <c:crossAx val="161958144"/>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CPA Measures</a:t>
            </a:r>
          </a:p>
        </c:rich>
      </c:tx>
    </c:title>
    <c:plotArea>
      <c:layout/>
      <c:lineChart>
        <c:grouping val="standard"/>
        <c:ser>
          <c:idx val="0"/>
          <c:order val="0"/>
          <c:tx>
            <c:strRef>
              <c:f>'Dimension 3'!$A$29</c:f>
              <c:strCache>
                <c:ptCount val="1"/>
                <c:pt idx="0">
                  <c:v>Current care plan</c:v>
                </c:pt>
              </c:strCache>
            </c:strRef>
          </c:tx>
          <c:marker>
            <c:symbol val="none"/>
          </c:marker>
          <c:cat>
            <c:strRef>
              <c:f>'Dimension 3'!$B$28:$E$28</c:f>
              <c:strCache>
                <c:ptCount val="4"/>
                <c:pt idx="0">
                  <c:v>Q3 2010</c:v>
                </c:pt>
                <c:pt idx="1">
                  <c:v>Q4 2010</c:v>
                </c:pt>
                <c:pt idx="2">
                  <c:v>Q1 2011</c:v>
                </c:pt>
                <c:pt idx="3">
                  <c:v>Q2 2011</c:v>
                </c:pt>
              </c:strCache>
            </c:strRef>
          </c:cat>
          <c:val>
            <c:numRef>
              <c:f>'Dimension 3'!$B$29:$E$29</c:f>
              <c:numCache>
                <c:formatCode>0%</c:formatCode>
                <c:ptCount val="4"/>
                <c:pt idx="0">
                  <c:v>0.91960264900662247</c:v>
                </c:pt>
                <c:pt idx="1">
                  <c:v>0.93074074074074076</c:v>
                </c:pt>
                <c:pt idx="2">
                  <c:v>0.88762148337595892</c:v>
                </c:pt>
                <c:pt idx="3">
                  <c:v>0.91712871287128761</c:v>
                </c:pt>
              </c:numCache>
            </c:numRef>
          </c:val>
        </c:ser>
        <c:ser>
          <c:idx val="1"/>
          <c:order val="1"/>
          <c:tx>
            <c:strRef>
              <c:f>'Dimension 3'!$A$30</c:f>
              <c:strCache>
                <c:ptCount val="1"/>
                <c:pt idx="0">
                  <c:v>CPA review in 6 months</c:v>
                </c:pt>
              </c:strCache>
            </c:strRef>
          </c:tx>
          <c:marker>
            <c:symbol val="none"/>
          </c:marker>
          <c:cat>
            <c:strRef>
              <c:f>'Dimension 3'!$B$28:$E$28</c:f>
              <c:strCache>
                <c:ptCount val="4"/>
                <c:pt idx="0">
                  <c:v>Q3 2010</c:v>
                </c:pt>
                <c:pt idx="1">
                  <c:v>Q4 2010</c:v>
                </c:pt>
                <c:pt idx="2">
                  <c:v>Q1 2011</c:v>
                </c:pt>
                <c:pt idx="3">
                  <c:v>Q2 2011</c:v>
                </c:pt>
              </c:strCache>
            </c:strRef>
          </c:cat>
          <c:val>
            <c:numRef>
              <c:f>'Dimension 3'!$B$30:$E$30</c:f>
              <c:numCache>
                <c:formatCode>0%</c:formatCode>
                <c:ptCount val="4"/>
                <c:pt idx="0">
                  <c:v>0.83940397350993379</c:v>
                </c:pt>
                <c:pt idx="1">
                  <c:v>0.8374074074074076</c:v>
                </c:pt>
                <c:pt idx="2">
                  <c:v>0.83575447570332473</c:v>
                </c:pt>
                <c:pt idx="3">
                  <c:v>0.86396039603960395</c:v>
                </c:pt>
              </c:numCache>
            </c:numRef>
          </c:val>
        </c:ser>
        <c:ser>
          <c:idx val="2"/>
          <c:order val="2"/>
          <c:tx>
            <c:strRef>
              <c:f>'Dimension 3'!$A$31</c:f>
              <c:strCache>
                <c:ptCount val="1"/>
                <c:pt idx="0">
                  <c:v>Care coordinator</c:v>
                </c:pt>
              </c:strCache>
            </c:strRef>
          </c:tx>
          <c:marker>
            <c:symbol val="none"/>
          </c:marker>
          <c:cat>
            <c:strRef>
              <c:f>'Dimension 3'!$B$28:$E$28</c:f>
              <c:strCache>
                <c:ptCount val="4"/>
                <c:pt idx="0">
                  <c:v>Q3 2010</c:v>
                </c:pt>
                <c:pt idx="1">
                  <c:v>Q4 2010</c:v>
                </c:pt>
                <c:pt idx="2">
                  <c:v>Q1 2011</c:v>
                </c:pt>
                <c:pt idx="3">
                  <c:v>Q2 2011</c:v>
                </c:pt>
              </c:strCache>
            </c:strRef>
          </c:cat>
          <c:val>
            <c:numRef>
              <c:f>'Dimension 3'!$B$31:$E$31</c:f>
              <c:numCache>
                <c:formatCode>0%</c:formatCode>
                <c:ptCount val="4"/>
                <c:pt idx="0">
                  <c:v>0.98320088300220543</c:v>
                </c:pt>
                <c:pt idx="1">
                  <c:v>0.98362962962962963</c:v>
                </c:pt>
                <c:pt idx="2">
                  <c:v>0.97710997442455483</c:v>
                </c:pt>
                <c:pt idx="3">
                  <c:v>0.96990099009901065</c:v>
                </c:pt>
              </c:numCache>
            </c:numRef>
          </c:val>
        </c:ser>
        <c:ser>
          <c:idx val="3"/>
          <c:order val="3"/>
          <c:tx>
            <c:strRef>
              <c:f>'Dimension 3'!$A$32</c:f>
              <c:strCache>
                <c:ptCount val="1"/>
                <c:pt idx="0">
                  <c:v>Current risk assessment</c:v>
                </c:pt>
              </c:strCache>
            </c:strRef>
          </c:tx>
          <c:marker>
            <c:symbol val="none"/>
          </c:marker>
          <c:cat>
            <c:strRef>
              <c:f>'Dimension 3'!$B$28:$E$28</c:f>
              <c:strCache>
                <c:ptCount val="4"/>
                <c:pt idx="0">
                  <c:v>Q3 2010</c:v>
                </c:pt>
                <c:pt idx="1">
                  <c:v>Q4 2010</c:v>
                </c:pt>
                <c:pt idx="2">
                  <c:v>Q1 2011</c:v>
                </c:pt>
                <c:pt idx="3">
                  <c:v>Q2 2011</c:v>
                </c:pt>
              </c:strCache>
            </c:strRef>
          </c:cat>
          <c:val>
            <c:numRef>
              <c:f>'Dimension 3'!$B$32:$E$32</c:f>
              <c:numCache>
                <c:formatCode>0%</c:formatCode>
                <c:ptCount val="4"/>
                <c:pt idx="0">
                  <c:v>0.87980132450331372</c:v>
                </c:pt>
                <c:pt idx="1">
                  <c:v>0.91681481481481564</c:v>
                </c:pt>
                <c:pt idx="2">
                  <c:v>0.88989769820971865</c:v>
                </c:pt>
                <c:pt idx="3">
                  <c:v>0.89366336633663357</c:v>
                </c:pt>
              </c:numCache>
            </c:numRef>
          </c:val>
        </c:ser>
        <c:ser>
          <c:idx val="4"/>
          <c:order val="4"/>
          <c:tx>
            <c:strRef>
              <c:f>'Dimension 3'!$A$33</c:f>
              <c:strCache>
                <c:ptCount val="1"/>
                <c:pt idx="0">
                  <c:v>All 4 elements</c:v>
                </c:pt>
              </c:strCache>
            </c:strRef>
          </c:tx>
          <c:marker>
            <c:symbol val="none"/>
          </c:marker>
          <c:cat>
            <c:strRef>
              <c:f>'Dimension 3'!$B$28:$E$28</c:f>
              <c:strCache>
                <c:ptCount val="4"/>
                <c:pt idx="0">
                  <c:v>Q3 2010</c:v>
                </c:pt>
                <c:pt idx="1">
                  <c:v>Q4 2010</c:v>
                </c:pt>
                <c:pt idx="2">
                  <c:v>Q1 2011</c:v>
                </c:pt>
                <c:pt idx="3">
                  <c:v>Q2 2011</c:v>
                </c:pt>
              </c:strCache>
            </c:strRef>
          </c:cat>
          <c:val>
            <c:numRef>
              <c:f>'Dimension 3'!$B$33:$E$33</c:f>
              <c:numCache>
                <c:formatCode>0%</c:formatCode>
                <c:ptCount val="4"/>
                <c:pt idx="0">
                  <c:v>0.76490066225165565</c:v>
                </c:pt>
                <c:pt idx="1">
                  <c:v>0.78814814814814815</c:v>
                </c:pt>
                <c:pt idx="2">
                  <c:v>0.7736572890025577</c:v>
                </c:pt>
                <c:pt idx="3">
                  <c:v>0.78712871287128761</c:v>
                </c:pt>
              </c:numCache>
            </c:numRef>
          </c:val>
        </c:ser>
        <c:ser>
          <c:idx val="5"/>
          <c:order val="5"/>
          <c:tx>
            <c:strRef>
              <c:f>'Dimension 3'!$A$34</c:f>
              <c:strCache>
                <c:ptCount val="1"/>
                <c:pt idx="0">
                  <c:v>Target</c:v>
                </c:pt>
              </c:strCache>
            </c:strRef>
          </c:tx>
          <c:marker>
            <c:symbol val="none"/>
          </c:marker>
          <c:cat>
            <c:strRef>
              <c:f>'Dimension 3'!$B$28:$E$28</c:f>
              <c:strCache>
                <c:ptCount val="4"/>
                <c:pt idx="0">
                  <c:v>Q3 2010</c:v>
                </c:pt>
                <c:pt idx="1">
                  <c:v>Q4 2010</c:v>
                </c:pt>
                <c:pt idx="2">
                  <c:v>Q1 2011</c:v>
                </c:pt>
                <c:pt idx="3">
                  <c:v>Q2 2011</c:v>
                </c:pt>
              </c:strCache>
            </c:strRef>
          </c:cat>
          <c:val>
            <c:numRef>
              <c:f>'Dimension 3'!$B$34:$E$34</c:f>
              <c:numCache>
                <c:formatCode>0%</c:formatCode>
                <c:ptCount val="4"/>
                <c:pt idx="0">
                  <c:v>1</c:v>
                </c:pt>
                <c:pt idx="1">
                  <c:v>1</c:v>
                </c:pt>
                <c:pt idx="2">
                  <c:v>1</c:v>
                </c:pt>
                <c:pt idx="3">
                  <c:v>1</c:v>
                </c:pt>
              </c:numCache>
            </c:numRef>
          </c:val>
        </c:ser>
        <c:marker val="1"/>
        <c:axId val="162000256"/>
        <c:axId val="162071680"/>
      </c:lineChart>
      <c:catAx>
        <c:axId val="162000256"/>
        <c:scaling>
          <c:orientation val="minMax"/>
        </c:scaling>
        <c:axPos val="b"/>
        <c:tickLblPos val="nextTo"/>
        <c:crossAx val="162071680"/>
        <c:crosses val="autoZero"/>
        <c:auto val="1"/>
        <c:lblAlgn val="ctr"/>
        <c:lblOffset val="100"/>
      </c:catAx>
      <c:valAx>
        <c:axId val="162071680"/>
        <c:scaling>
          <c:orientation val="minMax"/>
          <c:max val="1"/>
          <c:min val="0.60000000000000064"/>
        </c:scaling>
        <c:axPos val="l"/>
        <c:majorGridlines/>
        <c:title>
          <c:tx>
            <c:rich>
              <a:bodyPr rot="-5400000" vert="horz"/>
              <a:lstStyle/>
              <a:p>
                <a:pPr>
                  <a:defRPr/>
                </a:pPr>
                <a:r>
                  <a:rPr lang="en-US"/>
                  <a:t>% of sample</a:t>
                </a:r>
              </a:p>
            </c:rich>
          </c:tx>
        </c:title>
        <c:numFmt formatCode="0%" sourceLinked="1"/>
        <c:tickLblPos val="nextTo"/>
        <c:crossAx val="162000256"/>
        <c:crosses val="autoZero"/>
        <c:crossBetween val="between"/>
      </c:valAx>
    </c:plotArea>
    <c:legend>
      <c:legendPos val="r"/>
      <c:layout>
        <c:manualLayout>
          <c:xMode val="edge"/>
          <c:yMode val="edge"/>
          <c:x val="0.67058641975308664"/>
          <c:y val="0.13626748463671029"/>
          <c:w val="0.31089506172839532"/>
          <c:h val="0.80765265787559948"/>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200"/>
              <a:t>% Adults receiving care under CPA who are in settled</a:t>
            </a:r>
            <a:r>
              <a:rPr lang="en-GB" sz="1200" baseline="0"/>
              <a:t> accommodation</a:t>
            </a:r>
            <a:endParaRPr lang="en-GB" sz="1200"/>
          </a:p>
        </c:rich>
      </c:tx>
      <c:layout>
        <c:manualLayout>
          <c:xMode val="edge"/>
          <c:yMode val="edge"/>
          <c:x val="0.19385321100917433"/>
          <c:y val="6.1224489795918373E-2"/>
        </c:manualLayout>
      </c:layout>
    </c:title>
    <c:plotArea>
      <c:layout/>
      <c:lineChart>
        <c:grouping val="standard"/>
        <c:ser>
          <c:idx val="0"/>
          <c:order val="0"/>
          <c:tx>
            <c:strRef>
              <c:f>'Dimension 4'!$I$36</c:f>
              <c:strCache>
                <c:ptCount val="1"/>
                <c:pt idx="0">
                  <c:v>Actual</c:v>
                </c:pt>
              </c:strCache>
            </c:strRef>
          </c:tx>
          <c:marker>
            <c:symbol val="none"/>
          </c:marker>
          <c:cat>
            <c:strRef>
              <c:f>'Dimension 4'!$H$37:$H$42</c:f>
              <c:strCache>
                <c:ptCount val="6"/>
                <c:pt idx="0">
                  <c:v>Q1 2010</c:v>
                </c:pt>
                <c:pt idx="1">
                  <c:v>Q2 2010</c:v>
                </c:pt>
                <c:pt idx="2">
                  <c:v>Q3 2010</c:v>
                </c:pt>
                <c:pt idx="3">
                  <c:v>Q4 2010</c:v>
                </c:pt>
                <c:pt idx="4">
                  <c:v>Q1 2011</c:v>
                </c:pt>
                <c:pt idx="5">
                  <c:v>Q2 1011</c:v>
                </c:pt>
              </c:strCache>
            </c:strRef>
          </c:cat>
          <c:val>
            <c:numRef>
              <c:f>'Dimension 4'!$I$37:$I$42</c:f>
              <c:numCache>
                <c:formatCode>0.0%</c:formatCode>
                <c:ptCount val="6"/>
                <c:pt idx="0">
                  <c:v>0.67372638809387653</c:v>
                </c:pt>
                <c:pt idx="1">
                  <c:v>0.67757641330808926</c:v>
                </c:pt>
                <c:pt idx="2">
                  <c:v>0.68740320082601958</c:v>
                </c:pt>
                <c:pt idx="3">
                  <c:v>0.70977484898407583</c:v>
                </c:pt>
                <c:pt idx="4">
                  <c:v>0.70921166618538933</c:v>
                </c:pt>
                <c:pt idx="5">
                  <c:v>0.76721014492753559</c:v>
                </c:pt>
              </c:numCache>
            </c:numRef>
          </c:val>
        </c:ser>
        <c:ser>
          <c:idx val="1"/>
          <c:order val="1"/>
          <c:tx>
            <c:strRef>
              <c:f>'Dimension 4'!$J$36</c:f>
              <c:strCache>
                <c:ptCount val="1"/>
                <c:pt idx="0">
                  <c:v>Target</c:v>
                </c:pt>
              </c:strCache>
            </c:strRef>
          </c:tx>
          <c:marker>
            <c:symbol val="none"/>
          </c:marker>
          <c:cat>
            <c:strRef>
              <c:f>'Dimension 4'!$H$37:$H$42</c:f>
              <c:strCache>
                <c:ptCount val="6"/>
                <c:pt idx="0">
                  <c:v>Q1 2010</c:v>
                </c:pt>
                <c:pt idx="1">
                  <c:v>Q2 2010</c:v>
                </c:pt>
                <c:pt idx="2">
                  <c:v>Q3 2010</c:v>
                </c:pt>
                <c:pt idx="3">
                  <c:v>Q4 2010</c:v>
                </c:pt>
                <c:pt idx="4">
                  <c:v>Q1 2011</c:v>
                </c:pt>
                <c:pt idx="5">
                  <c:v>Q2 1011</c:v>
                </c:pt>
              </c:strCache>
            </c:strRef>
          </c:cat>
          <c:val>
            <c:numRef>
              <c:f>'Dimension 4'!$J$37:$J$42</c:f>
              <c:numCache>
                <c:formatCode>0%</c:formatCode>
                <c:ptCount val="6"/>
                <c:pt idx="0">
                  <c:v>0.75000000000000089</c:v>
                </c:pt>
                <c:pt idx="1">
                  <c:v>0.75000000000000089</c:v>
                </c:pt>
                <c:pt idx="2">
                  <c:v>0.75000000000000089</c:v>
                </c:pt>
                <c:pt idx="3">
                  <c:v>0.75000000000000089</c:v>
                </c:pt>
                <c:pt idx="4">
                  <c:v>0.75000000000000089</c:v>
                </c:pt>
                <c:pt idx="5">
                  <c:v>0.75000000000000089</c:v>
                </c:pt>
              </c:numCache>
            </c:numRef>
          </c:val>
        </c:ser>
        <c:marker val="1"/>
        <c:axId val="162109696"/>
        <c:axId val="162111488"/>
      </c:lineChart>
      <c:catAx>
        <c:axId val="162109696"/>
        <c:scaling>
          <c:orientation val="minMax"/>
        </c:scaling>
        <c:axPos val="b"/>
        <c:tickLblPos val="nextTo"/>
        <c:crossAx val="162111488"/>
        <c:crosses val="autoZero"/>
        <c:auto val="1"/>
        <c:lblAlgn val="ctr"/>
        <c:lblOffset val="100"/>
      </c:catAx>
      <c:valAx>
        <c:axId val="162111488"/>
        <c:scaling>
          <c:orientation val="minMax"/>
          <c:min val="0"/>
        </c:scaling>
        <c:axPos val="l"/>
        <c:majorGridlines/>
        <c:title>
          <c:tx>
            <c:rich>
              <a:bodyPr/>
              <a:lstStyle/>
              <a:p>
                <a:pPr>
                  <a:defRPr/>
                </a:pPr>
                <a:r>
                  <a:rPr lang="en-GB"/>
                  <a:t>% in accommodation</a:t>
                </a:r>
              </a:p>
            </c:rich>
          </c:tx>
        </c:title>
        <c:numFmt formatCode="0.0%" sourceLinked="1"/>
        <c:majorTickMark val="none"/>
        <c:tickLblPos val="nextTo"/>
        <c:crossAx val="162109696"/>
        <c:crosses val="autoZero"/>
        <c:crossBetween val="between"/>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E7C6-37A9-4433-B55E-73D95B6E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7096</Words>
  <Characters>36956</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davids.allen</dc:creator>
  <cp:keywords/>
  <dc:description/>
  <cp:lastModifiedBy>Habner Justinian (RNU) OBMH</cp:lastModifiedBy>
  <cp:revision>2</cp:revision>
  <cp:lastPrinted>2011-11-23T14:43:00Z</cp:lastPrinted>
  <dcterms:created xsi:type="dcterms:W3CDTF">2012-02-09T14:25:00Z</dcterms:created>
  <dcterms:modified xsi:type="dcterms:W3CDTF">2012-02-09T14:25:00Z</dcterms:modified>
</cp:coreProperties>
</file>