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1E" w:rsidRPr="00544356" w:rsidRDefault="0000783E" w:rsidP="0000783E">
      <w:pPr>
        <w:autoSpaceDE w:val="0"/>
        <w:autoSpaceDN w:val="0"/>
        <w:adjustRightInd w:val="0"/>
        <w:jc w:val="right"/>
        <w:rPr>
          <w:rFonts w:ascii="Arial" w:hAnsi="Arial" w:cs="Arial"/>
          <w:sz w:val="21"/>
          <w:szCs w:val="21"/>
        </w:rPr>
      </w:pPr>
      <w:r w:rsidRPr="0000783E">
        <w:rPr>
          <w:rFonts w:ascii="Arial" w:hAnsi="Arial" w:cs="Arial"/>
          <w:noProof/>
          <w:sz w:val="21"/>
          <w:szCs w:val="21"/>
        </w:rPr>
        <w:drawing>
          <wp:inline distT="0" distB="0" distL="0" distR="0">
            <wp:extent cx="2552700" cy="504825"/>
            <wp:effectExtent l="19050" t="0" r="0" b="0"/>
            <wp:docPr id="1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23741E" w:rsidRPr="00544356" w:rsidRDefault="0023741E" w:rsidP="00096685">
      <w:pPr>
        <w:autoSpaceDE w:val="0"/>
        <w:autoSpaceDN w:val="0"/>
        <w:adjustRightInd w:val="0"/>
        <w:rPr>
          <w:rFonts w:ascii="Arial" w:hAnsi="Arial" w:cs="Arial"/>
          <w:sz w:val="21"/>
          <w:szCs w:val="21"/>
        </w:rPr>
      </w:pPr>
    </w:p>
    <w:p w:rsidR="0023741E" w:rsidRPr="00544356" w:rsidRDefault="0023741E" w:rsidP="00096685">
      <w:pPr>
        <w:autoSpaceDE w:val="0"/>
        <w:autoSpaceDN w:val="0"/>
        <w:adjustRightInd w:val="0"/>
        <w:rPr>
          <w:rFonts w:ascii="Arial" w:hAnsi="Arial" w:cs="Arial"/>
          <w:sz w:val="21"/>
          <w:szCs w:val="21"/>
        </w:rPr>
      </w:pPr>
    </w:p>
    <w:p w:rsidR="0023741E" w:rsidRPr="00544356" w:rsidRDefault="0023741E" w:rsidP="00096685">
      <w:pPr>
        <w:autoSpaceDE w:val="0"/>
        <w:autoSpaceDN w:val="0"/>
        <w:adjustRightInd w:val="0"/>
        <w:rPr>
          <w:rFonts w:ascii="Arial" w:hAnsi="Arial" w:cs="Arial"/>
          <w:sz w:val="21"/>
          <w:szCs w:val="21"/>
        </w:rPr>
      </w:pPr>
    </w:p>
    <w:p w:rsidR="0023741E" w:rsidRPr="00544356" w:rsidRDefault="0023741E" w:rsidP="00096685">
      <w:pPr>
        <w:autoSpaceDE w:val="0"/>
        <w:autoSpaceDN w:val="0"/>
        <w:adjustRightInd w:val="0"/>
        <w:rPr>
          <w:rFonts w:ascii="Arial" w:hAnsi="Arial" w:cs="Arial"/>
          <w:sz w:val="21"/>
          <w:szCs w:val="21"/>
        </w:rPr>
      </w:pPr>
    </w:p>
    <w:p w:rsidR="0023741E" w:rsidRPr="00544356" w:rsidRDefault="0023741E" w:rsidP="00096685">
      <w:pPr>
        <w:autoSpaceDE w:val="0"/>
        <w:autoSpaceDN w:val="0"/>
        <w:adjustRightInd w:val="0"/>
        <w:rPr>
          <w:rFonts w:ascii="Arial" w:hAnsi="Arial" w:cs="Arial"/>
          <w:sz w:val="21"/>
          <w:szCs w:val="21"/>
        </w:rPr>
      </w:pPr>
    </w:p>
    <w:p w:rsidR="0023741E" w:rsidRPr="00544356" w:rsidRDefault="0023741E" w:rsidP="00096685">
      <w:pPr>
        <w:autoSpaceDE w:val="0"/>
        <w:autoSpaceDN w:val="0"/>
        <w:adjustRightInd w:val="0"/>
        <w:rPr>
          <w:rFonts w:ascii="Arial" w:hAnsi="Arial" w:cs="Arial"/>
          <w:sz w:val="21"/>
          <w:szCs w:val="21"/>
        </w:rPr>
      </w:pPr>
    </w:p>
    <w:p w:rsidR="0000783E" w:rsidRDefault="0000783E" w:rsidP="00096685">
      <w:pPr>
        <w:autoSpaceDE w:val="0"/>
        <w:autoSpaceDN w:val="0"/>
        <w:adjustRightInd w:val="0"/>
        <w:rPr>
          <w:rFonts w:ascii="Arial" w:hAnsi="Arial" w:cs="Arial"/>
          <w:sz w:val="48"/>
          <w:szCs w:val="48"/>
        </w:rPr>
      </w:pPr>
    </w:p>
    <w:p w:rsidR="0023741E" w:rsidRPr="0043392E" w:rsidRDefault="0023741E" w:rsidP="0043392E">
      <w:pPr>
        <w:autoSpaceDE w:val="0"/>
        <w:autoSpaceDN w:val="0"/>
        <w:adjustRightInd w:val="0"/>
        <w:jc w:val="center"/>
        <w:rPr>
          <w:rFonts w:ascii="Arial" w:hAnsi="Arial" w:cs="Arial"/>
          <w:b/>
          <w:sz w:val="60"/>
          <w:szCs w:val="60"/>
        </w:rPr>
      </w:pPr>
      <w:r w:rsidRPr="0043392E">
        <w:rPr>
          <w:rFonts w:ascii="Arial" w:hAnsi="Arial" w:cs="Arial"/>
          <w:b/>
          <w:sz w:val="60"/>
          <w:szCs w:val="60"/>
        </w:rPr>
        <w:t>Oxford Health NHS Foundation Trust</w:t>
      </w:r>
    </w:p>
    <w:p w:rsidR="0023741E" w:rsidRPr="0043392E" w:rsidRDefault="0023741E" w:rsidP="00096685">
      <w:pPr>
        <w:autoSpaceDE w:val="0"/>
        <w:autoSpaceDN w:val="0"/>
        <w:adjustRightInd w:val="0"/>
        <w:rPr>
          <w:rFonts w:ascii="Arial" w:hAnsi="Arial" w:cs="Arial"/>
          <w:b/>
          <w:sz w:val="60"/>
          <w:szCs w:val="60"/>
        </w:rPr>
      </w:pPr>
    </w:p>
    <w:p w:rsidR="0023741E" w:rsidRPr="0043392E" w:rsidRDefault="0023741E" w:rsidP="0043392E">
      <w:pPr>
        <w:autoSpaceDE w:val="0"/>
        <w:autoSpaceDN w:val="0"/>
        <w:adjustRightInd w:val="0"/>
        <w:jc w:val="center"/>
        <w:rPr>
          <w:rFonts w:ascii="Arial" w:hAnsi="Arial" w:cs="Arial"/>
          <w:b/>
          <w:sz w:val="56"/>
          <w:szCs w:val="56"/>
        </w:rPr>
      </w:pPr>
      <w:r w:rsidRPr="0043392E">
        <w:rPr>
          <w:rFonts w:ascii="Arial" w:hAnsi="Arial" w:cs="Arial"/>
          <w:b/>
          <w:sz w:val="60"/>
          <w:szCs w:val="60"/>
        </w:rPr>
        <w:t xml:space="preserve">Quality </w:t>
      </w:r>
      <w:r w:rsidR="0043392E" w:rsidRPr="0043392E">
        <w:rPr>
          <w:rFonts w:ascii="Arial" w:hAnsi="Arial" w:cs="Arial"/>
          <w:b/>
          <w:sz w:val="60"/>
          <w:szCs w:val="60"/>
        </w:rPr>
        <w:t>Report 2011/12</w:t>
      </w:r>
      <w:r w:rsidR="0043392E">
        <w:rPr>
          <w:rFonts w:ascii="Arial" w:hAnsi="Arial" w:cs="Arial"/>
          <w:b/>
          <w:sz w:val="60"/>
          <w:szCs w:val="60"/>
        </w:rPr>
        <w:t xml:space="preserve"> </w:t>
      </w:r>
      <w:r w:rsidR="00886136" w:rsidRPr="0043392E">
        <w:rPr>
          <w:rFonts w:ascii="Arial" w:hAnsi="Arial" w:cs="Arial"/>
          <w:b/>
          <w:sz w:val="60"/>
          <w:szCs w:val="60"/>
        </w:rPr>
        <w:t xml:space="preserve">and </w:t>
      </w:r>
      <w:r w:rsidR="0043392E">
        <w:rPr>
          <w:rFonts w:ascii="Arial" w:hAnsi="Arial" w:cs="Arial"/>
          <w:b/>
          <w:sz w:val="60"/>
          <w:szCs w:val="60"/>
        </w:rPr>
        <w:t xml:space="preserve">Quality </w:t>
      </w:r>
      <w:r w:rsidR="0043392E" w:rsidRPr="0043392E">
        <w:rPr>
          <w:rFonts w:ascii="Arial" w:hAnsi="Arial" w:cs="Arial"/>
          <w:b/>
          <w:sz w:val="60"/>
          <w:szCs w:val="60"/>
        </w:rPr>
        <w:t>Account 2012/13</w:t>
      </w:r>
    </w:p>
    <w:p w:rsidR="0023741E" w:rsidRPr="0043392E" w:rsidRDefault="0023741E" w:rsidP="00096685">
      <w:pPr>
        <w:autoSpaceDE w:val="0"/>
        <w:autoSpaceDN w:val="0"/>
        <w:adjustRightInd w:val="0"/>
        <w:rPr>
          <w:rFonts w:ascii="Arial" w:hAnsi="Arial" w:cs="Arial"/>
          <w:b/>
          <w:sz w:val="56"/>
          <w:szCs w:val="56"/>
        </w:rPr>
      </w:pPr>
    </w:p>
    <w:p w:rsidR="00783316" w:rsidRDefault="00783316" w:rsidP="00096685">
      <w:pPr>
        <w:autoSpaceDE w:val="0"/>
        <w:autoSpaceDN w:val="0"/>
        <w:adjustRightInd w:val="0"/>
        <w:rPr>
          <w:rFonts w:ascii="Arial" w:hAnsi="Arial" w:cs="Arial"/>
          <w:sz w:val="21"/>
          <w:szCs w:val="21"/>
        </w:rPr>
      </w:pPr>
    </w:p>
    <w:p w:rsidR="0092476F" w:rsidRDefault="0092476F" w:rsidP="00096685">
      <w:pPr>
        <w:autoSpaceDE w:val="0"/>
        <w:autoSpaceDN w:val="0"/>
        <w:adjustRightInd w:val="0"/>
        <w:rPr>
          <w:rFonts w:ascii="Arial" w:hAnsi="Arial" w:cs="Arial"/>
          <w:sz w:val="21"/>
          <w:szCs w:val="21"/>
        </w:rPr>
      </w:pPr>
    </w:p>
    <w:p w:rsidR="0092476F" w:rsidRDefault="0092476F" w:rsidP="00096685">
      <w:pPr>
        <w:autoSpaceDE w:val="0"/>
        <w:autoSpaceDN w:val="0"/>
        <w:adjustRightInd w:val="0"/>
        <w:rPr>
          <w:rFonts w:ascii="Arial" w:hAnsi="Arial" w:cs="Arial"/>
          <w:sz w:val="21"/>
          <w:szCs w:val="21"/>
        </w:rPr>
      </w:pPr>
    </w:p>
    <w:p w:rsidR="0092476F" w:rsidRDefault="0092476F" w:rsidP="00096685">
      <w:pPr>
        <w:autoSpaceDE w:val="0"/>
        <w:autoSpaceDN w:val="0"/>
        <w:adjustRightInd w:val="0"/>
        <w:rPr>
          <w:rFonts w:ascii="Arial" w:hAnsi="Arial" w:cs="Arial"/>
          <w:sz w:val="21"/>
          <w:szCs w:val="21"/>
        </w:rPr>
      </w:pPr>
    </w:p>
    <w:p w:rsidR="0092476F" w:rsidRDefault="0092476F" w:rsidP="00096685">
      <w:pPr>
        <w:autoSpaceDE w:val="0"/>
        <w:autoSpaceDN w:val="0"/>
        <w:adjustRightInd w:val="0"/>
        <w:rPr>
          <w:rFonts w:ascii="Arial" w:hAnsi="Arial" w:cs="Arial"/>
          <w:sz w:val="21"/>
          <w:szCs w:val="21"/>
        </w:rPr>
      </w:pPr>
    </w:p>
    <w:p w:rsidR="0092476F" w:rsidRDefault="0092476F" w:rsidP="00096685">
      <w:pPr>
        <w:autoSpaceDE w:val="0"/>
        <w:autoSpaceDN w:val="0"/>
        <w:adjustRightInd w:val="0"/>
        <w:rPr>
          <w:rFonts w:ascii="Arial" w:hAnsi="Arial" w:cs="Arial"/>
          <w:sz w:val="21"/>
          <w:szCs w:val="21"/>
        </w:rPr>
      </w:pPr>
    </w:p>
    <w:p w:rsidR="0092476F" w:rsidRDefault="0092476F" w:rsidP="00096685">
      <w:pPr>
        <w:autoSpaceDE w:val="0"/>
        <w:autoSpaceDN w:val="0"/>
        <w:adjustRightInd w:val="0"/>
        <w:rPr>
          <w:rFonts w:ascii="Arial" w:hAnsi="Arial" w:cs="Arial"/>
          <w:sz w:val="21"/>
          <w:szCs w:val="21"/>
        </w:rPr>
      </w:pPr>
    </w:p>
    <w:p w:rsidR="0092476F" w:rsidRDefault="0092476F" w:rsidP="00096685">
      <w:pPr>
        <w:autoSpaceDE w:val="0"/>
        <w:autoSpaceDN w:val="0"/>
        <w:adjustRightInd w:val="0"/>
        <w:rPr>
          <w:rFonts w:ascii="Arial" w:hAnsi="Arial" w:cs="Arial"/>
          <w:sz w:val="21"/>
          <w:szCs w:val="21"/>
        </w:rPr>
      </w:pPr>
    </w:p>
    <w:p w:rsidR="0092476F" w:rsidRDefault="0092476F" w:rsidP="00096685">
      <w:pPr>
        <w:autoSpaceDE w:val="0"/>
        <w:autoSpaceDN w:val="0"/>
        <w:adjustRightInd w:val="0"/>
        <w:rPr>
          <w:rFonts w:ascii="Arial" w:hAnsi="Arial" w:cs="Arial"/>
          <w:sz w:val="21"/>
          <w:szCs w:val="21"/>
        </w:rPr>
      </w:pPr>
    </w:p>
    <w:p w:rsidR="0092476F" w:rsidRDefault="0092476F" w:rsidP="00096685">
      <w:pPr>
        <w:autoSpaceDE w:val="0"/>
        <w:autoSpaceDN w:val="0"/>
        <w:adjustRightInd w:val="0"/>
        <w:rPr>
          <w:rFonts w:ascii="Arial" w:hAnsi="Arial" w:cs="Arial"/>
          <w:sz w:val="21"/>
          <w:szCs w:val="21"/>
        </w:rPr>
      </w:pPr>
    </w:p>
    <w:p w:rsidR="0092476F" w:rsidRDefault="0092476F" w:rsidP="00096685">
      <w:pPr>
        <w:autoSpaceDE w:val="0"/>
        <w:autoSpaceDN w:val="0"/>
        <w:adjustRightInd w:val="0"/>
        <w:rPr>
          <w:rFonts w:ascii="Arial" w:hAnsi="Arial" w:cs="Arial"/>
          <w:sz w:val="21"/>
          <w:szCs w:val="21"/>
        </w:rPr>
      </w:pPr>
    </w:p>
    <w:p w:rsidR="0092476F" w:rsidRDefault="0092476F" w:rsidP="00096685">
      <w:pPr>
        <w:autoSpaceDE w:val="0"/>
        <w:autoSpaceDN w:val="0"/>
        <w:adjustRightInd w:val="0"/>
        <w:rPr>
          <w:rFonts w:ascii="Arial" w:hAnsi="Arial" w:cs="Arial"/>
          <w:sz w:val="21"/>
          <w:szCs w:val="21"/>
        </w:rPr>
      </w:pPr>
    </w:p>
    <w:p w:rsidR="0092476F" w:rsidRDefault="0092476F" w:rsidP="00096685">
      <w:pPr>
        <w:autoSpaceDE w:val="0"/>
        <w:autoSpaceDN w:val="0"/>
        <w:adjustRightInd w:val="0"/>
        <w:rPr>
          <w:rFonts w:ascii="Arial" w:hAnsi="Arial" w:cs="Arial"/>
          <w:sz w:val="21"/>
          <w:szCs w:val="21"/>
        </w:rPr>
      </w:pPr>
    </w:p>
    <w:p w:rsidR="0092476F" w:rsidRDefault="0092476F" w:rsidP="00096685">
      <w:pPr>
        <w:autoSpaceDE w:val="0"/>
        <w:autoSpaceDN w:val="0"/>
        <w:adjustRightInd w:val="0"/>
        <w:rPr>
          <w:rFonts w:ascii="Arial" w:hAnsi="Arial" w:cs="Arial"/>
          <w:sz w:val="21"/>
          <w:szCs w:val="21"/>
        </w:rPr>
      </w:pPr>
    </w:p>
    <w:p w:rsidR="0092476F" w:rsidRDefault="0092476F" w:rsidP="00096685">
      <w:pPr>
        <w:autoSpaceDE w:val="0"/>
        <w:autoSpaceDN w:val="0"/>
        <w:adjustRightInd w:val="0"/>
        <w:rPr>
          <w:rFonts w:ascii="Arial" w:hAnsi="Arial" w:cs="Arial"/>
          <w:sz w:val="21"/>
          <w:szCs w:val="21"/>
        </w:rPr>
      </w:pPr>
    </w:p>
    <w:p w:rsidR="00C3155B" w:rsidRDefault="00C3155B" w:rsidP="00096685">
      <w:pPr>
        <w:autoSpaceDE w:val="0"/>
        <w:autoSpaceDN w:val="0"/>
        <w:adjustRightInd w:val="0"/>
        <w:rPr>
          <w:rFonts w:ascii="Arial" w:hAnsi="Arial" w:cs="Arial"/>
          <w:sz w:val="21"/>
          <w:szCs w:val="21"/>
        </w:rPr>
        <w:sectPr w:rsidR="00C3155B" w:rsidSect="002B766E">
          <w:headerReference w:type="default" r:id="rId9"/>
          <w:footerReference w:type="even" r:id="rId10"/>
          <w:footerReference w:type="default" r:id="rId11"/>
          <w:type w:val="continuous"/>
          <w:pgSz w:w="11906" w:h="16838"/>
          <w:pgMar w:top="720" w:right="720" w:bottom="720" w:left="720" w:header="709" w:footer="709" w:gutter="0"/>
          <w:cols w:space="708"/>
          <w:docGrid w:linePitch="360"/>
        </w:sectPr>
      </w:pPr>
    </w:p>
    <w:p w:rsidR="0092476F" w:rsidRDefault="0092476F" w:rsidP="00096685">
      <w:pPr>
        <w:autoSpaceDE w:val="0"/>
        <w:autoSpaceDN w:val="0"/>
        <w:adjustRightInd w:val="0"/>
        <w:rPr>
          <w:rFonts w:ascii="Arial" w:hAnsi="Arial" w:cs="Arial"/>
          <w:sz w:val="21"/>
          <w:szCs w:val="21"/>
        </w:rPr>
        <w:sectPr w:rsidR="0092476F" w:rsidSect="00C3155B">
          <w:footerReference w:type="default" r:id="rId12"/>
          <w:pgSz w:w="11906" w:h="16838"/>
          <w:pgMar w:top="720" w:right="720" w:bottom="720" w:left="720" w:header="709" w:footer="709" w:gutter="0"/>
          <w:cols w:space="708"/>
          <w:docGrid w:linePitch="360"/>
        </w:sectPr>
      </w:pPr>
    </w:p>
    <w:p w:rsidR="0023741E" w:rsidRPr="00544356" w:rsidRDefault="0023741E"/>
    <w:p w:rsidR="0023741E" w:rsidRPr="00AD61F9" w:rsidRDefault="00AD61F9" w:rsidP="00AD61F9">
      <w:pPr>
        <w:pStyle w:val="TOCHeading"/>
        <w:jc w:val="center"/>
        <w:rPr>
          <w:i w:val="0"/>
        </w:rPr>
      </w:pPr>
      <w:r w:rsidRPr="00AD61F9">
        <w:rPr>
          <w:i w:val="0"/>
        </w:rPr>
        <w:t>CONTENTS</w:t>
      </w:r>
    </w:p>
    <w:p w:rsidR="00695F7E" w:rsidRDefault="001E1073">
      <w:pPr>
        <w:pStyle w:val="TOC1"/>
        <w:tabs>
          <w:tab w:val="left" w:pos="1100"/>
          <w:tab w:val="right" w:leader="dot" w:pos="9016"/>
        </w:tabs>
        <w:rPr>
          <w:rFonts w:asciiTheme="minorHAnsi" w:eastAsiaTheme="minorEastAsia" w:hAnsiTheme="minorHAnsi" w:cstheme="minorBidi"/>
          <w:b w:val="0"/>
          <w:noProof/>
          <w:sz w:val="22"/>
          <w:lang w:val="en-GB" w:eastAsia="en-GB"/>
        </w:rPr>
      </w:pPr>
      <w:r w:rsidRPr="001E1073">
        <w:fldChar w:fldCharType="begin"/>
      </w:r>
      <w:r w:rsidR="006E4017">
        <w:instrText xml:space="preserve"> TOC \o "1-2" \h \z \u \t "Style Heading 3 + Pattern: Clear (Gray-25%),3,Style1,3" </w:instrText>
      </w:r>
      <w:r w:rsidRPr="001E1073">
        <w:fldChar w:fldCharType="separate"/>
      </w:r>
      <w:hyperlink w:anchor="_Toc323283983" w:history="1">
        <w:r w:rsidR="00695F7E" w:rsidRPr="00793128">
          <w:rPr>
            <w:rStyle w:val="Hyperlink"/>
            <w:noProof/>
          </w:rPr>
          <w:t xml:space="preserve">Part 1. </w:t>
        </w:r>
        <w:r w:rsidR="00695F7E">
          <w:rPr>
            <w:rFonts w:asciiTheme="minorHAnsi" w:eastAsiaTheme="minorEastAsia" w:hAnsiTheme="minorHAnsi" w:cstheme="minorBidi"/>
            <w:b w:val="0"/>
            <w:noProof/>
            <w:sz w:val="22"/>
            <w:lang w:val="en-GB" w:eastAsia="en-GB"/>
          </w:rPr>
          <w:tab/>
        </w:r>
        <w:r w:rsidR="00695F7E" w:rsidRPr="00793128">
          <w:rPr>
            <w:rStyle w:val="Hyperlink"/>
            <w:noProof/>
          </w:rPr>
          <w:t>Statement on Quality from the Chief Executive</w:t>
        </w:r>
        <w:r w:rsidR="00695F7E">
          <w:rPr>
            <w:noProof/>
            <w:webHidden/>
          </w:rPr>
          <w:tab/>
        </w:r>
        <w:r>
          <w:rPr>
            <w:noProof/>
            <w:webHidden/>
          </w:rPr>
          <w:fldChar w:fldCharType="begin"/>
        </w:r>
        <w:r w:rsidR="00695F7E">
          <w:rPr>
            <w:noProof/>
            <w:webHidden/>
          </w:rPr>
          <w:instrText xml:space="preserve"> PAGEREF _Toc323283983 \h </w:instrText>
        </w:r>
        <w:r>
          <w:rPr>
            <w:noProof/>
            <w:webHidden/>
          </w:rPr>
        </w:r>
        <w:r>
          <w:rPr>
            <w:noProof/>
            <w:webHidden/>
          </w:rPr>
          <w:fldChar w:fldCharType="separate"/>
        </w:r>
        <w:r w:rsidR="00FA3305">
          <w:rPr>
            <w:noProof/>
            <w:webHidden/>
          </w:rPr>
          <w:t>3</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3984" w:history="1">
        <w:r w:rsidR="00695F7E" w:rsidRPr="00793128">
          <w:rPr>
            <w:rStyle w:val="Hyperlink"/>
            <w:noProof/>
          </w:rPr>
          <w:t>What we do</w:t>
        </w:r>
        <w:r w:rsidR="00695F7E">
          <w:rPr>
            <w:noProof/>
            <w:webHidden/>
          </w:rPr>
          <w:tab/>
        </w:r>
        <w:r>
          <w:rPr>
            <w:noProof/>
            <w:webHidden/>
          </w:rPr>
          <w:fldChar w:fldCharType="begin"/>
        </w:r>
        <w:r w:rsidR="00695F7E">
          <w:rPr>
            <w:noProof/>
            <w:webHidden/>
          </w:rPr>
          <w:instrText xml:space="preserve"> PAGEREF _Toc323283984 \h </w:instrText>
        </w:r>
        <w:r>
          <w:rPr>
            <w:noProof/>
            <w:webHidden/>
          </w:rPr>
        </w:r>
        <w:r>
          <w:rPr>
            <w:noProof/>
            <w:webHidden/>
          </w:rPr>
          <w:fldChar w:fldCharType="separate"/>
        </w:r>
        <w:r w:rsidR="00FA3305">
          <w:rPr>
            <w:noProof/>
            <w:webHidden/>
          </w:rPr>
          <w:t>3</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3985" w:history="1">
        <w:r w:rsidR="00695F7E" w:rsidRPr="00793128">
          <w:rPr>
            <w:rStyle w:val="Hyperlink"/>
            <w:noProof/>
          </w:rPr>
          <w:t>Quality Initiatives 2011/12</w:t>
        </w:r>
        <w:r w:rsidR="00695F7E">
          <w:rPr>
            <w:noProof/>
            <w:webHidden/>
          </w:rPr>
          <w:tab/>
        </w:r>
        <w:r>
          <w:rPr>
            <w:noProof/>
            <w:webHidden/>
          </w:rPr>
          <w:fldChar w:fldCharType="begin"/>
        </w:r>
        <w:r w:rsidR="00695F7E">
          <w:rPr>
            <w:noProof/>
            <w:webHidden/>
          </w:rPr>
          <w:instrText xml:space="preserve"> PAGEREF _Toc323283985 \h </w:instrText>
        </w:r>
        <w:r>
          <w:rPr>
            <w:noProof/>
            <w:webHidden/>
          </w:rPr>
        </w:r>
        <w:r>
          <w:rPr>
            <w:noProof/>
            <w:webHidden/>
          </w:rPr>
          <w:fldChar w:fldCharType="separate"/>
        </w:r>
        <w:r w:rsidR="00FA3305">
          <w:rPr>
            <w:noProof/>
            <w:webHidden/>
          </w:rPr>
          <w:t>3</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3986" w:history="1">
        <w:r w:rsidR="00695F7E" w:rsidRPr="00793128">
          <w:rPr>
            <w:rStyle w:val="Hyperlink"/>
            <w:noProof/>
          </w:rPr>
          <w:t>Quality Initiatives 2012/13</w:t>
        </w:r>
        <w:r w:rsidR="00695F7E">
          <w:rPr>
            <w:noProof/>
            <w:webHidden/>
          </w:rPr>
          <w:tab/>
        </w:r>
        <w:r>
          <w:rPr>
            <w:noProof/>
            <w:webHidden/>
          </w:rPr>
          <w:fldChar w:fldCharType="begin"/>
        </w:r>
        <w:r w:rsidR="00695F7E">
          <w:rPr>
            <w:noProof/>
            <w:webHidden/>
          </w:rPr>
          <w:instrText xml:space="preserve"> PAGEREF _Toc323283986 \h </w:instrText>
        </w:r>
        <w:r>
          <w:rPr>
            <w:noProof/>
            <w:webHidden/>
          </w:rPr>
        </w:r>
        <w:r>
          <w:rPr>
            <w:noProof/>
            <w:webHidden/>
          </w:rPr>
          <w:fldChar w:fldCharType="separate"/>
        </w:r>
        <w:r w:rsidR="00FA3305">
          <w:rPr>
            <w:noProof/>
            <w:webHidden/>
          </w:rPr>
          <w:t>5</w:t>
        </w:r>
        <w:r>
          <w:rPr>
            <w:noProof/>
            <w:webHidden/>
          </w:rPr>
          <w:fldChar w:fldCharType="end"/>
        </w:r>
      </w:hyperlink>
    </w:p>
    <w:p w:rsidR="00695F7E" w:rsidRDefault="001E1073">
      <w:pPr>
        <w:pStyle w:val="TOC1"/>
        <w:tabs>
          <w:tab w:val="left" w:pos="1100"/>
          <w:tab w:val="right" w:leader="dot" w:pos="9016"/>
        </w:tabs>
        <w:rPr>
          <w:rFonts w:asciiTheme="minorHAnsi" w:eastAsiaTheme="minorEastAsia" w:hAnsiTheme="minorHAnsi" w:cstheme="minorBidi"/>
          <w:b w:val="0"/>
          <w:noProof/>
          <w:sz w:val="22"/>
          <w:lang w:val="en-GB" w:eastAsia="en-GB"/>
        </w:rPr>
      </w:pPr>
      <w:hyperlink w:anchor="_Toc323283987" w:history="1">
        <w:r w:rsidR="00695F7E" w:rsidRPr="00793128">
          <w:rPr>
            <w:rStyle w:val="Hyperlink"/>
            <w:noProof/>
          </w:rPr>
          <w:t>Part 2a.</w:t>
        </w:r>
        <w:r w:rsidR="00695F7E">
          <w:rPr>
            <w:rFonts w:asciiTheme="minorHAnsi" w:eastAsiaTheme="minorEastAsia" w:hAnsiTheme="minorHAnsi" w:cstheme="minorBidi"/>
            <w:b w:val="0"/>
            <w:noProof/>
            <w:sz w:val="22"/>
            <w:lang w:val="en-GB" w:eastAsia="en-GB"/>
          </w:rPr>
          <w:tab/>
        </w:r>
        <w:r w:rsidR="00695F7E" w:rsidRPr="00793128">
          <w:rPr>
            <w:rStyle w:val="Hyperlink"/>
            <w:noProof/>
          </w:rPr>
          <w:t>Looking Forward: Priorities for Improvement 2012-2013</w:t>
        </w:r>
        <w:r w:rsidR="00695F7E">
          <w:rPr>
            <w:noProof/>
            <w:webHidden/>
          </w:rPr>
          <w:tab/>
        </w:r>
        <w:r>
          <w:rPr>
            <w:noProof/>
            <w:webHidden/>
          </w:rPr>
          <w:fldChar w:fldCharType="begin"/>
        </w:r>
        <w:r w:rsidR="00695F7E">
          <w:rPr>
            <w:noProof/>
            <w:webHidden/>
          </w:rPr>
          <w:instrText xml:space="preserve"> PAGEREF _Toc323283987 \h </w:instrText>
        </w:r>
        <w:r>
          <w:rPr>
            <w:noProof/>
            <w:webHidden/>
          </w:rPr>
        </w:r>
        <w:r>
          <w:rPr>
            <w:noProof/>
            <w:webHidden/>
          </w:rPr>
          <w:fldChar w:fldCharType="separate"/>
        </w:r>
        <w:r w:rsidR="00FA3305">
          <w:rPr>
            <w:noProof/>
            <w:webHidden/>
          </w:rPr>
          <w:t>6</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3988" w:history="1">
        <w:r w:rsidR="00695F7E" w:rsidRPr="00793128">
          <w:rPr>
            <w:rStyle w:val="Hyperlink"/>
            <w:noProof/>
          </w:rPr>
          <w:t>Priorities for Improvement 2012/13</w:t>
        </w:r>
        <w:r w:rsidR="00695F7E">
          <w:rPr>
            <w:noProof/>
            <w:webHidden/>
          </w:rPr>
          <w:tab/>
        </w:r>
        <w:r>
          <w:rPr>
            <w:noProof/>
            <w:webHidden/>
          </w:rPr>
          <w:fldChar w:fldCharType="begin"/>
        </w:r>
        <w:r w:rsidR="00695F7E">
          <w:rPr>
            <w:noProof/>
            <w:webHidden/>
          </w:rPr>
          <w:instrText xml:space="preserve"> PAGEREF _Toc323283988 \h </w:instrText>
        </w:r>
        <w:r>
          <w:rPr>
            <w:noProof/>
            <w:webHidden/>
          </w:rPr>
        </w:r>
        <w:r>
          <w:rPr>
            <w:noProof/>
            <w:webHidden/>
          </w:rPr>
          <w:fldChar w:fldCharType="separate"/>
        </w:r>
        <w:r w:rsidR="00FA3305">
          <w:rPr>
            <w:noProof/>
            <w:webHidden/>
          </w:rPr>
          <w:t>6</w:t>
        </w:r>
        <w:r>
          <w:rPr>
            <w:noProof/>
            <w:webHidden/>
          </w:rPr>
          <w:fldChar w:fldCharType="end"/>
        </w:r>
      </w:hyperlink>
    </w:p>
    <w:p w:rsidR="00695F7E" w:rsidRDefault="001E1073">
      <w:pPr>
        <w:pStyle w:val="TOC1"/>
        <w:tabs>
          <w:tab w:val="left" w:pos="1320"/>
          <w:tab w:val="right" w:leader="dot" w:pos="9016"/>
        </w:tabs>
        <w:rPr>
          <w:rFonts w:asciiTheme="minorHAnsi" w:eastAsiaTheme="minorEastAsia" w:hAnsiTheme="minorHAnsi" w:cstheme="minorBidi"/>
          <w:b w:val="0"/>
          <w:noProof/>
          <w:sz w:val="22"/>
          <w:lang w:val="en-GB" w:eastAsia="en-GB"/>
        </w:rPr>
      </w:pPr>
      <w:hyperlink w:anchor="_Toc323283989" w:history="1">
        <w:r w:rsidR="00695F7E" w:rsidRPr="00793128">
          <w:rPr>
            <w:rStyle w:val="Hyperlink"/>
            <w:noProof/>
          </w:rPr>
          <w:t>Part 2b.</w:t>
        </w:r>
        <w:r w:rsidR="00695F7E">
          <w:rPr>
            <w:rFonts w:asciiTheme="minorHAnsi" w:eastAsiaTheme="minorEastAsia" w:hAnsiTheme="minorHAnsi" w:cstheme="minorBidi"/>
            <w:b w:val="0"/>
            <w:noProof/>
            <w:sz w:val="22"/>
            <w:lang w:val="en-GB" w:eastAsia="en-GB"/>
          </w:rPr>
          <w:tab/>
        </w:r>
        <w:r w:rsidR="00695F7E" w:rsidRPr="00793128">
          <w:rPr>
            <w:rStyle w:val="Hyperlink"/>
            <w:noProof/>
          </w:rPr>
          <w:t>Statements of Assurance from the Board of Directors</w:t>
        </w:r>
        <w:r w:rsidR="00695F7E">
          <w:rPr>
            <w:noProof/>
            <w:webHidden/>
          </w:rPr>
          <w:tab/>
        </w:r>
        <w:r>
          <w:rPr>
            <w:noProof/>
            <w:webHidden/>
          </w:rPr>
          <w:fldChar w:fldCharType="begin"/>
        </w:r>
        <w:r w:rsidR="00695F7E">
          <w:rPr>
            <w:noProof/>
            <w:webHidden/>
          </w:rPr>
          <w:instrText xml:space="preserve"> PAGEREF _Toc323283989 \h </w:instrText>
        </w:r>
        <w:r>
          <w:rPr>
            <w:noProof/>
            <w:webHidden/>
          </w:rPr>
        </w:r>
        <w:r>
          <w:rPr>
            <w:noProof/>
            <w:webHidden/>
          </w:rPr>
          <w:fldChar w:fldCharType="separate"/>
        </w:r>
        <w:r w:rsidR="00FA3305">
          <w:rPr>
            <w:noProof/>
            <w:webHidden/>
          </w:rPr>
          <w:t>17</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3990" w:history="1">
        <w:r w:rsidR="00695F7E" w:rsidRPr="00793128">
          <w:rPr>
            <w:rStyle w:val="Hyperlink"/>
            <w:noProof/>
          </w:rPr>
          <w:t>Review of Services</w:t>
        </w:r>
        <w:r w:rsidR="00695F7E">
          <w:rPr>
            <w:noProof/>
            <w:webHidden/>
          </w:rPr>
          <w:tab/>
        </w:r>
        <w:r>
          <w:rPr>
            <w:noProof/>
            <w:webHidden/>
          </w:rPr>
          <w:fldChar w:fldCharType="begin"/>
        </w:r>
        <w:r w:rsidR="00695F7E">
          <w:rPr>
            <w:noProof/>
            <w:webHidden/>
          </w:rPr>
          <w:instrText xml:space="preserve"> PAGEREF _Toc323283990 \h </w:instrText>
        </w:r>
        <w:r>
          <w:rPr>
            <w:noProof/>
            <w:webHidden/>
          </w:rPr>
        </w:r>
        <w:r>
          <w:rPr>
            <w:noProof/>
            <w:webHidden/>
          </w:rPr>
          <w:fldChar w:fldCharType="separate"/>
        </w:r>
        <w:r w:rsidR="00FA3305">
          <w:rPr>
            <w:noProof/>
            <w:webHidden/>
          </w:rPr>
          <w:t>17</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3991" w:history="1">
        <w:r w:rsidR="00695F7E" w:rsidRPr="00793128">
          <w:rPr>
            <w:rStyle w:val="Hyperlink"/>
            <w:noProof/>
          </w:rPr>
          <w:t>Participation in Clinical Audits and National Confidential Enquiries</w:t>
        </w:r>
        <w:r w:rsidR="00695F7E">
          <w:rPr>
            <w:noProof/>
            <w:webHidden/>
          </w:rPr>
          <w:tab/>
        </w:r>
        <w:r>
          <w:rPr>
            <w:noProof/>
            <w:webHidden/>
          </w:rPr>
          <w:fldChar w:fldCharType="begin"/>
        </w:r>
        <w:r w:rsidR="00695F7E">
          <w:rPr>
            <w:noProof/>
            <w:webHidden/>
          </w:rPr>
          <w:instrText xml:space="preserve"> PAGEREF _Toc323283991 \h </w:instrText>
        </w:r>
        <w:r>
          <w:rPr>
            <w:noProof/>
            <w:webHidden/>
          </w:rPr>
        </w:r>
        <w:r>
          <w:rPr>
            <w:noProof/>
            <w:webHidden/>
          </w:rPr>
          <w:fldChar w:fldCharType="separate"/>
        </w:r>
        <w:r w:rsidR="00FA3305">
          <w:rPr>
            <w:noProof/>
            <w:webHidden/>
          </w:rPr>
          <w:t>18</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3992" w:history="1">
        <w:r w:rsidR="00695F7E" w:rsidRPr="00793128">
          <w:rPr>
            <w:rStyle w:val="Hyperlink"/>
            <w:noProof/>
          </w:rPr>
          <w:t>Participation in Clinical Research</w:t>
        </w:r>
        <w:r w:rsidR="00695F7E">
          <w:rPr>
            <w:noProof/>
            <w:webHidden/>
          </w:rPr>
          <w:tab/>
        </w:r>
        <w:r>
          <w:rPr>
            <w:noProof/>
            <w:webHidden/>
          </w:rPr>
          <w:fldChar w:fldCharType="begin"/>
        </w:r>
        <w:r w:rsidR="00695F7E">
          <w:rPr>
            <w:noProof/>
            <w:webHidden/>
          </w:rPr>
          <w:instrText xml:space="preserve"> PAGEREF _Toc323283992 \h </w:instrText>
        </w:r>
        <w:r>
          <w:rPr>
            <w:noProof/>
            <w:webHidden/>
          </w:rPr>
        </w:r>
        <w:r>
          <w:rPr>
            <w:noProof/>
            <w:webHidden/>
          </w:rPr>
          <w:fldChar w:fldCharType="separate"/>
        </w:r>
        <w:r w:rsidR="00FA3305">
          <w:rPr>
            <w:noProof/>
            <w:webHidden/>
          </w:rPr>
          <w:t>19</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3993" w:history="1">
        <w:r w:rsidR="00695F7E" w:rsidRPr="00793128">
          <w:rPr>
            <w:rStyle w:val="Hyperlink"/>
            <w:noProof/>
          </w:rPr>
          <w:t>Use of the CQUIN payment framework</w:t>
        </w:r>
        <w:r w:rsidR="00695F7E">
          <w:rPr>
            <w:noProof/>
            <w:webHidden/>
          </w:rPr>
          <w:tab/>
        </w:r>
        <w:r>
          <w:rPr>
            <w:noProof/>
            <w:webHidden/>
          </w:rPr>
          <w:fldChar w:fldCharType="begin"/>
        </w:r>
        <w:r w:rsidR="00695F7E">
          <w:rPr>
            <w:noProof/>
            <w:webHidden/>
          </w:rPr>
          <w:instrText xml:space="preserve"> PAGEREF _Toc323283993 \h </w:instrText>
        </w:r>
        <w:r>
          <w:rPr>
            <w:noProof/>
            <w:webHidden/>
          </w:rPr>
        </w:r>
        <w:r>
          <w:rPr>
            <w:noProof/>
            <w:webHidden/>
          </w:rPr>
          <w:fldChar w:fldCharType="separate"/>
        </w:r>
        <w:r w:rsidR="00FA3305">
          <w:rPr>
            <w:noProof/>
            <w:webHidden/>
          </w:rPr>
          <w:t>19</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3994" w:history="1">
        <w:r w:rsidR="00695F7E" w:rsidRPr="00793128">
          <w:rPr>
            <w:rStyle w:val="Hyperlink"/>
            <w:noProof/>
          </w:rPr>
          <w:t>Statements from the Care Quality Commission</w:t>
        </w:r>
        <w:r w:rsidR="00695F7E">
          <w:rPr>
            <w:noProof/>
            <w:webHidden/>
          </w:rPr>
          <w:tab/>
        </w:r>
        <w:r>
          <w:rPr>
            <w:noProof/>
            <w:webHidden/>
          </w:rPr>
          <w:fldChar w:fldCharType="begin"/>
        </w:r>
        <w:r w:rsidR="00695F7E">
          <w:rPr>
            <w:noProof/>
            <w:webHidden/>
          </w:rPr>
          <w:instrText xml:space="preserve"> PAGEREF _Toc323283994 \h </w:instrText>
        </w:r>
        <w:r>
          <w:rPr>
            <w:noProof/>
            <w:webHidden/>
          </w:rPr>
        </w:r>
        <w:r>
          <w:rPr>
            <w:noProof/>
            <w:webHidden/>
          </w:rPr>
          <w:fldChar w:fldCharType="separate"/>
        </w:r>
        <w:r w:rsidR="00FA3305">
          <w:rPr>
            <w:noProof/>
            <w:webHidden/>
          </w:rPr>
          <w:t>20</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3995" w:history="1">
        <w:r w:rsidR="00695F7E" w:rsidRPr="00793128">
          <w:rPr>
            <w:rStyle w:val="Hyperlink"/>
            <w:noProof/>
          </w:rPr>
          <w:t>Quality of Data</w:t>
        </w:r>
        <w:r w:rsidR="00695F7E">
          <w:rPr>
            <w:noProof/>
            <w:webHidden/>
          </w:rPr>
          <w:tab/>
        </w:r>
        <w:r>
          <w:rPr>
            <w:noProof/>
            <w:webHidden/>
          </w:rPr>
          <w:fldChar w:fldCharType="begin"/>
        </w:r>
        <w:r w:rsidR="00695F7E">
          <w:rPr>
            <w:noProof/>
            <w:webHidden/>
          </w:rPr>
          <w:instrText xml:space="preserve"> PAGEREF _Toc323283995 \h </w:instrText>
        </w:r>
        <w:r>
          <w:rPr>
            <w:noProof/>
            <w:webHidden/>
          </w:rPr>
        </w:r>
        <w:r>
          <w:rPr>
            <w:noProof/>
            <w:webHidden/>
          </w:rPr>
          <w:fldChar w:fldCharType="separate"/>
        </w:r>
        <w:r w:rsidR="00FA3305">
          <w:rPr>
            <w:noProof/>
            <w:webHidden/>
          </w:rPr>
          <w:t>21</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3996" w:history="1">
        <w:r w:rsidR="00695F7E" w:rsidRPr="00793128">
          <w:rPr>
            <w:rStyle w:val="Hyperlink"/>
            <w:noProof/>
          </w:rPr>
          <w:t>Payment by results clinical coding audit</w:t>
        </w:r>
        <w:r w:rsidR="00695F7E">
          <w:rPr>
            <w:noProof/>
            <w:webHidden/>
          </w:rPr>
          <w:tab/>
        </w:r>
        <w:r>
          <w:rPr>
            <w:noProof/>
            <w:webHidden/>
          </w:rPr>
          <w:fldChar w:fldCharType="begin"/>
        </w:r>
        <w:r w:rsidR="00695F7E">
          <w:rPr>
            <w:noProof/>
            <w:webHidden/>
          </w:rPr>
          <w:instrText xml:space="preserve"> PAGEREF _Toc323283996 \h </w:instrText>
        </w:r>
        <w:r>
          <w:rPr>
            <w:noProof/>
            <w:webHidden/>
          </w:rPr>
        </w:r>
        <w:r>
          <w:rPr>
            <w:noProof/>
            <w:webHidden/>
          </w:rPr>
          <w:fldChar w:fldCharType="separate"/>
        </w:r>
        <w:r w:rsidR="00FA3305">
          <w:rPr>
            <w:noProof/>
            <w:webHidden/>
          </w:rPr>
          <w:t>21</w:t>
        </w:r>
        <w:r>
          <w:rPr>
            <w:noProof/>
            <w:webHidden/>
          </w:rPr>
          <w:fldChar w:fldCharType="end"/>
        </w:r>
      </w:hyperlink>
    </w:p>
    <w:p w:rsidR="00695F7E" w:rsidRDefault="001E1073">
      <w:pPr>
        <w:pStyle w:val="TOC1"/>
        <w:tabs>
          <w:tab w:val="left" w:pos="1100"/>
          <w:tab w:val="right" w:leader="dot" w:pos="9016"/>
        </w:tabs>
        <w:rPr>
          <w:rFonts w:asciiTheme="minorHAnsi" w:eastAsiaTheme="minorEastAsia" w:hAnsiTheme="minorHAnsi" w:cstheme="minorBidi"/>
          <w:b w:val="0"/>
          <w:noProof/>
          <w:sz w:val="22"/>
          <w:lang w:val="en-GB" w:eastAsia="en-GB"/>
        </w:rPr>
      </w:pPr>
      <w:hyperlink w:anchor="_Toc323283997" w:history="1">
        <w:r w:rsidR="00695F7E" w:rsidRPr="00793128">
          <w:rPr>
            <w:rStyle w:val="Hyperlink"/>
            <w:noProof/>
          </w:rPr>
          <w:t>Part 3.</w:t>
        </w:r>
        <w:r w:rsidR="00695F7E">
          <w:rPr>
            <w:rFonts w:asciiTheme="minorHAnsi" w:eastAsiaTheme="minorEastAsia" w:hAnsiTheme="minorHAnsi" w:cstheme="minorBidi"/>
            <w:b w:val="0"/>
            <w:noProof/>
            <w:sz w:val="22"/>
            <w:lang w:val="en-GB" w:eastAsia="en-GB"/>
          </w:rPr>
          <w:tab/>
        </w:r>
        <w:r w:rsidR="00695F7E" w:rsidRPr="00793128">
          <w:rPr>
            <w:rStyle w:val="Hyperlink"/>
            <w:noProof/>
          </w:rPr>
          <w:t>Looking Back – Priorities for Improvement 2011/12</w:t>
        </w:r>
        <w:r w:rsidR="00695F7E">
          <w:rPr>
            <w:noProof/>
            <w:webHidden/>
          </w:rPr>
          <w:tab/>
        </w:r>
        <w:r>
          <w:rPr>
            <w:noProof/>
            <w:webHidden/>
          </w:rPr>
          <w:fldChar w:fldCharType="begin"/>
        </w:r>
        <w:r w:rsidR="00695F7E">
          <w:rPr>
            <w:noProof/>
            <w:webHidden/>
          </w:rPr>
          <w:instrText xml:space="preserve"> PAGEREF _Toc323283997 \h </w:instrText>
        </w:r>
        <w:r>
          <w:rPr>
            <w:noProof/>
            <w:webHidden/>
          </w:rPr>
        </w:r>
        <w:r>
          <w:rPr>
            <w:noProof/>
            <w:webHidden/>
          </w:rPr>
          <w:fldChar w:fldCharType="separate"/>
        </w:r>
        <w:r w:rsidR="00FA3305">
          <w:rPr>
            <w:noProof/>
            <w:webHidden/>
          </w:rPr>
          <w:t>22</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3998" w:history="1">
        <w:r w:rsidR="00695F7E" w:rsidRPr="00793128">
          <w:rPr>
            <w:rStyle w:val="Hyperlink"/>
            <w:noProof/>
          </w:rPr>
          <w:t>Introduction</w:t>
        </w:r>
        <w:r w:rsidR="00695F7E">
          <w:rPr>
            <w:noProof/>
            <w:webHidden/>
          </w:rPr>
          <w:tab/>
        </w:r>
        <w:r>
          <w:rPr>
            <w:noProof/>
            <w:webHidden/>
          </w:rPr>
          <w:fldChar w:fldCharType="begin"/>
        </w:r>
        <w:r w:rsidR="00695F7E">
          <w:rPr>
            <w:noProof/>
            <w:webHidden/>
          </w:rPr>
          <w:instrText xml:space="preserve"> PAGEREF _Toc323283998 \h </w:instrText>
        </w:r>
        <w:r>
          <w:rPr>
            <w:noProof/>
            <w:webHidden/>
          </w:rPr>
        </w:r>
        <w:r>
          <w:rPr>
            <w:noProof/>
            <w:webHidden/>
          </w:rPr>
          <w:fldChar w:fldCharType="separate"/>
        </w:r>
        <w:r w:rsidR="00FA3305">
          <w:rPr>
            <w:noProof/>
            <w:webHidden/>
          </w:rPr>
          <w:t>22</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3999" w:history="1">
        <w:r w:rsidR="00695F7E" w:rsidRPr="00793128">
          <w:rPr>
            <w:rStyle w:val="Hyperlink"/>
            <w:noProof/>
          </w:rPr>
          <w:t>Department of Health and Monitor targets</w:t>
        </w:r>
        <w:r w:rsidR="00695F7E">
          <w:rPr>
            <w:noProof/>
            <w:webHidden/>
          </w:rPr>
          <w:tab/>
        </w:r>
        <w:r>
          <w:rPr>
            <w:noProof/>
            <w:webHidden/>
          </w:rPr>
          <w:fldChar w:fldCharType="begin"/>
        </w:r>
        <w:r w:rsidR="00695F7E">
          <w:rPr>
            <w:noProof/>
            <w:webHidden/>
          </w:rPr>
          <w:instrText xml:space="preserve"> PAGEREF _Toc323283999 \h </w:instrText>
        </w:r>
        <w:r>
          <w:rPr>
            <w:noProof/>
            <w:webHidden/>
          </w:rPr>
        </w:r>
        <w:r>
          <w:rPr>
            <w:noProof/>
            <w:webHidden/>
          </w:rPr>
          <w:fldChar w:fldCharType="separate"/>
        </w:r>
        <w:r w:rsidR="00FA3305">
          <w:rPr>
            <w:noProof/>
            <w:webHidden/>
          </w:rPr>
          <w:t>37</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4000" w:history="1">
        <w:r w:rsidR="00695F7E" w:rsidRPr="00793128">
          <w:rPr>
            <w:rStyle w:val="Hyperlink"/>
            <w:noProof/>
          </w:rPr>
          <w:t>Quality Risk Profile</w:t>
        </w:r>
        <w:r w:rsidR="00695F7E">
          <w:rPr>
            <w:noProof/>
            <w:webHidden/>
          </w:rPr>
          <w:tab/>
        </w:r>
        <w:r>
          <w:rPr>
            <w:noProof/>
            <w:webHidden/>
          </w:rPr>
          <w:fldChar w:fldCharType="begin"/>
        </w:r>
        <w:r w:rsidR="00695F7E">
          <w:rPr>
            <w:noProof/>
            <w:webHidden/>
          </w:rPr>
          <w:instrText xml:space="preserve"> PAGEREF _Toc323284000 \h </w:instrText>
        </w:r>
        <w:r>
          <w:rPr>
            <w:noProof/>
            <w:webHidden/>
          </w:rPr>
        </w:r>
        <w:r>
          <w:rPr>
            <w:noProof/>
            <w:webHidden/>
          </w:rPr>
          <w:fldChar w:fldCharType="separate"/>
        </w:r>
        <w:r w:rsidR="00FA3305">
          <w:rPr>
            <w:noProof/>
            <w:webHidden/>
          </w:rPr>
          <w:t>37</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4001" w:history="1">
        <w:r w:rsidR="00695F7E" w:rsidRPr="00793128">
          <w:rPr>
            <w:rStyle w:val="Hyperlink"/>
            <w:noProof/>
          </w:rPr>
          <w:t>Community Survey 2011</w:t>
        </w:r>
        <w:r w:rsidR="00695F7E">
          <w:rPr>
            <w:noProof/>
            <w:webHidden/>
          </w:rPr>
          <w:tab/>
        </w:r>
        <w:r>
          <w:rPr>
            <w:noProof/>
            <w:webHidden/>
          </w:rPr>
          <w:fldChar w:fldCharType="begin"/>
        </w:r>
        <w:r w:rsidR="00695F7E">
          <w:rPr>
            <w:noProof/>
            <w:webHidden/>
          </w:rPr>
          <w:instrText xml:space="preserve"> PAGEREF _Toc323284001 \h </w:instrText>
        </w:r>
        <w:r>
          <w:rPr>
            <w:noProof/>
            <w:webHidden/>
          </w:rPr>
        </w:r>
        <w:r>
          <w:rPr>
            <w:noProof/>
            <w:webHidden/>
          </w:rPr>
          <w:fldChar w:fldCharType="separate"/>
        </w:r>
        <w:r w:rsidR="00FA3305">
          <w:rPr>
            <w:noProof/>
            <w:webHidden/>
          </w:rPr>
          <w:t>40</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4002" w:history="1">
        <w:r w:rsidR="00695F7E" w:rsidRPr="00793128">
          <w:rPr>
            <w:rStyle w:val="Hyperlink"/>
            <w:noProof/>
          </w:rPr>
          <w:t>PEAT Assessment Results 2011/12</w:t>
        </w:r>
        <w:r w:rsidR="00695F7E">
          <w:rPr>
            <w:noProof/>
            <w:webHidden/>
          </w:rPr>
          <w:tab/>
        </w:r>
        <w:r>
          <w:rPr>
            <w:noProof/>
            <w:webHidden/>
          </w:rPr>
          <w:fldChar w:fldCharType="begin"/>
        </w:r>
        <w:r w:rsidR="00695F7E">
          <w:rPr>
            <w:noProof/>
            <w:webHidden/>
          </w:rPr>
          <w:instrText xml:space="preserve"> PAGEREF _Toc323284002 \h </w:instrText>
        </w:r>
        <w:r>
          <w:rPr>
            <w:noProof/>
            <w:webHidden/>
          </w:rPr>
        </w:r>
        <w:r>
          <w:rPr>
            <w:noProof/>
            <w:webHidden/>
          </w:rPr>
          <w:fldChar w:fldCharType="separate"/>
        </w:r>
        <w:r w:rsidR="00FA3305">
          <w:rPr>
            <w:noProof/>
            <w:webHidden/>
          </w:rPr>
          <w:t>41</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4003" w:history="1">
        <w:r w:rsidR="00695F7E" w:rsidRPr="00793128">
          <w:rPr>
            <w:rStyle w:val="Hyperlink"/>
            <w:noProof/>
          </w:rPr>
          <w:t>Equality &amp; Diversity</w:t>
        </w:r>
        <w:r w:rsidR="00695F7E">
          <w:rPr>
            <w:noProof/>
            <w:webHidden/>
          </w:rPr>
          <w:tab/>
        </w:r>
        <w:r>
          <w:rPr>
            <w:noProof/>
            <w:webHidden/>
          </w:rPr>
          <w:fldChar w:fldCharType="begin"/>
        </w:r>
        <w:r w:rsidR="00695F7E">
          <w:rPr>
            <w:noProof/>
            <w:webHidden/>
          </w:rPr>
          <w:instrText xml:space="preserve"> PAGEREF _Toc323284003 \h </w:instrText>
        </w:r>
        <w:r>
          <w:rPr>
            <w:noProof/>
            <w:webHidden/>
          </w:rPr>
        </w:r>
        <w:r>
          <w:rPr>
            <w:noProof/>
            <w:webHidden/>
          </w:rPr>
          <w:fldChar w:fldCharType="separate"/>
        </w:r>
        <w:r w:rsidR="00FA3305">
          <w:rPr>
            <w:noProof/>
            <w:webHidden/>
          </w:rPr>
          <w:t>41</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4004" w:history="1">
        <w:r w:rsidR="00695F7E" w:rsidRPr="00793128">
          <w:rPr>
            <w:rStyle w:val="Hyperlink"/>
            <w:noProof/>
          </w:rPr>
          <w:t>Working with Local Stakeholders</w:t>
        </w:r>
        <w:r w:rsidR="00695F7E">
          <w:rPr>
            <w:noProof/>
            <w:webHidden/>
          </w:rPr>
          <w:tab/>
        </w:r>
        <w:r>
          <w:rPr>
            <w:noProof/>
            <w:webHidden/>
          </w:rPr>
          <w:fldChar w:fldCharType="begin"/>
        </w:r>
        <w:r w:rsidR="00695F7E">
          <w:rPr>
            <w:noProof/>
            <w:webHidden/>
          </w:rPr>
          <w:instrText xml:space="preserve"> PAGEREF _Toc323284004 \h </w:instrText>
        </w:r>
        <w:r>
          <w:rPr>
            <w:noProof/>
            <w:webHidden/>
          </w:rPr>
        </w:r>
        <w:r>
          <w:rPr>
            <w:noProof/>
            <w:webHidden/>
          </w:rPr>
          <w:fldChar w:fldCharType="separate"/>
        </w:r>
        <w:r w:rsidR="00FA3305">
          <w:rPr>
            <w:noProof/>
            <w:webHidden/>
          </w:rPr>
          <w:t>42</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4005" w:history="1">
        <w:r w:rsidR="00695F7E" w:rsidRPr="00793128">
          <w:rPr>
            <w:rStyle w:val="Hyperlink"/>
            <w:noProof/>
          </w:rPr>
          <w:t>Complaints</w:t>
        </w:r>
        <w:r w:rsidR="00695F7E">
          <w:rPr>
            <w:noProof/>
            <w:webHidden/>
          </w:rPr>
          <w:tab/>
        </w:r>
        <w:r>
          <w:rPr>
            <w:noProof/>
            <w:webHidden/>
          </w:rPr>
          <w:fldChar w:fldCharType="begin"/>
        </w:r>
        <w:r w:rsidR="00695F7E">
          <w:rPr>
            <w:noProof/>
            <w:webHidden/>
          </w:rPr>
          <w:instrText xml:space="preserve"> PAGEREF _Toc323284005 \h </w:instrText>
        </w:r>
        <w:r>
          <w:rPr>
            <w:noProof/>
            <w:webHidden/>
          </w:rPr>
        </w:r>
        <w:r>
          <w:rPr>
            <w:noProof/>
            <w:webHidden/>
          </w:rPr>
          <w:fldChar w:fldCharType="separate"/>
        </w:r>
        <w:r w:rsidR="00FA3305">
          <w:rPr>
            <w:noProof/>
            <w:webHidden/>
          </w:rPr>
          <w:t>42</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4006" w:history="1">
        <w:r w:rsidR="00695F7E" w:rsidRPr="00793128">
          <w:rPr>
            <w:rStyle w:val="Hyperlink"/>
            <w:noProof/>
          </w:rPr>
          <w:t>The Royal College of Psychiatrists</w:t>
        </w:r>
        <w:r w:rsidR="00695F7E">
          <w:rPr>
            <w:noProof/>
            <w:webHidden/>
          </w:rPr>
          <w:tab/>
        </w:r>
        <w:r>
          <w:rPr>
            <w:noProof/>
            <w:webHidden/>
          </w:rPr>
          <w:fldChar w:fldCharType="begin"/>
        </w:r>
        <w:r w:rsidR="00695F7E">
          <w:rPr>
            <w:noProof/>
            <w:webHidden/>
          </w:rPr>
          <w:instrText xml:space="preserve"> PAGEREF _Toc323284006 \h </w:instrText>
        </w:r>
        <w:r>
          <w:rPr>
            <w:noProof/>
            <w:webHidden/>
          </w:rPr>
        </w:r>
        <w:r>
          <w:rPr>
            <w:noProof/>
            <w:webHidden/>
          </w:rPr>
          <w:fldChar w:fldCharType="separate"/>
        </w:r>
        <w:r w:rsidR="00FA3305">
          <w:rPr>
            <w:noProof/>
            <w:webHidden/>
          </w:rPr>
          <w:t>44</w:t>
        </w:r>
        <w:r>
          <w:rPr>
            <w:noProof/>
            <w:webHidden/>
          </w:rPr>
          <w:fldChar w:fldCharType="end"/>
        </w:r>
      </w:hyperlink>
    </w:p>
    <w:p w:rsidR="00695F7E" w:rsidRDefault="001E1073">
      <w:pPr>
        <w:pStyle w:val="TOC1"/>
        <w:tabs>
          <w:tab w:val="right" w:leader="dot" w:pos="9016"/>
        </w:tabs>
        <w:rPr>
          <w:rFonts w:asciiTheme="minorHAnsi" w:eastAsiaTheme="minorEastAsia" w:hAnsiTheme="minorHAnsi" w:cstheme="minorBidi"/>
          <w:b w:val="0"/>
          <w:noProof/>
          <w:sz w:val="22"/>
          <w:lang w:val="en-GB" w:eastAsia="en-GB"/>
        </w:rPr>
      </w:pPr>
      <w:hyperlink w:anchor="_Toc323284007" w:history="1">
        <w:r w:rsidR="00695F7E" w:rsidRPr="00793128">
          <w:rPr>
            <w:rStyle w:val="Hyperlink"/>
            <w:noProof/>
          </w:rPr>
          <w:t>Annex 1. Statements from our Partners on the Quality Report and Account</w:t>
        </w:r>
        <w:r w:rsidR="00695F7E">
          <w:rPr>
            <w:noProof/>
            <w:webHidden/>
          </w:rPr>
          <w:tab/>
        </w:r>
        <w:r>
          <w:rPr>
            <w:noProof/>
            <w:webHidden/>
          </w:rPr>
          <w:fldChar w:fldCharType="begin"/>
        </w:r>
        <w:r w:rsidR="00695F7E">
          <w:rPr>
            <w:noProof/>
            <w:webHidden/>
          </w:rPr>
          <w:instrText xml:space="preserve"> PAGEREF _Toc323284007 \h </w:instrText>
        </w:r>
        <w:r>
          <w:rPr>
            <w:noProof/>
            <w:webHidden/>
          </w:rPr>
        </w:r>
        <w:r>
          <w:rPr>
            <w:noProof/>
            <w:webHidden/>
          </w:rPr>
          <w:fldChar w:fldCharType="separate"/>
        </w:r>
        <w:r w:rsidR="00FA3305">
          <w:rPr>
            <w:noProof/>
            <w:webHidden/>
          </w:rPr>
          <w:t>46</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4008" w:history="1">
        <w:r w:rsidR="00695F7E" w:rsidRPr="00793128">
          <w:rPr>
            <w:rStyle w:val="Hyperlink"/>
            <w:noProof/>
          </w:rPr>
          <w:t>NHS Oxfordshire</w:t>
        </w:r>
        <w:r w:rsidR="00695F7E">
          <w:rPr>
            <w:noProof/>
            <w:webHidden/>
          </w:rPr>
          <w:tab/>
        </w:r>
        <w:r>
          <w:rPr>
            <w:noProof/>
            <w:webHidden/>
          </w:rPr>
          <w:fldChar w:fldCharType="begin"/>
        </w:r>
        <w:r w:rsidR="00695F7E">
          <w:rPr>
            <w:noProof/>
            <w:webHidden/>
          </w:rPr>
          <w:instrText xml:space="preserve"> PAGEREF _Toc323284008 \h </w:instrText>
        </w:r>
        <w:r>
          <w:rPr>
            <w:noProof/>
            <w:webHidden/>
          </w:rPr>
        </w:r>
        <w:r>
          <w:rPr>
            <w:noProof/>
            <w:webHidden/>
          </w:rPr>
          <w:fldChar w:fldCharType="separate"/>
        </w:r>
        <w:r w:rsidR="00FA3305">
          <w:rPr>
            <w:noProof/>
            <w:webHidden/>
          </w:rPr>
          <w:t>46</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4009" w:history="1">
        <w:r w:rsidR="00695F7E" w:rsidRPr="00793128">
          <w:rPr>
            <w:rStyle w:val="Hyperlink"/>
            <w:noProof/>
          </w:rPr>
          <w:t>Oxfordshire Health Overview and Scrutiny Committee</w:t>
        </w:r>
        <w:r w:rsidR="00695F7E">
          <w:rPr>
            <w:noProof/>
            <w:webHidden/>
          </w:rPr>
          <w:tab/>
        </w:r>
        <w:r>
          <w:rPr>
            <w:noProof/>
            <w:webHidden/>
          </w:rPr>
          <w:fldChar w:fldCharType="begin"/>
        </w:r>
        <w:r w:rsidR="00695F7E">
          <w:rPr>
            <w:noProof/>
            <w:webHidden/>
          </w:rPr>
          <w:instrText xml:space="preserve"> PAGEREF _Toc323284009 \h </w:instrText>
        </w:r>
        <w:r>
          <w:rPr>
            <w:noProof/>
            <w:webHidden/>
          </w:rPr>
        </w:r>
        <w:r>
          <w:rPr>
            <w:noProof/>
            <w:webHidden/>
          </w:rPr>
          <w:fldChar w:fldCharType="separate"/>
        </w:r>
        <w:r w:rsidR="00FA3305">
          <w:rPr>
            <w:noProof/>
            <w:webHidden/>
          </w:rPr>
          <w:t>46</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4010" w:history="1">
        <w:r w:rsidR="00695F7E" w:rsidRPr="00793128">
          <w:rPr>
            <w:rStyle w:val="Hyperlink"/>
            <w:noProof/>
          </w:rPr>
          <w:t>Buckinghamshire Health Overview and Scrutiny Committee</w:t>
        </w:r>
        <w:r w:rsidR="00695F7E">
          <w:rPr>
            <w:noProof/>
            <w:webHidden/>
          </w:rPr>
          <w:tab/>
        </w:r>
        <w:r>
          <w:rPr>
            <w:noProof/>
            <w:webHidden/>
          </w:rPr>
          <w:fldChar w:fldCharType="begin"/>
        </w:r>
        <w:r w:rsidR="00695F7E">
          <w:rPr>
            <w:noProof/>
            <w:webHidden/>
          </w:rPr>
          <w:instrText xml:space="preserve"> PAGEREF _Toc323284010 \h </w:instrText>
        </w:r>
        <w:r>
          <w:rPr>
            <w:noProof/>
            <w:webHidden/>
          </w:rPr>
        </w:r>
        <w:r>
          <w:rPr>
            <w:noProof/>
            <w:webHidden/>
          </w:rPr>
          <w:fldChar w:fldCharType="separate"/>
        </w:r>
        <w:r w:rsidR="00FA3305">
          <w:rPr>
            <w:noProof/>
            <w:webHidden/>
          </w:rPr>
          <w:t>46</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4011" w:history="1">
        <w:r w:rsidR="00695F7E" w:rsidRPr="00793128">
          <w:rPr>
            <w:rStyle w:val="Hyperlink"/>
            <w:noProof/>
          </w:rPr>
          <w:t>Buckinghamshire Local Involvement Network (LINk)</w:t>
        </w:r>
        <w:r w:rsidR="00695F7E">
          <w:rPr>
            <w:noProof/>
            <w:webHidden/>
          </w:rPr>
          <w:tab/>
        </w:r>
        <w:r>
          <w:rPr>
            <w:noProof/>
            <w:webHidden/>
          </w:rPr>
          <w:fldChar w:fldCharType="begin"/>
        </w:r>
        <w:r w:rsidR="00695F7E">
          <w:rPr>
            <w:noProof/>
            <w:webHidden/>
          </w:rPr>
          <w:instrText xml:space="preserve"> PAGEREF _Toc323284011 \h </w:instrText>
        </w:r>
        <w:r>
          <w:rPr>
            <w:noProof/>
            <w:webHidden/>
          </w:rPr>
        </w:r>
        <w:r>
          <w:rPr>
            <w:noProof/>
            <w:webHidden/>
          </w:rPr>
          <w:fldChar w:fldCharType="separate"/>
        </w:r>
        <w:r w:rsidR="00FA3305">
          <w:rPr>
            <w:noProof/>
            <w:webHidden/>
          </w:rPr>
          <w:t>46</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4012" w:history="1">
        <w:r w:rsidR="00695F7E" w:rsidRPr="00793128">
          <w:rPr>
            <w:rStyle w:val="Hyperlink"/>
            <w:noProof/>
          </w:rPr>
          <w:t>Oxfordshire Local Involvement Network (LINk)</w:t>
        </w:r>
        <w:r w:rsidR="00695F7E">
          <w:rPr>
            <w:noProof/>
            <w:webHidden/>
          </w:rPr>
          <w:tab/>
        </w:r>
        <w:r>
          <w:rPr>
            <w:noProof/>
            <w:webHidden/>
          </w:rPr>
          <w:fldChar w:fldCharType="begin"/>
        </w:r>
        <w:r w:rsidR="00695F7E">
          <w:rPr>
            <w:noProof/>
            <w:webHidden/>
          </w:rPr>
          <w:instrText xml:space="preserve"> PAGEREF _Toc323284012 \h </w:instrText>
        </w:r>
        <w:r>
          <w:rPr>
            <w:noProof/>
            <w:webHidden/>
          </w:rPr>
        </w:r>
        <w:r>
          <w:rPr>
            <w:noProof/>
            <w:webHidden/>
          </w:rPr>
          <w:fldChar w:fldCharType="separate"/>
        </w:r>
        <w:r w:rsidR="00FA3305">
          <w:rPr>
            <w:noProof/>
            <w:webHidden/>
          </w:rPr>
          <w:t>46</w:t>
        </w:r>
        <w:r>
          <w:rPr>
            <w:noProof/>
            <w:webHidden/>
          </w:rPr>
          <w:fldChar w:fldCharType="end"/>
        </w:r>
      </w:hyperlink>
    </w:p>
    <w:p w:rsidR="00695F7E" w:rsidRDefault="001E1073">
      <w:pPr>
        <w:pStyle w:val="TOC1"/>
        <w:tabs>
          <w:tab w:val="right" w:leader="dot" w:pos="9016"/>
        </w:tabs>
        <w:rPr>
          <w:rFonts w:asciiTheme="minorHAnsi" w:eastAsiaTheme="minorEastAsia" w:hAnsiTheme="minorHAnsi" w:cstheme="minorBidi"/>
          <w:b w:val="0"/>
          <w:noProof/>
          <w:sz w:val="22"/>
          <w:lang w:val="en-GB" w:eastAsia="en-GB"/>
        </w:rPr>
      </w:pPr>
      <w:hyperlink w:anchor="_Toc323284013" w:history="1">
        <w:r w:rsidR="00695F7E" w:rsidRPr="00793128">
          <w:rPr>
            <w:rStyle w:val="Hyperlink"/>
            <w:noProof/>
          </w:rPr>
          <w:t>Annex 2. Statement of Directors’ Responsibilities in Respect of the Quality Report</w:t>
        </w:r>
        <w:r w:rsidR="00695F7E">
          <w:rPr>
            <w:noProof/>
            <w:webHidden/>
          </w:rPr>
          <w:tab/>
        </w:r>
        <w:r>
          <w:rPr>
            <w:noProof/>
            <w:webHidden/>
          </w:rPr>
          <w:fldChar w:fldCharType="begin"/>
        </w:r>
        <w:r w:rsidR="00695F7E">
          <w:rPr>
            <w:noProof/>
            <w:webHidden/>
          </w:rPr>
          <w:instrText xml:space="preserve"> PAGEREF _Toc323284013 \h </w:instrText>
        </w:r>
        <w:r>
          <w:rPr>
            <w:noProof/>
            <w:webHidden/>
          </w:rPr>
        </w:r>
        <w:r>
          <w:rPr>
            <w:noProof/>
            <w:webHidden/>
          </w:rPr>
          <w:fldChar w:fldCharType="separate"/>
        </w:r>
        <w:r w:rsidR="00FA3305">
          <w:rPr>
            <w:noProof/>
            <w:webHidden/>
          </w:rPr>
          <w:t>47</w:t>
        </w:r>
        <w:r>
          <w:rPr>
            <w:noProof/>
            <w:webHidden/>
          </w:rPr>
          <w:fldChar w:fldCharType="end"/>
        </w:r>
      </w:hyperlink>
    </w:p>
    <w:p w:rsidR="00695F7E" w:rsidRDefault="001E1073">
      <w:pPr>
        <w:pStyle w:val="TOC1"/>
        <w:tabs>
          <w:tab w:val="right" w:leader="dot" w:pos="9016"/>
        </w:tabs>
        <w:rPr>
          <w:rFonts w:asciiTheme="minorHAnsi" w:eastAsiaTheme="minorEastAsia" w:hAnsiTheme="minorHAnsi" w:cstheme="minorBidi"/>
          <w:b w:val="0"/>
          <w:noProof/>
          <w:sz w:val="22"/>
          <w:lang w:val="en-GB" w:eastAsia="en-GB"/>
        </w:rPr>
      </w:pPr>
      <w:hyperlink w:anchor="_Toc323284014" w:history="1">
        <w:r w:rsidR="00695F7E" w:rsidRPr="00793128">
          <w:rPr>
            <w:rStyle w:val="Hyperlink"/>
            <w:noProof/>
          </w:rPr>
          <w:t>Annex 3. Examples of Actions taken following Trust Internal Clinical Audits 2011-2012</w:t>
        </w:r>
        <w:r w:rsidR="00695F7E">
          <w:rPr>
            <w:noProof/>
            <w:webHidden/>
          </w:rPr>
          <w:tab/>
        </w:r>
        <w:r>
          <w:rPr>
            <w:noProof/>
            <w:webHidden/>
          </w:rPr>
          <w:fldChar w:fldCharType="begin"/>
        </w:r>
        <w:r w:rsidR="00695F7E">
          <w:rPr>
            <w:noProof/>
            <w:webHidden/>
          </w:rPr>
          <w:instrText xml:space="preserve"> PAGEREF _Toc323284014 \h </w:instrText>
        </w:r>
        <w:r>
          <w:rPr>
            <w:noProof/>
            <w:webHidden/>
          </w:rPr>
        </w:r>
        <w:r>
          <w:rPr>
            <w:noProof/>
            <w:webHidden/>
          </w:rPr>
          <w:fldChar w:fldCharType="separate"/>
        </w:r>
        <w:r w:rsidR="00FA3305">
          <w:rPr>
            <w:noProof/>
            <w:webHidden/>
          </w:rPr>
          <w:t>49</w:t>
        </w:r>
        <w:r>
          <w:rPr>
            <w:noProof/>
            <w:webHidden/>
          </w:rPr>
          <w:fldChar w:fldCharType="end"/>
        </w:r>
      </w:hyperlink>
    </w:p>
    <w:p w:rsidR="00695F7E" w:rsidRDefault="001E1073">
      <w:pPr>
        <w:pStyle w:val="TOC1"/>
        <w:tabs>
          <w:tab w:val="right" w:leader="dot" w:pos="9016"/>
        </w:tabs>
        <w:rPr>
          <w:rFonts w:asciiTheme="minorHAnsi" w:eastAsiaTheme="minorEastAsia" w:hAnsiTheme="minorHAnsi" w:cstheme="minorBidi"/>
          <w:b w:val="0"/>
          <w:noProof/>
          <w:sz w:val="22"/>
          <w:lang w:val="en-GB" w:eastAsia="en-GB"/>
        </w:rPr>
      </w:pPr>
      <w:hyperlink w:anchor="_Toc323284015" w:history="1">
        <w:r w:rsidR="00695F7E" w:rsidRPr="00793128">
          <w:rPr>
            <w:rStyle w:val="Hyperlink"/>
            <w:noProof/>
          </w:rPr>
          <w:t>Annex 4. CQUIN Details for 2011/12 with Year End Position</w:t>
        </w:r>
        <w:r w:rsidR="00695F7E">
          <w:rPr>
            <w:noProof/>
            <w:webHidden/>
          </w:rPr>
          <w:tab/>
        </w:r>
        <w:r>
          <w:rPr>
            <w:noProof/>
            <w:webHidden/>
          </w:rPr>
          <w:fldChar w:fldCharType="begin"/>
        </w:r>
        <w:r w:rsidR="00695F7E">
          <w:rPr>
            <w:noProof/>
            <w:webHidden/>
          </w:rPr>
          <w:instrText xml:space="preserve"> PAGEREF _Toc323284015 \h </w:instrText>
        </w:r>
        <w:r>
          <w:rPr>
            <w:noProof/>
            <w:webHidden/>
          </w:rPr>
        </w:r>
        <w:r>
          <w:rPr>
            <w:noProof/>
            <w:webHidden/>
          </w:rPr>
          <w:fldChar w:fldCharType="separate"/>
        </w:r>
        <w:r w:rsidR="00FA3305">
          <w:rPr>
            <w:noProof/>
            <w:webHidden/>
          </w:rPr>
          <w:t>50</w:t>
        </w:r>
        <w:r>
          <w:rPr>
            <w:noProof/>
            <w:webHidden/>
          </w:rPr>
          <w:fldChar w:fldCharType="end"/>
        </w:r>
      </w:hyperlink>
    </w:p>
    <w:p w:rsidR="00695F7E" w:rsidRDefault="001E1073">
      <w:pPr>
        <w:pStyle w:val="TOC1"/>
        <w:tabs>
          <w:tab w:val="right" w:leader="dot" w:pos="9016"/>
        </w:tabs>
        <w:rPr>
          <w:rFonts w:asciiTheme="minorHAnsi" w:eastAsiaTheme="minorEastAsia" w:hAnsiTheme="minorHAnsi" w:cstheme="minorBidi"/>
          <w:b w:val="0"/>
          <w:noProof/>
          <w:sz w:val="22"/>
          <w:lang w:val="en-GB" w:eastAsia="en-GB"/>
        </w:rPr>
      </w:pPr>
      <w:hyperlink w:anchor="_Toc323284016" w:history="1">
        <w:r w:rsidR="00695F7E" w:rsidRPr="00793128">
          <w:rPr>
            <w:rStyle w:val="Hyperlink"/>
            <w:noProof/>
          </w:rPr>
          <w:t>Annex 5. Glossary of Terms</w:t>
        </w:r>
        <w:r w:rsidR="00695F7E">
          <w:rPr>
            <w:noProof/>
            <w:webHidden/>
          </w:rPr>
          <w:tab/>
        </w:r>
        <w:r>
          <w:rPr>
            <w:noProof/>
            <w:webHidden/>
          </w:rPr>
          <w:fldChar w:fldCharType="begin"/>
        </w:r>
        <w:r w:rsidR="00695F7E">
          <w:rPr>
            <w:noProof/>
            <w:webHidden/>
          </w:rPr>
          <w:instrText xml:space="preserve"> PAGEREF _Toc323284016 \h </w:instrText>
        </w:r>
        <w:r>
          <w:rPr>
            <w:noProof/>
            <w:webHidden/>
          </w:rPr>
        </w:r>
        <w:r>
          <w:rPr>
            <w:noProof/>
            <w:webHidden/>
          </w:rPr>
          <w:fldChar w:fldCharType="separate"/>
        </w:r>
        <w:r w:rsidR="00FA3305">
          <w:rPr>
            <w:noProof/>
            <w:webHidden/>
          </w:rPr>
          <w:t>52</w:t>
        </w:r>
        <w:r>
          <w:rPr>
            <w:noProof/>
            <w:webHidden/>
          </w:rPr>
          <w:fldChar w:fldCharType="end"/>
        </w:r>
      </w:hyperlink>
    </w:p>
    <w:p w:rsidR="00695F7E" w:rsidRDefault="001E1073">
      <w:pPr>
        <w:pStyle w:val="TOC1"/>
        <w:tabs>
          <w:tab w:val="right" w:leader="dot" w:pos="9016"/>
        </w:tabs>
        <w:rPr>
          <w:rFonts w:asciiTheme="minorHAnsi" w:eastAsiaTheme="minorEastAsia" w:hAnsiTheme="minorHAnsi" w:cstheme="minorBidi"/>
          <w:b w:val="0"/>
          <w:noProof/>
          <w:sz w:val="22"/>
          <w:lang w:val="en-GB" w:eastAsia="en-GB"/>
        </w:rPr>
      </w:pPr>
      <w:hyperlink w:anchor="_Toc323284017" w:history="1">
        <w:r w:rsidR="00695F7E" w:rsidRPr="00793128">
          <w:rPr>
            <w:rStyle w:val="Hyperlink"/>
            <w:noProof/>
          </w:rPr>
          <w:t>Annex 6.  How to Contact Us</w:t>
        </w:r>
        <w:r w:rsidR="00695F7E">
          <w:rPr>
            <w:noProof/>
            <w:webHidden/>
          </w:rPr>
          <w:tab/>
        </w:r>
        <w:r>
          <w:rPr>
            <w:noProof/>
            <w:webHidden/>
          </w:rPr>
          <w:fldChar w:fldCharType="begin"/>
        </w:r>
        <w:r w:rsidR="00695F7E">
          <w:rPr>
            <w:noProof/>
            <w:webHidden/>
          </w:rPr>
          <w:instrText xml:space="preserve"> PAGEREF _Toc323284017 \h </w:instrText>
        </w:r>
        <w:r>
          <w:rPr>
            <w:noProof/>
            <w:webHidden/>
          </w:rPr>
        </w:r>
        <w:r>
          <w:rPr>
            <w:noProof/>
            <w:webHidden/>
          </w:rPr>
          <w:fldChar w:fldCharType="separate"/>
        </w:r>
        <w:r w:rsidR="00FA3305">
          <w:rPr>
            <w:noProof/>
            <w:webHidden/>
          </w:rPr>
          <w:t>55</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4018" w:history="1">
        <w:r w:rsidR="00695F7E" w:rsidRPr="00793128">
          <w:rPr>
            <w:rStyle w:val="Hyperlink"/>
            <w:noProof/>
          </w:rPr>
          <w:t>About this report</w:t>
        </w:r>
        <w:r w:rsidR="00695F7E">
          <w:rPr>
            <w:noProof/>
            <w:webHidden/>
          </w:rPr>
          <w:tab/>
        </w:r>
        <w:r>
          <w:rPr>
            <w:noProof/>
            <w:webHidden/>
          </w:rPr>
          <w:fldChar w:fldCharType="begin"/>
        </w:r>
        <w:r w:rsidR="00695F7E">
          <w:rPr>
            <w:noProof/>
            <w:webHidden/>
          </w:rPr>
          <w:instrText xml:space="preserve"> PAGEREF _Toc323284018 \h </w:instrText>
        </w:r>
        <w:r>
          <w:rPr>
            <w:noProof/>
            <w:webHidden/>
          </w:rPr>
        </w:r>
        <w:r>
          <w:rPr>
            <w:noProof/>
            <w:webHidden/>
          </w:rPr>
          <w:fldChar w:fldCharType="separate"/>
        </w:r>
        <w:r w:rsidR="00FA3305">
          <w:rPr>
            <w:noProof/>
            <w:webHidden/>
          </w:rPr>
          <w:t>55</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4019" w:history="1">
        <w:r w:rsidR="00695F7E" w:rsidRPr="00793128">
          <w:rPr>
            <w:rStyle w:val="Hyperlink"/>
            <w:noProof/>
          </w:rPr>
          <w:t>Other Comments, Concerns, Complaints and Compliments</w:t>
        </w:r>
        <w:r w:rsidR="00695F7E">
          <w:rPr>
            <w:noProof/>
            <w:webHidden/>
          </w:rPr>
          <w:tab/>
        </w:r>
        <w:r>
          <w:rPr>
            <w:noProof/>
            <w:webHidden/>
          </w:rPr>
          <w:fldChar w:fldCharType="begin"/>
        </w:r>
        <w:r w:rsidR="00695F7E">
          <w:rPr>
            <w:noProof/>
            <w:webHidden/>
          </w:rPr>
          <w:instrText xml:space="preserve"> PAGEREF _Toc323284019 \h </w:instrText>
        </w:r>
        <w:r>
          <w:rPr>
            <w:noProof/>
            <w:webHidden/>
          </w:rPr>
        </w:r>
        <w:r>
          <w:rPr>
            <w:noProof/>
            <w:webHidden/>
          </w:rPr>
          <w:fldChar w:fldCharType="separate"/>
        </w:r>
        <w:r w:rsidR="00FA3305">
          <w:rPr>
            <w:noProof/>
            <w:webHidden/>
          </w:rPr>
          <w:t>55</w:t>
        </w:r>
        <w:r>
          <w:rPr>
            <w:noProof/>
            <w:webHidden/>
          </w:rPr>
          <w:fldChar w:fldCharType="end"/>
        </w:r>
      </w:hyperlink>
    </w:p>
    <w:p w:rsidR="00695F7E" w:rsidRDefault="001E1073">
      <w:pPr>
        <w:pStyle w:val="TOC2"/>
        <w:tabs>
          <w:tab w:val="right" w:leader="dot" w:pos="9016"/>
        </w:tabs>
        <w:rPr>
          <w:rFonts w:asciiTheme="minorHAnsi" w:eastAsiaTheme="minorEastAsia" w:hAnsiTheme="minorHAnsi" w:cstheme="minorBidi"/>
          <w:b w:val="0"/>
          <w:noProof/>
          <w:sz w:val="22"/>
          <w:lang w:val="en-GB" w:eastAsia="en-GB"/>
        </w:rPr>
      </w:pPr>
      <w:hyperlink w:anchor="_Toc323284020" w:history="1">
        <w:r w:rsidR="00695F7E" w:rsidRPr="00793128">
          <w:rPr>
            <w:rStyle w:val="Hyperlink"/>
            <w:noProof/>
          </w:rPr>
          <w:t>Alternative Formats</w:t>
        </w:r>
        <w:r w:rsidR="00695F7E">
          <w:rPr>
            <w:noProof/>
            <w:webHidden/>
          </w:rPr>
          <w:tab/>
        </w:r>
        <w:r>
          <w:rPr>
            <w:noProof/>
            <w:webHidden/>
          </w:rPr>
          <w:fldChar w:fldCharType="begin"/>
        </w:r>
        <w:r w:rsidR="00695F7E">
          <w:rPr>
            <w:noProof/>
            <w:webHidden/>
          </w:rPr>
          <w:instrText xml:space="preserve"> PAGEREF _Toc323284020 \h </w:instrText>
        </w:r>
        <w:r>
          <w:rPr>
            <w:noProof/>
            <w:webHidden/>
          </w:rPr>
        </w:r>
        <w:r>
          <w:rPr>
            <w:noProof/>
            <w:webHidden/>
          </w:rPr>
          <w:fldChar w:fldCharType="separate"/>
        </w:r>
        <w:r w:rsidR="00FA3305">
          <w:rPr>
            <w:noProof/>
            <w:webHidden/>
          </w:rPr>
          <w:t>55</w:t>
        </w:r>
        <w:r>
          <w:rPr>
            <w:noProof/>
            <w:webHidden/>
          </w:rPr>
          <w:fldChar w:fldCharType="end"/>
        </w:r>
      </w:hyperlink>
    </w:p>
    <w:p w:rsidR="00AA49B8" w:rsidRDefault="001E1073">
      <w:pPr>
        <w:rPr>
          <w:rFonts w:ascii="Arial" w:hAnsi="Arial"/>
          <w:szCs w:val="22"/>
          <w:lang w:val="en-US" w:eastAsia="en-US"/>
        </w:rPr>
        <w:sectPr w:rsidR="00AA49B8" w:rsidSect="00AA49B8">
          <w:footerReference w:type="default" r:id="rId13"/>
          <w:type w:val="continuous"/>
          <w:pgSz w:w="11906" w:h="16838"/>
          <w:pgMar w:top="1440" w:right="1440" w:bottom="1440" w:left="1440" w:header="709" w:footer="709" w:gutter="0"/>
          <w:cols w:space="708"/>
          <w:docGrid w:linePitch="360"/>
        </w:sectPr>
      </w:pPr>
      <w:r>
        <w:rPr>
          <w:rFonts w:ascii="Arial" w:hAnsi="Arial"/>
          <w:szCs w:val="22"/>
          <w:lang w:val="en-US" w:eastAsia="en-US"/>
        </w:rPr>
        <w:fldChar w:fldCharType="end"/>
      </w:r>
    </w:p>
    <w:p w:rsidR="006E4017" w:rsidRDefault="006E4017">
      <w:pPr>
        <w:rPr>
          <w:rFonts w:ascii="Arial" w:hAnsi="Arial"/>
          <w:szCs w:val="22"/>
          <w:lang w:val="en-US" w:eastAsia="en-US"/>
        </w:rPr>
      </w:pPr>
    </w:p>
    <w:p w:rsidR="0023741E" w:rsidRPr="00FA2D48" w:rsidRDefault="0023741E" w:rsidP="00AA0532"/>
    <w:tbl>
      <w:tblPr>
        <w:tblStyle w:val="TableGrid"/>
        <w:tblW w:w="0" w:type="auto"/>
        <w:tblBorders>
          <w:top w:val="single" w:sz="4" w:space="0" w:color="0070C0"/>
          <w:left w:val="none" w:sz="0" w:space="0" w:color="auto"/>
          <w:bottom w:val="double" w:sz="4" w:space="0" w:color="0070C0"/>
          <w:right w:val="none" w:sz="0" w:space="0" w:color="auto"/>
          <w:insideH w:val="none" w:sz="0" w:space="0" w:color="auto"/>
          <w:insideV w:val="none" w:sz="0" w:space="0" w:color="auto"/>
        </w:tblBorders>
        <w:tblLook w:val="04A0"/>
      </w:tblPr>
      <w:tblGrid>
        <w:gridCol w:w="9242"/>
      </w:tblGrid>
      <w:tr w:rsidR="00FA2D48" w:rsidTr="0026092C">
        <w:tc>
          <w:tcPr>
            <w:tcW w:w="9689" w:type="dxa"/>
          </w:tcPr>
          <w:p w:rsidR="00FA2D48" w:rsidRPr="0084016F" w:rsidRDefault="00FA2D48" w:rsidP="004A026F">
            <w:pPr>
              <w:pStyle w:val="Heading1"/>
              <w:rPr>
                <w:rFonts w:ascii="Calibri" w:hAnsi="Calibri"/>
                <w:u w:val="single"/>
              </w:rPr>
            </w:pPr>
            <w:bookmarkStart w:id="0" w:name="_Toc323283983"/>
            <w:proofErr w:type="gramStart"/>
            <w:r w:rsidRPr="0084016F">
              <w:lastRenderedPageBreak/>
              <w:t>Part 1.</w:t>
            </w:r>
            <w:proofErr w:type="gramEnd"/>
            <w:r w:rsidRPr="0084016F">
              <w:t xml:space="preserve"> </w:t>
            </w:r>
            <w:r w:rsidRPr="0084016F">
              <w:tab/>
              <w:t>Statement on Quality from the Chief Executive</w:t>
            </w:r>
            <w:bookmarkEnd w:id="0"/>
          </w:p>
        </w:tc>
      </w:tr>
    </w:tbl>
    <w:p w:rsidR="00BD3F4E" w:rsidRDefault="00BD3F4E" w:rsidP="00BD3F4E">
      <w:pPr>
        <w:rPr>
          <w:rFonts w:ascii="Calibri" w:hAnsi="Calibri" w:cs="Arial"/>
          <w:b/>
          <w:sz w:val="22"/>
          <w:szCs w:val="22"/>
          <w:u w:val="single"/>
        </w:rPr>
      </w:pPr>
    </w:p>
    <w:p w:rsidR="00AA49B8" w:rsidRPr="006E6FCF" w:rsidRDefault="00AA49B8" w:rsidP="00BD3F4E">
      <w:pPr>
        <w:rPr>
          <w:rFonts w:ascii="Calibri" w:hAnsi="Calibri" w:cs="Arial"/>
          <w:sz w:val="22"/>
          <w:szCs w:val="22"/>
          <w:u w:val="single"/>
        </w:rPr>
      </w:pPr>
    </w:p>
    <w:p w:rsidR="00AA49B8" w:rsidRDefault="00AA49B8" w:rsidP="00BD3F4E">
      <w:pPr>
        <w:jc w:val="both"/>
        <w:rPr>
          <w:rFonts w:ascii="Calibri" w:hAnsi="Calibri" w:cs="Arial"/>
        </w:rPr>
        <w:sectPr w:rsidR="00AA49B8" w:rsidSect="00747881">
          <w:type w:val="continuous"/>
          <w:pgSz w:w="11906" w:h="16838"/>
          <w:pgMar w:top="1440" w:right="1440" w:bottom="1440" w:left="1440" w:header="709" w:footer="814" w:gutter="0"/>
          <w:cols w:space="708"/>
          <w:docGrid w:linePitch="360"/>
        </w:sectPr>
      </w:pPr>
    </w:p>
    <w:p w:rsidR="00BB3642" w:rsidRDefault="00303640" w:rsidP="00FB0F7B">
      <w:pPr>
        <w:spacing w:after="240"/>
        <w:jc w:val="both"/>
        <w:rPr>
          <w:rFonts w:ascii="Calibri" w:hAnsi="Calibri" w:cs="Arial"/>
        </w:rPr>
      </w:pPr>
      <w:r w:rsidRPr="00303640">
        <w:rPr>
          <w:rFonts w:ascii="Calibri" w:hAnsi="Calibri" w:cs="Arial"/>
          <w:sz w:val="22"/>
          <w:szCs w:val="22"/>
        </w:rPr>
        <w:lastRenderedPageBreak/>
        <w:t>On behalf of the Trust Board and all our staff, I am delighted</w:t>
      </w:r>
      <w:r w:rsidR="006E6FCF" w:rsidRPr="00544356">
        <w:rPr>
          <w:rFonts w:ascii="Calibri" w:hAnsi="Calibri" w:cs="Arial"/>
        </w:rPr>
        <w:t xml:space="preserve"> </w:t>
      </w:r>
      <w:r w:rsidR="00BB3642">
        <w:rPr>
          <w:rFonts w:ascii="Calibri" w:hAnsi="Calibri" w:cs="Arial"/>
        </w:rPr>
        <w:t xml:space="preserve">once again </w:t>
      </w:r>
      <w:r w:rsidR="006E6FCF">
        <w:rPr>
          <w:rFonts w:ascii="Calibri" w:hAnsi="Calibri" w:cs="Arial"/>
        </w:rPr>
        <w:t>to present our annual Quality Account and Report</w:t>
      </w:r>
      <w:r w:rsidR="00BB3642">
        <w:rPr>
          <w:rFonts w:ascii="Calibri" w:hAnsi="Calibri" w:cs="Arial"/>
        </w:rPr>
        <w:t>.</w:t>
      </w:r>
    </w:p>
    <w:p w:rsidR="00FB0F7B" w:rsidRDefault="004A379F" w:rsidP="00FB0F7B">
      <w:pPr>
        <w:spacing w:after="240"/>
        <w:jc w:val="both"/>
        <w:rPr>
          <w:rFonts w:ascii="Calibri" w:hAnsi="Calibri" w:cs="Arial"/>
        </w:rPr>
      </w:pPr>
      <w:r>
        <w:rPr>
          <w:rFonts w:ascii="Calibri" w:hAnsi="Calibri" w:cs="Arial"/>
        </w:rPr>
        <w:t>W</w:t>
      </w:r>
      <w:r w:rsidR="000E5B4F" w:rsidRPr="00544356">
        <w:rPr>
          <w:rFonts w:ascii="Calibri" w:hAnsi="Calibri" w:cs="Arial"/>
        </w:rPr>
        <w:t xml:space="preserve">e </w:t>
      </w:r>
      <w:r w:rsidR="00BB3642">
        <w:rPr>
          <w:rFonts w:ascii="Calibri" w:hAnsi="Calibri" w:cs="Arial"/>
        </w:rPr>
        <w:t>are</w:t>
      </w:r>
      <w:r w:rsidR="000E5B4F" w:rsidRPr="00544356">
        <w:rPr>
          <w:rFonts w:ascii="Calibri" w:hAnsi="Calibri" w:cs="Arial"/>
        </w:rPr>
        <w:t xml:space="preserve"> required as an NHS foundation trust by Monitor</w:t>
      </w:r>
      <w:r w:rsidR="00BB3642">
        <w:rPr>
          <w:rFonts w:ascii="Calibri" w:hAnsi="Calibri" w:cs="Arial"/>
        </w:rPr>
        <w:t>,</w:t>
      </w:r>
      <w:r w:rsidR="000E5B4F" w:rsidRPr="00544356">
        <w:rPr>
          <w:rFonts w:ascii="Calibri" w:hAnsi="Calibri" w:cs="Arial"/>
        </w:rPr>
        <w:t xml:space="preserve"> the Regulator of NHS foundation trusts</w:t>
      </w:r>
      <w:r w:rsidR="00BB3642">
        <w:rPr>
          <w:rFonts w:ascii="Calibri" w:hAnsi="Calibri" w:cs="Arial"/>
        </w:rPr>
        <w:t>,</w:t>
      </w:r>
      <w:r w:rsidR="000E5B4F" w:rsidRPr="00544356">
        <w:rPr>
          <w:rFonts w:ascii="Calibri" w:hAnsi="Calibri" w:cs="Arial"/>
        </w:rPr>
        <w:t xml:space="preserve"> to produce and publish our Quality </w:t>
      </w:r>
      <w:proofErr w:type="gramStart"/>
      <w:r w:rsidR="000E5B4F" w:rsidRPr="00544356">
        <w:rPr>
          <w:rFonts w:ascii="Calibri" w:hAnsi="Calibri" w:cs="Arial"/>
        </w:rPr>
        <w:t>Account</w:t>
      </w:r>
      <w:r w:rsidR="00BB3642">
        <w:rPr>
          <w:rFonts w:ascii="Calibri" w:hAnsi="Calibri" w:cs="Arial"/>
        </w:rPr>
        <w:t>,</w:t>
      </w:r>
      <w:proofErr w:type="gramEnd"/>
      <w:r w:rsidR="00BB3642">
        <w:rPr>
          <w:rFonts w:ascii="Calibri" w:hAnsi="Calibri" w:cs="Arial"/>
        </w:rPr>
        <w:t xml:space="preserve"> </w:t>
      </w:r>
      <w:r>
        <w:rPr>
          <w:rFonts w:ascii="Calibri" w:hAnsi="Calibri" w:cs="Arial"/>
        </w:rPr>
        <w:t xml:space="preserve">however </w:t>
      </w:r>
      <w:r w:rsidR="00BB3642">
        <w:rPr>
          <w:rFonts w:ascii="Calibri" w:hAnsi="Calibri" w:cs="Arial"/>
        </w:rPr>
        <w:t xml:space="preserve">we relish the opportunity to demonstrate </w:t>
      </w:r>
      <w:r>
        <w:rPr>
          <w:rFonts w:ascii="Calibri" w:hAnsi="Calibri" w:cs="Arial"/>
        </w:rPr>
        <w:t xml:space="preserve">to a wider audience </w:t>
      </w:r>
      <w:r w:rsidR="00BB3642">
        <w:rPr>
          <w:rFonts w:ascii="Calibri" w:hAnsi="Calibri" w:cs="Arial"/>
        </w:rPr>
        <w:t>our wholehearted commitment to provide real and sustained improvement in the quality of our services.</w:t>
      </w:r>
    </w:p>
    <w:p w:rsidR="000E5B4F" w:rsidRDefault="000E5B4F" w:rsidP="00FB0F7B">
      <w:pPr>
        <w:spacing w:after="240"/>
        <w:rPr>
          <w:rFonts w:ascii="Calibri" w:hAnsi="Calibri" w:cs="Arial"/>
          <w:b/>
          <w:sz w:val="22"/>
          <w:szCs w:val="22"/>
          <w:u w:val="single"/>
        </w:rPr>
      </w:pPr>
      <w:r w:rsidRPr="00544356">
        <w:rPr>
          <w:rFonts w:ascii="Calibri" w:hAnsi="Calibri" w:cs="Arial"/>
        </w:rPr>
        <w:t xml:space="preserve">This report </w:t>
      </w:r>
      <w:r w:rsidR="004A379F">
        <w:rPr>
          <w:rFonts w:ascii="Calibri" w:hAnsi="Calibri" w:cs="Arial"/>
        </w:rPr>
        <w:t>allows</w:t>
      </w:r>
      <w:r w:rsidR="004A379F" w:rsidRPr="00544356">
        <w:rPr>
          <w:rFonts w:ascii="Calibri" w:hAnsi="Calibri" w:cs="Arial"/>
        </w:rPr>
        <w:t xml:space="preserve"> </w:t>
      </w:r>
      <w:r w:rsidRPr="00544356">
        <w:rPr>
          <w:rFonts w:ascii="Calibri" w:hAnsi="Calibri" w:cs="Arial"/>
        </w:rPr>
        <w:t xml:space="preserve">us to </w:t>
      </w:r>
      <w:r w:rsidR="004A379F">
        <w:rPr>
          <w:rFonts w:ascii="Calibri" w:hAnsi="Calibri" w:cs="Arial"/>
        </w:rPr>
        <w:t>report on</w:t>
      </w:r>
      <w:r w:rsidRPr="00544356">
        <w:rPr>
          <w:rFonts w:ascii="Calibri" w:hAnsi="Calibri" w:cs="Arial"/>
        </w:rPr>
        <w:t xml:space="preserve"> the quality of our services for the year that has just ended</w:t>
      </w:r>
      <w:r>
        <w:rPr>
          <w:rFonts w:ascii="Calibri" w:hAnsi="Calibri" w:cs="Arial"/>
        </w:rPr>
        <w:t>,</w:t>
      </w:r>
      <w:r w:rsidRPr="00544356">
        <w:rPr>
          <w:rFonts w:ascii="Calibri" w:hAnsi="Calibri" w:cs="Arial"/>
        </w:rPr>
        <w:t xml:space="preserve"> April 2011</w:t>
      </w:r>
      <w:r>
        <w:rPr>
          <w:rFonts w:ascii="Calibri" w:hAnsi="Calibri" w:cs="Arial"/>
        </w:rPr>
        <w:t xml:space="preserve"> to </w:t>
      </w:r>
      <w:r w:rsidRPr="00544356">
        <w:rPr>
          <w:rFonts w:ascii="Calibri" w:hAnsi="Calibri" w:cs="Arial"/>
        </w:rPr>
        <w:t xml:space="preserve">March 2012, and </w:t>
      </w:r>
      <w:r w:rsidR="00FB0F7B">
        <w:rPr>
          <w:rFonts w:ascii="Calibri" w:hAnsi="Calibri" w:cs="Arial"/>
        </w:rPr>
        <w:t>present</w:t>
      </w:r>
      <w:r w:rsidRPr="00544356">
        <w:rPr>
          <w:rFonts w:ascii="Calibri" w:hAnsi="Calibri" w:cs="Arial"/>
        </w:rPr>
        <w:t xml:space="preserve"> our proposed quality initiatives for the forthcoming year</w:t>
      </w:r>
      <w:r w:rsidR="004A379F">
        <w:rPr>
          <w:rFonts w:ascii="Calibri" w:hAnsi="Calibri" w:cs="Arial"/>
        </w:rPr>
        <w:t>,</w:t>
      </w:r>
      <w:r w:rsidRPr="00544356">
        <w:rPr>
          <w:rFonts w:ascii="Calibri" w:hAnsi="Calibri" w:cs="Arial"/>
        </w:rPr>
        <w:t xml:space="preserve"> following involvement and comment from our stakeholders. </w:t>
      </w:r>
    </w:p>
    <w:tbl>
      <w:tblPr>
        <w:tblW w:w="0" w:type="auto"/>
        <w:shd w:val="clear" w:color="auto" w:fill="0070C0"/>
        <w:tblLook w:val="04A0"/>
      </w:tblPr>
      <w:tblGrid>
        <w:gridCol w:w="4375"/>
      </w:tblGrid>
      <w:tr w:rsidR="000E5B4F" w:rsidTr="00B36507">
        <w:tc>
          <w:tcPr>
            <w:tcW w:w="9689" w:type="dxa"/>
            <w:shd w:val="clear" w:color="auto" w:fill="0070C0"/>
          </w:tcPr>
          <w:p w:rsidR="00277E7A" w:rsidRDefault="00FB0F7B" w:rsidP="00695F7E">
            <w:pPr>
              <w:pStyle w:val="Heading2"/>
            </w:pPr>
            <w:bookmarkStart w:id="1" w:name="_Toc323283984"/>
            <w:r>
              <w:t xml:space="preserve">What </w:t>
            </w:r>
            <w:r w:rsidR="00695F7E">
              <w:t>W</w:t>
            </w:r>
            <w:r>
              <w:t xml:space="preserve">e </w:t>
            </w:r>
            <w:r w:rsidR="00695F7E">
              <w:t>D</w:t>
            </w:r>
            <w:r>
              <w:t>o</w:t>
            </w:r>
            <w:bookmarkEnd w:id="1"/>
          </w:p>
        </w:tc>
      </w:tr>
    </w:tbl>
    <w:p w:rsidR="00277E7A" w:rsidRDefault="000E5B4F">
      <w:pPr>
        <w:spacing w:after="120"/>
        <w:rPr>
          <w:rFonts w:ascii="Calibri" w:hAnsi="Calibri" w:cs="Arial"/>
        </w:rPr>
      </w:pPr>
      <w:r>
        <w:rPr>
          <w:rFonts w:ascii="Calibri" w:hAnsi="Calibri" w:cs="Arial"/>
          <w:b/>
          <w:sz w:val="22"/>
          <w:szCs w:val="22"/>
          <w:u w:val="single"/>
        </w:rPr>
        <w:t xml:space="preserve"> </w:t>
      </w:r>
    </w:p>
    <w:p w:rsidR="000E5B4F" w:rsidRPr="00FB0F7B" w:rsidRDefault="004A379F" w:rsidP="00FB0F7B">
      <w:pPr>
        <w:spacing w:after="240"/>
        <w:rPr>
          <w:rFonts w:ascii="Calibri" w:hAnsi="Calibri" w:cs="Arial"/>
        </w:rPr>
      </w:pPr>
      <w:r>
        <w:rPr>
          <w:rFonts w:ascii="Calibri" w:hAnsi="Calibri" w:cs="Arial"/>
        </w:rPr>
        <w:t xml:space="preserve">In 2011, </w:t>
      </w:r>
      <w:r w:rsidR="000E5B4F" w:rsidRPr="00FB0F7B">
        <w:rPr>
          <w:rFonts w:ascii="Calibri" w:hAnsi="Calibri" w:cs="Arial"/>
        </w:rPr>
        <w:t>Oxford Health NHS F</w:t>
      </w:r>
      <w:r>
        <w:rPr>
          <w:rFonts w:ascii="Calibri" w:hAnsi="Calibri" w:cs="Arial"/>
        </w:rPr>
        <w:t xml:space="preserve">oundation </w:t>
      </w:r>
      <w:r w:rsidR="000E5B4F" w:rsidRPr="00FB0F7B">
        <w:rPr>
          <w:rFonts w:ascii="Calibri" w:hAnsi="Calibri" w:cs="Arial"/>
        </w:rPr>
        <w:t>T</w:t>
      </w:r>
      <w:r>
        <w:rPr>
          <w:rFonts w:ascii="Calibri" w:hAnsi="Calibri" w:cs="Arial"/>
        </w:rPr>
        <w:t>rust</w:t>
      </w:r>
      <w:r w:rsidR="000E5B4F" w:rsidRPr="00FB0F7B">
        <w:rPr>
          <w:rFonts w:ascii="Calibri" w:hAnsi="Calibri" w:cs="Arial"/>
        </w:rPr>
        <w:t xml:space="preserve"> was established to become the integrated provider of community health and social care services for its local population and beyond.</w:t>
      </w:r>
    </w:p>
    <w:p w:rsidR="000E5B4F" w:rsidRPr="00FB0F7B" w:rsidRDefault="000E5B4F" w:rsidP="00FB0F7B">
      <w:pPr>
        <w:spacing w:after="240"/>
        <w:jc w:val="both"/>
        <w:rPr>
          <w:rFonts w:ascii="Calibri" w:hAnsi="Calibri" w:cs="Arial"/>
        </w:rPr>
      </w:pPr>
      <w:r w:rsidRPr="00FB0F7B">
        <w:rPr>
          <w:rFonts w:ascii="Calibri" w:hAnsi="Calibri" w:cs="Arial"/>
        </w:rPr>
        <w:t>The Trust’s primary population are the residents of Buckinghamshire and Oxfordshire (1.2 million). Our children’s services also extend into Wiltshire, Swindon, and Bath and North East Somerset, and we admit young people to our inpatient adolescent units from Gloucestershire, Milton Keynes, Luton and Bedfordshire. Our Forensic Services serve the Thames Valley/South Central area.</w:t>
      </w:r>
    </w:p>
    <w:p w:rsidR="000E5B4F" w:rsidRPr="00FB0F7B" w:rsidRDefault="000E5B4F" w:rsidP="00FB0F7B">
      <w:pPr>
        <w:spacing w:after="240"/>
        <w:jc w:val="both"/>
        <w:rPr>
          <w:rFonts w:ascii="Calibri" w:hAnsi="Calibri" w:cs="Arial"/>
        </w:rPr>
      </w:pPr>
      <w:r w:rsidRPr="00FB0F7B">
        <w:rPr>
          <w:rFonts w:ascii="Calibri" w:hAnsi="Calibri" w:cs="Arial"/>
        </w:rPr>
        <w:t xml:space="preserve">General community health services for Oxfordshire </w:t>
      </w:r>
      <w:r w:rsidR="000D083E" w:rsidRPr="00FB0F7B">
        <w:rPr>
          <w:rFonts w:ascii="Calibri" w:hAnsi="Calibri" w:cs="Arial"/>
        </w:rPr>
        <w:t>were</w:t>
      </w:r>
      <w:r w:rsidRPr="00FB0F7B">
        <w:rPr>
          <w:rFonts w:ascii="Calibri" w:hAnsi="Calibri" w:cs="Arial"/>
        </w:rPr>
        <w:t xml:space="preserve"> transferred from Oxfordshire PCT on 1</w:t>
      </w:r>
      <w:r w:rsidRPr="00864504">
        <w:rPr>
          <w:rFonts w:ascii="Calibri" w:hAnsi="Calibri" w:cs="Arial"/>
          <w:vertAlign w:val="superscript"/>
        </w:rPr>
        <w:t>st</w:t>
      </w:r>
      <w:r w:rsidR="00864504">
        <w:rPr>
          <w:rFonts w:ascii="Calibri" w:hAnsi="Calibri" w:cs="Arial"/>
        </w:rPr>
        <w:t xml:space="preserve"> </w:t>
      </w:r>
      <w:r w:rsidRPr="00FB0F7B">
        <w:rPr>
          <w:rFonts w:ascii="Calibri" w:hAnsi="Calibri" w:cs="Arial"/>
        </w:rPr>
        <w:t>April 2011</w:t>
      </w:r>
      <w:r w:rsidR="00036D61">
        <w:rPr>
          <w:rFonts w:ascii="Calibri" w:hAnsi="Calibri" w:cs="Arial"/>
        </w:rPr>
        <w:t xml:space="preserve"> to</w:t>
      </w:r>
      <w:r w:rsidRPr="00FB0F7B">
        <w:rPr>
          <w:rFonts w:ascii="Calibri" w:hAnsi="Calibri" w:cs="Arial"/>
        </w:rPr>
        <w:t xml:space="preserve"> </w:t>
      </w:r>
      <w:r w:rsidR="00036D61" w:rsidRPr="000E5B4F">
        <w:rPr>
          <w:rFonts w:ascii="Calibri" w:hAnsi="Calibri"/>
        </w:rPr>
        <w:t>bec</w:t>
      </w:r>
      <w:r w:rsidR="00036D61">
        <w:rPr>
          <w:rFonts w:ascii="Calibri" w:hAnsi="Calibri"/>
        </w:rPr>
        <w:t>o</w:t>
      </w:r>
      <w:r w:rsidR="00036D61" w:rsidRPr="000E5B4F">
        <w:rPr>
          <w:rFonts w:ascii="Calibri" w:hAnsi="Calibri"/>
        </w:rPr>
        <w:t xml:space="preserve">me an organisation of nearly 6000 </w:t>
      </w:r>
      <w:r w:rsidR="00036D61" w:rsidRPr="000E5B4F">
        <w:rPr>
          <w:rFonts w:ascii="Calibri" w:hAnsi="Calibri"/>
        </w:rPr>
        <w:lastRenderedPageBreak/>
        <w:t>staff</w:t>
      </w:r>
      <w:r w:rsidR="00036D61">
        <w:rPr>
          <w:rFonts w:ascii="Calibri" w:hAnsi="Calibri"/>
        </w:rPr>
        <w:t>.</w:t>
      </w:r>
      <w:r w:rsidR="00036D61" w:rsidRPr="00FB0F7B">
        <w:rPr>
          <w:rFonts w:ascii="Calibri" w:hAnsi="Calibri" w:cs="Arial"/>
        </w:rPr>
        <w:t xml:space="preserve"> </w:t>
      </w:r>
      <w:r w:rsidRPr="00FB0F7B">
        <w:rPr>
          <w:rFonts w:ascii="Calibri" w:hAnsi="Calibri" w:cs="Arial"/>
        </w:rPr>
        <w:t xml:space="preserve">This </w:t>
      </w:r>
      <w:r w:rsidR="00036D61">
        <w:rPr>
          <w:rFonts w:ascii="Calibri" w:hAnsi="Calibri" w:cs="Arial"/>
        </w:rPr>
        <w:t xml:space="preserve">has </w:t>
      </w:r>
      <w:r w:rsidRPr="00FB0F7B">
        <w:rPr>
          <w:rFonts w:ascii="Calibri" w:hAnsi="Calibri" w:cs="Arial"/>
        </w:rPr>
        <w:t xml:space="preserve">enabled all community children’s services to become integrated within a new children and families’ service division. A new division was also been established called Oxfordshire </w:t>
      </w:r>
      <w:r w:rsidR="004A379F">
        <w:rPr>
          <w:rFonts w:ascii="Calibri" w:hAnsi="Calibri" w:cs="Arial"/>
        </w:rPr>
        <w:t>C</w:t>
      </w:r>
      <w:r w:rsidR="004A379F" w:rsidRPr="00FB0F7B">
        <w:rPr>
          <w:rFonts w:ascii="Calibri" w:hAnsi="Calibri" w:cs="Arial"/>
        </w:rPr>
        <w:t xml:space="preserve">ommunity </w:t>
      </w:r>
      <w:r w:rsidR="004A379F">
        <w:rPr>
          <w:rFonts w:ascii="Calibri" w:hAnsi="Calibri" w:cs="Arial"/>
        </w:rPr>
        <w:t>S</w:t>
      </w:r>
      <w:r w:rsidR="004A379F" w:rsidRPr="00FB0F7B">
        <w:rPr>
          <w:rFonts w:ascii="Calibri" w:hAnsi="Calibri" w:cs="Arial"/>
        </w:rPr>
        <w:t xml:space="preserve">ervices </w:t>
      </w:r>
      <w:r w:rsidR="004A379F">
        <w:rPr>
          <w:rFonts w:ascii="Calibri" w:hAnsi="Calibri" w:cs="Arial"/>
        </w:rPr>
        <w:t>D</w:t>
      </w:r>
      <w:r w:rsidR="004A379F" w:rsidRPr="00FB0F7B">
        <w:rPr>
          <w:rFonts w:ascii="Calibri" w:hAnsi="Calibri" w:cs="Arial"/>
        </w:rPr>
        <w:t xml:space="preserve">ivision </w:t>
      </w:r>
      <w:r w:rsidRPr="00FB0F7B">
        <w:rPr>
          <w:rFonts w:ascii="Calibri" w:hAnsi="Calibri" w:cs="Arial"/>
        </w:rPr>
        <w:t>running adult community health services for the population of Oxfordshire.</w:t>
      </w:r>
    </w:p>
    <w:p w:rsidR="000D083E" w:rsidRPr="00FB0F7B" w:rsidRDefault="000D083E" w:rsidP="00FB0F7B">
      <w:pPr>
        <w:spacing w:after="240"/>
        <w:jc w:val="both"/>
        <w:rPr>
          <w:rFonts w:ascii="Calibri" w:hAnsi="Calibri" w:cs="Arial"/>
        </w:rPr>
      </w:pPr>
      <w:r w:rsidRPr="00FB0F7B">
        <w:rPr>
          <w:rFonts w:ascii="Calibri" w:hAnsi="Calibri" w:cs="Arial"/>
        </w:rPr>
        <w:t xml:space="preserve">The new organisation operates a wide range of general community health services as well as local and specialist mental health and social care services within four divisions including: </w:t>
      </w:r>
    </w:p>
    <w:p w:rsidR="000D083E" w:rsidRPr="000E5B4F" w:rsidRDefault="000D083E" w:rsidP="000D083E">
      <w:pPr>
        <w:pStyle w:val="ListParagraph"/>
        <w:numPr>
          <w:ilvl w:val="0"/>
          <w:numId w:val="49"/>
        </w:numPr>
        <w:ind w:left="426" w:hanging="426"/>
        <w:rPr>
          <w:rFonts w:ascii="Calibri" w:hAnsi="Calibri" w:cs="Frutiger-Light"/>
        </w:rPr>
      </w:pPr>
      <w:r w:rsidRPr="000E5B4F">
        <w:rPr>
          <w:rFonts w:ascii="Calibri" w:hAnsi="Calibri" w:cs="Frutiger-Light"/>
        </w:rPr>
        <w:t xml:space="preserve">Community Health services for Oxfordshire  </w:t>
      </w:r>
    </w:p>
    <w:p w:rsidR="000D083E" w:rsidRPr="000E5B4F" w:rsidRDefault="000D083E" w:rsidP="000D083E">
      <w:pPr>
        <w:pStyle w:val="ListParagraph"/>
        <w:numPr>
          <w:ilvl w:val="0"/>
          <w:numId w:val="49"/>
        </w:numPr>
        <w:ind w:left="426" w:hanging="426"/>
        <w:rPr>
          <w:rFonts w:ascii="Calibri" w:hAnsi="Calibri" w:cs="Frutiger-Light"/>
        </w:rPr>
      </w:pPr>
      <w:r>
        <w:rPr>
          <w:rFonts w:ascii="Calibri" w:hAnsi="Calibri" w:cs="Frutiger-Light"/>
        </w:rPr>
        <w:t>Child and Family Services</w:t>
      </w:r>
    </w:p>
    <w:p w:rsidR="000D083E" w:rsidRPr="000E5B4F" w:rsidRDefault="000D083E" w:rsidP="000D083E">
      <w:pPr>
        <w:pStyle w:val="ListParagraph"/>
        <w:numPr>
          <w:ilvl w:val="0"/>
          <w:numId w:val="49"/>
        </w:numPr>
        <w:ind w:left="426" w:hanging="426"/>
        <w:rPr>
          <w:rFonts w:ascii="Calibri" w:hAnsi="Calibri" w:cs="Frutiger-Light"/>
        </w:rPr>
      </w:pPr>
      <w:r>
        <w:rPr>
          <w:rFonts w:ascii="Calibri" w:hAnsi="Calibri" w:cs="Frutiger-Light"/>
        </w:rPr>
        <w:t>M</w:t>
      </w:r>
      <w:r w:rsidRPr="000E5B4F">
        <w:rPr>
          <w:rFonts w:ascii="Calibri" w:hAnsi="Calibri" w:cs="Frutiger-Light"/>
        </w:rPr>
        <w:t xml:space="preserve">ental health services for  adults and older adults </w:t>
      </w:r>
    </w:p>
    <w:p w:rsidR="000D083E" w:rsidRPr="000E5B4F" w:rsidRDefault="000D083E" w:rsidP="000D083E">
      <w:pPr>
        <w:pStyle w:val="ListParagraph"/>
        <w:numPr>
          <w:ilvl w:val="0"/>
          <w:numId w:val="49"/>
        </w:numPr>
        <w:ind w:left="426" w:hanging="426"/>
        <w:rPr>
          <w:rFonts w:ascii="Calibri" w:hAnsi="Calibri" w:cs="Frutiger-Light"/>
        </w:rPr>
      </w:pPr>
      <w:r>
        <w:rPr>
          <w:rFonts w:ascii="Calibri" w:hAnsi="Calibri" w:cs="Frutiger-Light"/>
        </w:rPr>
        <w:t xml:space="preserve">Specialist services: </w:t>
      </w:r>
      <w:r w:rsidRPr="000E5B4F">
        <w:rPr>
          <w:rFonts w:ascii="Calibri" w:hAnsi="Calibri" w:cs="Frutiger-Light"/>
        </w:rPr>
        <w:t xml:space="preserve">specialist forensic, eating disorders, specialist psychological therapies and specialist addiction services </w:t>
      </w:r>
    </w:p>
    <w:p w:rsidR="000E5B4F" w:rsidRPr="000E5B4F" w:rsidRDefault="000E5B4F" w:rsidP="0053634A">
      <w:pPr>
        <w:jc w:val="both"/>
        <w:rPr>
          <w:rFonts w:ascii="Calibri" w:hAnsi="Calibri" w:cs="Arial"/>
          <w:b/>
          <w:u w:val="single"/>
        </w:rPr>
      </w:pPr>
    </w:p>
    <w:p w:rsidR="000E5B4F" w:rsidRPr="000E5B4F" w:rsidRDefault="000E5B4F" w:rsidP="0053634A">
      <w:pPr>
        <w:jc w:val="both"/>
        <w:rPr>
          <w:rFonts w:ascii="Calibri" w:hAnsi="Calibri"/>
        </w:rPr>
      </w:pPr>
      <w:r w:rsidRPr="000E5B4F">
        <w:rPr>
          <w:rFonts w:ascii="Calibri" w:hAnsi="Calibri"/>
        </w:rPr>
        <w:t xml:space="preserve">The vision for bringing these services together enables us to manage community based health and social care in a single organisation as indicated by the NHS and Social Care </w:t>
      </w:r>
      <w:r w:rsidR="000D083E">
        <w:rPr>
          <w:rFonts w:ascii="Calibri" w:hAnsi="Calibri"/>
        </w:rPr>
        <w:t>Act</w:t>
      </w:r>
      <w:r w:rsidR="000D083E" w:rsidRPr="000E5B4F">
        <w:rPr>
          <w:rFonts w:ascii="Calibri" w:hAnsi="Calibri"/>
        </w:rPr>
        <w:t xml:space="preserve"> </w:t>
      </w:r>
      <w:r w:rsidRPr="000E5B4F">
        <w:rPr>
          <w:rFonts w:ascii="Calibri" w:hAnsi="Calibri"/>
        </w:rPr>
        <w:t>(</w:t>
      </w:r>
      <w:r w:rsidR="000D083E">
        <w:rPr>
          <w:rFonts w:ascii="Calibri" w:hAnsi="Calibri"/>
        </w:rPr>
        <w:t xml:space="preserve">March </w:t>
      </w:r>
      <w:r w:rsidRPr="000E5B4F">
        <w:rPr>
          <w:rFonts w:ascii="Calibri" w:hAnsi="Calibri"/>
        </w:rPr>
        <w:t>201</w:t>
      </w:r>
      <w:r w:rsidR="000D083E">
        <w:rPr>
          <w:rFonts w:ascii="Calibri" w:hAnsi="Calibri"/>
        </w:rPr>
        <w:t>2</w:t>
      </w:r>
      <w:r w:rsidRPr="000E5B4F">
        <w:rPr>
          <w:rFonts w:ascii="Calibri" w:hAnsi="Calibri"/>
        </w:rPr>
        <w:t>) and the new Mental Heath Strategy (DoH February 2011). The integration gives us the opportunity to deliver better care closer to home, acknowledge the interdependence between physical and mental health and well-being and provide alternatives to acute hospital admission or shorter stays for many people.</w:t>
      </w:r>
    </w:p>
    <w:p w:rsidR="00FB0F7B" w:rsidRDefault="00FB0F7B" w:rsidP="00FB0F7B">
      <w:pPr>
        <w:rPr>
          <w:rFonts w:ascii="Calibri" w:hAnsi="Calibri" w:cs="Arial"/>
          <w:b/>
          <w:sz w:val="22"/>
          <w:szCs w:val="22"/>
          <w:u w:val="single"/>
        </w:rPr>
      </w:pPr>
    </w:p>
    <w:tbl>
      <w:tblPr>
        <w:tblW w:w="0" w:type="auto"/>
        <w:shd w:val="clear" w:color="auto" w:fill="0070C0"/>
        <w:tblLook w:val="04A0"/>
      </w:tblPr>
      <w:tblGrid>
        <w:gridCol w:w="4375"/>
      </w:tblGrid>
      <w:tr w:rsidR="00FB0F7B" w:rsidTr="00FB0F7B">
        <w:tc>
          <w:tcPr>
            <w:tcW w:w="9689" w:type="dxa"/>
            <w:shd w:val="clear" w:color="auto" w:fill="0070C0"/>
          </w:tcPr>
          <w:p w:rsidR="00FB0F7B" w:rsidRPr="001206B2" w:rsidRDefault="00FB0F7B" w:rsidP="00FB0F7B">
            <w:pPr>
              <w:pStyle w:val="Heading2"/>
            </w:pPr>
            <w:bookmarkStart w:id="2" w:name="_Toc323283985"/>
            <w:r w:rsidRPr="001206B2">
              <w:t>Quality Initiatives 2011/12</w:t>
            </w:r>
            <w:bookmarkEnd w:id="2"/>
          </w:p>
        </w:tc>
      </w:tr>
    </w:tbl>
    <w:p w:rsidR="000E5B4F" w:rsidRPr="000E5B4F" w:rsidRDefault="000E5B4F" w:rsidP="000E5B4F">
      <w:pPr>
        <w:rPr>
          <w:rFonts w:ascii="Calibri" w:hAnsi="Calibri"/>
        </w:rPr>
      </w:pPr>
    </w:p>
    <w:p w:rsidR="00277E7A" w:rsidRDefault="000E5B4F">
      <w:pPr>
        <w:spacing w:after="240"/>
        <w:jc w:val="both"/>
        <w:rPr>
          <w:rFonts w:ascii="Calibri" w:hAnsi="Calibri" w:cs="Arial"/>
        </w:rPr>
      </w:pPr>
      <w:r w:rsidRPr="000E5B4F">
        <w:rPr>
          <w:rFonts w:ascii="Calibri" w:hAnsi="Calibri" w:cs="Arial"/>
        </w:rPr>
        <w:t xml:space="preserve">Our </w:t>
      </w:r>
      <w:r w:rsidR="00465704">
        <w:rPr>
          <w:rFonts w:ascii="Calibri" w:hAnsi="Calibri" w:cs="Arial"/>
        </w:rPr>
        <w:t>strategic vision is to deliver</w:t>
      </w:r>
      <w:r w:rsidRPr="000E5B4F">
        <w:rPr>
          <w:rFonts w:ascii="Calibri" w:hAnsi="Calibri" w:cs="Arial"/>
        </w:rPr>
        <w:t xml:space="preserve"> outstanding </w:t>
      </w:r>
      <w:r w:rsidR="00663CE4">
        <w:rPr>
          <w:rFonts w:ascii="Calibri" w:hAnsi="Calibri" w:cs="Arial"/>
        </w:rPr>
        <w:t xml:space="preserve">care </w:t>
      </w:r>
      <w:r w:rsidRPr="000E5B4F">
        <w:rPr>
          <w:rFonts w:ascii="Calibri" w:hAnsi="Calibri" w:cs="Arial"/>
        </w:rPr>
        <w:t xml:space="preserve">delivered by </w:t>
      </w:r>
      <w:r w:rsidR="00465704">
        <w:rPr>
          <w:rFonts w:ascii="Calibri" w:hAnsi="Calibri" w:cs="Arial"/>
        </w:rPr>
        <w:t>outstanding</w:t>
      </w:r>
      <w:r w:rsidR="00465704" w:rsidRPr="000E5B4F">
        <w:rPr>
          <w:rFonts w:ascii="Calibri" w:hAnsi="Calibri" w:cs="Arial"/>
        </w:rPr>
        <w:t xml:space="preserve"> </w:t>
      </w:r>
      <w:r w:rsidRPr="000E5B4F">
        <w:rPr>
          <w:rFonts w:ascii="Calibri" w:hAnsi="Calibri" w:cs="Arial"/>
        </w:rPr>
        <w:t xml:space="preserve">people. </w:t>
      </w:r>
      <w:r w:rsidR="00156DF3">
        <w:rPr>
          <w:rFonts w:ascii="Calibri" w:hAnsi="Calibri" w:cs="Arial"/>
        </w:rPr>
        <w:t>In 2011/12</w:t>
      </w:r>
      <w:r w:rsidRPr="000E5B4F">
        <w:rPr>
          <w:rFonts w:ascii="Calibri" w:hAnsi="Calibri" w:cs="Arial"/>
        </w:rPr>
        <w:t xml:space="preserve"> we made a range of </w:t>
      </w:r>
      <w:r w:rsidRPr="000E5B4F">
        <w:rPr>
          <w:rFonts w:ascii="Calibri" w:hAnsi="Calibri" w:cs="Arial"/>
        </w:rPr>
        <w:lastRenderedPageBreak/>
        <w:t>improvements</w:t>
      </w:r>
      <w:r w:rsidR="00036D61">
        <w:rPr>
          <w:rFonts w:ascii="Calibri" w:hAnsi="Calibri" w:cs="Arial"/>
        </w:rPr>
        <w:t xml:space="preserve"> to support this vision,</w:t>
      </w:r>
      <w:r w:rsidRPr="000E5B4F">
        <w:rPr>
          <w:rFonts w:ascii="Calibri" w:hAnsi="Calibri" w:cs="Arial"/>
        </w:rPr>
        <w:t xml:space="preserve"> </w:t>
      </w:r>
      <w:r w:rsidR="00036D61">
        <w:rPr>
          <w:rFonts w:ascii="Calibri" w:hAnsi="Calibri" w:cs="Arial"/>
        </w:rPr>
        <w:t xml:space="preserve">in order </w:t>
      </w:r>
      <w:r w:rsidR="00465704">
        <w:rPr>
          <w:rFonts w:ascii="Calibri" w:hAnsi="Calibri" w:cs="Arial"/>
        </w:rPr>
        <w:t xml:space="preserve">to drive </w:t>
      </w:r>
      <w:r w:rsidR="00E95B68">
        <w:rPr>
          <w:rFonts w:ascii="Calibri" w:hAnsi="Calibri" w:cs="Arial"/>
        </w:rPr>
        <w:t xml:space="preserve">forward </w:t>
      </w:r>
      <w:r w:rsidR="00465704">
        <w:rPr>
          <w:rFonts w:ascii="Calibri" w:hAnsi="Calibri" w:cs="Arial"/>
        </w:rPr>
        <w:t xml:space="preserve">Quality Improvement </w:t>
      </w:r>
      <w:r w:rsidR="00036D61">
        <w:rPr>
          <w:rFonts w:ascii="Calibri" w:hAnsi="Calibri" w:cs="Arial"/>
        </w:rPr>
        <w:t>and</w:t>
      </w:r>
      <w:r w:rsidRPr="000E5B4F">
        <w:rPr>
          <w:rFonts w:ascii="Calibri" w:hAnsi="Calibri" w:cs="Arial"/>
        </w:rPr>
        <w:t xml:space="preserve"> develop more baselines for measuring safety. We </w:t>
      </w:r>
      <w:r w:rsidR="00036D61">
        <w:rPr>
          <w:rFonts w:ascii="Calibri" w:hAnsi="Calibri" w:cs="Arial"/>
        </w:rPr>
        <w:t>expect</w:t>
      </w:r>
      <w:r w:rsidR="00036D61" w:rsidRPr="000E5B4F">
        <w:rPr>
          <w:rFonts w:ascii="Calibri" w:hAnsi="Calibri" w:cs="Arial"/>
        </w:rPr>
        <w:t xml:space="preserve"> </w:t>
      </w:r>
      <w:r w:rsidRPr="000E5B4F">
        <w:rPr>
          <w:rFonts w:ascii="Calibri" w:hAnsi="Calibri" w:cs="Arial"/>
        </w:rPr>
        <w:t xml:space="preserve">this </w:t>
      </w:r>
      <w:r w:rsidR="00036D61">
        <w:rPr>
          <w:rFonts w:ascii="Calibri" w:hAnsi="Calibri" w:cs="Arial"/>
        </w:rPr>
        <w:t>to</w:t>
      </w:r>
      <w:r w:rsidR="00036D61" w:rsidRPr="000E5B4F">
        <w:rPr>
          <w:rFonts w:ascii="Calibri" w:hAnsi="Calibri" w:cs="Arial"/>
        </w:rPr>
        <w:t xml:space="preserve"> </w:t>
      </w:r>
      <w:r w:rsidRPr="000E5B4F">
        <w:rPr>
          <w:rFonts w:ascii="Calibri" w:hAnsi="Calibri" w:cs="Arial"/>
        </w:rPr>
        <w:t xml:space="preserve">gather momentum over the next two years. </w:t>
      </w:r>
    </w:p>
    <w:p w:rsidR="000E5B4F" w:rsidRDefault="00E95B68" w:rsidP="000E5B4F">
      <w:pPr>
        <w:jc w:val="both"/>
        <w:rPr>
          <w:rFonts w:ascii="Calibri" w:hAnsi="Calibri" w:cs="Arial"/>
        </w:rPr>
      </w:pPr>
      <w:r>
        <w:rPr>
          <w:rFonts w:ascii="Calibri" w:hAnsi="Calibri" w:cs="Arial"/>
        </w:rPr>
        <w:t>Outstanding</w:t>
      </w:r>
      <w:r w:rsidR="000E5B4F" w:rsidRPr="000E5B4F">
        <w:rPr>
          <w:rFonts w:ascii="Calibri" w:hAnsi="Calibri" w:cs="Arial"/>
        </w:rPr>
        <w:t xml:space="preserve"> quality means consistently deliver</w:t>
      </w:r>
      <w:r w:rsidR="004211FE">
        <w:rPr>
          <w:rFonts w:ascii="Calibri" w:hAnsi="Calibri" w:cs="Arial"/>
        </w:rPr>
        <w:t>ing</w:t>
      </w:r>
      <w:r w:rsidR="000E5B4F" w:rsidRPr="000E5B4F">
        <w:rPr>
          <w:rFonts w:ascii="Calibri" w:hAnsi="Calibri" w:cs="Arial"/>
        </w:rPr>
        <w:t xml:space="preserve"> excellent standards of care to patients and service users and carers</w:t>
      </w:r>
      <w:r w:rsidR="00F052B2">
        <w:rPr>
          <w:rFonts w:ascii="Calibri" w:hAnsi="Calibri" w:cs="Arial"/>
        </w:rPr>
        <w:t xml:space="preserve">. </w:t>
      </w:r>
      <w:r>
        <w:rPr>
          <w:rFonts w:ascii="Calibri" w:hAnsi="Calibri" w:cs="Arial"/>
        </w:rPr>
        <w:t xml:space="preserve">This </w:t>
      </w:r>
      <w:r w:rsidRPr="000E5B4F">
        <w:rPr>
          <w:rFonts w:ascii="Calibri" w:hAnsi="Calibri" w:cs="Arial"/>
        </w:rPr>
        <w:t>mean</w:t>
      </w:r>
      <w:r>
        <w:rPr>
          <w:rFonts w:ascii="Calibri" w:hAnsi="Calibri" w:cs="Arial"/>
        </w:rPr>
        <w:t>t</w:t>
      </w:r>
      <w:r w:rsidRPr="000E5B4F">
        <w:rPr>
          <w:rFonts w:ascii="Calibri" w:hAnsi="Calibri" w:cs="Arial"/>
        </w:rPr>
        <w:t xml:space="preserve"> </w:t>
      </w:r>
      <w:r>
        <w:rPr>
          <w:rFonts w:ascii="Calibri" w:hAnsi="Calibri" w:cs="Arial"/>
        </w:rPr>
        <w:t>f</w:t>
      </w:r>
      <w:r w:rsidR="000E5B4F" w:rsidRPr="000E5B4F">
        <w:rPr>
          <w:rFonts w:ascii="Calibri" w:hAnsi="Calibri" w:cs="Arial"/>
        </w:rPr>
        <w:t>or us during the year 2011/12 three key things</w:t>
      </w:r>
      <w:r w:rsidR="0053634A">
        <w:rPr>
          <w:rFonts w:ascii="Calibri" w:hAnsi="Calibri" w:cs="Arial"/>
        </w:rPr>
        <w:t>:</w:t>
      </w:r>
      <w:r w:rsidR="000E5B4F" w:rsidRPr="000E5B4F">
        <w:rPr>
          <w:rFonts w:ascii="Calibri" w:hAnsi="Calibri" w:cs="Arial"/>
        </w:rPr>
        <w:t xml:space="preserve"> </w:t>
      </w:r>
    </w:p>
    <w:p w:rsidR="0053634A" w:rsidRPr="000E5B4F" w:rsidRDefault="0053634A" w:rsidP="000E5B4F">
      <w:pPr>
        <w:jc w:val="both"/>
        <w:rPr>
          <w:rFonts w:ascii="Calibri" w:hAnsi="Calibri" w:cs="Arial"/>
        </w:rPr>
      </w:pPr>
    </w:p>
    <w:p w:rsidR="00901128" w:rsidRDefault="00BF5DCE" w:rsidP="00901128">
      <w:pPr>
        <w:numPr>
          <w:ilvl w:val="0"/>
          <w:numId w:val="2"/>
        </w:numPr>
        <w:tabs>
          <w:tab w:val="clear" w:pos="720"/>
          <w:tab w:val="num" w:pos="426"/>
        </w:tabs>
        <w:ind w:left="426" w:hanging="426"/>
        <w:jc w:val="both"/>
        <w:rPr>
          <w:rFonts w:ascii="Calibri" w:hAnsi="Calibri" w:cs="Arial"/>
        </w:rPr>
      </w:pPr>
      <w:r w:rsidRPr="00D657AA">
        <w:rPr>
          <w:rFonts w:ascii="Calibri" w:hAnsi="Calibri" w:cs="Arial"/>
          <w:b/>
        </w:rPr>
        <w:t xml:space="preserve">Patient </w:t>
      </w:r>
      <w:r w:rsidR="000E5B4F" w:rsidRPr="00D657AA">
        <w:rPr>
          <w:rFonts w:ascii="Calibri" w:hAnsi="Calibri" w:cs="Arial"/>
          <w:b/>
        </w:rPr>
        <w:t>Safety</w:t>
      </w:r>
      <w:r w:rsidR="000E5B4F" w:rsidRPr="00D657AA">
        <w:rPr>
          <w:rFonts w:ascii="Calibri" w:hAnsi="Calibri" w:cs="Arial"/>
        </w:rPr>
        <w:t xml:space="preserve"> </w:t>
      </w:r>
    </w:p>
    <w:p w:rsidR="000E5B4F" w:rsidRPr="00D657AA" w:rsidRDefault="001D14AA" w:rsidP="001D14AA">
      <w:pPr>
        <w:pStyle w:val="ListParagraph"/>
        <w:numPr>
          <w:ilvl w:val="0"/>
          <w:numId w:val="58"/>
        </w:numPr>
        <w:jc w:val="both"/>
        <w:rPr>
          <w:rFonts w:ascii="Calibri" w:hAnsi="Calibri" w:cs="Arial"/>
        </w:rPr>
      </w:pPr>
      <w:r>
        <w:rPr>
          <w:rFonts w:ascii="Calibri" w:hAnsi="Calibri" w:cs="Arial"/>
        </w:rPr>
        <w:t>R</w:t>
      </w:r>
      <w:r w:rsidR="000E5B4F" w:rsidRPr="00D657AA">
        <w:rPr>
          <w:rFonts w:ascii="Calibri" w:hAnsi="Calibri" w:cs="Arial"/>
        </w:rPr>
        <w:t>educing towards zero avoidable suicides</w:t>
      </w:r>
    </w:p>
    <w:p w:rsidR="001D14AA" w:rsidRDefault="00BF5DCE" w:rsidP="00D657AA">
      <w:pPr>
        <w:numPr>
          <w:ilvl w:val="0"/>
          <w:numId w:val="2"/>
        </w:numPr>
        <w:tabs>
          <w:tab w:val="clear" w:pos="720"/>
          <w:tab w:val="num" w:pos="426"/>
        </w:tabs>
        <w:ind w:left="426" w:hanging="426"/>
        <w:jc w:val="both"/>
        <w:rPr>
          <w:rFonts w:ascii="Calibri" w:hAnsi="Calibri" w:cs="Arial"/>
        </w:rPr>
      </w:pPr>
      <w:r w:rsidRPr="00D657AA">
        <w:rPr>
          <w:rFonts w:ascii="Calibri" w:hAnsi="Calibri" w:cs="Arial"/>
          <w:b/>
        </w:rPr>
        <w:t xml:space="preserve">Clinical </w:t>
      </w:r>
      <w:r w:rsidR="000E5B4F" w:rsidRPr="00D657AA">
        <w:rPr>
          <w:rFonts w:ascii="Calibri" w:hAnsi="Calibri" w:cs="Arial"/>
          <w:b/>
        </w:rPr>
        <w:t>Effectiveness</w:t>
      </w:r>
      <w:r w:rsidR="000E5B4F" w:rsidRPr="00D657AA">
        <w:rPr>
          <w:rFonts w:ascii="Calibri" w:hAnsi="Calibri" w:cs="Arial"/>
        </w:rPr>
        <w:t xml:space="preserve"> </w:t>
      </w:r>
    </w:p>
    <w:p w:rsidR="000E5B4F" w:rsidRPr="00D657AA" w:rsidRDefault="000E5B4F" w:rsidP="001D14AA">
      <w:pPr>
        <w:pStyle w:val="ListParagraph"/>
        <w:numPr>
          <w:ilvl w:val="0"/>
          <w:numId w:val="58"/>
        </w:numPr>
        <w:jc w:val="both"/>
        <w:rPr>
          <w:rFonts w:ascii="Calibri" w:hAnsi="Calibri" w:cs="Arial"/>
        </w:rPr>
      </w:pPr>
      <w:r w:rsidRPr="00D657AA">
        <w:rPr>
          <w:rFonts w:ascii="Calibri" w:hAnsi="Calibri" w:cs="Arial"/>
        </w:rPr>
        <w:t>Increasing the routine use of outcome measures</w:t>
      </w:r>
    </w:p>
    <w:p w:rsidR="001D14AA" w:rsidRPr="001D14AA" w:rsidRDefault="00BF5DCE" w:rsidP="00D657AA">
      <w:pPr>
        <w:numPr>
          <w:ilvl w:val="0"/>
          <w:numId w:val="2"/>
        </w:numPr>
        <w:tabs>
          <w:tab w:val="clear" w:pos="720"/>
          <w:tab w:val="num" w:pos="426"/>
        </w:tabs>
        <w:ind w:left="426" w:hanging="426"/>
        <w:jc w:val="both"/>
        <w:rPr>
          <w:rFonts w:ascii="Calibri" w:hAnsi="Calibri" w:cs="Arial"/>
        </w:rPr>
      </w:pPr>
      <w:r w:rsidRPr="00D657AA">
        <w:rPr>
          <w:rFonts w:ascii="Calibri" w:hAnsi="Calibri" w:cs="Arial"/>
          <w:b/>
        </w:rPr>
        <w:t xml:space="preserve">User </w:t>
      </w:r>
      <w:r w:rsidR="000E5B4F" w:rsidRPr="00D657AA">
        <w:rPr>
          <w:rFonts w:ascii="Calibri" w:hAnsi="Calibri" w:cs="Arial"/>
          <w:b/>
        </w:rPr>
        <w:t>Experience</w:t>
      </w:r>
    </w:p>
    <w:p w:rsidR="000E5B4F" w:rsidRPr="00D657AA" w:rsidRDefault="000E5B4F" w:rsidP="00E95B68">
      <w:pPr>
        <w:pStyle w:val="ListParagraph"/>
        <w:numPr>
          <w:ilvl w:val="0"/>
          <w:numId w:val="58"/>
        </w:numPr>
        <w:jc w:val="both"/>
        <w:rPr>
          <w:rFonts w:ascii="Calibri" w:hAnsi="Calibri" w:cs="Arial"/>
        </w:rPr>
      </w:pPr>
      <w:r w:rsidRPr="00D657AA">
        <w:rPr>
          <w:rFonts w:ascii="Calibri" w:hAnsi="Calibri" w:cs="Arial"/>
        </w:rPr>
        <w:t xml:space="preserve"> </w:t>
      </w:r>
      <w:r w:rsidR="00E95B68">
        <w:rPr>
          <w:rFonts w:ascii="Calibri" w:hAnsi="Calibri" w:cs="Arial"/>
        </w:rPr>
        <w:t>Dev</w:t>
      </w:r>
      <w:r w:rsidR="003277A4">
        <w:rPr>
          <w:rFonts w:ascii="Calibri" w:hAnsi="Calibri" w:cs="Arial"/>
        </w:rPr>
        <w:t>e</w:t>
      </w:r>
      <w:r w:rsidR="00E95B68">
        <w:rPr>
          <w:rFonts w:ascii="Calibri" w:hAnsi="Calibri" w:cs="Arial"/>
        </w:rPr>
        <w:t>loping</w:t>
      </w:r>
      <w:r w:rsidRPr="00D657AA">
        <w:rPr>
          <w:rFonts w:ascii="Calibri" w:hAnsi="Calibri" w:cs="Arial"/>
        </w:rPr>
        <w:t xml:space="preserve"> a range of methods to gather and respond to service user and carer experiences of our services.</w:t>
      </w:r>
    </w:p>
    <w:p w:rsidR="000E5B4F" w:rsidRPr="00D657AA" w:rsidRDefault="000E5B4F" w:rsidP="000E5B4F">
      <w:pPr>
        <w:jc w:val="both"/>
        <w:rPr>
          <w:rFonts w:ascii="Calibri" w:hAnsi="Calibri" w:cs="Arial"/>
        </w:rPr>
      </w:pPr>
    </w:p>
    <w:p w:rsidR="00E67E13" w:rsidRDefault="007F79C4" w:rsidP="000E5B4F">
      <w:pPr>
        <w:jc w:val="both"/>
        <w:rPr>
          <w:rFonts w:ascii="Calibri" w:hAnsi="Calibri" w:cs="Arial"/>
        </w:rPr>
      </w:pPr>
      <w:r>
        <w:rPr>
          <w:rFonts w:ascii="Calibri" w:hAnsi="Calibri" w:cs="Arial"/>
        </w:rPr>
        <w:t xml:space="preserve">Our priorities </w:t>
      </w:r>
      <w:r w:rsidR="00E95B68">
        <w:rPr>
          <w:rFonts w:ascii="Calibri" w:hAnsi="Calibri" w:cs="Arial"/>
        </w:rPr>
        <w:t xml:space="preserve">last year </w:t>
      </w:r>
      <w:r w:rsidR="00F052B2">
        <w:rPr>
          <w:rFonts w:ascii="Calibri" w:hAnsi="Calibri" w:cs="Arial"/>
        </w:rPr>
        <w:t xml:space="preserve">also </w:t>
      </w:r>
      <w:r>
        <w:rPr>
          <w:rFonts w:ascii="Calibri" w:hAnsi="Calibri" w:cs="Arial"/>
        </w:rPr>
        <w:t>included some general community services’ priorities</w:t>
      </w:r>
      <w:r w:rsidR="00F052B2">
        <w:rPr>
          <w:rFonts w:ascii="Calibri" w:hAnsi="Calibri" w:cs="Arial"/>
        </w:rPr>
        <w:t xml:space="preserve"> which</w:t>
      </w:r>
      <w:r>
        <w:rPr>
          <w:rFonts w:ascii="Calibri" w:hAnsi="Calibri" w:cs="Arial"/>
        </w:rPr>
        <w:t xml:space="preserve"> have been </w:t>
      </w:r>
      <w:r w:rsidR="00F052B2">
        <w:rPr>
          <w:rFonts w:ascii="Calibri" w:hAnsi="Calibri" w:cs="Arial"/>
        </w:rPr>
        <w:t xml:space="preserve">refined </w:t>
      </w:r>
      <w:r>
        <w:rPr>
          <w:rFonts w:ascii="Calibri" w:hAnsi="Calibri" w:cs="Arial"/>
        </w:rPr>
        <w:t xml:space="preserve">and given greater profile </w:t>
      </w:r>
      <w:r w:rsidR="00663CE4">
        <w:rPr>
          <w:rFonts w:ascii="Calibri" w:hAnsi="Calibri" w:cs="Arial"/>
        </w:rPr>
        <w:t>during 2011/12</w:t>
      </w:r>
      <w:r>
        <w:rPr>
          <w:rFonts w:ascii="Calibri" w:hAnsi="Calibri" w:cs="Arial"/>
        </w:rPr>
        <w:t>.</w:t>
      </w:r>
    </w:p>
    <w:p w:rsidR="00F052B2" w:rsidRDefault="00E67E13" w:rsidP="000D28C7">
      <w:pPr>
        <w:spacing w:before="240"/>
        <w:jc w:val="both"/>
        <w:rPr>
          <w:rFonts w:ascii="Calibri" w:hAnsi="Calibri" w:cs="Arial"/>
        </w:rPr>
      </w:pPr>
      <w:r>
        <w:rPr>
          <w:rFonts w:ascii="Calibri" w:hAnsi="Calibri" w:cs="Arial"/>
        </w:rPr>
        <w:t>C</w:t>
      </w:r>
      <w:r w:rsidR="000E5B4F" w:rsidRPr="000E5B4F">
        <w:rPr>
          <w:rFonts w:ascii="Calibri" w:hAnsi="Calibri" w:cs="Arial"/>
        </w:rPr>
        <w:t>onsultation with stakeholders</w:t>
      </w:r>
      <w:r w:rsidR="00E95B68">
        <w:rPr>
          <w:rFonts w:ascii="Calibri" w:hAnsi="Calibri" w:cs="Arial"/>
        </w:rPr>
        <w:t>,</w:t>
      </w:r>
      <w:r w:rsidR="000E5B4F" w:rsidRPr="000E5B4F">
        <w:rPr>
          <w:rFonts w:ascii="Calibri" w:hAnsi="Calibri" w:cs="Arial"/>
        </w:rPr>
        <w:t xml:space="preserve"> including </w:t>
      </w:r>
      <w:r w:rsidR="00DE772E">
        <w:rPr>
          <w:rFonts w:ascii="Calibri" w:hAnsi="Calibri" w:cs="Arial"/>
        </w:rPr>
        <w:t xml:space="preserve">PCT </w:t>
      </w:r>
      <w:r w:rsidR="000E5B4F" w:rsidRPr="000E5B4F">
        <w:rPr>
          <w:rFonts w:ascii="Calibri" w:hAnsi="Calibri" w:cs="Arial"/>
        </w:rPr>
        <w:t xml:space="preserve">commissioners, patients via </w:t>
      </w:r>
      <w:proofErr w:type="spellStart"/>
      <w:r w:rsidR="000E5B4F" w:rsidRPr="000E5B4F">
        <w:rPr>
          <w:rFonts w:ascii="Calibri" w:hAnsi="Calibri" w:cs="Arial"/>
        </w:rPr>
        <w:t>L</w:t>
      </w:r>
      <w:r w:rsidR="003277A4">
        <w:rPr>
          <w:rFonts w:ascii="Calibri" w:hAnsi="Calibri" w:cs="Arial"/>
        </w:rPr>
        <w:t>I</w:t>
      </w:r>
      <w:r w:rsidR="000E5B4F" w:rsidRPr="000E5B4F">
        <w:rPr>
          <w:rFonts w:ascii="Calibri" w:hAnsi="Calibri" w:cs="Arial"/>
        </w:rPr>
        <w:t>N</w:t>
      </w:r>
      <w:r w:rsidR="003277A4">
        <w:rPr>
          <w:rFonts w:ascii="Calibri" w:hAnsi="Calibri" w:cs="Arial"/>
        </w:rPr>
        <w:t>k</w:t>
      </w:r>
      <w:proofErr w:type="spellEnd"/>
      <w:r w:rsidR="000E5B4F" w:rsidRPr="000E5B4F">
        <w:rPr>
          <w:rFonts w:ascii="Calibri" w:hAnsi="Calibri" w:cs="Arial"/>
        </w:rPr>
        <w:t>, public via HOSC and our Governors</w:t>
      </w:r>
      <w:r w:rsidR="00E95B68">
        <w:rPr>
          <w:rFonts w:ascii="Calibri" w:hAnsi="Calibri" w:cs="Arial"/>
        </w:rPr>
        <w:t>,</w:t>
      </w:r>
      <w:r w:rsidR="000E5B4F" w:rsidRPr="000E5B4F">
        <w:rPr>
          <w:rFonts w:ascii="Calibri" w:hAnsi="Calibri" w:cs="Arial"/>
        </w:rPr>
        <w:t xml:space="preserve"> has enabled the Board of Directors to </w:t>
      </w:r>
      <w:proofErr w:type="gramStart"/>
      <w:r w:rsidR="000E5B4F" w:rsidRPr="000E5B4F">
        <w:rPr>
          <w:rFonts w:ascii="Calibri" w:hAnsi="Calibri" w:cs="Arial"/>
        </w:rPr>
        <w:t>develop  quality</w:t>
      </w:r>
      <w:proofErr w:type="gramEnd"/>
      <w:r w:rsidR="000E5B4F" w:rsidRPr="000E5B4F">
        <w:rPr>
          <w:rFonts w:ascii="Calibri" w:hAnsi="Calibri" w:cs="Arial"/>
        </w:rPr>
        <w:t xml:space="preserve"> initiatives for which we outlined specific indicators and measures to monitor our progress. </w:t>
      </w:r>
      <w:r w:rsidR="00E95B68">
        <w:rPr>
          <w:rFonts w:ascii="Calibri" w:hAnsi="Calibri" w:cs="Arial"/>
        </w:rPr>
        <w:t xml:space="preserve"> </w:t>
      </w:r>
      <w:r w:rsidR="000E5B4F" w:rsidRPr="000E5B4F">
        <w:rPr>
          <w:rFonts w:ascii="Calibri" w:hAnsi="Calibri" w:cs="Arial"/>
        </w:rPr>
        <w:t>These indicators are available through the publication of this Quality Account</w:t>
      </w:r>
      <w:r>
        <w:rPr>
          <w:rFonts w:ascii="Calibri" w:hAnsi="Calibri" w:cs="Arial"/>
        </w:rPr>
        <w:t>,</w:t>
      </w:r>
      <w:r w:rsidR="000E5B4F" w:rsidRPr="000E5B4F">
        <w:rPr>
          <w:rFonts w:ascii="Calibri" w:hAnsi="Calibri" w:cs="Arial"/>
        </w:rPr>
        <w:t xml:space="preserve"> in our public Board papers on a quarterly basis throughout the year</w:t>
      </w:r>
      <w:r w:rsidR="00E95B68">
        <w:rPr>
          <w:rFonts w:ascii="Calibri" w:hAnsi="Calibri" w:cs="Arial"/>
        </w:rPr>
        <w:t>,</w:t>
      </w:r>
      <w:r w:rsidR="000E5B4F" w:rsidRPr="000E5B4F">
        <w:rPr>
          <w:rFonts w:ascii="Calibri" w:hAnsi="Calibri" w:cs="Arial"/>
        </w:rPr>
        <w:t xml:space="preserve"> through the </w:t>
      </w:r>
      <w:r w:rsidR="00F052B2">
        <w:rPr>
          <w:rFonts w:ascii="Calibri" w:hAnsi="Calibri" w:cs="Arial"/>
        </w:rPr>
        <w:t>Members’</w:t>
      </w:r>
      <w:r w:rsidR="00F052B2" w:rsidRPr="000E5B4F">
        <w:rPr>
          <w:rFonts w:ascii="Calibri" w:hAnsi="Calibri" w:cs="Arial"/>
        </w:rPr>
        <w:t xml:space="preserve"> </w:t>
      </w:r>
      <w:r w:rsidR="000E5B4F" w:rsidRPr="000E5B4F">
        <w:rPr>
          <w:rFonts w:ascii="Calibri" w:hAnsi="Calibri" w:cs="Arial"/>
        </w:rPr>
        <w:t>Council and presentation to Buckinghamshire and Oxfordshire HOSC.</w:t>
      </w:r>
    </w:p>
    <w:p w:rsidR="000D28C7" w:rsidRDefault="000E5B4F" w:rsidP="00F712ED">
      <w:pPr>
        <w:spacing w:after="240"/>
        <w:jc w:val="both"/>
        <w:rPr>
          <w:rFonts w:ascii="Calibri" w:hAnsi="Calibri" w:cs="Frutiger-Light"/>
        </w:rPr>
      </w:pPr>
      <w:r w:rsidRPr="000E5B4F">
        <w:rPr>
          <w:rFonts w:ascii="Calibri" w:hAnsi="Calibri" w:cs="Frutiger-Light"/>
        </w:rPr>
        <w:t xml:space="preserve">We </w:t>
      </w:r>
      <w:r w:rsidR="000D28C7">
        <w:rPr>
          <w:rFonts w:ascii="Calibri" w:hAnsi="Calibri" w:cs="Frutiger-Light"/>
        </w:rPr>
        <w:t xml:space="preserve">have </w:t>
      </w:r>
      <w:r w:rsidRPr="000E5B4F">
        <w:rPr>
          <w:rFonts w:ascii="Calibri" w:hAnsi="Calibri" w:cs="Frutiger-Light"/>
        </w:rPr>
        <w:t>continue</w:t>
      </w:r>
      <w:r w:rsidR="000D28C7">
        <w:rPr>
          <w:rFonts w:ascii="Calibri" w:hAnsi="Calibri" w:cs="Frutiger-Light"/>
        </w:rPr>
        <w:t>d</w:t>
      </w:r>
      <w:r w:rsidRPr="000E5B4F">
        <w:rPr>
          <w:rFonts w:ascii="Calibri" w:hAnsi="Calibri" w:cs="Frutiger-Light"/>
        </w:rPr>
        <w:t xml:space="preserve"> to use best practice from other industries</w:t>
      </w:r>
      <w:r w:rsidR="0053634A">
        <w:rPr>
          <w:rFonts w:ascii="Calibri" w:hAnsi="Calibri" w:cs="Frutiger-Light"/>
        </w:rPr>
        <w:t xml:space="preserve"> </w:t>
      </w:r>
      <w:r w:rsidRPr="000E5B4F">
        <w:rPr>
          <w:rFonts w:ascii="Calibri" w:hAnsi="Calibri" w:cs="Frutiger-Light"/>
        </w:rPr>
        <w:t xml:space="preserve">and healthcare organisations </w:t>
      </w:r>
      <w:r w:rsidR="00E21B17">
        <w:rPr>
          <w:rFonts w:ascii="Calibri" w:hAnsi="Calibri" w:cs="Frutiger-Light"/>
        </w:rPr>
        <w:t xml:space="preserve">wherever possible and feasible </w:t>
      </w:r>
      <w:r w:rsidRPr="000E5B4F">
        <w:rPr>
          <w:rFonts w:ascii="Calibri" w:hAnsi="Calibri" w:cs="Frutiger-Light"/>
        </w:rPr>
        <w:t xml:space="preserve">to innovate and increase </w:t>
      </w:r>
      <w:r w:rsidRPr="000E5B4F">
        <w:rPr>
          <w:rFonts w:ascii="Calibri" w:hAnsi="Calibri" w:cs="Frutiger-Light"/>
        </w:rPr>
        <w:lastRenderedPageBreak/>
        <w:t xml:space="preserve">efficiency.  </w:t>
      </w:r>
      <w:r w:rsidR="000D28C7">
        <w:rPr>
          <w:rFonts w:ascii="Calibri" w:hAnsi="Calibri" w:cs="Frutiger-Light"/>
        </w:rPr>
        <w:t>Our</w:t>
      </w:r>
      <w:r w:rsidRPr="000E5B4F">
        <w:rPr>
          <w:rFonts w:ascii="Calibri" w:hAnsi="Calibri" w:cs="Frutiger-Light"/>
        </w:rPr>
        <w:t xml:space="preserve"> team of staff dedicated to improving the systems and processes in the Trust has enabled us to eliminate wasteful activities</w:t>
      </w:r>
      <w:r w:rsidR="00F712ED">
        <w:rPr>
          <w:rFonts w:ascii="Calibri" w:hAnsi="Calibri" w:cs="Frutiger-Light"/>
        </w:rPr>
        <w:t xml:space="preserve"> to</w:t>
      </w:r>
      <w:r w:rsidRPr="000E5B4F">
        <w:rPr>
          <w:rFonts w:ascii="Calibri" w:hAnsi="Calibri" w:cs="Frutiger-Light"/>
        </w:rPr>
        <w:t xml:space="preserve"> ensure our clinical staff are spending the maximum possible time in direct patient care</w:t>
      </w:r>
      <w:r w:rsidR="00F712ED">
        <w:rPr>
          <w:rFonts w:ascii="Calibri" w:hAnsi="Calibri" w:cs="Frutiger-Light"/>
        </w:rPr>
        <w:t>, and</w:t>
      </w:r>
      <w:r w:rsidRPr="000E5B4F">
        <w:rPr>
          <w:rFonts w:ascii="Calibri" w:hAnsi="Calibri" w:cs="Frutiger-Light"/>
        </w:rPr>
        <w:t xml:space="preserve"> helping us to save money whilst maintaining the number of frontline staff. Th</w:t>
      </w:r>
      <w:r w:rsidR="00F712ED">
        <w:rPr>
          <w:rFonts w:ascii="Calibri" w:hAnsi="Calibri" w:cs="Frutiger-Light"/>
        </w:rPr>
        <w:t xml:space="preserve">e </w:t>
      </w:r>
      <w:r w:rsidRPr="000E5B4F">
        <w:rPr>
          <w:rFonts w:ascii="Calibri" w:hAnsi="Calibri" w:cs="Frutiger-Light"/>
        </w:rPr>
        <w:t xml:space="preserve">team co-ordinates the Productive Ward and Productive Community programmes and later in this report we give examples  of how much staff time has been released from tasks which add little or no value to patient care in order to spend more time with patients. </w:t>
      </w:r>
    </w:p>
    <w:p w:rsidR="00E21B17" w:rsidRDefault="000E5B4F" w:rsidP="00E21B17">
      <w:pPr>
        <w:spacing w:after="240"/>
        <w:jc w:val="both"/>
        <w:rPr>
          <w:rFonts w:ascii="Calibri" w:hAnsi="Calibri" w:cs="Arial"/>
          <w:b/>
        </w:rPr>
      </w:pPr>
      <w:r w:rsidRPr="000E5B4F">
        <w:rPr>
          <w:rFonts w:ascii="Calibri" w:hAnsi="Calibri" w:cs="Frutiger-Light"/>
        </w:rPr>
        <w:t>Th</w:t>
      </w:r>
      <w:r w:rsidR="00F712ED">
        <w:rPr>
          <w:rFonts w:ascii="Calibri" w:hAnsi="Calibri" w:cs="Frutiger-Light"/>
        </w:rPr>
        <w:t>is</w:t>
      </w:r>
      <w:r w:rsidRPr="000E5B4F">
        <w:rPr>
          <w:rFonts w:ascii="Calibri" w:hAnsi="Calibri" w:cs="Frutiger-Light"/>
        </w:rPr>
        <w:t xml:space="preserve"> team developed a </w:t>
      </w:r>
      <w:proofErr w:type="spellStart"/>
      <w:r w:rsidRPr="000E5B4F">
        <w:rPr>
          <w:rFonts w:ascii="Calibri" w:hAnsi="Calibri" w:cs="Frutiger-Light"/>
        </w:rPr>
        <w:t>a</w:t>
      </w:r>
      <w:proofErr w:type="spellEnd"/>
      <w:r w:rsidRPr="000E5B4F">
        <w:rPr>
          <w:rFonts w:ascii="Calibri" w:hAnsi="Calibri" w:cs="Frutiger-Light"/>
        </w:rPr>
        <w:t xml:space="preserve"> dashboard of Safety and </w:t>
      </w:r>
      <w:r w:rsidR="000D28C7">
        <w:rPr>
          <w:rFonts w:ascii="Calibri" w:hAnsi="Calibri" w:cs="Frutiger-Light"/>
        </w:rPr>
        <w:t>Q</w:t>
      </w:r>
      <w:r w:rsidR="000D28C7" w:rsidRPr="000E5B4F">
        <w:rPr>
          <w:rFonts w:ascii="Calibri" w:hAnsi="Calibri" w:cs="Frutiger-Light"/>
        </w:rPr>
        <w:t xml:space="preserve">uality </w:t>
      </w:r>
      <w:r w:rsidRPr="000E5B4F">
        <w:rPr>
          <w:rFonts w:ascii="Calibri" w:hAnsi="Calibri" w:cs="Frutiger-Light"/>
        </w:rPr>
        <w:t>care measures</w:t>
      </w:r>
      <w:r w:rsidR="000D28C7">
        <w:rPr>
          <w:rFonts w:ascii="Calibri" w:hAnsi="Calibri" w:cs="Frutiger-Light"/>
        </w:rPr>
        <w:t xml:space="preserve"> which</w:t>
      </w:r>
      <w:r w:rsidRPr="000E5B4F">
        <w:rPr>
          <w:rFonts w:ascii="Calibri" w:hAnsi="Calibri" w:cs="Frutiger-Light"/>
        </w:rPr>
        <w:t xml:space="preserve"> won a prestigious South Central SHA award for best innovation with</w:t>
      </w:r>
      <w:r w:rsidR="00E72A13">
        <w:rPr>
          <w:rFonts w:ascii="Calibri" w:hAnsi="Calibri" w:cs="Frutiger-Light"/>
        </w:rPr>
        <w:t>in</w:t>
      </w:r>
      <w:r w:rsidRPr="000E5B4F">
        <w:rPr>
          <w:rFonts w:ascii="Calibri" w:hAnsi="Calibri" w:cs="Frutiger-Light"/>
        </w:rPr>
        <w:t xml:space="preserve"> the Productive series.</w:t>
      </w:r>
      <w:r w:rsidR="00E21B17" w:rsidRPr="00E21B17">
        <w:rPr>
          <w:rFonts w:ascii="Calibri" w:hAnsi="Calibri" w:cs="Arial"/>
          <w:b/>
        </w:rPr>
        <w:t xml:space="preserve"> </w:t>
      </w:r>
    </w:p>
    <w:p w:rsidR="00286183" w:rsidRDefault="00286183" w:rsidP="00286183">
      <w:pPr>
        <w:spacing w:after="240"/>
        <w:jc w:val="both"/>
        <w:rPr>
          <w:rFonts w:ascii="Calibri" w:hAnsi="Calibri" w:cs="Arial"/>
        </w:rPr>
      </w:pPr>
      <w:r w:rsidRPr="000E5B4F">
        <w:rPr>
          <w:rFonts w:ascii="Calibri" w:hAnsi="Calibri" w:cs="Arial"/>
        </w:rPr>
        <w:t xml:space="preserve">In our first year as a new organisation it is very good news that there </w:t>
      </w:r>
      <w:r>
        <w:rPr>
          <w:rFonts w:ascii="Calibri" w:hAnsi="Calibri" w:cs="Arial"/>
        </w:rPr>
        <w:t>has been</w:t>
      </w:r>
      <w:r w:rsidRPr="000E5B4F">
        <w:rPr>
          <w:rFonts w:ascii="Calibri" w:hAnsi="Calibri" w:cs="Arial"/>
        </w:rPr>
        <w:t xml:space="preserve"> a significant improvement in our staff survey</w:t>
      </w:r>
      <w:r>
        <w:rPr>
          <w:rFonts w:ascii="Calibri" w:hAnsi="Calibri" w:cs="Arial"/>
        </w:rPr>
        <w:t xml:space="preserve"> run by the CQC</w:t>
      </w:r>
      <w:r w:rsidRPr="000E5B4F">
        <w:rPr>
          <w:rFonts w:ascii="Calibri" w:hAnsi="Calibri" w:cs="Arial"/>
        </w:rPr>
        <w:t>,</w:t>
      </w:r>
      <w:r>
        <w:rPr>
          <w:rFonts w:ascii="Calibri" w:hAnsi="Calibri" w:cs="Arial"/>
        </w:rPr>
        <w:t xml:space="preserve"> </w:t>
      </w:r>
      <w:r w:rsidRPr="000E5B4F">
        <w:rPr>
          <w:rFonts w:ascii="Calibri" w:hAnsi="Calibri" w:cs="Arial"/>
        </w:rPr>
        <w:t xml:space="preserve">with a number of areas showing significant improvement and more areas in the top 20% compared with national benchmarks. </w:t>
      </w:r>
    </w:p>
    <w:p w:rsidR="00E21B17" w:rsidRPr="000E5B4F" w:rsidRDefault="00E21B17" w:rsidP="00E21B17">
      <w:pPr>
        <w:jc w:val="both"/>
        <w:rPr>
          <w:rFonts w:ascii="Calibri" w:hAnsi="Calibri" w:cs="Arial"/>
        </w:rPr>
      </w:pPr>
      <w:r w:rsidRPr="000E5B4F">
        <w:rPr>
          <w:rFonts w:ascii="Calibri" w:hAnsi="Calibri" w:cs="Arial"/>
        </w:rPr>
        <w:t xml:space="preserve">Quality of services is </w:t>
      </w:r>
      <w:r w:rsidR="0068776E">
        <w:rPr>
          <w:rFonts w:ascii="Calibri" w:hAnsi="Calibri" w:cs="Arial"/>
        </w:rPr>
        <w:t>assessed</w:t>
      </w:r>
      <w:r w:rsidRPr="000E5B4F">
        <w:rPr>
          <w:rFonts w:ascii="Calibri" w:hAnsi="Calibri" w:cs="Arial"/>
        </w:rPr>
        <w:t xml:space="preserve"> by our external regulators</w:t>
      </w:r>
      <w:r w:rsidR="0068776E">
        <w:rPr>
          <w:rFonts w:ascii="Calibri" w:hAnsi="Calibri" w:cs="Arial"/>
        </w:rPr>
        <w:t>,</w:t>
      </w:r>
      <w:r w:rsidRPr="000E5B4F">
        <w:rPr>
          <w:rFonts w:ascii="Calibri" w:hAnsi="Calibri" w:cs="Arial"/>
        </w:rPr>
        <w:t xml:space="preserve"> Monitor</w:t>
      </w:r>
      <w:r w:rsidR="0068776E">
        <w:rPr>
          <w:rFonts w:ascii="Calibri" w:hAnsi="Calibri" w:cs="Arial"/>
        </w:rPr>
        <w:t>,</w:t>
      </w:r>
      <w:r w:rsidRPr="000E5B4F">
        <w:rPr>
          <w:rFonts w:ascii="Calibri" w:hAnsi="Calibri" w:cs="Arial"/>
        </w:rPr>
        <w:t xml:space="preserve"> and the Care Quality Commission. Last year I am </w:t>
      </w:r>
      <w:r>
        <w:rPr>
          <w:rFonts w:ascii="Calibri" w:hAnsi="Calibri" w:cs="Arial"/>
        </w:rPr>
        <w:t>pleased</w:t>
      </w:r>
      <w:r w:rsidRPr="000E5B4F">
        <w:rPr>
          <w:rFonts w:ascii="Calibri" w:hAnsi="Calibri" w:cs="Arial"/>
        </w:rPr>
        <w:t xml:space="preserve"> to report, </w:t>
      </w:r>
      <w:r>
        <w:rPr>
          <w:rFonts w:ascii="Calibri" w:hAnsi="Calibri" w:cs="Arial"/>
        </w:rPr>
        <w:t xml:space="preserve">that </w:t>
      </w:r>
      <w:r w:rsidRPr="000E5B4F">
        <w:rPr>
          <w:rFonts w:ascii="Calibri" w:hAnsi="Calibri" w:cs="Arial"/>
        </w:rPr>
        <w:t>we fully met all our Monitor governance and financial targets</w:t>
      </w:r>
      <w:r>
        <w:rPr>
          <w:rFonts w:ascii="Calibri" w:hAnsi="Calibri" w:cs="Arial"/>
        </w:rPr>
        <w:t xml:space="preserve"> and participated fully in National Audits</w:t>
      </w:r>
      <w:r w:rsidRPr="000E5B4F">
        <w:rPr>
          <w:rFonts w:ascii="Calibri" w:hAnsi="Calibri" w:cs="Arial"/>
        </w:rPr>
        <w:t>. In addition we also were fully compliant with the CQC</w:t>
      </w:r>
      <w:r>
        <w:rPr>
          <w:rFonts w:ascii="Calibri" w:hAnsi="Calibri" w:cs="Arial"/>
        </w:rPr>
        <w:t>’s</w:t>
      </w:r>
      <w:r w:rsidRPr="000E5B4F">
        <w:rPr>
          <w:rFonts w:ascii="Calibri" w:hAnsi="Calibri" w:cs="Arial"/>
        </w:rPr>
        <w:t xml:space="preserve"> 16 Essential </w:t>
      </w:r>
      <w:r>
        <w:rPr>
          <w:rFonts w:ascii="Calibri" w:hAnsi="Calibri" w:cs="Arial"/>
        </w:rPr>
        <w:t>S</w:t>
      </w:r>
      <w:r w:rsidRPr="000E5B4F">
        <w:rPr>
          <w:rFonts w:ascii="Calibri" w:hAnsi="Calibri" w:cs="Arial"/>
        </w:rPr>
        <w:t>tandards of Safety and Quality</w:t>
      </w:r>
      <w:r w:rsidR="0068776E">
        <w:rPr>
          <w:rFonts w:ascii="Calibri" w:hAnsi="Calibri" w:cs="Arial"/>
        </w:rPr>
        <w:t>.</w:t>
      </w:r>
    </w:p>
    <w:p w:rsidR="00156DF3" w:rsidRDefault="00E21B17" w:rsidP="000D28C7">
      <w:pPr>
        <w:spacing w:before="240"/>
        <w:jc w:val="both"/>
        <w:rPr>
          <w:rFonts w:ascii="Calibri" w:hAnsi="Calibri" w:cs="Arial"/>
        </w:rPr>
      </w:pPr>
      <w:r>
        <w:rPr>
          <w:rFonts w:ascii="Calibri" w:hAnsi="Calibri" w:cs="Frutiger-Light"/>
        </w:rPr>
        <w:t xml:space="preserve">Finally, we were </w:t>
      </w:r>
      <w:r w:rsidR="00286183">
        <w:rPr>
          <w:rFonts w:ascii="Calibri" w:hAnsi="Calibri" w:cs="Frutiger-Light"/>
        </w:rPr>
        <w:t>heartened to see that last year</w:t>
      </w:r>
      <w:r w:rsidR="000D28C7">
        <w:rPr>
          <w:rFonts w:ascii="Calibri" w:hAnsi="Calibri" w:cs="Frutiger-Light"/>
        </w:rPr>
        <w:t xml:space="preserve"> w</w:t>
      </w:r>
      <w:r w:rsidR="00156DF3">
        <w:rPr>
          <w:rFonts w:ascii="Calibri" w:hAnsi="Calibri" w:cs="Arial"/>
        </w:rPr>
        <w:t>e receive</w:t>
      </w:r>
      <w:r w:rsidR="00286183">
        <w:rPr>
          <w:rFonts w:ascii="Calibri" w:hAnsi="Calibri" w:cs="Arial"/>
        </w:rPr>
        <w:t>d</w:t>
      </w:r>
      <w:r w:rsidR="00156DF3">
        <w:rPr>
          <w:rFonts w:ascii="Calibri" w:hAnsi="Calibri" w:cs="Arial"/>
        </w:rPr>
        <w:t xml:space="preserve"> very positive feedback </w:t>
      </w:r>
      <w:r w:rsidR="00286183">
        <w:rPr>
          <w:rFonts w:ascii="Calibri" w:hAnsi="Calibri" w:cs="Arial"/>
        </w:rPr>
        <w:t xml:space="preserve">from our service users and patients </w:t>
      </w:r>
      <w:r w:rsidR="00156DF3">
        <w:rPr>
          <w:rFonts w:ascii="Calibri" w:hAnsi="Calibri" w:cs="Arial"/>
        </w:rPr>
        <w:t>in postal surveys across a wide range of community health services.</w:t>
      </w:r>
    </w:p>
    <w:p w:rsidR="000D28C7" w:rsidRDefault="000D28C7" w:rsidP="000E5B4F">
      <w:pPr>
        <w:rPr>
          <w:rFonts w:ascii="Calibri" w:hAnsi="Calibri" w:cs="Arial"/>
          <w:b/>
          <w:sz w:val="22"/>
          <w:szCs w:val="22"/>
          <w:u w:val="single"/>
        </w:rPr>
      </w:pPr>
    </w:p>
    <w:p w:rsidR="00F712ED" w:rsidRDefault="00F712ED" w:rsidP="000E5B4F">
      <w:pPr>
        <w:rPr>
          <w:rFonts w:ascii="Calibri" w:hAnsi="Calibri" w:cs="Arial"/>
          <w:b/>
          <w:sz w:val="22"/>
          <w:szCs w:val="22"/>
          <w:u w:val="single"/>
        </w:rPr>
      </w:pPr>
    </w:p>
    <w:p w:rsidR="00695F7E" w:rsidRDefault="00695F7E" w:rsidP="000E5B4F">
      <w:pPr>
        <w:rPr>
          <w:rFonts w:ascii="Calibri" w:hAnsi="Calibri" w:cs="Arial"/>
          <w:b/>
          <w:sz w:val="22"/>
          <w:szCs w:val="22"/>
          <w:u w:val="single"/>
        </w:rPr>
      </w:pPr>
    </w:p>
    <w:tbl>
      <w:tblPr>
        <w:tblW w:w="0" w:type="auto"/>
        <w:shd w:val="clear" w:color="auto" w:fill="0070C0"/>
        <w:tblLook w:val="04A0"/>
      </w:tblPr>
      <w:tblGrid>
        <w:gridCol w:w="4375"/>
      </w:tblGrid>
      <w:tr w:rsidR="000E5B4F" w:rsidTr="00B36507">
        <w:tc>
          <w:tcPr>
            <w:tcW w:w="9689" w:type="dxa"/>
            <w:shd w:val="clear" w:color="auto" w:fill="0070C0"/>
          </w:tcPr>
          <w:p w:rsidR="000E5B4F" w:rsidRPr="001206B2" w:rsidRDefault="000E5B4F" w:rsidP="00B36507">
            <w:pPr>
              <w:pStyle w:val="Heading2"/>
            </w:pPr>
            <w:bookmarkStart w:id="3" w:name="_Toc322015568"/>
            <w:bookmarkStart w:id="4" w:name="_Toc323283986"/>
            <w:r w:rsidRPr="001206B2">
              <w:lastRenderedPageBreak/>
              <w:t>Quality Initiatives 2012/13</w:t>
            </w:r>
            <w:bookmarkEnd w:id="3"/>
            <w:bookmarkEnd w:id="4"/>
          </w:p>
        </w:tc>
      </w:tr>
    </w:tbl>
    <w:p w:rsidR="000E5B4F" w:rsidRPr="00544356" w:rsidRDefault="000E5B4F" w:rsidP="000E5B4F">
      <w:pPr>
        <w:pStyle w:val="ListParagraph"/>
        <w:ind w:left="0"/>
        <w:rPr>
          <w:rFonts w:ascii="Calibri" w:hAnsi="Calibri"/>
        </w:rPr>
      </w:pPr>
    </w:p>
    <w:p w:rsidR="000E5B4F" w:rsidRPr="000E5B4F" w:rsidRDefault="000E5B4F" w:rsidP="000E5B4F">
      <w:pPr>
        <w:autoSpaceDE w:val="0"/>
        <w:autoSpaceDN w:val="0"/>
        <w:adjustRightInd w:val="0"/>
        <w:rPr>
          <w:rFonts w:ascii="Calibri" w:hAnsi="Calibri" w:cs="Arial"/>
        </w:rPr>
      </w:pPr>
      <w:r w:rsidRPr="000E5B4F">
        <w:rPr>
          <w:rFonts w:ascii="Calibri" w:hAnsi="Calibri" w:cs="Arial"/>
        </w:rPr>
        <w:t>The identified q</w:t>
      </w:r>
      <w:r w:rsidRPr="000E5B4F">
        <w:rPr>
          <w:rFonts w:ascii="Calibri" w:hAnsi="Calibri"/>
        </w:rPr>
        <w:t xml:space="preserve">uality priorities for the forthcoming year 2012-13 </w:t>
      </w:r>
      <w:r w:rsidR="001D14AA">
        <w:rPr>
          <w:rFonts w:ascii="Calibri" w:hAnsi="Calibri"/>
        </w:rPr>
        <w:t xml:space="preserve">under the same three dimensions as last year </w:t>
      </w:r>
      <w:r w:rsidR="00E67E13">
        <w:rPr>
          <w:rFonts w:ascii="Calibri" w:hAnsi="Calibri" w:cs="Arial"/>
        </w:rPr>
        <w:t>are:</w:t>
      </w:r>
    </w:p>
    <w:p w:rsidR="000E5B4F" w:rsidRPr="000E5B4F" w:rsidRDefault="000E5B4F" w:rsidP="000E5B4F">
      <w:pPr>
        <w:jc w:val="both"/>
        <w:rPr>
          <w:rFonts w:ascii="Calibri" w:hAnsi="Calibri" w:cs="Arial"/>
          <w:b/>
        </w:rPr>
      </w:pPr>
    </w:p>
    <w:p w:rsidR="000E5B4F" w:rsidRPr="000E5B4F" w:rsidRDefault="000E5B4F" w:rsidP="0053634A">
      <w:pPr>
        <w:numPr>
          <w:ilvl w:val="0"/>
          <w:numId w:val="2"/>
        </w:numPr>
        <w:tabs>
          <w:tab w:val="clear" w:pos="720"/>
          <w:tab w:val="num" w:pos="426"/>
        </w:tabs>
        <w:ind w:left="426" w:hanging="426"/>
        <w:jc w:val="both"/>
        <w:rPr>
          <w:rFonts w:ascii="Calibri" w:hAnsi="Calibri" w:cs="Arial"/>
          <w:b/>
        </w:rPr>
      </w:pPr>
      <w:r w:rsidRPr="000E5B4F">
        <w:rPr>
          <w:rFonts w:ascii="Calibri" w:hAnsi="Calibri" w:cs="Arial"/>
          <w:b/>
        </w:rPr>
        <w:t>Patient Safety</w:t>
      </w:r>
    </w:p>
    <w:p w:rsidR="000E5B4F" w:rsidRPr="001D14AA" w:rsidRDefault="000E5B4F" w:rsidP="001D14AA">
      <w:pPr>
        <w:pStyle w:val="ListParagraph"/>
        <w:numPr>
          <w:ilvl w:val="0"/>
          <w:numId w:val="58"/>
        </w:numPr>
        <w:jc w:val="both"/>
        <w:rPr>
          <w:rFonts w:asciiTheme="minorHAnsi" w:hAnsiTheme="minorHAnsi"/>
        </w:rPr>
      </w:pPr>
      <w:r w:rsidRPr="001D14AA">
        <w:rPr>
          <w:rFonts w:asciiTheme="minorHAnsi" w:hAnsiTheme="minorHAnsi"/>
        </w:rPr>
        <w:t>Preventing people from dying prematurely</w:t>
      </w:r>
    </w:p>
    <w:p w:rsidR="000E5B4F" w:rsidRPr="001D14AA" w:rsidRDefault="000E5B4F" w:rsidP="001D14AA">
      <w:pPr>
        <w:pStyle w:val="ListParagraph"/>
        <w:numPr>
          <w:ilvl w:val="0"/>
          <w:numId w:val="58"/>
        </w:numPr>
        <w:jc w:val="both"/>
        <w:rPr>
          <w:rFonts w:asciiTheme="minorHAnsi" w:hAnsiTheme="minorHAnsi"/>
        </w:rPr>
      </w:pPr>
      <w:r w:rsidRPr="001D14AA">
        <w:rPr>
          <w:rFonts w:asciiTheme="minorHAnsi" w:hAnsiTheme="minorHAnsi"/>
        </w:rPr>
        <w:t>Treating and caring for people in a safe environment and protecting them from avoidable harm</w:t>
      </w:r>
    </w:p>
    <w:p w:rsidR="000E5B4F" w:rsidRPr="00D657AA" w:rsidRDefault="000E5B4F" w:rsidP="0053634A">
      <w:pPr>
        <w:numPr>
          <w:ilvl w:val="0"/>
          <w:numId w:val="2"/>
        </w:numPr>
        <w:tabs>
          <w:tab w:val="clear" w:pos="720"/>
          <w:tab w:val="num" w:pos="426"/>
        </w:tabs>
        <w:ind w:left="426" w:hanging="426"/>
        <w:jc w:val="both"/>
        <w:rPr>
          <w:rFonts w:asciiTheme="minorHAnsi" w:hAnsiTheme="minorHAnsi" w:cs="Arial"/>
          <w:b/>
        </w:rPr>
      </w:pPr>
      <w:r w:rsidRPr="00D657AA">
        <w:rPr>
          <w:rFonts w:asciiTheme="minorHAnsi" w:hAnsiTheme="minorHAnsi" w:cs="Arial"/>
          <w:b/>
        </w:rPr>
        <w:t>Effectiveness</w:t>
      </w:r>
    </w:p>
    <w:p w:rsidR="000E5B4F" w:rsidRPr="00D657AA" w:rsidRDefault="000E5B4F" w:rsidP="001D14AA">
      <w:pPr>
        <w:pStyle w:val="ListParagraph"/>
        <w:numPr>
          <w:ilvl w:val="0"/>
          <w:numId w:val="58"/>
        </w:numPr>
        <w:jc w:val="both"/>
        <w:rPr>
          <w:rFonts w:asciiTheme="minorHAnsi" w:hAnsiTheme="minorHAnsi"/>
        </w:rPr>
      </w:pPr>
      <w:r w:rsidRPr="00D657AA">
        <w:rPr>
          <w:rFonts w:asciiTheme="minorHAnsi" w:hAnsiTheme="minorHAnsi"/>
        </w:rPr>
        <w:t>Enhancing quality of life for people with long-term conditions</w:t>
      </w:r>
    </w:p>
    <w:p w:rsidR="000E5B4F" w:rsidRPr="00D657AA" w:rsidRDefault="000E5B4F" w:rsidP="001D14AA">
      <w:pPr>
        <w:pStyle w:val="ListParagraph"/>
        <w:numPr>
          <w:ilvl w:val="0"/>
          <w:numId w:val="58"/>
        </w:numPr>
        <w:jc w:val="both"/>
        <w:rPr>
          <w:rFonts w:asciiTheme="minorHAnsi" w:hAnsiTheme="minorHAnsi"/>
        </w:rPr>
      </w:pPr>
      <w:r w:rsidRPr="00D657AA">
        <w:rPr>
          <w:rFonts w:asciiTheme="minorHAnsi" w:hAnsiTheme="minorHAnsi"/>
        </w:rPr>
        <w:t>Helping people to recover from episodes of ill-health or following injury</w:t>
      </w:r>
    </w:p>
    <w:p w:rsidR="000E5B4F" w:rsidRPr="00D657AA" w:rsidRDefault="000E5B4F" w:rsidP="0053634A">
      <w:pPr>
        <w:numPr>
          <w:ilvl w:val="0"/>
          <w:numId w:val="2"/>
        </w:numPr>
        <w:tabs>
          <w:tab w:val="clear" w:pos="720"/>
          <w:tab w:val="num" w:pos="426"/>
        </w:tabs>
        <w:ind w:left="426" w:hanging="426"/>
        <w:jc w:val="both"/>
        <w:rPr>
          <w:rFonts w:asciiTheme="minorHAnsi" w:hAnsiTheme="minorHAnsi" w:cs="Arial"/>
        </w:rPr>
      </w:pPr>
      <w:r w:rsidRPr="00D657AA">
        <w:rPr>
          <w:rFonts w:asciiTheme="minorHAnsi" w:hAnsiTheme="minorHAnsi" w:cs="Arial"/>
          <w:b/>
        </w:rPr>
        <w:t>Patient Experience</w:t>
      </w:r>
    </w:p>
    <w:p w:rsidR="000E5B4F" w:rsidRPr="00D657AA" w:rsidRDefault="000E5B4F" w:rsidP="00D657AA">
      <w:pPr>
        <w:pStyle w:val="ListParagraph"/>
        <w:numPr>
          <w:ilvl w:val="0"/>
          <w:numId w:val="55"/>
        </w:numPr>
        <w:jc w:val="both"/>
        <w:rPr>
          <w:rFonts w:asciiTheme="minorHAnsi" w:hAnsiTheme="minorHAnsi"/>
        </w:rPr>
      </w:pPr>
      <w:r w:rsidRPr="00D657AA">
        <w:rPr>
          <w:rFonts w:asciiTheme="minorHAnsi" w:hAnsiTheme="minorHAnsi"/>
        </w:rPr>
        <w:t>Ensuring people have a positive experience of their care</w:t>
      </w:r>
    </w:p>
    <w:p w:rsidR="000E5B4F" w:rsidRPr="000E5B4F" w:rsidRDefault="000E5B4F" w:rsidP="000E5B4F">
      <w:pPr>
        <w:jc w:val="both"/>
        <w:rPr>
          <w:rFonts w:ascii="Calibri" w:hAnsi="Calibri" w:cs="Frutiger-Light"/>
        </w:rPr>
      </w:pPr>
    </w:p>
    <w:p w:rsidR="00277E7A" w:rsidRDefault="0068776E">
      <w:pPr>
        <w:spacing w:after="240"/>
        <w:jc w:val="both"/>
        <w:rPr>
          <w:rFonts w:ascii="Calibri" w:hAnsi="Calibri" w:cs="Arial"/>
        </w:rPr>
      </w:pPr>
      <w:r>
        <w:rPr>
          <w:rFonts w:ascii="Calibri" w:hAnsi="Calibri" w:cs="Arial"/>
        </w:rPr>
        <w:t>Specific initiatives to support the key objectives above are:</w:t>
      </w:r>
    </w:p>
    <w:p w:rsidR="001D7794" w:rsidRDefault="00A614E5">
      <w:pPr>
        <w:jc w:val="both"/>
        <w:rPr>
          <w:rFonts w:ascii="Calibri" w:hAnsi="Calibri" w:cs="Arial"/>
          <w:b/>
        </w:rPr>
      </w:pPr>
      <w:r w:rsidRPr="00A614E5">
        <w:rPr>
          <w:rFonts w:ascii="Calibri" w:hAnsi="Calibri" w:cs="Arial"/>
          <w:b/>
        </w:rPr>
        <w:t xml:space="preserve">Community Health </w:t>
      </w:r>
      <w:r w:rsidR="002809C6">
        <w:rPr>
          <w:rFonts w:ascii="Calibri" w:hAnsi="Calibri" w:cs="Arial"/>
          <w:b/>
        </w:rPr>
        <w:t>S</w:t>
      </w:r>
      <w:r w:rsidRPr="00A614E5">
        <w:rPr>
          <w:rFonts w:ascii="Calibri" w:hAnsi="Calibri" w:cs="Arial"/>
          <w:b/>
        </w:rPr>
        <w:t>ervice Improv</w:t>
      </w:r>
      <w:r w:rsidR="002809C6">
        <w:rPr>
          <w:rFonts w:ascii="Calibri" w:hAnsi="Calibri" w:cs="Arial"/>
          <w:b/>
        </w:rPr>
        <w:t>e</w:t>
      </w:r>
      <w:r w:rsidRPr="00A614E5">
        <w:rPr>
          <w:rFonts w:ascii="Calibri" w:hAnsi="Calibri" w:cs="Arial"/>
          <w:b/>
        </w:rPr>
        <w:t>ments</w:t>
      </w:r>
    </w:p>
    <w:p w:rsidR="002809C6" w:rsidRDefault="002809C6" w:rsidP="002809C6">
      <w:pPr>
        <w:pStyle w:val="ListParagraph"/>
        <w:numPr>
          <w:ilvl w:val="0"/>
          <w:numId w:val="51"/>
        </w:numPr>
        <w:ind w:left="426" w:hanging="426"/>
        <w:jc w:val="both"/>
        <w:rPr>
          <w:rFonts w:ascii="Calibri" w:hAnsi="Calibri" w:cs="Arial"/>
        </w:rPr>
      </w:pPr>
      <w:r w:rsidRPr="002809C6">
        <w:rPr>
          <w:rFonts w:ascii="Calibri" w:hAnsi="Calibri" w:cs="Arial"/>
        </w:rPr>
        <w:t>W</w:t>
      </w:r>
      <w:r w:rsidR="00A614E5" w:rsidRPr="002809C6">
        <w:rPr>
          <w:rFonts w:ascii="Calibri" w:hAnsi="Calibri" w:cs="Arial"/>
        </w:rPr>
        <w:t>e are aiming to improve rapid treatment of people suffering cardio-vascular events</w:t>
      </w:r>
    </w:p>
    <w:p w:rsidR="002809C6" w:rsidRDefault="002809C6" w:rsidP="002809C6">
      <w:pPr>
        <w:pStyle w:val="ListParagraph"/>
        <w:numPr>
          <w:ilvl w:val="0"/>
          <w:numId w:val="51"/>
        </w:numPr>
        <w:ind w:left="426" w:hanging="426"/>
        <w:jc w:val="both"/>
        <w:rPr>
          <w:rFonts w:ascii="Calibri" w:hAnsi="Calibri" w:cs="Arial"/>
        </w:rPr>
      </w:pPr>
      <w:r>
        <w:rPr>
          <w:rFonts w:ascii="Calibri" w:hAnsi="Calibri" w:cs="Arial"/>
        </w:rPr>
        <w:t>W</w:t>
      </w:r>
      <w:r w:rsidR="00A614E5" w:rsidRPr="002809C6">
        <w:rPr>
          <w:rFonts w:ascii="Calibri" w:hAnsi="Calibri" w:cs="Arial"/>
        </w:rPr>
        <w:t>e are implementing the Patient Safety Thermometer in Community Hospitals</w:t>
      </w:r>
      <w:r>
        <w:rPr>
          <w:rFonts w:ascii="Calibri" w:hAnsi="Calibri" w:cs="Arial"/>
        </w:rPr>
        <w:t xml:space="preserve"> and </w:t>
      </w:r>
      <w:r w:rsidR="00A614E5" w:rsidRPr="002809C6">
        <w:rPr>
          <w:rFonts w:ascii="Calibri" w:hAnsi="Calibri" w:cs="Arial"/>
        </w:rPr>
        <w:t>Nursing</w:t>
      </w:r>
      <w:r>
        <w:rPr>
          <w:rFonts w:ascii="Calibri" w:hAnsi="Calibri" w:cs="Arial"/>
        </w:rPr>
        <w:t>, as well as</w:t>
      </w:r>
      <w:r w:rsidR="00A614E5" w:rsidRPr="002809C6">
        <w:rPr>
          <w:rFonts w:ascii="Calibri" w:hAnsi="Calibri" w:cs="Arial"/>
        </w:rPr>
        <w:t xml:space="preserve"> Older Peoples’ Mental Health Services.  </w:t>
      </w:r>
    </w:p>
    <w:p w:rsidR="00A614E5" w:rsidRPr="002809C6" w:rsidRDefault="00A614E5" w:rsidP="002809C6">
      <w:pPr>
        <w:pStyle w:val="ListParagraph"/>
        <w:numPr>
          <w:ilvl w:val="0"/>
          <w:numId w:val="51"/>
        </w:numPr>
        <w:ind w:left="426" w:hanging="426"/>
        <w:jc w:val="both"/>
        <w:rPr>
          <w:rFonts w:ascii="Calibri" w:hAnsi="Calibri" w:cs="Arial"/>
        </w:rPr>
      </w:pPr>
      <w:r w:rsidRPr="002809C6">
        <w:rPr>
          <w:rFonts w:ascii="Calibri" w:hAnsi="Calibri" w:cs="Arial"/>
        </w:rPr>
        <w:t xml:space="preserve">We are improving Child Health Services by redesigning Children’s Community Nursing Services and </w:t>
      </w:r>
      <w:r w:rsidRPr="002809C6">
        <w:rPr>
          <w:rFonts w:ascii="Calibri" w:hAnsi="Calibri" w:cs="Arial"/>
        </w:rPr>
        <w:lastRenderedPageBreak/>
        <w:t>increasing the number of Health Visitors.</w:t>
      </w:r>
    </w:p>
    <w:p w:rsidR="00A614E5" w:rsidRPr="000E5B4F" w:rsidRDefault="00A614E5" w:rsidP="00A614E5">
      <w:pPr>
        <w:jc w:val="both"/>
        <w:rPr>
          <w:rFonts w:ascii="Calibri" w:hAnsi="Calibri" w:cs="ArialMT"/>
        </w:rPr>
      </w:pPr>
    </w:p>
    <w:p w:rsidR="002809C6" w:rsidRPr="002809C6" w:rsidRDefault="006E0939" w:rsidP="000E5B4F">
      <w:pPr>
        <w:jc w:val="both"/>
        <w:rPr>
          <w:rFonts w:ascii="Calibri" w:hAnsi="Calibri" w:cs="ArialMT"/>
          <w:b/>
        </w:rPr>
      </w:pPr>
      <w:r w:rsidRPr="006E0939">
        <w:rPr>
          <w:rFonts w:ascii="Calibri" w:hAnsi="Calibri" w:cs="ArialMT"/>
          <w:b/>
        </w:rPr>
        <w:t>Mental Health Services Improvements</w:t>
      </w:r>
    </w:p>
    <w:p w:rsidR="006E0939" w:rsidRDefault="002809C6" w:rsidP="006E0939">
      <w:pPr>
        <w:pStyle w:val="ListParagraph"/>
        <w:numPr>
          <w:ilvl w:val="0"/>
          <w:numId w:val="51"/>
        </w:numPr>
        <w:ind w:left="426" w:hanging="426"/>
        <w:jc w:val="both"/>
        <w:rPr>
          <w:rFonts w:ascii="Calibri" w:hAnsi="Calibri" w:cs="ArialMT"/>
        </w:rPr>
      </w:pPr>
      <w:r>
        <w:rPr>
          <w:rFonts w:ascii="Calibri" w:hAnsi="Calibri" w:cs="ArialMT"/>
        </w:rPr>
        <w:t>We are implementing the new Specialist Harm Minimisation S</w:t>
      </w:r>
      <w:r w:rsidR="00C6786E">
        <w:rPr>
          <w:rFonts w:ascii="Calibri" w:hAnsi="Calibri" w:cs="ArialMT"/>
        </w:rPr>
        <w:t>e</w:t>
      </w:r>
      <w:r>
        <w:rPr>
          <w:rFonts w:ascii="Calibri" w:hAnsi="Calibri" w:cs="ArialMT"/>
        </w:rPr>
        <w:t>rvices for people who misuse substances.</w:t>
      </w:r>
    </w:p>
    <w:p w:rsidR="006E0939" w:rsidRDefault="002809C6" w:rsidP="006E0939">
      <w:pPr>
        <w:pStyle w:val="ListParagraph"/>
        <w:numPr>
          <w:ilvl w:val="0"/>
          <w:numId w:val="51"/>
        </w:numPr>
        <w:ind w:left="426" w:hanging="426"/>
        <w:jc w:val="both"/>
        <w:rPr>
          <w:rFonts w:ascii="Calibri" w:hAnsi="Calibri" w:cs="ArialMT"/>
        </w:rPr>
      </w:pPr>
      <w:r>
        <w:rPr>
          <w:rFonts w:ascii="Calibri" w:hAnsi="Calibri" w:cs="ArialMT"/>
        </w:rPr>
        <w:t>We shall be developing care packages using evidenc</w:t>
      </w:r>
      <w:r w:rsidR="00C6786E">
        <w:rPr>
          <w:rFonts w:ascii="Calibri" w:hAnsi="Calibri" w:cs="ArialMT"/>
        </w:rPr>
        <w:t>e</w:t>
      </w:r>
      <w:r>
        <w:rPr>
          <w:rFonts w:ascii="Calibri" w:hAnsi="Calibri" w:cs="ArialMT"/>
        </w:rPr>
        <w:t>-based interventions; these will link to the Care Clusters that were determined during 2011/12</w:t>
      </w:r>
    </w:p>
    <w:p w:rsidR="006E0939" w:rsidRDefault="002809C6" w:rsidP="006E0939">
      <w:pPr>
        <w:pStyle w:val="ListParagraph"/>
        <w:numPr>
          <w:ilvl w:val="0"/>
          <w:numId w:val="51"/>
        </w:numPr>
        <w:ind w:left="426" w:hanging="426"/>
        <w:jc w:val="both"/>
        <w:rPr>
          <w:rFonts w:ascii="Calibri" w:hAnsi="Calibri" w:cs="ArialMT"/>
        </w:rPr>
      </w:pPr>
      <w:r>
        <w:rPr>
          <w:rFonts w:ascii="Calibri" w:hAnsi="Calibri" w:cs="ArialMT"/>
        </w:rPr>
        <w:t>We shall broaden the Leading Improvement in Patient Safety work across all divisions</w:t>
      </w:r>
    </w:p>
    <w:p w:rsidR="000E5B4F" w:rsidRPr="000E5B4F" w:rsidRDefault="000E5B4F" w:rsidP="000E5B4F">
      <w:pPr>
        <w:jc w:val="both"/>
        <w:rPr>
          <w:rFonts w:ascii="Calibri" w:hAnsi="Calibri" w:cs="Arial"/>
        </w:rPr>
      </w:pPr>
    </w:p>
    <w:p w:rsidR="001D14AA" w:rsidRPr="000E5B4F" w:rsidRDefault="001D14AA" w:rsidP="001D14AA">
      <w:pPr>
        <w:jc w:val="both"/>
        <w:rPr>
          <w:rFonts w:ascii="Calibri" w:hAnsi="Calibri" w:cs="Arial"/>
          <w:b/>
        </w:rPr>
      </w:pPr>
      <w:r w:rsidRPr="000E5B4F">
        <w:rPr>
          <w:rFonts w:ascii="Calibri" w:hAnsi="Calibri"/>
        </w:rPr>
        <w:t xml:space="preserve">The NHS, like all public services, has to deliver services using public funding wisely. The coming years will be increasingly challenging to work effectively, efficiently and within our resources, </w:t>
      </w:r>
      <w:r>
        <w:rPr>
          <w:rFonts w:ascii="Calibri" w:hAnsi="Calibri"/>
        </w:rPr>
        <w:t>so it is</w:t>
      </w:r>
      <w:r w:rsidRPr="000E5B4F">
        <w:rPr>
          <w:rFonts w:ascii="Calibri" w:hAnsi="Calibri"/>
        </w:rPr>
        <w:t xml:space="preserve"> </w:t>
      </w:r>
      <w:r>
        <w:rPr>
          <w:rFonts w:ascii="Calibri" w:hAnsi="Calibri"/>
        </w:rPr>
        <w:t>vitally</w:t>
      </w:r>
      <w:r w:rsidRPr="000E5B4F">
        <w:rPr>
          <w:rFonts w:ascii="Calibri" w:hAnsi="Calibri"/>
        </w:rPr>
        <w:t xml:space="preserve"> important that we develop a culture of continu</w:t>
      </w:r>
      <w:r>
        <w:rPr>
          <w:rFonts w:ascii="Calibri" w:hAnsi="Calibri"/>
        </w:rPr>
        <w:t>ous</w:t>
      </w:r>
      <w:r w:rsidRPr="000E5B4F">
        <w:rPr>
          <w:rFonts w:ascii="Calibri" w:hAnsi="Calibri"/>
        </w:rPr>
        <w:t xml:space="preserve"> improvement.</w:t>
      </w:r>
    </w:p>
    <w:p w:rsidR="001D14AA" w:rsidRPr="000E5B4F" w:rsidRDefault="001D14AA" w:rsidP="001D14AA">
      <w:pPr>
        <w:jc w:val="both"/>
        <w:rPr>
          <w:rFonts w:ascii="Calibri" w:hAnsi="Calibri" w:cs="Arial"/>
        </w:rPr>
      </w:pPr>
    </w:p>
    <w:p w:rsidR="00663CE4" w:rsidRDefault="00663CE4" w:rsidP="000E5B4F">
      <w:pPr>
        <w:rPr>
          <w:rFonts w:ascii="Calibri" w:hAnsi="Calibri" w:cs="Arial"/>
        </w:rPr>
      </w:pPr>
      <w:r>
        <w:rPr>
          <w:rFonts w:ascii="Calibri" w:hAnsi="Calibri" w:cs="Arial"/>
        </w:rPr>
        <w:t>In collaboration with stakeholders, we have an ambitious plan to drive Quality Improvement, ensure this is measurable and report in public on the progress we are making.  We are confident that this will result in safer and better care for the population we serve.</w:t>
      </w:r>
    </w:p>
    <w:p w:rsidR="00663CE4" w:rsidRDefault="00663CE4" w:rsidP="000E5B4F">
      <w:pPr>
        <w:rPr>
          <w:rFonts w:ascii="Calibri" w:hAnsi="Calibri" w:cs="Arial"/>
        </w:rPr>
      </w:pPr>
    </w:p>
    <w:p w:rsidR="000E5B4F" w:rsidRDefault="000E5B4F" w:rsidP="000E5B4F">
      <w:pPr>
        <w:rPr>
          <w:rFonts w:ascii="Calibri" w:hAnsi="Calibri" w:cs="Arial"/>
          <w:noProof/>
        </w:rPr>
      </w:pPr>
      <w:r w:rsidRPr="00544356">
        <w:rPr>
          <w:rFonts w:ascii="Calibri" w:hAnsi="Calibri" w:cs="Arial"/>
        </w:rPr>
        <w:t>To the best of my knowledge the information contained in the Quality Account is accurate</w:t>
      </w:r>
      <w:r w:rsidRPr="00DD36CD">
        <w:rPr>
          <w:rFonts w:ascii="Calibri" w:hAnsi="Calibri" w:cs="Arial"/>
          <w:noProof/>
        </w:rPr>
        <w:t xml:space="preserve"> </w:t>
      </w:r>
    </w:p>
    <w:p w:rsidR="000E5B4F" w:rsidRDefault="000E5B4F" w:rsidP="000E5B4F">
      <w:pPr>
        <w:rPr>
          <w:rFonts w:ascii="Calibri" w:hAnsi="Calibri" w:cs="Arial"/>
          <w:noProof/>
        </w:rPr>
      </w:pPr>
    </w:p>
    <w:p w:rsidR="000E5B4F" w:rsidRPr="00544356" w:rsidRDefault="000E5B4F" w:rsidP="000E5B4F">
      <w:pPr>
        <w:rPr>
          <w:rFonts w:ascii="Calibri" w:hAnsi="Calibri" w:cs="Arial"/>
        </w:rPr>
        <w:sectPr w:rsidR="000E5B4F" w:rsidRPr="00544356" w:rsidSect="00747881">
          <w:type w:val="continuous"/>
          <w:pgSz w:w="11906" w:h="16838"/>
          <w:pgMar w:top="1440" w:right="1440" w:bottom="1440" w:left="1440" w:header="709" w:footer="814" w:gutter="0"/>
          <w:cols w:num="2" w:space="708"/>
          <w:docGrid w:linePitch="360"/>
        </w:sectPr>
      </w:pPr>
      <w:r>
        <w:rPr>
          <w:rFonts w:ascii="Calibri" w:hAnsi="Calibri" w:cs="Arial"/>
          <w:noProof/>
        </w:rPr>
        <w:drawing>
          <wp:inline distT="0" distB="0" distL="0" distR="0">
            <wp:extent cx="1472565" cy="285115"/>
            <wp:effectExtent l="19050" t="0" r="0" b="0"/>
            <wp:docPr id="14" name="Picture 8" descr="julie'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ulie's signature.JPG"/>
                    <pic:cNvPicPr>
                      <a:picLocks noChangeAspect="1" noChangeArrowheads="1"/>
                    </pic:cNvPicPr>
                  </pic:nvPicPr>
                  <pic:blipFill>
                    <a:blip r:embed="rId14"/>
                    <a:srcRect/>
                    <a:stretch>
                      <a:fillRect/>
                    </a:stretch>
                  </pic:blipFill>
                  <pic:spPr bwMode="auto">
                    <a:xfrm>
                      <a:off x="0" y="0"/>
                      <a:ext cx="1472565" cy="285115"/>
                    </a:xfrm>
                    <a:prstGeom prst="rect">
                      <a:avLst/>
                    </a:prstGeom>
                    <a:noFill/>
                    <a:ln w="9525">
                      <a:noFill/>
                      <a:miter lim="800000"/>
                      <a:headEnd/>
                      <a:tailEnd/>
                    </a:ln>
                  </pic:spPr>
                </pic:pic>
              </a:graphicData>
            </a:graphic>
          </wp:inline>
        </w:drawing>
      </w:r>
    </w:p>
    <w:p w:rsidR="00BD3F4E" w:rsidRPr="00544356" w:rsidRDefault="00BD3F4E" w:rsidP="00BD3F4E">
      <w:pPr>
        <w:jc w:val="both"/>
        <w:rPr>
          <w:rFonts w:ascii="Calibri" w:hAnsi="Calibri" w:cs="Arial"/>
        </w:rPr>
      </w:pPr>
    </w:p>
    <w:p w:rsidR="00AA49B8" w:rsidRDefault="00AA49B8" w:rsidP="00BD3F4E">
      <w:pPr>
        <w:sectPr w:rsidR="00AA49B8" w:rsidSect="00AA49B8">
          <w:type w:val="continuous"/>
          <w:pgSz w:w="11906" w:h="16838"/>
          <w:pgMar w:top="1440" w:right="1440" w:bottom="1440" w:left="1440" w:header="709" w:footer="709" w:gutter="0"/>
          <w:cols w:num="2" w:space="708"/>
          <w:docGrid w:linePitch="360"/>
        </w:sectPr>
      </w:pPr>
    </w:p>
    <w:p w:rsidR="00BD3F4E" w:rsidRDefault="00BD3F4E" w:rsidP="00BD3F4E"/>
    <w:p w:rsidR="0023741E" w:rsidRPr="00544356" w:rsidRDefault="0023741E" w:rsidP="00601220">
      <w:pPr>
        <w:jc w:val="both"/>
        <w:rPr>
          <w:rFonts w:ascii="Calibri" w:hAnsi="Calibri" w:cs="Arial"/>
        </w:rPr>
      </w:pPr>
    </w:p>
    <w:p w:rsidR="00691E21" w:rsidRDefault="00691E21" w:rsidP="004A026F">
      <w:pPr>
        <w:pStyle w:val="Heading1"/>
        <w:sectPr w:rsidR="00691E21" w:rsidSect="002B766E">
          <w:type w:val="continuous"/>
          <w:pgSz w:w="11906" w:h="16838"/>
          <w:pgMar w:top="1440" w:right="1133" w:bottom="1440" w:left="1134" w:header="709" w:footer="709" w:gutter="0"/>
          <w:cols w:space="708"/>
          <w:docGrid w:linePitch="360"/>
        </w:sectPr>
      </w:pPr>
    </w:p>
    <w:p w:rsidR="00431051" w:rsidRPr="00FA2D48" w:rsidRDefault="00431051" w:rsidP="004A026F">
      <w:pPr>
        <w:pStyle w:val="Heading1"/>
      </w:pPr>
    </w:p>
    <w:tbl>
      <w:tblPr>
        <w:tblStyle w:val="TableGrid"/>
        <w:tblW w:w="0" w:type="auto"/>
        <w:tblBorders>
          <w:top w:val="single" w:sz="4" w:space="0" w:color="0070C0"/>
          <w:left w:val="none" w:sz="0" w:space="0" w:color="auto"/>
          <w:bottom w:val="double" w:sz="4" w:space="0" w:color="0070C0"/>
          <w:right w:val="none" w:sz="0" w:space="0" w:color="auto"/>
          <w:insideH w:val="none" w:sz="0" w:space="0" w:color="auto"/>
          <w:insideV w:val="none" w:sz="0" w:space="0" w:color="auto"/>
        </w:tblBorders>
        <w:tblLook w:val="04A0"/>
      </w:tblPr>
      <w:tblGrid>
        <w:gridCol w:w="9689"/>
      </w:tblGrid>
      <w:tr w:rsidR="00431051" w:rsidTr="00DA6C4F">
        <w:tc>
          <w:tcPr>
            <w:tcW w:w="9689" w:type="dxa"/>
          </w:tcPr>
          <w:p w:rsidR="00431051" w:rsidRPr="0026092C" w:rsidRDefault="00431051" w:rsidP="004A026F">
            <w:pPr>
              <w:pStyle w:val="Heading1"/>
              <w:rPr>
                <w:rFonts w:ascii="Calibri" w:hAnsi="Calibri"/>
                <w:u w:val="single"/>
              </w:rPr>
            </w:pPr>
            <w:bookmarkStart w:id="5" w:name="_Toc323283987"/>
            <w:proofErr w:type="gramStart"/>
            <w:r w:rsidRPr="00431051">
              <w:t>Part 2a.</w:t>
            </w:r>
            <w:proofErr w:type="gramEnd"/>
            <w:r>
              <w:tab/>
            </w:r>
            <w:r w:rsidRPr="00431051">
              <w:t>Looking Forward: Priorities for Improvement 2012-201</w:t>
            </w:r>
            <w:r w:rsidR="001D5FD3">
              <w:t>3</w:t>
            </w:r>
            <w:bookmarkEnd w:id="5"/>
          </w:p>
        </w:tc>
      </w:tr>
    </w:tbl>
    <w:p w:rsidR="00431051" w:rsidRDefault="00431051" w:rsidP="00431051">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431051" w:rsidTr="00DA6C4F">
        <w:tc>
          <w:tcPr>
            <w:tcW w:w="9689" w:type="dxa"/>
            <w:shd w:val="clear" w:color="auto" w:fill="0070C0"/>
          </w:tcPr>
          <w:p w:rsidR="00431051" w:rsidRPr="0026092C" w:rsidRDefault="001D5FD3" w:rsidP="0084016F">
            <w:pPr>
              <w:pStyle w:val="Heading2"/>
            </w:pPr>
            <w:bookmarkStart w:id="6" w:name="_Toc323283988"/>
            <w:r>
              <w:t>Priorities for Improvement 2012/13</w:t>
            </w:r>
            <w:bookmarkEnd w:id="6"/>
          </w:p>
        </w:tc>
      </w:tr>
    </w:tbl>
    <w:p w:rsidR="00431051" w:rsidRPr="00544356" w:rsidRDefault="00431051" w:rsidP="00431051">
      <w:pPr>
        <w:rPr>
          <w:rFonts w:ascii="Calibri" w:hAnsi="Calibri" w:cs="Arial"/>
          <w:b/>
          <w:sz w:val="22"/>
          <w:szCs w:val="22"/>
          <w:u w:val="single"/>
        </w:rPr>
      </w:pPr>
    </w:p>
    <w:p w:rsidR="0023741E" w:rsidRDefault="0023741E" w:rsidP="0066470D">
      <w:pPr>
        <w:jc w:val="both"/>
        <w:rPr>
          <w:rFonts w:ascii="Calibri" w:hAnsi="Calibri" w:cs="Arial"/>
        </w:rPr>
      </w:pPr>
      <w:r w:rsidRPr="00544356">
        <w:rPr>
          <w:rFonts w:ascii="Calibri" w:hAnsi="Calibri" w:cs="Arial"/>
        </w:rPr>
        <w:t xml:space="preserve">We have identified five </w:t>
      </w:r>
      <w:r w:rsidR="00691E21">
        <w:rPr>
          <w:rFonts w:ascii="Calibri" w:hAnsi="Calibri" w:cs="Arial"/>
        </w:rPr>
        <w:t xml:space="preserve">main </w:t>
      </w:r>
      <w:r w:rsidRPr="00544356">
        <w:rPr>
          <w:rFonts w:ascii="Calibri" w:hAnsi="Calibri" w:cs="Arial"/>
        </w:rPr>
        <w:t>priority areas for 201</w:t>
      </w:r>
      <w:r w:rsidR="00886136" w:rsidRPr="00544356">
        <w:rPr>
          <w:rFonts w:ascii="Calibri" w:hAnsi="Calibri" w:cs="Arial"/>
        </w:rPr>
        <w:t>2</w:t>
      </w:r>
      <w:r w:rsidRPr="00544356">
        <w:rPr>
          <w:rFonts w:ascii="Calibri" w:hAnsi="Calibri" w:cs="Arial"/>
        </w:rPr>
        <w:t>-201</w:t>
      </w:r>
      <w:r w:rsidR="00886136" w:rsidRPr="00544356">
        <w:rPr>
          <w:rFonts w:ascii="Calibri" w:hAnsi="Calibri" w:cs="Arial"/>
        </w:rPr>
        <w:t>3</w:t>
      </w:r>
      <w:r w:rsidRPr="00544356">
        <w:rPr>
          <w:rFonts w:ascii="Calibri" w:hAnsi="Calibri" w:cs="Arial"/>
        </w:rPr>
        <w:t xml:space="preserve"> for the integrated Trust which includes both priorities</w:t>
      </w:r>
      <w:r w:rsidR="001C2506">
        <w:rPr>
          <w:rFonts w:ascii="Calibri" w:hAnsi="Calibri" w:cs="Arial"/>
        </w:rPr>
        <w:t xml:space="preserve"> from community health and</w:t>
      </w:r>
      <w:r w:rsidR="00C2424D">
        <w:rPr>
          <w:rFonts w:ascii="Calibri" w:hAnsi="Calibri" w:cs="Arial"/>
        </w:rPr>
        <w:t xml:space="preserve"> </w:t>
      </w:r>
      <w:r w:rsidR="001C2506">
        <w:rPr>
          <w:rFonts w:ascii="Calibri" w:hAnsi="Calibri" w:cs="Arial"/>
        </w:rPr>
        <w:t>mental health services</w:t>
      </w:r>
      <w:r w:rsidRPr="00544356">
        <w:rPr>
          <w:rFonts w:ascii="Calibri" w:hAnsi="Calibri" w:cs="Arial"/>
        </w:rPr>
        <w:t xml:space="preserve">.  In selecting </w:t>
      </w:r>
      <w:r w:rsidR="00691E21">
        <w:rPr>
          <w:rFonts w:ascii="Calibri" w:hAnsi="Calibri" w:cs="Arial"/>
        </w:rPr>
        <w:t>these</w:t>
      </w:r>
      <w:r w:rsidR="00691E21" w:rsidRPr="00544356">
        <w:rPr>
          <w:rFonts w:ascii="Calibri" w:hAnsi="Calibri" w:cs="Arial"/>
        </w:rPr>
        <w:t xml:space="preserve"> </w:t>
      </w:r>
      <w:r w:rsidRPr="00544356">
        <w:rPr>
          <w:rFonts w:ascii="Calibri" w:hAnsi="Calibri" w:cs="Arial"/>
        </w:rPr>
        <w:t>priorities</w:t>
      </w:r>
      <w:r w:rsidR="00EE6C2E">
        <w:rPr>
          <w:rFonts w:ascii="Calibri" w:hAnsi="Calibri" w:cs="Arial"/>
        </w:rPr>
        <w:t>,</w:t>
      </w:r>
      <w:r w:rsidRPr="00544356">
        <w:rPr>
          <w:rFonts w:ascii="Calibri" w:hAnsi="Calibri" w:cs="Arial"/>
        </w:rPr>
        <w:t xml:space="preserve"> and what we hope to achieve within the</w:t>
      </w:r>
      <w:r w:rsidR="001C2506">
        <w:rPr>
          <w:rFonts w:ascii="Calibri" w:hAnsi="Calibri" w:cs="Arial"/>
        </w:rPr>
        <w:t>m</w:t>
      </w:r>
      <w:r w:rsidR="00EE6C2E">
        <w:rPr>
          <w:rFonts w:ascii="Calibri" w:hAnsi="Calibri" w:cs="Arial"/>
        </w:rPr>
        <w:t>,</w:t>
      </w:r>
      <w:r w:rsidRPr="00544356">
        <w:rPr>
          <w:rFonts w:ascii="Calibri" w:hAnsi="Calibri" w:cs="Arial"/>
        </w:rPr>
        <w:t xml:space="preserve"> we have been mindful of </w:t>
      </w:r>
      <w:r w:rsidR="00691E21">
        <w:rPr>
          <w:rFonts w:ascii="Calibri" w:hAnsi="Calibri" w:cs="Arial"/>
        </w:rPr>
        <w:t xml:space="preserve">both </w:t>
      </w:r>
      <w:r w:rsidRPr="00544356">
        <w:rPr>
          <w:rFonts w:ascii="Calibri" w:hAnsi="Calibri" w:cs="Arial"/>
        </w:rPr>
        <w:t>the local</w:t>
      </w:r>
      <w:r w:rsidR="001C2506">
        <w:rPr>
          <w:rFonts w:ascii="Calibri" w:hAnsi="Calibri" w:cs="Arial"/>
        </w:rPr>
        <w:t xml:space="preserve"> </w:t>
      </w:r>
      <w:r w:rsidR="00691E21">
        <w:rPr>
          <w:rFonts w:ascii="Calibri" w:hAnsi="Calibri" w:cs="Arial"/>
        </w:rPr>
        <w:t xml:space="preserve">and </w:t>
      </w:r>
      <w:r w:rsidR="001C2506">
        <w:rPr>
          <w:rFonts w:ascii="Calibri" w:hAnsi="Calibri" w:cs="Arial"/>
        </w:rPr>
        <w:t>national context</w:t>
      </w:r>
      <w:r w:rsidRPr="00544356">
        <w:rPr>
          <w:rFonts w:ascii="Calibri" w:hAnsi="Calibri" w:cs="Arial"/>
        </w:rPr>
        <w:t>, as well as feedback from service users, staff</w:t>
      </w:r>
      <w:r w:rsidR="00691E21">
        <w:rPr>
          <w:rFonts w:ascii="Calibri" w:hAnsi="Calibri" w:cs="Arial"/>
        </w:rPr>
        <w:t xml:space="preserve"> and</w:t>
      </w:r>
      <w:r w:rsidRPr="00544356">
        <w:rPr>
          <w:rFonts w:ascii="Calibri" w:hAnsi="Calibri" w:cs="Arial"/>
        </w:rPr>
        <w:t xml:space="preserve"> external bodies such as Monitor, Care Quality Commission, commissioners and </w:t>
      </w:r>
      <w:proofErr w:type="spellStart"/>
      <w:r w:rsidRPr="00544356">
        <w:rPr>
          <w:rFonts w:ascii="Calibri" w:hAnsi="Calibri" w:cs="Arial"/>
        </w:rPr>
        <w:t>LINks</w:t>
      </w:r>
      <w:proofErr w:type="spellEnd"/>
      <w:r w:rsidRPr="00544356">
        <w:rPr>
          <w:rFonts w:ascii="Calibri" w:hAnsi="Calibri" w:cs="Arial"/>
        </w:rPr>
        <w:t xml:space="preserve">. </w:t>
      </w:r>
    </w:p>
    <w:p w:rsidR="00AA0532" w:rsidRPr="002C3649" w:rsidRDefault="00AA0532" w:rsidP="0066470D">
      <w:pPr>
        <w:jc w:val="both"/>
        <w:rPr>
          <w:rFonts w:asciiTheme="minorHAnsi" w:hAnsiTheme="minorHAnsi" w:cs="Arial"/>
        </w:rPr>
      </w:pPr>
    </w:p>
    <w:p w:rsidR="001D5FD3" w:rsidRPr="002C3649" w:rsidRDefault="001D5FD3" w:rsidP="00E51842">
      <w:pPr>
        <w:jc w:val="both"/>
        <w:rPr>
          <w:rFonts w:asciiTheme="minorHAnsi" w:hAnsiTheme="minorHAnsi" w:cs="Arial"/>
        </w:rPr>
      </w:pPr>
      <w:r w:rsidRPr="002C3649">
        <w:rPr>
          <w:rFonts w:asciiTheme="minorHAnsi" w:hAnsiTheme="minorHAnsi" w:cs="Arial"/>
        </w:rPr>
        <w:t>The improvements in each area were selected by considering the requirements and recommendations from the following sources</w:t>
      </w:r>
      <w:r w:rsidR="00DE5BA1">
        <w:rPr>
          <w:rFonts w:asciiTheme="minorHAnsi" w:hAnsiTheme="minorHAnsi" w:cs="Arial"/>
        </w:rPr>
        <w:t>, some examples of which are shown after each</w:t>
      </w:r>
      <w:r w:rsidR="00691E21">
        <w:rPr>
          <w:rFonts w:asciiTheme="minorHAnsi" w:hAnsiTheme="minorHAnsi" w:cs="Arial"/>
        </w:rPr>
        <w:t>,</w:t>
      </w:r>
      <w:r w:rsidR="002105E2">
        <w:rPr>
          <w:rFonts w:asciiTheme="minorHAnsi" w:hAnsiTheme="minorHAnsi" w:cs="Arial"/>
        </w:rPr>
        <w:t xml:space="preserve"> which we have sought to include within our own p</w:t>
      </w:r>
      <w:r w:rsidR="00B07868">
        <w:rPr>
          <w:rFonts w:asciiTheme="minorHAnsi" w:hAnsiTheme="minorHAnsi" w:cs="Arial"/>
        </w:rPr>
        <w:t xml:space="preserve">riorities </w:t>
      </w:r>
      <w:r w:rsidR="00691E21">
        <w:rPr>
          <w:rFonts w:asciiTheme="minorHAnsi" w:hAnsiTheme="minorHAnsi" w:cs="Arial"/>
        </w:rPr>
        <w:t xml:space="preserve">given </w:t>
      </w:r>
      <w:r w:rsidR="00B07868">
        <w:rPr>
          <w:rFonts w:asciiTheme="minorHAnsi" w:hAnsiTheme="minorHAnsi" w:cs="Arial"/>
        </w:rPr>
        <w:t>in the following pages</w:t>
      </w:r>
      <w:r w:rsidRPr="002C3649">
        <w:rPr>
          <w:rFonts w:asciiTheme="minorHAnsi" w:hAnsiTheme="minorHAnsi" w:cs="Arial"/>
        </w:rPr>
        <w:t>:</w:t>
      </w:r>
    </w:p>
    <w:p w:rsidR="001D5FD3" w:rsidRPr="002C3649" w:rsidRDefault="001D5FD3" w:rsidP="001D5FD3">
      <w:pPr>
        <w:rPr>
          <w:rFonts w:asciiTheme="minorHAnsi" w:hAnsiTheme="minorHAnsi" w:cs="Arial"/>
        </w:rPr>
      </w:pPr>
    </w:p>
    <w:p w:rsidR="001D5FD3" w:rsidRDefault="001D5FD3" w:rsidP="00AE6CD0">
      <w:pPr>
        <w:numPr>
          <w:ilvl w:val="0"/>
          <w:numId w:val="25"/>
        </w:numPr>
        <w:tabs>
          <w:tab w:val="clear" w:pos="360"/>
          <w:tab w:val="num" w:pos="1080"/>
        </w:tabs>
        <w:ind w:left="1080" w:hanging="540"/>
        <w:rPr>
          <w:rFonts w:asciiTheme="minorHAnsi" w:hAnsiTheme="minorHAnsi" w:cs="Arial"/>
        </w:rPr>
      </w:pPr>
      <w:r w:rsidRPr="002C3649">
        <w:rPr>
          <w:rFonts w:asciiTheme="minorHAnsi" w:hAnsiTheme="minorHAnsi" w:cs="Arial"/>
        </w:rPr>
        <w:t>Department of Health</w:t>
      </w:r>
    </w:p>
    <w:p w:rsidR="00DE5BA1" w:rsidRPr="002C3649" w:rsidRDefault="00DE5BA1" w:rsidP="00DE5BA1">
      <w:pPr>
        <w:numPr>
          <w:ilvl w:val="1"/>
          <w:numId w:val="25"/>
        </w:numPr>
        <w:rPr>
          <w:rFonts w:asciiTheme="minorHAnsi" w:hAnsiTheme="minorHAnsi" w:cs="Arial"/>
        </w:rPr>
      </w:pPr>
      <w:r>
        <w:rPr>
          <w:rFonts w:asciiTheme="minorHAnsi" w:hAnsiTheme="minorHAnsi" w:cs="Arial"/>
        </w:rPr>
        <w:t>National priorities</w:t>
      </w:r>
    </w:p>
    <w:p w:rsidR="001D5FD3" w:rsidRDefault="001D5FD3" w:rsidP="00AE6CD0">
      <w:pPr>
        <w:numPr>
          <w:ilvl w:val="0"/>
          <w:numId w:val="25"/>
        </w:numPr>
        <w:tabs>
          <w:tab w:val="clear" w:pos="360"/>
          <w:tab w:val="num" w:pos="1080"/>
        </w:tabs>
        <w:ind w:left="1080" w:hanging="540"/>
        <w:rPr>
          <w:rFonts w:asciiTheme="minorHAnsi" w:hAnsiTheme="minorHAnsi" w:cs="Arial"/>
        </w:rPr>
      </w:pPr>
      <w:r w:rsidRPr="002C3649">
        <w:rPr>
          <w:rFonts w:asciiTheme="minorHAnsi" w:hAnsiTheme="minorHAnsi" w:cs="Arial"/>
        </w:rPr>
        <w:t>Care Quality Commission (via the Quality Risk Profile)</w:t>
      </w:r>
      <w:r w:rsidR="001C2506">
        <w:rPr>
          <w:rFonts w:asciiTheme="minorHAnsi" w:hAnsiTheme="minorHAnsi" w:cs="Arial"/>
        </w:rPr>
        <w:t xml:space="preserve"> and feedback from visits</w:t>
      </w:r>
    </w:p>
    <w:p w:rsidR="00DE5BA1" w:rsidRPr="002C3649" w:rsidRDefault="00DE5BA1" w:rsidP="00DE5BA1">
      <w:pPr>
        <w:numPr>
          <w:ilvl w:val="1"/>
          <w:numId w:val="25"/>
        </w:numPr>
        <w:rPr>
          <w:rFonts w:asciiTheme="minorHAnsi" w:hAnsiTheme="minorHAnsi" w:cs="Arial"/>
        </w:rPr>
      </w:pPr>
      <w:r>
        <w:rPr>
          <w:rFonts w:asciiTheme="minorHAnsi" w:hAnsiTheme="minorHAnsi" w:cs="Arial"/>
        </w:rPr>
        <w:t>National patient and staff surveys</w:t>
      </w:r>
    </w:p>
    <w:p w:rsidR="001D5FD3" w:rsidRDefault="001D5FD3" w:rsidP="00AE6CD0">
      <w:pPr>
        <w:numPr>
          <w:ilvl w:val="0"/>
          <w:numId w:val="25"/>
        </w:numPr>
        <w:tabs>
          <w:tab w:val="clear" w:pos="360"/>
          <w:tab w:val="num" w:pos="1080"/>
        </w:tabs>
        <w:ind w:left="1080" w:hanging="540"/>
        <w:rPr>
          <w:rFonts w:asciiTheme="minorHAnsi" w:hAnsiTheme="minorHAnsi" w:cs="Arial"/>
        </w:rPr>
      </w:pPr>
      <w:r w:rsidRPr="002C3649">
        <w:rPr>
          <w:rFonts w:asciiTheme="minorHAnsi" w:hAnsiTheme="minorHAnsi" w:cs="Arial"/>
        </w:rPr>
        <w:t>Monitor</w:t>
      </w:r>
    </w:p>
    <w:p w:rsidR="00DE5BA1" w:rsidRPr="008034EE" w:rsidRDefault="008034EE" w:rsidP="00DE5BA1">
      <w:pPr>
        <w:numPr>
          <w:ilvl w:val="1"/>
          <w:numId w:val="25"/>
        </w:numPr>
        <w:rPr>
          <w:rFonts w:asciiTheme="minorHAnsi" w:hAnsiTheme="minorHAnsi" w:cs="Arial"/>
        </w:rPr>
      </w:pPr>
      <w:r w:rsidRPr="008034EE">
        <w:rPr>
          <w:rFonts w:asciiTheme="minorHAnsi" w:hAnsiTheme="minorHAnsi" w:cs="Arial"/>
        </w:rPr>
        <w:t>Reporting requirements, particularly in the Statement of Directors’ Responsibil</w:t>
      </w:r>
      <w:r w:rsidR="00465932">
        <w:rPr>
          <w:rFonts w:asciiTheme="minorHAnsi" w:hAnsiTheme="minorHAnsi" w:cs="Arial"/>
        </w:rPr>
        <w:t>i</w:t>
      </w:r>
      <w:r w:rsidRPr="008034EE">
        <w:rPr>
          <w:rFonts w:asciiTheme="minorHAnsi" w:hAnsiTheme="minorHAnsi" w:cs="Arial"/>
        </w:rPr>
        <w:t>ties towards the Quality Report</w:t>
      </w:r>
      <w:r w:rsidR="001C2506">
        <w:rPr>
          <w:rFonts w:asciiTheme="minorHAnsi" w:hAnsiTheme="minorHAnsi" w:cs="Arial"/>
        </w:rPr>
        <w:t xml:space="preserve">, Quarterly Governance Declarations and Governance Framework. </w:t>
      </w:r>
    </w:p>
    <w:p w:rsidR="001C2506" w:rsidRDefault="001C2506" w:rsidP="001C2506">
      <w:pPr>
        <w:numPr>
          <w:ilvl w:val="0"/>
          <w:numId w:val="25"/>
        </w:numPr>
        <w:tabs>
          <w:tab w:val="clear" w:pos="360"/>
          <w:tab w:val="num" w:pos="1080"/>
        </w:tabs>
        <w:ind w:left="1080" w:hanging="540"/>
        <w:rPr>
          <w:rFonts w:asciiTheme="minorHAnsi" w:hAnsiTheme="minorHAnsi" w:cs="Arial"/>
        </w:rPr>
      </w:pPr>
      <w:r w:rsidRPr="002C3649">
        <w:rPr>
          <w:rFonts w:asciiTheme="minorHAnsi" w:hAnsiTheme="minorHAnsi" w:cs="Arial"/>
        </w:rPr>
        <w:t>Oxfordshire</w:t>
      </w:r>
      <w:r>
        <w:rPr>
          <w:rFonts w:asciiTheme="minorHAnsi" w:hAnsiTheme="minorHAnsi" w:cs="Arial"/>
        </w:rPr>
        <w:t xml:space="preserve">  and Buckinghamshire PCT cluster (main commissioners)</w:t>
      </w:r>
    </w:p>
    <w:p w:rsidR="001D5FD3" w:rsidRDefault="00AA0532" w:rsidP="00AE6CD0">
      <w:pPr>
        <w:numPr>
          <w:ilvl w:val="0"/>
          <w:numId w:val="25"/>
        </w:numPr>
        <w:tabs>
          <w:tab w:val="clear" w:pos="360"/>
          <w:tab w:val="num" w:pos="1080"/>
        </w:tabs>
        <w:ind w:left="1080" w:hanging="540"/>
        <w:rPr>
          <w:rFonts w:asciiTheme="minorHAnsi" w:hAnsiTheme="minorHAnsi" w:cs="Arial"/>
        </w:rPr>
      </w:pPr>
      <w:r w:rsidRPr="002C3649">
        <w:rPr>
          <w:rFonts w:asciiTheme="minorHAnsi" w:hAnsiTheme="minorHAnsi" w:cs="Arial"/>
        </w:rPr>
        <w:t>Oxfordshire</w:t>
      </w:r>
      <w:r w:rsidR="001D5FD3" w:rsidRPr="002C3649">
        <w:rPr>
          <w:rFonts w:asciiTheme="minorHAnsi" w:hAnsiTheme="minorHAnsi" w:cs="Arial"/>
        </w:rPr>
        <w:t xml:space="preserve"> Local Involvement Network (</w:t>
      </w:r>
      <w:proofErr w:type="spellStart"/>
      <w:r w:rsidR="001D5FD3" w:rsidRPr="002C3649">
        <w:rPr>
          <w:rFonts w:asciiTheme="minorHAnsi" w:hAnsiTheme="minorHAnsi" w:cs="Arial"/>
        </w:rPr>
        <w:t>LINk</w:t>
      </w:r>
      <w:proofErr w:type="spellEnd"/>
      <w:r w:rsidR="001D5FD3" w:rsidRPr="002C3649">
        <w:rPr>
          <w:rFonts w:asciiTheme="minorHAnsi" w:hAnsiTheme="minorHAnsi" w:cs="Arial"/>
        </w:rPr>
        <w:t>)</w:t>
      </w:r>
    </w:p>
    <w:p w:rsidR="00DE5BA1" w:rsidRPr="002C3649" w:rsidRDefault="00DE5BA1" w:rsidP="00DE5BA1">
      <w:pPr>
        <w:numPr>
          <w:ilvl w:val="1"/>
          <w:numId w:val="25"/>
        </w:numPr>
        <w:rPr>
          <w:rFonts w:asciiTheme="minorHAnsi" w:hAnsiTheme="minorHAnsi" w:cs="Arial"/>
        </w:rPr>
      </w:pPr>
      <w:r>
        <w:rPr>
          <w:rFonts w:asciiTheme="minorHAnsi" w:hAnsiTheme="minorHAnsi" w:cs="Arial"/>
        </w:rPr>
        <w:t>Personalisation of care, care for people with disabilities and localisation of services</w:t>
      </w:r>
    </w:p>
    <w:p w:rsidR="001D5FD3" w:rsidRDefault="00AA0532" w:rsidP="00AE6CD0">
      <w:pPr>
        <w:numPr>
          <w:ilvl w:val="0"/>
          <w:numId w:val="25"/>
        </w:numPr>
        <w:tabs>
          <w:tab w:val="clear" w:pos="360"/>
          <w:tab w:val="num" w:pos="1080"/>
        </w:tabs>
        <w:ind w:left="1080" w:hanging="540"/>
        <w:rPr>
          <w:rFonts w:asciiTheme="minorHAnsi" w:hAnsiTheme="minorHAnsi" w:cs="Arial"/>
        </w:rPr>
      </w:pPr>
      <w:r w:rsidRPr="002C3649">
        <w:rPr>
          <w:rFonts w:asciiTheme="minorHAnsi" w:hAnsiTheme="minorHAnsi" w:cs="Arial"/>
        </w:rPr>
        <w:t>Oxfordshire</w:t>
      </w:r>
      <w:r w:rsidR="001D5FD3" w:rsidRPr="002C3649">
        <w:rPr>
          <w:rFonts w:asciiTheme="minorHAnsi" w:hAnsiTheme="minorHAnsi" w:cs="Arial"/>
        </w:rPr>
        <w:t xml:space="preserve"> Health Overview and Scrutiny Committee (HOSC)</w:t>
      </w:r>
    </w:p>
    <w:p w:rsidR="00DE5BA1" w:rsidRPr="002C3649" w:rsidRDefault="00DE5BA1" w:rsidP="00DE5BA1">
      <w:pPr>
        <w:numPr>
          <w:ilvl w:val="1"/>
          <w:numId w:val="25"/>
        </w:numPr>
        <w:rPr>
          <w:rFonts w:asciiTheme="minorHAnsi" w:hAnsiTheme="minorHAnsi" w:cs="Arial"/>
        </w:rPr>
      </w:pPr>
      <w:r>
        <w:rPr>
          <w:rFonts w:asciiTheme="minorHAnsi" w:hAnsiTheme="minorHAnsi" w:cs="Arial"/>
        </w:rPr>
        <w:t>In</w:t>
      </w:r>
      <w:r w:rsidR="004C03F5">
        <w:rPr>
          <w:rFonts w:asciiTheme="minorHAnsi" w:hAnsiTheme="minorHAnsi" w:cs="Arial"/>
        </w:rPr>
        <w:t>-</w:t>
      </w:r>
      <w:r w:rsidR="002105E2">
        <w:rPr>
          <w:rFonts w:asciiTheme="minorHAnsi" w:hAnsiTheme="minorHAnsi" w:cs="Arial"/>
        </w:rPr>
        <w:t xml:space="preserve"> </w:t>
      </w:r>
      <w:r>
        <w:rPr>
          <w:rFonts w:asciiTheme="minorHAnsi" w:hAnsiTheme="minorHAnsi" w:cs="Arial"/>
        </w:rPr>
        <w:t>service integration</w:t>
      </w:r>
      <w:r w:rsidR="002105E2">
        <w:rPr>
          <w:rFonts w:asciiTheme="minorHAnsi" w:hAnsiTheme="minorHAnsi" w:cs="Arial"/>
        </w:rPr>
        <w:t>, access issues, suicide rates, localisation of services</w:t>
      </w:r>
    </w:p>
    <w:p w:rsidR="001D5FD3" w:rsidRDefault="00AA0532" w:rsidP="00AE6CD0">
      <w:pPr>
        <w:numPr>
          <w:ilvl w:val="0"/>
          <w:numId w:val="25"/>
        </w:numPr>
        <w:tabs>
          <w:tab w:val="clear" w:pos="360"/>
          <w:tab w:val="num" w:pos="1080"/>
        </w:tabs>
        <w:ind w:left="1080" w:hanging="540"/>
        <w:rPr>
          <w:rFonts w:asciiTheme="minorHAnsi" w:hAnsiTheme="minorHAnsi" w:cs="Arial"/>
        </w:rPr>
      </w:pPr>
      <w:r w:rsidRPr="002C3649">
        <w:rPr>
          <w:rFonts w:asciiTheme="minorHAnsi" w:hAnsiTheme="minorHAnsi" w:cs="Arial"/>
        </w:rPr>
        <w:t>Buckinghamshire</w:t>
      </w:r>
      <w:r w:rsidR="001D5FD3" w:rsidRPr="002C3649">
        <w:rPr>
          <w:rFonts w:asciiTheme="minorHAnsi" w:hAnsiTheme="minorHAnsi" w:cs="Arial"/>
        </w:rPr>
        <w:t xml:space="preserve"> HOSC</w:t>
      </w:r>
    </w:p>
    <w:p w:rsidR="002105E2" w:rsidRDefault="00DD58A0" w:rsidP="002105E2">
      <w:pPr>
        <w:numPr>
          <w:ilvl w:val="1"/>
          <w:numId w:val="25"/>
        </w:numPr>
        <w:rPr>
          <w:rFonts w:asciiTheme="minorHAnsi" w:hAnsiTheme="minorHAnsi" w:cs="Arial"/>
        </w:rPr>
      </w:pPr>
      <w:r>
        <w:rPr>
          <w:rFonts w:asciiTheme="minorHAnsi" w:hAnsiTheme="minorHAnsi" w:cs="Arial"/>
        </w:rPr>
        <w:t>Importance of community care support</w:t>
      </w:r>
    </w:p>
    <w:p w:rsidR="00DD58A0" w:rsidRPr="002C3649" w:rsidRDefault="00DD58A0" w:rsidP="002105E2">
      <w:pPr>
        <w:numPr>
          <w:ilvl w:val="1"/>
          <w:numId w:val="25"/>
        </w:numPr>
        <w:rPr>
          <w:rFonts w:asciiTheme="minorHAnsi" w:hAnsiTheme="minorHAnsi" w:cs="Arial"/>
        </w:rPr>
      </w:pPr>
      <w:r>
        <w:rPr>
          <w:rFonts w:asciiTheme="minorHAnsi" w:hAnsiTheme="minorHAnsi" w:cs="Arial"/>
        </w:rPr>
        <w:t>Equability of access to services through GPs</w:t>
      </w:r>
    </w:p>
    <w:p w:rsidR="00DD58A0" w:rsidRPr="002C3649" w:rsidRDefault="001C2506" w:rsidP="00DD58A0">
      <w:pPr>
        <w:numPr>
          <w:ilvl w:val="1"/>
          <w:numId w:val="25"/>
        </w:numPr>
        <w:rPr>
          <w:rFonts w:asciiTheme="minorHAnsi" w:hAnsiTheme="minorHAnsi" w:cs="Arial"/>
        </w:rPr>
      </w:pPr>
      <w:r>
        <w:rPr>
          <w:rFonts w:asciiTheme="minorHAnsi" w:hAnsiTheme="minorHAnsi" w:cs="Arial"/>
        </w:rPr>
        <w:t xml:space="preserve">South Central Specialised Services commissioners and Swindon Wiltshire, Bath </w:t>
      </w:r>
      <w:r w:rsidR="00C2424D">
        <w:rPr>
          <w:rFonts w:asciiTheme="minorHAnsi" w:hAnsiTheme="minorHAnsi" w:cs="Arial"/>
        </w:rPr>
        <w:t xml:space="preserve">&amp; </w:t>
      </w:r>
      <w:r>
        <w:rPr>
          <w:rFonts w:asciiTheme="minorHAnsi" w:hAnsiTheme="minorHAnsi" w:cs="Arial"/>
        </w:rPr>
        <w:t>N</w:t>
      </w:r>
      <w:r w:rsidR="00C2424D">
        <w:rPr>
          <w:rFonts w:asciiTheme="minorHAnsi" w:hAnsiTheme="minorHAnsi" w:cs="Arial"/>
        </w:rPr>
        <w:t xml:space="preserve">orth </w:t>
      </w:r>
      <w:r>
        <w:rPr>
          <w:rFonts w:asciiTheme="minorHAnsi" w:hAnsiTheme="minorHAnsi" w:cs="Arial"/>
        </w:rPr>
        <w:t>E</w:t>
      </w:r>
      <w:r w:rsidR="00C2424D">
        <w:rPr>
          <w:rFonts w:asciiTheme="minorHAnsi" w:hAnsiTheme="minorHAnsi" w:cs="Arial"/>
        </w:rPr>
        <w:t>ast</w:t>
      </w:r>
      <w:r>
        <w:rPr>
          <w:rFonts w:asciiTheme="minorHAnsi" w:hAnsiTheme="minorHAnsi" w:cs="Arial"/>
        </w:rPr>
        <w:t xml:space="preserve"> Somerset and Milton Keynes Commissioners</w:t>
      </w:r>
    </w:p>
    <w:p w:rsidR="001D5FD3" w:rsidRDefault="001D5FD3" w:rsidP="00AE6CD0">
      <w:pPr>
        <w:numPr>
          <w:ilvl w:val="0"/>
          <w:numId w:val="25"/>
        </w:numPr>
        <w:tabs>
          <w:tab w:val="clear" w:pos="360"/>
          <w:tab w:val="num" w:pos="1080"/>
        </w:tabs>
        <w:ind w:left="1080" w:hanging="540"/>
        <w:rPr>
          <w:rFonts w:asciiTheme="minorHAnsi" w:hAnsiTheme="minorHAnsi" w:cs="Arial"/>
        </w:rPr>
      </w:pPr>
      <w:r w:rsidRPr="002C3649">
        <w:rPr>
          <w:rFonts w:asciiTheme="minorHAnsi" w:hAnsiTheme="minorHAnsi" w:cs="Arial"/>
        </w:rPr>
        <w:t>Internal assessment of Care Quality Commission (CQC) Outcome compliance</w:t>
      </w:r>
    </w:p>
    <w:p w:rsidR="002105E2" w:rsidRPr="002105E2" w:rsidRDefault="002105E2" w:rsidP="002105E2">
      <w:pPr>
        <w:numPr>
          <w:ilvl w:val="1"/>
          <w:numId w:val="25"/>
        </w:numPr>
        <w:rPr>
          <w:rFonts w:asciiTheme="minorHAnsi" w:hAnsiTheme="minorHAnsi" w:cs="Arial"/>
          <w:highlight w:val="yellow"/>
        </w:rPr>
      </w:pPr>
      <w:r w:rsidRPr="002105E2">
        <w:rPr>
          <w:rFonts w:asciiTheme="minorHAnsi" w:hAnsiTheme="minorHAnsi" w:cs="Arial"/>
          <w:highlight w:val="yellow"/>
        </w:rPr>
        <w:t>Examples</w:t>
      </w:r>
      <w:r w:rsidR="00465932">
        <w:rPr>
          <w:rFonts w:asciiTheme="minorHAnsi" w:hAnsiTheme="minorHAnsi" w:cs="Arial"/>
          <w:highlight w:val="yellow"/>
        </w:rPr>
        <w:t xml:space="preserve"> to be added</w:t>
      </w:r>
    </w:p>
    <w:p w:rsidR="001D5FD3" w:rsidRDefault="001D5FD3" w:rsidP="00AE6CD0">
      <w:pPr>
        <w:numPr>
          <w:ilvl w:val="0"/>
          <w:numId w:val="25"/>
        </w:numPr>
        <w:tabs>
          <w:tab w:val="clear" w:pos="360"/>
          <w:tab w:val="num" w:pos="1080"/>
        </w:tabs>
        <w:ind w:left="1080" w:hanging="540"/>
        <w:rPr>
          <w:rFonts w:asciiTheme="minorHAnsi" w:hAnsiTheme="minorHAnsi" w:cs="Arial"/>
        </w:rPr>
      </w:pPr>
      <w:r w:rsidRPr="002C3649">
        <w:rPr>
          <w:rFonts w:asciiTheme="minorHAnsi" w:hAnsiTheme="minorHAnsi" w:cs="Arial"/>
        </w:rPr>
        <w:t>Internal audits</w:t>
      </w:r>
    </w:p>
    <w:p w:rsidR="002105E2" w:rsidRPr="002105E2" w:rsidRDefault="002105E2" w:rsidP="002105E2">
      <w:pPr>
        <w:numPr>
          <w:ilvl w:val="1"/>
          <w:numId w:val="25"/>
        </w:numPr>
        <w:rPr>
          <w:rFonts w:asciiTheme="minorHAnsi" w:hAnsiTheme="minorHAnsi" w:cs="Arial"/>
          <w:highlight w:val="yellow"/>
        </w:rPr>
      </w:pPr>
      <w:r w:rsidRPr="002105E2">
        <w:rPr>
          <w:rFonts w:asciiTheme="minorHAnsi" w:hAnsiTheme="minorHAnsi" w:cs="Arial"/>
          <w:highlight w:val="yellow"/>
        </w:rPr>
        <w:t>Examples</w:t>
      </w:r>
      <w:r w:rsidR="00465932">
        <w:rPr>
          <w:rFonts w:asciiTheme="minorHAnsi" w:hAnsiTheme="minorHAnsi" w:cs="Arial"/>
          <w:highlight w:val="yellow"/>
        </w:rPr>
        <w:t xml:space="preserve"> to be added</w:t>
      </w:r>
    </w:p>
    <w:p w:rsidR="0023741E" w:rsidRPr="002C3649" w:rsidRDefault="0023741E" w:rsidP="0066470D">
      <w:pPr>
        <w:jc w:val="both"/>
        <w:rPr>
          <w:rFonts w:asciiTheme="minorHAnsi" w:hAnsiTheme="minorHAnsi" w:cs="Arial"/>
          <w:color w:val="0070C0"/>
        </w:rPr>
      </w:pPr>
    </w:p>
    <w:p w:rsidR="0023741E" w:rsidRPr="0098006E" w:rsidRDefault="0023741E" w:rsidP="0066470D">
      <w:pPr>
        <w:jc w:val="both"/>
        <w:rPr>
          <w:rFonts w:ascii="Calibri" w:hAnsi="Calibri" w:cs="Arial"/>
        </w:rPr>
      </w:pPr>
      <w:r w:rsidRPr="00544356">
        <w:rPr>
          <w:rFonts w:ascii="Calibri" w:hAnsi="Calibri" w:cs="Arial"/>
        </w:rPr>
        <w:t>This year</w:t>
      </w:r>
      <w:r w:rsidR="00CB32C8" w:rsidRPr="00544356">
        <w:rPr>
          <w:rFonts w:ascii="Calibri" w:hAnsi="Calibri" w:cs="Arial"/>
        </w:rPr>
        <w:t xml:space="preserve"> we have continued the practice adopted last year within</w:t>
      </w:r>
      <w:r w:rsidRPr="00544356">
        <w:rPr>
          <w:rFonts w:ascii="Calibri" w:hAnsi="Calibri" w:cs="Arial"/>
        </w:rPr>
        <w:t xml:space="preserve"> the Quality Account </w:t>
      </w:r>
      <w:r w:rsidR="00CB32C8" w:rsidRPr="00544356">
        <w:rPr>
          <w:rFonts w:ascii="Calibri" w:hAnsi="Calibri" w:cs="Arial"/>
        </w:rPr>
        <w:t>using</w:t>
      </w:r>
      <w:r w:rsidRPr="00544356">
        <w:rPr>
          <w:rFonts w:ascii="Calibri" w:hAnsi="Calibri" w:cs="Arial"/>
        </w:rPr>
        <w:t xml:space="preserve"> the </w:t>
      </w:r>
      <w:r w:rsidRPr="0098006E">
        <w:rPr>
          <w:rFonts w:ascii="Calibri" w:hAnsi="Calibri" w:cs="Arial"/>
        </w:rPr>
        <w:t xml:space="preserve">national </w:t>
      </w:r>
      <w:r w:rsidR="001C2506">
        <w:rPr>
          <w:rFonts w:ascii="Calibri" w:hAnsi="Calibri" w:cs="Arial"/>
        </w:rPr>
        <w:t>outcomes framework</w:t>
      </w:r>
      <w:r w:rsidR="00CB32C8" w:rsidRPr="0098006E">
        <w:rPr>
          <w:rFonts w:ascii="Calibri" w:hAnsi="Calibri" w:cs="Arial"/>
        </w:rPr>
        <w:t xml:space="preserve"> for our priority areas</w:t>
      </w:r>
      <w:r w:rsidRPr="0098006E">
        <w:rPr>
          <w:rFonts w:ascii="Calibri" w:hAnsi="Calibri" w:cs="Arial"/>
        </w:rPr>
        <w:t>. This sets out our Quality Account priorities within the three broad dimensions for Quality, whilst also taking account of the white paper emphasising the importance of focusing quality initiatives on outcomes rather than systems and processes. This publication</w:t>
      </w:r>
      <w:r w:rsidR="004C03F5">
        <w:rPr>
          <w:rFonts w:ascii="Calibri" w:hAnsi="Calibri" w:cs="Arial"/>
        </w:rPr>
        <w:t>,</w:t>
      </w:r>
      <w:r w:rsidRPr="0098006E">
        <w:rPr>
          <w:rFonts w:ascii="Calibri" w:hAnsi="Calibri" w:cs="Arial"/>
        </w:rPr>
        <w:t xml:space="preserve"> </w:t>
      </w:r>
      <w:r w:rsidR="00B26B6B">
        <w:rPr>
          <w:rFonts w:ascii="Calibri" w:hAnsi="Calibri" w:cs="Arial"/>
        </w:rPr>
        <w:t>The NHS Outcomes Framework 2012/13</w:t>
      </w:r>
      <w:r w:rsidRPr="0098006E">
        <w:rPr>
          <w:rFonts w:ascii="Calibri" w:hAnsi="Calibri" w:cs="Arial"/>
        </w:rPr>
        <w:t xml:space="preserve"> (Dec 201</w:t>
      </w:r>
      <w:r w:rsidR="00B26B6B">
        <w:rPr>
          <w:rFonts w:ascii="Calibri" w:hAnsi="Calibri" w:cs="Arial"/>
        </w:rPr>
        <w:t>1</w:t>
      </w:r>
      <w:r w:rsidRPr="0098006E">
        <w:rPr>
          <w:rFonts w:ascii="Calibri" w:hAnsi="Calibri" w:cs="Arial"/>
        </w:rPr>
        <w:t>)</w:t>
      </w:r>
      <w:r w:rsidR="004C03F5">
        <w:rPr>
          <w:rStyle w:val="FootnoteReference"/>
        </w:rPr>
        <w:footnoteReference w:id="1"/>
      </w:r>
      <w:r w:rsidR="004C03F5">
        <w:rPr>
          <w:rFonts w:ascii="Calibri" w:hAnsi="Calibri" w:cs="Arial"/>
        </w:rPr>
        <w:t>,</w:t>
      </w:r>
      <w:r w:rsidRPr="0098006E">
        <w:rPr>
          <w:rFonts w:ascii="Calibri" w:hAnsi="Calibri" w:cs="Arial"/>
        </w:rPr>
        <w:t xml:space="preserve"> has led us to develop sub categories for the three quality dimensions. </w:t>
      </w:r>
    </w:p>
    <w:p w:rsidR="0023741E" w:rsidRPr="00483BEE" w:rsidRDefault="0023741E" w:rsidP="0066470D">
      <w:pPr>
        <w:jc w:val="both"/>
        <w:rPr>
          <w:rFonts w:ascii="Calibri" w:hAnsi="Calibri" w:cs="Arial"/>
        </w:rPr>
      </w:pPr>
    </w:p>
    <w:p w:rsidR="0023741E" w:rsidRPr="00483BEE" w:rsidRDefault="0023741E" w:rsidP="0066470D">
      <w:pPr>
        <w:jc w:val="both"/>
        <w:rPr>
          <w:rFonts w:ascii="Calibri" w:hAnsi="Calibri" w:cs="Arial"/>
        </w:rPr>
      </w:pPr>
      <w:r w:rsidRPr="00483BEE">
        <w:rPr>
          <w:rFonts w:ascii="Calibri" w:hAnsi="Calibri" w:cs="Arial"/>
        </w:rPr>
        <w:lastRenderedPageBreak/>
        <w:t>The identified priorities fall under the following three dimensions of</w:t>
      </w:r>
    </w:p>
    <w:p w:rsidR="0023741E" w:rsidRPr="00483BEE" w:rsidRDefault="0023741E" w:rsidP="0066470D">
      <w:pPr>
        <w:jc w:val="both"/>
        <w:rPr>
          <w:rFonts w:ascii="Calibri" w:hAnsi="Calibri" w:cs="Arial"/>
          <w:b/>
        </w:rPr>
      </w:pPr>
    </w:p>
    <w:p w:rsidR="0023741E" w:rsidRPr="00483BEE" w:rsidRDefault="0023741E" w:rsidP="00AE6CD0">
      <w:pPr>
        <w:numPr>
          <w:ilvl w:val="0"/>
          <w:numId w:val="2"/>
        </w:numPr>
        <w:jc w:val="both"/>
        <w:rPr>
          <w:rFonts w:ascii="Calibri" w:hAnsi="Calibri" w:cs="Arial"/>
          <w:b/>
        </w:rPr>
      </w:pPr>
      <w:r w:rsidRPr="00483BEE">
        <w:rPr>
          <w:rFonts w:ascii="Calibri" w:hAnsi="Calibri" w:cs="Arial"/>
          <w:b/>
        </w:rPr>
        <w:t>Patient Safety</w:t>
      </w:r>
    </w:p>
    <w:p w:rsidR="0023741E" w:rsidRPr="00483BEE" w:rsidRDefault="0023741E" w:rsidP="0066470D">
      <w:pPr>
        <w:ind w:left="360" w:firstLine="360"/>
        <w:jc w:val="both"/>
        <w:rPr>
          <w:rFonts w:ascii="Calibri" w:hAnsi="Calibri" w:cs="Arial"/>
        </w:rPr>
      </w:pPr>
      <w:r w:rsidRPr="00483BEE">
        <w:rPr>
          <w:rFonts w:ascii="Calibri" w:hAnsi="Calibri" w:cs="Arial"/>
        </w:rPr>
        <w:t>Preventing people from dying prematurely</w:t>
      </w:r>
    </w:p>
    <w:p w:rsidR="0023741E" w:rsidRPr="00483BEE" w:rsidRDefault="0023741E" w:rsidP="0066470D">
      <w:pPr>
        <w:ind w:left="720"/>
        <w:jc w:val="both"/>
        <w:rPr>
          <w:rFonts w:ascii="Calibri" w:hAnsi="Calibri" w:cs="Arial"/>
        </w:rPr>
      </w:pPr>
      <w:r w:rsidRPr="00483BEE">
        <w:rPr>
          <w:rFonts w:ascii="Calibri" w:hAnsi="Calibri" w:cs="Arial"/>
        </w:rPr>
        <w:t>Treating and caring for people in a safe environment and protecting them from avoidable harm</w:t>
      </w:r>
    </w:p>
    <w:p w:rsidR="0023741E" w:rsidRPr="00483BEE" w:rsidRDefault="0023741E" w:rsidP="0066470D">
      <w:pPr>
        <w:ind w:left="360"/>
        <w:jc w:val="both"/>
        <w:rPr>
          <w:rFonts w:ascii="Calibri" w:hAnsi="Calibri" w:cs="Arial"/>
          <w:b/>
        </w:rPr>
      </w:pPr>
    </w:p>
    <w:p w:rsidR="0023741E" w:rsidRPr="00483BEE" w:rsidRDefault="0023741E" w:rsidP="00AE6CD0">
      <w:pPr>
        <w:numPr>
          <w:ilvl w:val="0"/>
          <w:numId w:val="2"/>
        </w:numPr>
        <w:jc w:val="both"/>
        <w:rPr>
          <w:rFonts w:ascii="Calibri" w:hAnsi="Calibri" w:cs="Arial"/>
          <w:b/>
        </w:rPr>
      </w:pPr>
      <w:r w:rsidRPr="00483BEE">
        <w:rPr>
          <w:rFonts w:ascii="Calibri" w:hAnsi="Calibri" w:cs="Arial"/>
          <w:b/>
        </w:rPr>
        <w:t>Effectiveness</w:t>
      </w:r>
    </w:p>
    <w:p w:rsidR="0023741E" w:rsidRPr="00483BEE" w:rsidRDefault="0023741E" w:rsidP="0066470D">
      <w:pPr>
        <w:ind w:left="360" w:firstLine="360"/>
        <w:jc w:val="both"/>
        <w:rPr>
          <w:rFonts w:ascii="Calibri" w:hAnsi="Calibri" w:cs="Arial"/>
        </w:rPr>
      </w:pPr>
      <w:r w:rsidRPr="00483BEE">
        <w:rPr>
          <w:rFonts w:ascii="Calibri" w:hAnsi="Calibri" w:cs="Arial"/>
        </w:rPr>
        <w:t>Enhancing quality of life for people with long-term conditions</w:t>
      </w:r>
    </w:p>
    <w:p w:rsidR="0023741E" w:rsidRPr="00483BEE" w:rsidRDefault="0023741E" w:rsidP="0066470D">
      <w:pPr>
        <w:ind w:left="720"/>
        <w:jc w:val="both"/>
        <w:rPr>
          <w:rFonts w:ascii="Calibri" w:hAnsi="Calibri" w:cs="Arial"/>
        </w:rPr>
      </w:pPr>
      <w:r w:rsidRPr="00483BEE">
        <w:rPr>
          <w:rFonts w:ascii="Calibri" w:hAnsi="Calibri" w:cs="Arial"/>
        </w:rPr>
        <w:t>Helping people to recover from episodes of ill-health or following injury</w:t>
      </w:r>
    </w:p>
    <w:p w:rsidR="0023741E" w:rsidRPr="00483BEE" w:rsidRDefault="0023741E" w:rsidP="0066470D">
      <w:pPr>
        <w:ind w:left="360"/>
        <w:jc w:val="both"/>
        <w:rPr>
          <w:rFonts w:ascii="Calibri" w:hAnsi="Calibri" w:cs="Arial"/>
          <w:b/>
        </w:rPr>
      </w:pPr>
    </w:p>
    <w:p w:rsidR="0023741E" w:rsidRPr="00483BEE" w:rsidRDefault="0023741E" w:rsidP="00AE6CD0">
      <w:pPr>
        <w:numPr>
          <w:ilvl w:val="0"/>
          <w:numId w:val="2"/>
        </w:numPr>
        <w:jc w:val="both"/>
        <w:rPr>
          <w:rFonts w:ascii="Calibri" w:hAnsi="Calibri" w:cs="Arial"/>
          <w:b/>
        </w:rPr>
      </w:pPr>
      <w:r w:rsidRPr="00483BEE">
        <w:rPr>
          <w:rFonts w:ascii="Calibri" w:hAnsi="Calibri" w:cs="Arial"/>
          <w:b/>
        </w:rPr>
        <w:t>Patient Experience</w:t>
      </w:r>
    </w:p>
    <w:p w:rsidR="0023741E" w:rsidRPr="00483BEE" w:rsidRDefault="0023741E" w:rsidP="0066470D">
      <w:pPr>
        <w:ind w:left="360" w:firstLine="360"/>
        <w:jc w:val="both"/>
        <w:rPr>
          <w:rFonts w:ascii="Calibri" w:hAnsi="Calibri" w:cs="Arial"/>
        </w:rPr>
      </w:pPr>
      <w:r w:rsidRPr="00483BEE">
        <w:rPr>
          <w:rFonts w:ascii="Calibri" w:hAnsi="Calibri" w:cs="Arial"/>
        </w:rPr>
        <w:t>Ensuring people have a positive experience of care</w:t>
      </w:r>
    </w:p>
    <w:p w:rsidR="0023741E" w:rsidRPr="00483BEE" w:rsidRDefault="0023741E" w:rsidP="0066470D">
      <w:pPr>
        <w:ind w:left="720"/>
        <w:jc w:val="both"/>
        <w:rPr>
          <w:rFonts w:ascii="Calibri" w:hAnsi="Calibri" w:cs="Arial"/>
        </w:rPr>
      </w:pPr>
    </w:p>
    <w:p w:rsidR="0023741E" w:rsidRPr="00483BEE" w:rsidRDefault="0023741E" w:rsidP="0066470D">
      <w:pPr>
        <w:jc w:val="both"/>
        <w:rPr>
          <w:rFonts w:ascii="Calibri" w:hAnsi="Calibri" w:cs="Arial"/>
        </w:rPr>
      </w:pPr>
      <w:r w:rsidRPr="00483BEE">
        <w:rPr>
          <w:rFonts w:ascii="Calibri" w:hAnsi="Calibri" w:cs="Arial"/>
        </w:rPr>
        <w:t xml:space="preserve">The priorities identified for this year are as </w:t>
      </w:r>
      <w:r w:rsidR="00555BA4">
        <w:rPr>
          <w:rFonts w:ascii="Calibri" w:hAnsi="Calibri" w:cs="Arial"/>
        </w:rPr>
        <w:t>shown below</w:t>
      </w:r>
      <w:r w:rsidRPr="00483BEE">
        <w:rPr>
          <w:rFonts w:ascii="Calibri" w:hAnsi="Calibri" w:cs="Arial"/>
        </w:rPr>
        <w:t>.</w:t>
      </w:r>
      <w:r w:rsidR="00555BA4">
        <w:rPr>
          <w:rFonts w:ascii="Calibri" w:hAnsi="Calibri" w:cs="Arial"/>
        </w:rPr>
        <w:t xml:space="preserve">  Under each aim, any actions to be undertaken are shown, whilst specific targets are displayed in italics.</w:t>
      </w:r>
      <w:r w:rsidRPr="00483BEE">
        <w:rPr>
          <w:rFonts w:ascii="Calibri" w:hAnsi="Calibri" w:cs="Arial"/>
        </w:rPr>
        <w:t xml:space="preserve"> </w:t>
      </w:r>
      <w:r w:rsidR="00555BA4">
        <w:rPr>
          <w:rFonts w:ascii="Calibri" w:hAnsi="Calibri" w:cs="Arial"/>
        </w:rPr>
        <w:t>P</w:t>
      </w:r>
      <w:r w:rsidRPr="00483BEE">
        <w:rPr>
          <w:rFonts w:ascii="Calibri" w:hAnsi="Calibri" w:cs="Arial"/>
        </w:rPr>
        <w:t>rogress against the priorities will be monitored and reported to the Board of Directors quarterly</w:t>
      </w:r>
      <w:r w:rsidR="00555BA4">
        <w:rPr>
          <w:rFonts w:ascii="Calibri" w:hAnsi="Calibri" w:cs="Arial"/>
        </w:rPr>
        <w:t>.</w:t>
      </w:r>
    </w:p>
    <w:p w:rsidR="00C07871" w:rsidRDefault="00C07871">
      <w:pPr>
        <w:rPr>
          <w:rFonts w:ascii="Calibri" w:hAnsi="Calibri" w:cs="Arial"/>
          <w:color w:val="0070C0"/>
        </w:rPr>
      </w:pPr>
      <w:r>
        <w:rPr>
          <w:rFonts w:ascii="Calibri" w:hAnsi="Calibri" w:cs="Arial"/>
          <w:color w:val="0070C0"/>
        </w:rPr>
        <w:br w:type="page"/>
      </w:r>
    </w:p>
    <w:p w:rsidR="0023741E" w:rsidRDefault="0023741E" w:rsidP="0066470D">
      <w:pPr>
        <w:jc w:val="both"/>
        <w:rPr>
          <w:rFonts w:ascii="Calibri" w:hAnsi="Calibri" w:cs="Arial"/>
          <w:color w:val="0070C0"/>
        </w:rPr>
      </w:pPr>
    </w:p>
    <w:tbl>
      <w:tblPr>
        <w:tblStyle w:val="TableGrid"/>
        <w:tblW w:w="0" w:type="auto"/>
        <w:tblBorders>
          <w:top w:val="single" w:sz="4" w:space="0" w:color="0070C0"/>
          <w:left w:val="none" w:sz="0" w:space="0" w:color="auto"/>
          <w:bottom w:val="single" w:sz="4" w:space="0" w:color="0070C0"/>
          <w:right w:val="none" w:sz="0" w:space="0" w:color="auto"/>
          <w:insideH w:val="none" w:sz="0" w:space="0" w:color="auto"/>
          <w:insideV w:val="none" w:sz="0" w:space="0" w:color="auto"/>
        </w:tblBorders>
        <w:tblLook w:val="04A0"/>
      </w:tblPr>
      <w:tblGrid>
        <w:gridCol w:w="9242"/>
      </w:tblGrid>
      <w:tr w:rsidR="00ED3BBA" w:rsidTr="00ED3BBA">
        <w:tc>
          <w:tcPr>
            <w:tcW w:w="9242" w:type="dxa"/>
          </w:tcPr>
          <w:p w:rsidR="00ED3BBA" w:rsidRPr="00ED3BBA" w:rsidRDefault="00ED3BBA" w:rsidP="00ED3BBA">
            <w:pPr>
              <w:jc w:val="both"/>
              <w:rPr>
                <w:rFonts w:ascii="Arial" w:hAnsi="Arial" w:cs="Arial"/>
                <w:color w:val="0070C0"/>
                <w:sz w:val="32"/>
                <w:szCs w:val="32"/>
              </w:rPr>
            </w:pPr>
            <w:r>
              <w:rPr>
                <w:rFonts w:ascii="Arial" w:hAnsi="Arial" w:cs="Arial"/>
                <w:color w:val="0070C0"/>
                <w:sz w:val="32"/>
                <w:szCs w:val="32"/>
              </w:rPr>
              <w:t>Patient Safety</w:t>
            </w:r>
          </w:p>
        </w:tc>
      </w:tr>
    </w:tbl>
    <w:p w:rsidR="00ED3BBA" w:rsidRPr="00544356" w:rsidRDefault="00ED3BBA" w:rsidP="00ED3BBA">
      <w:pPr>
        <w:ind w:right="260"/>
        <w:jc w:val="both"/>
        <w:rPr>
          <w:rFonts w:ascii="Calibri" w:hAnsi="Calibri" w:cs="Arial"/>
          <w:color w:val="0070C0"/>
        </w:rPr>
      </w:pPr>
    </w:p>
    <w:p w:rsidR="00CB32C8" w:rsidRPr="001C2506" w:rsidRDefault="004E65E1" w:rsidP="00ED3BBA">
      <w:pPr>
        <w:pStyle w:val="Heading3"/>
        <w:rPr>
          <w:sz w:val="28"/>
          <w:szCs w:val="28"/>
        </w:rPr>
      </w:pPr>
      <w:r w:rsidRPr="004E65E1">
        <w:rPr>
          <w:sz w:val="28"/>
          <w:szCs w:val="28"/>
        </w:rPr>
        <w:t>Domain 1: Preventing People from Dying Prematurely</w:t>
      </w:r>
    </w:p>
    <w:p w:rsidR="00500FE1" w:rsidRPr="00544356" w:rsidRDefault="00500FE1" w:rsidP="00500FE1">
      <w:pPr>
        <w:rPr>
          <w:rFonts w:ascii="Cambria" w:hAnsi="Cambria"/>
          <w:b/>
          <w:bCs/>
          <w:i/>
          <w:iCs/>
          <w:color w:val="0070C0"/>
        </w:rPr>
      </w:pPr>
    </w:p>
    <w:p w:rsidR="00500FE1" w:rsidRPr="00544356" w:rsidRDefault="00500FE1" w:rsidP="00500FE1">
      <w:pPr>
        <w:rPr>
          <w:rFonts w:ascii="Cambria" w:hAnsi="Cambria"/>
          <w:b/>
          <w:bCs/>
          <w:i/>
          <w:iCs/>
          <w:color w:val="0070C0"/>
        </w:rPr>
      </w:pPr>
      <w:r w:rsidRPr="00544356">
        <w:rPr>
          <w:rFonts w:ascii="Cambria" w:hAnsi="Cambria"/>
          <w:b/>
          <w:bCs/>
          <w:i/>
          <w:iCs/>
          <w:color w:val="0070C0"/>
        </w:rPr>
        <w:t xml:space="preserve">Current </w:t>
      </w:r>
      <w:r>
        <w:rPr>
          <w:rFonts w:ascii="Cambria" w:hAnsi="Cambria"/>
          <w:b/>
          <w:bCs/>
          <w:i/>
          <w:iCs/>
          <w:color w:val="0070C0"/>
        </w:rPr>
        <w:t>Position</w:t>
      </w:r>
    </w:p>
    <w:p w:rsidR="00207CB9" w:rsidRPr="00207CB9" w:rsidRDefault="0063351F" w:rsidP="00500FE1">
      <w:pPr>
        <w:jc w:val="both"/>
        <w:rPr>
          <w:rFonts w:ascii="Calibri" w:hAnsi="Calibri" w:cs="Arial"/>
        </w:rPr>
      </w:pPr>
      <w:r w:rsidRPr="00685FFD">
        <w:rPr>
          <w:rFonts w:ascii="Calibri" w:hAnsi="Calibri" w:cs="Arial"/>
        </w:rPr>
        <w:t xml:space="preserve">Last year we continued our long term </w:t>
      </w:r>
      <w:r w:rsidR="00685FFD" w:rsidRPr="00685FFD">
        <w:rPr>
          <w:rFonts w:ascii="Calibri" w:hAnsi="Calibri" w:cs="Arial"/>
        </w:rPr>
        <w:t>commitment to participate in the Leading Improvements in Patient Safety (LIPS) programme</w:t>
      </w:r>
      <w:r w:rsidR="00685FFD">
        <w:rPr>
          <w:rFonts w:ascii="Calibri" w:hAnsi="Calibri" w:cs="Arial"/>
        </w:rPr>
        <w:t xml:space="preserve"> </w:t>
      </w:r>
      <w:r w:rsidR="00685FFD" w:rsidRPr="00685FFD">
        <w:rPr>
          <w:rFonts w:ascii="Calibri" w:hAnsi="Calibri" w:cs="Arial"/>
        </w:rPr>
        <w:t xml:space="preserve">and a continued focus on reducing avoidable suicide whilst increasing low or minimum harm incident reporting, </w:t>
      </w:r>
      <w:r w:rsidR="00685FFD">
        <w:rPr>
          <w:rFonts w:ascii="Calibri" w:hAnsi="Calibri" w:cs="Arial"/>
        </w:rPr>
        <w:t xml:space="preserve">setting our targets and actions in line with these objectives.  We made good progress in achieving our targets and taking the identified initiatives of the LIPS programme and we see this continuing as </w:t>
      </w:r>
      <w:r w:rsidR="00207CB9">
        <w:rPr>
          <w:rFonts w:ascii="Calibri" w:hAnsi="Calibri" w:cs="Arial"/>
        </w:rPr>
        <w:t>the cornerstone in our improving</w:t>
      </w:r>
      <w:r w:rsidR="00685FFD">
        <w:rPr>
          <w:rFonts w:ascii="Calibri" w:hAnsi="Calibri" w:cs="Arial"/>
        </w:rPr>
        <w:t xml:space="preserve"> patient/service user safety in this coming year too. </w:t>
      </w:r>
      <w:r w:rsidR="004C03F5">
        <w:rPr>
          <w:rFonts w:ascii="Calibri" w:hAnsi="Calibri" w:cs="Arial"/>
        </w:rPr>
        <w:t xml:space="preserve"> </w:t>
      </w:r>
      <w:r w:rsidR="00160B54">
        <w:rPr>
          <w:rFonts w:ascii="Calibri" w:hAnsi="Calibri" w:cs="Arial"/>
        </w:rPr>
        <w:t>Preventing premature death is just as important in Community Health Services and our priorities are set out below, including addressing the treatment for people suffering cardio-vascular disease.</w:t>
      </w:r>
    </w:p>
    <w:p w:rsidR="00CB32C8" w:rsidRPr="00544356" w:rsidRDefault="00483BEE" w:rsidP="00CB32C8">
      <w:pPr>
        <w:pStyle w:val="Heading4"/>
        <w:rPr>
          <w:color w:val="0070C0"/>
        </w:rPr>
      </w:pPr>
      <w:r>
        <w:rPr>
          <w:color w:val="0070C0"/>
        </w:rPr>
        <w:t>Aims</w:t>
      </w:r>
    </w:p>
    <w:p w:rsidR="00555BA4" w:rsidRDefault="00555BA4" w:rsidP="00555BA4">
      <w:pPr>
        <w:rPr>
          <w:rFonts w:ascii="Calibri" w:hAnsi="Calibri" w:cs="Arial"/>
        </w:rPr>
      </w:pPr>
    </w:p>
    <w:tbl>
      <w:tblPr>
        <w:tblStyle w:val="TableGrid"/>
        <w:tblW w:w="0" w:type="auto"/>
        <w:tblInd w:w="108" w:type="dxa"/>
        <w:tblLook w:val="04A0"/>
      </w:tblPr>
      <w:tblGrid>
        <w:gridCol w:w="9747"/>
      </w:tblGrid>
      <w:tr w:rsidR="0039187C" w:rsidTr="003B0BAF">
        <w:tc>
          <w:tcPr>
            <w:tcW w:w="9747" w:type="dxa"/>
            <w:shd w:val="clear" w:color="auto" w:fill="F2F2F2" w:themeFill="background1" w:themeFillShade="F2"/>
          </w:tcPr>
          <w:p w:rsidR="0039187C" w:rsidRPr="001C2506" w:rsidRDefault="004E65E1" w:rsidP="003B0BAF">
            <w:pPr>
              <w:rPr>
                <w:rFonts w:ascii="Calibri" w:hAnsi="Calibri" w:cs="Arial"/>
                <w:b/>
                <w:sz w:val="28"/>
                <w:szCs w:val="28"/>
              </w:rPr>
            </w:pPr>
            <w:r w:rsidRPr="004E65E1">
              <w:rPr>
                <w:rFonts w:ascii="Calibri" w:hAnsi="Calibri" w:cs="Arial"/>
                <w:b/>
                <w:sz w:val="28"/>
                <w:szCs w:val="28"/>
              </w:rPr>
              <w:t>People will not die prematurely</w:t>
            </w:r>
          </w:p>
        </w:tc>
      </w:tr>
      <w:tr w:rsidR="0039187C" w:rsidTr="003B0BAF">
        <w:tc>
          <w:tcPr>
            <w:tcW w:w="9747" w:type="dxa"/>
          </w:tcPr>
          <w:p w:rsidR="00B25833" w:rsidRDefault="0039187C" w:rsidP="00555BA4">
            <w:pPr>
              <w:rPr>
                <w:rFonts w:ascii="Calibri" w:hAnsi="Calibri" w:cs="Arial"/>
              </w:rPr>
            </w:pPr>
            <w:r w:rsidRPr="00B25833">
              <w:rPr>
                <w:rFonts w:ascii="Calibri" w:hAnsi="Calibri" w:cs="Arial"/>
                <w:b/>
              </w:rPr>
              <w:t>Measure</w:t>
            </w:r>
            <w:r w:rsidR="00B25833">
              <w:rPr>
                <w:rFonts w:ascii="Calibri" w:hAnsi="Calibri" w:cs="Arial"/>
                <w:b/>
              </w:rPr>
              <w:t>s</w:t>
            </w:r>
            <w:r w:rsidRPr="00B25833">
              <w:rPr>
                <w:rFonts w:ascii="Calibri" w:hAnsi="Calibri" w:cs="Arial"/>
                <w:b/>
              </w:rPr>
              <w:t>:</w:t>
            </w:r>
            <w:r>
              <w:rPr>
                <w:rFonts w:ascii="Calibri" w:hAnsi="Calibri" w:cs="Arial"/>
              </w:rPr>
              <w:t xml:space="preserve"> </w:t>
            </w:r>
          </w:p>
          <w:p w:rsidR="0039187C" w:rsidRPr="00B25833" w:rsidRDefault="0039187C" w:rsidP="00B25833">
            <w:pPr>
              <w:pStyle w:val="ListParagraph"/>
              <w:numPr>
                <w:ilvl w:val="0"/>
                <w:numId w:val="46"/>
              </w:numPr>
              <w:rPr>
                <w:rFonts w:ascii="Calibri" w:hAnsi="Calibri" w:cs="Arial"/>
              </w:rPr>
            </w:pPr>
            <w:r w:rsidRPr="00B25833">
              <w:rPr>
                <w:rFonts w:ascii="Calibri" w:hAnsi="Calibri" w:cs="Arial"/>
              </w:rPr>
              <w:t>PYLL (Potential years of life lost) from causes considered amenable to healthcare</w:t>
            </w:r>
            <w:r w:rsidR="00AA4895">
              <w:rPr>
                <w:rStyle w:val="FootnoteReference"/>
              </w:rPr>
              <w:footnoteReference w:id="2"/>
            </w:r>
          </w:p>
        </w:tc>
      </w:tr>
      <w:tr w:rsidR="0039187C" w:rsidTr="003B0BAF">
        <w:tc>
          <w:tcPr>
            <w:tcW w:w="9747" w:type="dxa"/>
          </w:tcPr>
          <w:p w:rsidR="0039187C" w:rsidRPr="00B25833" w:rsidRDefault="0039187C" w:rsidP="0039187C">
            <w:pPr>
              <w:rPr>
                <w:rFonts w:ascii="Calibri" w:hAnsi="Calibri" w:cs="Arial"/>
                <w:b/>
              </w:rPr>
            </w:pPr>
            <w:r w:rsidRPr="00B25833">
              <w:rPr>
                <w:rFonts w:ascii="Calibri" w:hAnsi="Calibri" w:cs="Arial"/>
                <w:b/>
              </w:rPr>
              <w:t xml:space="preserve">Targets: </w:t>
            </w:r>
          </w:p>
          <w:p w:rsidR="0039187C" w:rsidRPr="0039187C" w:rsidRDefault="0039187C" w:rsidP="0039187C">
            <w:pPr>
              <w:pStyle w:val="ListParagraph"/>
              <w:numPr>
                <w:ilvl w:val="0"/>
                <w:numId w:val="44"/>
              </w:numPr>
              <w:rPr>
                <w:rFonts w:ascii="Calibri" w:hAnsi="Calibri" w:cs="Arial"/>
              </w:rPr>
            </w:pPr>
            <w:r w:rsidRPr="0039187C">
              <w:rPr>
                <w:rFonts w:ascii="Calibri" w:hAnsi="Calibri" w:cs="Arial"/>
              </w:rPr>
              <w:t>To reduce towards zero the number of community suicides by 2014 (8 known suicides in 2011/12, with a further 16 deaths where the Coroner’s verdict is pending)</w:t>
            </w:r>
          </w:p>
          <w:p w:rsidR="0039187C" w:rsidRDefault="0039187C" w:rsidP="0039187C">
            <w:pPr>
              <w:pStyle w:val="ListParagraph"/>
              <w:numPr>
                <w:ilvl w:val="0"/>
                <w:numId w:val="44"/>
              </w:numPr>
              <w:rPr>
                <w:rFonts w:ascii="Calibri" w:hAnsi="Calibri" w:cs="Arial"/>
              </w:rPr>
            </w:pPr>
            <w:r w:rsidRPr="0039187C">
              <w:rPr>
                <w:rFonts w:ascii="Calibri" w:hAnsi="Calibri" w:cs="Arial"/>
              </w:rPr>
              <w:t>To maintain at zero the number of  inpatient deaths from suicide</w:t>
            </w:r>
          </w:p>
          <w:p w:rsidR="00AA4895" w:rsidRDefault="00AA4895" w:rsidP="0039187C">
            <w:pPr>
              <w:pStyle w:val="ListParagraph"/>
              <w:numPr>
                <w:ilvl w:val="0"/>
                <w:numId w:val="44"/>
              </w:numPr>
              <w:rPr>
                <w:rFonts w:ascii="Calibri" w:hAnsi="Calibri" w:cs="Arial"/>
              </w:rPr>
            </w:pPr>
            <w:r>
              <w:rPr>
                <w:rFonts w:ascii="Calibri" w:hAnsi="Calibri" w:cs="Arial"/>
              </w:rPr>
              <w:t>To be fully compliant with Access to Healthcare for people with Learning Disabilities</w:t>
            </w:r>
          </w:p>
          <w:p w:rsidR="00CC2519" w:rsidRDefault="00CC2519" w:rsidP="0039187C">
            <w:pPr>
              <w:pStyle w:val="ListParagraph"/>
              <w:numPr>
                <w:ilvl w:val="0"/>
                <w:numId w:val="44"/>
              </w:numPr>
              <w:rPr>
                <w:rFonts w:ascii="Calibri" w:hAnsi="Calibri" w:cs="Arial"/>
              </w:rPr>
            </w:pPr>
            <w:r w:rsidRPr="00720545">
              <w:rPr>
                <w:rFonts w:ascii="Calibri" w:hAnsi="Calibri" w:cs="Arial"/>
                <w:highlight w:val="yellow"/>
              </w:rPr>
              <w:t>[Target on average wait times for access to cardio-vascular events – to be agreed</w:t>
            </w:r>
            <w:r>
              <w:rPr>
                <w:rFonts w:ascii="Calibri" w:hAnsi="Calibri" w:cs="Arial"/>
              </w:rPr>
              <w:t>]</w:t>
            </w:r>
          </w:p>
          <w:p w:rsidR="00160B54" w:rsidRPr="00160B54" w:rsidRDefault="00160B54" w:rsidP="0039187C">
            <w:pPr>
              <w:pStyle w:val="ListParagraph"/>
              <w:numPr>
                <w:ilvl w:val="0"/>
                <w:numId w:val="44"/>
              </w:numPr>
              <w:rPr>
                <w:rFonts w:ascii="Calibri" w:hAnsi="Calibri" w:cs="Arial"/>
              </w:rPr>
            </w:pPr>
            <w:r w:rsidRPr="00160B54">
              <w:rPr>
                <w:rFonts w:ascii="Calibri" w:hAnsi="Calibri" w:cs="Arial"/>
              </w:rPr>
              <w:t>[Possible target on Health Visiting]</w:t>
            </w:r>
          </w:p>
          <w:p w:rsidR="00B25833" w:rsidRDefault="00B25833" w:rsidP="00AA4895">
            <w:pPr>
              <w:pStyle w:val="ListParagraph"/>
              <w:rPr>
                <w:rFonts w:ascii="Calibri" w:hAnsi="Calibri" w:cs="Arial"/>
              </w:rPr>
            </w:pPr>
          </w:p>
        </w:tc>
      </w:tr>
      <w:tr w:rsidR="0039187C" w:rsidTr="003B0BAF">
        <w:tc>
          <w:tcPr>
            <w:tcW w:w="9747" w:type="dxa"/>
          </w:tcPr>
          <w:p w:rsidR="0039187C" w:rsidRPr="00B25833" w:rsidRDefault="00A256B3" w:rsidP="00555BA4">
            <w:pPr>
              <w:rPr>
                <w:rFonts w:ascii="Calibri" w:hAnsi="Calibri" w:cs="Arial"/>
                <w:b/>
              </w:rPr>
            </w:pPr>
            <w:r>
              <w:rPr>
                <w:rFonts w:ascii="Calibri" w:hAnsi="Calibri" w:cs="Arial"/>
                <w:b/>
              </w:rPr>
              <w:t>Initiatives</w:t>
            </w:r>
            <w:r w:rsidR="0039187C" w:rsidRPr="00B25833">
              <w:rPr>
                <w:rFonts w:ascii="Calibri" w:hAnsi="Calibri" w:cs="Arial"/>
                <w:b/>
              </w:rPr>
              <w:t>:</w:t>
            </w:r>
          </w:p>
          <w:p w:rsidR="00B25833" w:rsidRDefault="00B25833" w:rsidP="00B25833">
            <w:pPr>
              <w:pStyle w:val="ListParagraph"/>
              <w:numPr>
                <w:ilvl w:val="0"/>
                <w:numId w:val="45"/>
              </w:numPr>
              <w:rPr>
                <w:rFonts w:ascii="Calibri" w:hAnsi="Calibri" w:cs="Arial"/>
              </w:rPr>
            </w:pPr>
            <w:r>
              <w:rPr>
                <w:rFonts w:ascii="Calibri" w:hAnsi="Calibri" w:cs="Arial"/>
              </w:rPr>
              <w:t>Roll out</w:t>
            </w:r>
            <w:r w:rsidR="00AA4895">
              <w:rPr>
                <w:rFonts w:ascii="Calibri" w:hAnsi="Calibri" w:cs="Arial"/>
              </w:rPr>
              <w:t xml:space="preserve"> the</w:t>
            </w:r>
            <w:r>
              <w:rPr>
                <w:rFonts w:ascii="Calibri" w:hAnsi="Calibri" w:cs="Arial"/>
              </w:rPr>
              <w:t xml:space="preserve"> LIPS </w:t>
            </w:r>
            <w:r w:rsidR="00A256B3">
              <w:rPr>
                <w:rFonts w:ascii="Calibri" w:hAnsi="Calibri" w:cs="Arial"/>
              </w:rPr>
              <w:t xml:space="preserve">programme </w:t>
            </w:r>
            <w:r>
              <w:rPr>
                <w:rFonts w:ascii="Calibri" w:hAnsi="Calibri" w:cs="Arial"/>
              </w:rPr>
              <w:t xml:space="preserve">across the </w:t>
            </w:r>
            <w:r w:rsidR="00A85A00">
              <w:rPr>
                <w:rFonts w:ascii="Calibri" w:hAnsi="Calibri" w:cs="Arial"/>
              </w:rPr>
              <w:t>Mental Health</w:t>
            </w:r>
            <w:r>
              <w:rPr>
                <w:rFonts w:ascii="Calibri" w:hAnsi="Calibri" w:cs="Arial"/>
              </w:rPr>
              <w:t xml:space="preserve"> Division</w:t>
            </w:r>
            <w:r w:rsidR="00A85A00">
              <w:rPr>
                <w:rFonts w:ascii="Calibri" w:hAnsi="Calibri" w:cs="Arial"/>
              </w:rPr>
              <w:t>s</w:t>
            </w:r>
            <w:r w:rsidR="00AA4895">
              <w:rPr>
                <w:rFonts w:ascii="Calibri" w:hAnsi="Calibri" w:cs="Arial"/>
              </w:rPr>
              <w:t xml:space="preserve"> to </w:t>
            </w:r>
            <w:r w:rsidR="001C2506">
              <w:rPr>
                <w:rFonts w:ascii="Calibri" w:hAnsi="Calibri" w:cs="Arial"/>
              </w:rPr>
              <w:t xml:space="preserve">increase safety </w:t>
            </w:r>
            <w:r w:rsidR="00C2424D">
              <w:rPr>
                <w:rFonts w:ascii="Calibri" w:hAnsi="Calibri" w:cs="Arial"/>
              </w:rPr>
              <w:t>a</w:t>
            </w:r>
            <w:r w:rsidR="001C2506">
              <w:rPr>
                <w:rFonts w:ascii="Calibri" w:hAnsi="Calibri" w:cs="Arial"/>
              </w:rPr>
              <w:t xml:space="preserve">nd reduce avoidable harm </w:t>
            </w:r>
            <w:r w:rsidR="006964D8">
              <w:rPr>
                <w:rFonts w:ascii="Calibri" w:hAnsi="Calibri" w:cs="Arial"/>
              </w:rPr>
              <w:t xml:space="preserve"> from health and social care interventions </w:t>
            </w:r>
          </w:p>
          <w:p w:rsidR="00B25833" w:rsidRDefault="00B25833" w:rsidP="00B25833">
            <w:pPr>
              <w:pStyle w:val="ListParagraph"/>
              <w:numPr>
                <w:ilvl w:val="0"/>
                <w:numId w:val="45"/>
              </w:numPr>
              <w:rPr>
                <w:rFonts w:ascii="Calibri" w:hAnsi="Calibri" w:cs="Arial"/>
              </w:rPr>
            </w:pPr>
            <w:r>
              <w:rPr>
                <w:rFonts w:ascii="Calibri" w:hAnsi="Calibri" w:cs="Arial"/>
              </w:rPr>
              <w:t>Deliver Deliberate Self Harm (DSH) training for partner agencies</w:t>
            </w:r>
            <w:r w:rsidR="000A3739">
              <w:rPr>
                <w:rFonts w:ascii="Calibri" w:hAnsi="Calibri" w:cs="Arial"/>
              </w:rPr>
              <w:t>, establishing a multiagency group to facilitate and update workshops in each of the target counties</w:t>
            </w:r>
          </w:p>
          <w:p w:rsidR="00A85A00" w:rsidRPr="006964D8" w:rsidRDefault="00CC2519" w:rsidP="00BA3D7B">
            <w:pPr>
              <w:pStyle w:val="ListParagraph"/>
              <w:numPr>
                <w:ilvl w:val="0"/>
                <w:numId w:val="45"/>
              </w:numPr>
              <w:rPr>
                <w:rFonts w:ascii="Calibri" w:hAnsi="Calibri" w:cs="Arial"/>
              </w:rPr>
            </w:pPr>
            <w:r w:rsidRPr="006964D8">
              <w:rPr>
                <w:rFonts w:ascii="Calibri" w:hAnsi="Calibri" w:cs="Arial"/>
              </w:rPr>
              <w:t>Undertake ward refurbishment programme</w:t>
            </w:r>
            <w:r w:rsidR="00173A7A" w:rsidRPr="006964D8">
              <w:rPr>
                <w:rFonts w:ascii="Calibri" w:hAnsi="Calibri" w:cs="Arial"/>
              </w:rPr>
              <w:t>s</w:t>
            </w:r>
            <w:r w:rsidR="00A85A00" w:rsidRPr="006964D8">
              <w:rPr>
                <w:rFonts w:ascii="Calibri" w:hAnsi="Calibri" w:cs="Arial"/>
              </w:rPr>
              <w:t xml:space="preserve"> </w:t>
            </w:r>
            <w:r w:rsidR="006964D8">
              <w:rPr>
                <w:rFonts w:ascii="Calibri" w:hAnsi="Calibri" w:cs="Arial"/>
              </w:rPr>
              <w:t xml:space="preserve"> as part of our annual Capital Programme</w:t>
            </w:r>
          </w:p>
          <w:p w:rsidR="00BA3D7B" w:rsidRDefault="00BA3D7B" w:rsidP="00BA3D7B">
            <w:pPr>
              <w:pStyle w:val="ListParagraph"/>
              <w:numPr>
                <w:ilvl w:val="0"/>
                <w:numId w:val="3"/>
              </w:numPr>
              <w:rPr>
                <w:rFonts w:ascii="Calibri" w:hAnsi="Calibri" w:cs="Arial"/>
              </w:rPr>
            </w:pPr>
            <w:r>
              <w:rPr>
                <w:rFonts w:ascii="Calibri" w:hAnsi="Calibri" w:cs="Arial"/>
              </w:rPr>
              <w:t>Enhance rapid access to treatment for cardio-vascular events</w:t>
            </w:r>
            <w:r w:rsidR="000A3739">
              <w:rPr>
                <w:rFonts w:ascii="Calibri" w:hAnsi="Calibri" w:cs="Arial"/>
              </w:rPr>
              <w:t xml:space="preserve"> by monitoring the patient contacts using the new S</w:t>
            </w:r>
            <w:r w:rsidR="002662E5">
              <w:rPr>
                <w:rFonts w:ascii="Calibri" w:hAnsi="Calibri" w:cs="Arial"/>
              </w:rPr>
              <w:t xml:space="preserve">ingle </w:t>
            </w:r>
            <w:r w:rsidR="000A3739">
              <w:rPr>
                <w:rFonts w:ascii="Calibri" w:hAnsi="Calibri" w:cs="Arial"/>
              </w:rPr>
              <w:t>P</w:t>
            </w:r>
            <w:r w:rsidR="002662E5">
              <w:rPr>
                <w:rFonts w:ascii="Calibri" w:hAnsi="Calibri" w:cs="Arial"/>
              </w:rPr>
              <w:t xml:space="preserve">oint of </w:t>
            </w:r>
            <w:r w:rsidR="000A3739">
              <w:rPr>
                <w:rFonts w:ascii="Calibri" w:hAnsi="Calibri" w:cs="Arial"/>
              </w:rPr>
              <w:t>C</w:t>
            </w:r>
            <w:r w:rsidR="002662E5">
              <w:rPr>
                <w:rFonts w:ascii="Calibri" w:hAnsi="Calibri" w:cs="Arial"/>
              </w:rPr>
              <w:t>ontact service</w:t>
            </w:r>
            <w:r w:rsidR="000A3739">
              <w:rPr>
                <w:rFonts w:ascii="Calibri" w:hAnsi="Calibri" w:cs="Arial"/>
              </w:rPr>
              <w:t xml:space="preserve"> </w:t>
            </w:r>
          </w:p>
          <w:p w:rsidR="00A256B3" w:rsidRDefault="00A6698A" w:rsidP="0084263E">
            <w:pPr>
              <w:pStyle w:val="ListParagraph"/>
              <w:numPr>
                <w:ilvl w:val="0"/>
                <w:numId w:val="3"/>
              </w:numPr>
              <w:rPr>
                <w:rFonts w:ascii="Calibri" w:hAnsi="Calibri" w:cs="Arial"/>
              </w:rPr>
            </w:pPr>
            <w:r>
              <w:rPr>
                <w:rFonts w:ascii="Calibri" w:hAnsi="Calibri" w:cs="Arial"/>
              </w:rPr>
              <w:t xml:space="preserve">Investigate </w:t>
            </w:r>
            <w:r w:rsidR="0084263E">
              <w:rPr>
                <w:rFonts w:ascii="Calibri" w:hAnsi="Calibri" w:cs="Arial"/>
              </w:rPr>
              <w:t>potential to improve access</w:t>
            </w:r>
            <w:r w:rsidRPr="00544356">
              <w:rPr>
                <w:rFonts w:ascii="Calibri" w:hAnsi="Calibri" w:cs="Arial"/>
              </w:rPr>
              <w:t xml:space="preserve"> </w:t>
            </w:r>
            <w:r w:rsidR="00BA3D7B">
              <w:rPr>
                <w:rFonts w:ascii="Calibri" w:hAnsi="Calibri" w:cs="Arial"/>
              </w:rPr>
              <w:t>to services for people with a learning disability to support addressing nationally identified excess mortality for this patient group</w:t>
            </w:r>
          </w:p>
          <w:p w:rsidR="00160B54" w:rsidRPr="00A256B3" w:rsidRDefault="00663CE4" w:rsidP="0084263E">
            <w:pPr>
              <w:pStyle w:val="ListParagraph"/>
              <w:numPr>
                <w:ilvl w:val="0"/>
                <w:numId w:val="3"/>
              </w:numPr>
              <w:rPr>
                <w:rFonts w:ascii="Calibri" w:hAnsi="Calibri" w:cs="Arial"/>
              </w:rPr>
            </w:pPr>
            <w:r>
              <w:rPr>
                <w:rFonts w:ascii="Calibri" w:hAnsi="Calibri" w:cs="Arial"/>
              </w:rPr>
              <w:t>A</w:t>
            </w:r>
            <w:r w:rsidR="00160B54" w:rsidRPr="00160B54">
              <w:rPr>
                <w:rFonts w:ascii="Calibri" w:hAnsi="Calibri" w:cs="Arial"/>
              </w:rPr>
              <w:t>ction</w:t>
            </w:r>
            <w:r>
              <w:rPr>
                <w:rFonts w:ascii="Calibri" w:hAnsi="Calibri" w:cs="Arial"/>
              </w:rPr>
              <w:t>s</w:t>
            </w:r>
            <w:r w:rsidR="00160B54" w:rsidRPr="00160B54">
              <w:rPr>
                <w:rFonts w:ascii="Calibri" w:hAnsi="Calibri" w:cs="Arial"/>
              </w:rPr>
              <w:t xml:space="preserve"> in respect of Health Visiting</w:t>
            </w:r>
            <w:r>
              <w:rPr>
                <w:rFonts w:ascii="Calibri" w:hAnsi="Calibri" w:cs="Arial"/>
              </w:rPr>
              <w:t xml:space="preserve"> strategy</w:t>
            </w:r>
          </w:p>
        </w:tc>
      </w:tr>
    </w:tbl>
    <w:p w:rsidR="00C07871" w:rsidRDefault="00C07871">
      <w:pPr>
        <w:rPr>
          <w:rFonts w:ascii="Arial" w:hAnsi="Arial" w:cs="Arial"/>
          <w:b/>
          <w:i/>
          <w:color w:val="0070C0"/>
        </w:rPr>
      </w:pPr>
      <w:r>
        <w:br w:type="page"/>
      </w:r>
    </w:p>
    <w:p w:rsidR="0023741E" w:rsidRPr="006964D8" w:rsidRDefault="004E65E1" w:rsidP="00ED3BBA">
      <w:pPr>
        <w:pStyle w:val="Heading3"/>
        <w:rPr>
          <w:sz w:val="28"/>
          <w:szCs w:val="28"/>
        </w:rPr>
      </w:pPr>
      <w:r w:rsidRPr="004E65E1">
        <w:rPr>
          <w:sz w:val="28"/>
          <w:szCs w:val="28"/>
        </w:rPr>
        <w:lastRenderedPageBreak/>
        <w:t>Domain 2: Treating and caring for people in a safe environment and protecting them from avoidable harm</w:t>
      </w:r>
    </w:p>
    <w:p w:rsidR="00500FE1" w:rsidRPr="00500FE1" w:rsidRDefault="00500FE1" w:rsidP="00500FE1">
      <w:pPr>
        <w:pStyle w:val="Heading4"/>
        <w:jc w:val="both"/>
        <w:rPr>
          <w:color w:val="0070C0"/>
        </w:rPr>
      </w:pPr>
      <w:r w:rsidRPr="00544356">
        <w:rPr>
          <w:color w:val="0070C0"/>
        </w:rPr>
        <w:t>Current position</w:t>
      </w:r>
    </w:p>
    <w:p w:rsidR="00A0570C" w:rsidRPr="00A0570C" w:rsidRDefault="0023741E" w:rsidP="00E231B6">
      <w:pPr>
        <w:jc w:val="both"/>
        <w:rPr>
          <w:rFonts w:asciiTheme="minorHAnsi" w:hAnsiTheme="minorHAnsi" w:cs="Arial"/>
        </w:rPr>
      </w:pPr>
      <w:r w:rsidRPr="00704343">
        <w:rPr>
          <w:rFonts w:ascii="Calibri" w:hAnsi="Calibri" w:cs="Arial"/>
        </w:rPr>
        <w:t xml:space="preserve">This priority is closely linked to the above, where </w:t>
      </w:r>
      <w:r w:rsidR="00FC49CA">
        <w:rPr>
          <w:rFonts w:ascii="Calibri" w:hAnsi="Calibri" w:cs="Arial"/>
        </w:rPr>
        <w:t>the emphasis on a learning culture should lead to a rise in t</w:t>
      </w:r>
      <w:r w:rsidRPr="00704343">
        <w:rPr>
          <w:rFonts w:ascii="Calibri" w:hAnsi="Calibri" w:cs="Arial"/>
        </w:rPr>
        <w:t xml:space="preserve">he number of </w:t>
      </w:r>
      <w:r w:rsidR="00FC49CA">
        <w:rPr>
          <w:rFonts w:ascii="Calibri" w:hAnsi="Calibri" w:cs="Arial"/>
        </w:rPr>
        <w:t xml:space="preserve">low harm </w:t>
      </w:r>
      <w:r w:rsidRPr="00704343">
        <w:rPr>
          <w:rFonts w:ascii="Calibri" w:hAnsi="Calibri" w:cs="Arial"/>
        </w:rPr>
        <w:t xml:space="preserve">incidents reported but the </w:t>
      </w:r>
      <w:r w:rsidR="00FC49CA">
        <w:rPr>
          <w:rFonts w:ascii="Calibri" w:hAnsi="Calibri" w:cs="Arial"/>
        </w:rPr>
        <w:t xml:space="preserve">number of incidents causing higher </w:t>
      </w:r>
      <w:r w:rsidRPr="00704343">
        <w:rPr>
          <w:rFonts w:ascii="Calibri" w:hAnsi="Calibri" w:cs="Arial"/>
        </w:rPr>
        <w:t xml:space="preserve">severity of harm to drop. </w:t>
      </w:r>
      <w:r w:rsidR="00704343" w:rsidRPr="00704343">
        <w:rPr>
          <w:rFonts w:ascii="Calibri" w:hAnsi="Calibri" w:cs="Arial"/>
        </w:rPr>
        <w:t>The key to this is sound risk assessment and subsequent</w:t>
      </w:r>
      <w:r w:rsidR="00B17934">
        <w:rPr>
          <w:rFonts w:ascii="Calibri" w:hAnsi="Calibri" w:cs="Arial"/>
        </w:rPr>
        <w:t>ly</w:t>
      </w:r>
      <w:r w:rsidR="00704343" w:rsidRPr="00704343">
        <w:rPr>
          <w:rFonts w:ascii="Calibri" w:hAnsi="Calibri" w:cs="Arial"/>
        </w:rPr>
        <w:t xml:space="preserve"> reduc</w:t>
      </w:r>
      <w:r w:rsidR="00FC49CA">
        <w:rPr>
          <w:rFonts w:ascii="Calibri" w:hAnsi="Calibri" w:cs="Arial"/>
        </w:rPr>
        <w:t>ing</w:t>
      </w:r>
      <w:r w:rsidR="00704343" w:rsidRPr="00704343">
        <w:rPr>
          <w:rFonts w:ascii="Calibri" w:hAnsi="Calibri" w:cs="Arial"/>
        </w:rPr>
        <w:t xml:space="preserve"> any </w:t>
      </w:r>
      <w:r w:rsidR="006964D8">
        <w:rPr>
          <w:rFonts w:ascii="Calibri" w:hAnsi="Calibri" w:cs="Arial"/>
        </w:rPr>
        <w:t xml:space="preserve">risks </w:t>
      </w:r>
      <w:r w:rsidR="00704343" w:rsidRPr="00704343">
        <w:rPr>
          <w:rFonts w:ascii="Calibri" w:hAnsi="Calibri" w:cs="Arial"/>
        </w:rPr>
        <w:t xml:space="preserve">identified.  </w:t>
      </w:r>
      <w:r w:rsidR="00FC49CA">
        <w:rPr>
          <w:rFonts w:ascii="Calibri" w:hAnsi="Calibri" w:cs="Arial"/>
        </w:rPr>
        <w:t>Identification and a</w:t>
      </w:r>
      <w:r w:rsidR="00E231B6">
        <w:rPr>
          <w:rFonts w:ascii="Calibri" w:hAnsi="Calibri" w:cs="Arial"/>
        </w:rPr>
        <w:t>voidance of harm is therefore the continuing focus for our efforts next year</w:t>
      </w:r>
      <w:r w:rsidR="00FC49CA">
        <w:rPr>
          <w:rFonts w:ascii="Calibri" w:hAnsi="Calibri" w:cs="Arial"/>
        </w:rPr>
        <w:t xml:space="preserve">, specifically </w:t>
      </w:r>
      <w:r w:rsidR="006E4017">
        <w:rPr>
          <w:rFonts w:ascii="Calibri" w:hAnsi="Calibri" w:cs="Arial"/>
        </w:rPr>
        <w:t>in the areas of drug errors, falls, pressure ulcers</w:t>
      </w:r>
      <w:r w:rsidR="006964D8">
        <w:rPr>
          <w:rFonts w:ascii="Calibri" w:hAnsi="Calibri" w:cs="Arial"/>
        </w:rPr>
        <w:t xml:space="preserve">, </w:t>
      </w:r>
      <w:r w:rsidR="006E4017">
        <w:rPr>
          <w:rFonts w:ascii="Calibri" w:hAnsi="Calibri" w:cs="Arial"/>
        </w:rPr>
        <w:t>thrombosis</w:t>
      </w:r>
      <w:r w:rsidR="006964D8">
        <w:rPr>
          <w:rFonts w:ascii="Calibri" w:hAnsi="Calibri" w:cs="Arial"/>
        </w:rPr>
        <w:t xml:space="preserve"> and prevention and management of violence.</w:t>
      </w:r>
    </w:p>
    <w:p w:rsidR="00EA52BD" w:rsidRDefault="00EA52BD" w:rsidP="00EA52BD">
      <w:pPr>
        <w:pStyle w:val="Heading4"/>
        <w:rPr>
          <w:color w:val="0070C0"/>
        </w:rPr>
      </w:pPr>
      <w:r>
        <w:rPr>
          <w:color w:val="0070C0"/>
        </w:rPr>
        <w:t>Aims</w:t>
      </w:r>
    </w:p>
    <w:p w:rsidR="00A6698A" w:rsidRDefault="00A6698A" w:rsidP="00A6698A">
      <w:pPr>
        <w:rPr>
          <w:rFonts w:ascii="Calibri" w:hAnsi="Calibri" w:cs="Arial"/>
        </w:rPr>
      </w:pPr>
    </w:p>
    <w:tbl>
      <w:tblPr>
        <w:tblStyle w:val="TableGrid"/>
        <w:tblW w:w="0" w:type="auto"/>
        <w:tblInd w:w="108" w:type="dxa"/>
        <w:tblLook w:val="04A0"/>
      </w:tblPr>
      <w:tblGrid>
        <w:gridCol w:w="9747"/>
      </w:tblGrid>
      <w:tr w:rsidR="00A6698A" w:rsidTr="003B0BAF">
        <w:tc>
          <w:tcPr>
            <w:tcW w:w="9747" w:type="dxa"/>
            <w:shd w:val="clear" w:color="auto" w:fill="F2F2F2" w:themeFill="background1" w:themeFillShade="F2"/>
          </w:tcPr>
          <w:p w:rsidR="00A6698A" w:rsidRPr="006964D8" w:rsidRDefault="004E65E1" w:rsidP="00A6698A">
            <w:pPr>
              <w:rPr>
                <w:rFonts w:ascii="Calibri" w:hAnsi="Calibri" w:cs="Arial"/>
                <w:b/>
                <w:sz w:val="28"/>
                <w:szCs w:val="28"/>
              </w:rPr>
            </w:pPr>
            <w:r w:rsidRPr="004E65E1">
              <w:rPr>
                <w:rFonts w:ascii="Calibri" w:hAnsi="Calibri" w:cs="Arial"/>
                <w:b/>
                <w:sz w:val="28"/>
                <w:szCs w:val="28"/>
              </w:rPr>
              <w:t>Patients will be protected from harm</w:t>
            </w:r>
          </w:p>
        </w:tc>
      </w:tr>
      <w:tr w:rsidR="00A6698A" w:rsidTr="003B0BAF">
        <w:tc>
          <w:tcPr>
            <w:tcW w:w="9747" w:type="dxa"/>
          </w:tcPr>
          <w:p w:rsidR="00A6698A" w:rsidRDefault="00A6698A" w:rsidP="00A6698A">
            <w:pPr>
              <w:rPr>
                <w:rFonts w:ascii="Calibri" w:hAnsi="Calibri" w:cs="Arial"/>
              </w:rPr>
            </w:pPr>
            <w:r w:rsidRPr="00B25833">
              <w:rPr>
                <w:rFonts w:ascii="Calibri" w:hAnsi="Calibri" w:cs="Arial"/>
                <w:b/>
              </w:rPr>
              <w:t>Measure</w:t>
            </w:r>
            <w:r>
              <w:rPr>
                <w:rFonts w:ascii="Calibri" w:hAnsi="Calibri" w:cs="Arial"/>
                <w:b/>
              </w:rPr>
              <w:t>s</w:t>
            </w:r>
            <w:r w:rsidRPr="00B25833">
              <w:rPr>
                <w:rFonts w:ascii="Calibri" w:hAnsi="Calibri" w:cs="Arial"/>
                <w:b/>
              </w:rPr>
              <w:t>:</w:t>
            </w:r>
            <w:r>
              <w:rPr>
                <w:rFonts w:ascii="Calibri" w:hAnsi="Calibri" w:cs="Arial"/>
              </w:rPr>
              <w:t xml:space="preserve"> </w:t>
            </w:r>
          </w:p>
          <w:p w:rsidR="00173A7A" w:rsidRDefault="00AE7001" w:rsidP="00173A7A">
            <w:pPr>
              <w:pStyle w:val="ListParagraph"/>
              <w:numPr>
                <w:ilvl w:val="0"/>
                <w:numId w:val="46"/>
              </w:numPr>
              <w:rPr>
                <w:rFonts w:ascii="Calibri" w:hAnsi="Calibri" w:cs="Arial"/>
              </w:rPr>
            </w:pPr>
            <w:r>
              <w:rPr>
                <w:rFonts w:ascii="Calibri" w:hAnsi="Calibri" w:cs="Arial"/>
              </w:rPr>
              <w:t xml:space="preserve">Number of patient incidents involving severe harm or death </w:t>
            </w:r>
          </w:p>
          <w:p w:rsidR="00A6698A" w:rsidRPr="00B25833" w:rsidRDefault="00173A7A" w:rsidP="00173A7A">
            <w:pPr>
              <w:pStyle w:val="ListParagraph"/>
              <w:numPr>
                <w:ilvl w:val="0"/>
                <w:numId w:val="46"/>
              </w:numPr>
              <w:rPr>
                <w:rFonts w:ascii="Calibri" w:hAnsi="Calibri" w:cs="Arial"/>
              </w:rPr>
            </w:pPr>
            <w:r>
              <w:rPr>
                <w:rFonts w:ascii="Calibri" w:hAnsi="Calibri" w:cs="Arial"/>
              </w:rPr>
              <w:t>Levels of training in Prevention and Management of Violence and Aggression (PMVA) to reach 85% in Mental Health Divisions (currently 65%)</w:t>
            </w:r>
            <w:r w:rsidDel="00173A7A">
              <w:rPr>
                <w:rFonts w:ascii="Calibri" w:hAnsi="Calibri" w:cs="Arial"/>
              </w:rPr>
              <w:t xml:space="preserve"> </w:t>
            </w:r>
          </w:p>
        </w:tc>
      </w:tr>
      <w:tr w:rsidR="00A6698A" w:rsidTr="003B0BAF">
        <w:tc>
          <w:tcPr>
            <w:tcW w:w="9747" w:type="dxa"/>
          </w:tcPr>
          <w:p w:rsidR="00A6698A" w:rsidRPr="00B25833" w:rsidRDefault="00A6698A" w:rsidP="00A6698A">
            <w:pPr>
              <w:rPr>
                <w:rFonts w:ascii="Calibri" w:hAnsi="Calibri" w:cs="Arial"/>
                <w:b/>
              </w:rPr>
            </w:pPr>
            <w:r w:rsidRPr="00B25833">
              <w:rPr>
                <w:rFonts w:ascii="Calibri" w:hAnsi="Calibri" w:cs="Arial"/>
                <w:b/>
              </w:rPr>
              <w:t xml:space="preserve">Targets: </w:t>
            </w:r>
          </w:p>
          <w:p w:rsidR="00AA4895" w:rsidRDefault="00AA4895" w:rsidP="00AA4895">
            <w:pPr>
              <w:pStyle w:val="ListParagraph"/>
              <w:numPr>
                <w:ilvl w:val="0"/>
                <w:numId w:val="44"/>
              </w:numPr>
              <w:rPr>
                <w:rFonts w:ascii="Calibri" w:hAnsi="Calibri" w:cs="Arial"/>
              </w:rPr>
            </w:pPr>
            <w:r>
              <w:rPr>
                <w:rFonts w:ascii="Calibri" w:hAnsi="Calibri" w:cs="Arial"/>
              </w:rPr>
              <w:t xml:space="preserve">Increase the number of staff who have completed the Trust’s clinical </w:t>
            </w:r>
            <w:r w:rsidR="00E201BF">
              <w:rPr>
                <w:rFonts w:ascii="Calibri" w:hAnsi="Calibri" w:cs="Arial"/>
              </w:rPr>
              <w:t xml:space="preserve">safe and supportive </w:t>
            </w:r>
            <w:r w:rsidR="00173A7A">
              <w:rPr>
                <w:rFonts w:ascii="Calibri" w:hAnsi="Calibri" w:cs="Arial"/>
              </w:rPr>
              <w:t>observation</w:t>
            </w:r>
            <w:r w:rsidR="00E201BF">
              <w:rPr>
                <w:rFonts w:ascii="Calibri" w:hAnsi="Calibri" w:cs="Arial"/>
              </w:rPr>
              <w:t>s competency</w:t>
            </w:r>
            <w:r>
              <w:rPr>
                <w:rFonts w:ascii="Calibri" w:hAnsi="Calibri" w:cs="Arial"/>
              </w:rPr>
              <w:t xml:space="preserve"> training from 65% to </w:t>
            </w:r>
            <w:r w:rsidR="0084263E">
              <w:rPr>
                <w:rFonts w:ascii="Calibri" w:hAnsi="Calibri" w:cs="Arial"/>
              </w:rPr>
              <w:t xml:space="preserve">at least </w:t>
            </w:r>
            <w:r>
              <w:rPr>
                <w:rFonts w:ascii="Calibri" w:hAnsi="Calibri" w:cs="Arial"/>
              </w:rPr>
              <w:t>85%</w:t>
            </w:r>
            <w:r w:rsidR="0084263E">
              <w:rPr>
                <w:rFonts w:ascii="Calibri" w:hAnsi="Calibri" w:cs="Arial"/>
              </w:rPr>
              <w:t xml:space="preserve"> of mental health staff and 100% of new starters on mental health ward</w:t>
            </w:r>
            <w:r w:rsidR="00774A63">
              <w:rPr>
                <w:rFonts w:ascii="Calibri" w:hAnsi="Calibri" w:cs="Arial"/>
              </w:rPr>
              <w:t>s</w:t>
            </w:r>
          </w:p>
          <w:p w:rsidR="00CC2519" w:rsidRDefault="00CC2519" w:rsidP="00CC2519">
            <w:pPr>
              <w:pStyle w:val="ListParagraph"/>
              <w:numPr>
                <w:ilvl w:val="0"/>
                <w:numId w:val="45"/>
              </w:numPr>
              <w:rPr>
                <w:rFonts w:ascii="Calibri" w:hAnsi="Calibri" w:cs="Arial"/>
              </w:rPr>
            </w:pPr>
            <w:r>
              <w:rPr>
                <w:rFonts w:ascii="Calibri" w:hAnsi="Calibri" w:cs="Arial"/>
              </w:rPr>
              <w:t xml:space="preserve">Improve </w:t>
            </w:r>
            <w:r w:rsidR="00944C8C">
              <w:rPr>
                <w:rFonts w:ascii="Calibri" w:hAnsi="Calibri" w:cs="Arial"/>
              </w:rPr>
              <w:t xml:space="preserve">the </w:t>
            </w:r>
            <w:r>
              <w:rPr>
                <w:rFonts w:ascii="Calibri" w:hAnsi="Calibri" w:cs="Arial"/>
              </w:rPr>
              <w:t xml:space="preserve">level of PMVA training </w:t>
            </w:r>
            <w:r w:rsidR="00160B54">
              <w:rPr>
                <w:rFonts w:ascii="Calibri" w:hAnsi="Calibri" w:cs="Arial"/>
              </w:rPr>
              <w:t>to beyond 85%</w:t>
            </w:r>
          </w:p>
          <w:p w:rsidR="00D20A8C" w:rsidRDefault="00D20A8C" w:rsidP="00D20A8C">
            <w:pPr>
              <w:pStyle w:val="ListParagraph"/>
              <w:numPr>
                <w:ilvl w:val="0"/>
                <w:numId w:val="44"/>
              </w:numPr>
              <w:rPr>
                <w:rFonts w:ascii="Calibri" w:hAnsi="Calibri" w:cs="Arial"/>
              </w:rPr>
            </w:pPr>
            <w:r w:rsidRPr="00D20A8C">
              <w:rPr>
                <w:rFonts w:ascii="Calibri" w:hAnsi="Calibri" w:cs="Arial"/>
              </w:rPr>
              <w:t xml:space="preserve">Reduce the avoidable serious drug errors in </w:t>
            </w:r>
            <w:r w:rsidR="00173A7A">
              <w:rPr>
                <w:rFonts w:ascii="Calibri" w:hAnsi="Calibri" w:cs="Arial"/>
              </w:rPr>
              <w:t xml:space="preserve">the </w:t>
            </w:r>
            <w:r w:rsidR="00E201BF">
              <w:rPr>
                <w:rFonts w:ascii="Calibri" w:hAnsi="Calibri" w:cs="Arial"/>
              </w:rPr>
              <w:t>Community Hospitals</w:t>
            </w:r>
            <w:r w:rsidRPr="00D20A8C">
              <w:rPr>
                <w:rFonts w:ascii="Calibri" w:hAnsi="Calibri" w:cs="Arial"/>
              </w:rPr>
              <w:t xml:space="preserve"> to fewer than </w:t>
            </w:r>
            <w:r w:rsidR="00E201BF">
              <w:rPr>
                <w:rFonts w:ascii="Calibri" w:hAnsi="Calibri" w:cs="Arial"/>
              </w:rPr>
              <w:t>11</w:t>
            </w:r>
            <w:r w:rsidR="00E201BF" w:rsidRPr="00D20A8C">
              <w:rPr>
                <w:rFonts w:ascii="Calibri" w:hAnsi="Calibri" w:cs="Arial"/>
              </w:rPr>
              <w:t xml:space="preserve"> </w:t>
            </w:r>
            <w:r w:rsidRPr="00D20A8C">
              <w:rPr>
                <w:rFonts w:ascii="Calibri" w:hAnsi="Calibri" w:cs="Arial"/>
              </w:rPr>
              <w:t>(2011/12 experience)</w:t>
            </w:r>
          </w:p>
          <w:p w:rsidR="00F8023C" w:rsidRPr="00F8023C" w:rsidRDefault="00F8023C" w:rsidP="00F8023C">
            <w:pPr>
              <w:pStyle w:val="ListParagraph"/>
              <w:numPr>
                <w:ilvl w:val="0"/>
                <w:numId w:val="3"/>
              </w:numPr>
              <w:rPr>
                <w:rFonts w:ascii="Calibri" w:hAnsi="Calibri" w:cs="Arial"/>
              </w:rPr>
            </w:pPr>
            <w:r w:rsidRPr="00F8023C">
              <w:rPr>
                <w:rFonts w:ascii="Calibri" w:hAnsi="Calibri" w:cs="Arial"/>
              </w:rPr>
              <w:t xml:space="preserve">Reduce the overall number of falls by patients/service users in the Trust </w:t>
            </w:r>
            <w:r w:rsidR="00173A7A" w:rsidRPr="00F8023C">
              <w:rPr>
                <w:rFonts w:ascii="Calibri" w:hAnsi="Calibri" w:cs="Arial"/>
              </w:rPr>
              <w:t xml:space="preserve">to </w:t>
            </w:r>
            <w:r w:rsidR="00173A7A" w:rsidRPr="00F8023C">
              <w:rPr>
                <w:rFonts w:ascii="Calibri" w:hAnsi="Calibri" w:cs="Arial"/>
                <w:highlight w:val="yellow"/>
              </w:rPr>
              <w:t>X</w:t>
            </w:r>
            <w:r w:rsidR="00173A7A" w:rsidRPr="00F8023C">
              <w:rPr>
                <w:rFonts w:ascii="Calibri" w:hAnsi="Calibri" w:cs="Arial"/>
              </w:rPr>
              <w:t xml:space="preserve"> in 2012/13</w:t>
            </w:r>
            <w:r w:rsidRPr="00F8023C">
              <w:rPr>
                <w:rFonts w:ascii="Calibri" w:hAnsi="Calibri" w:cs="Arial"/>
              </w:rPr>
              <w:t xml:space="preserve">from about 1470 in 2011/12 (precise measurement was difficult due to different systems being used for the first 6 months of 2011/12) </w:t>
            </w:r>
          </w:p>
          <w:p w:rsidR="00173A7A" w:rsidRPr="00942150" w:rsidRDefault="00173A7A" w:rsidP="00173A7A">
            <w:pPr>
              <w:pStyle w:val="ListParagraph"/>
              <w:numPr>
                <w:ilvl w:val="0"/>
                <w:numId w:val="3"/>
              </w:numPr>
              <w:rPr>
                <w:rFonts w:ascii="Calibri" w:hAnsi="Calibri" w:cs="Arial"/>
              </w:rPr>
            </w:pPr>
            <w:r w:rsidRPr="00942150">
              <w:rPr>
                <w:rFonts w:ascii="Calibri" w:hAnsi="Calibri" w:cs="Arial"/>
              </w:rPr>
              <w:t>Increase the percentage of service users admitted to psychiatric wards that have a physical health examination</w:t>
            </w:r>
            <w:r w:rsidR="00774A63">
              <w:rPr>
                <w:rFonts w:ascii="Calibri" w:hAnsi="Calibri" w:cs="Arial"/>
              </w:rPr>
              <w:t xml:space="preserve"> </w:t>
            </w:r>
            <w:r w:rsidR="00774A63" w:rsidRPr="00942150">
              <w:rPr>
                <w:rFonts w:ascii="Calibri" w:hAnsi="Calibri" w:cs="Arial"/>
              </w:rPr>
              <w:t>(including for VTE)</w:t>
            </w:r>
            <w:r w:rsidRPr="00942150">
              <w:rPr>
                <w:rFonts w:ascii="Calibri" w:hAnsi="Calibri" w:cs="Arial"/>
              </w:rPr>
              <w:t xml:space="preserve"> within 24 hours of </w:t>
            </w:r>
            <w:proofErr w:type="gramStart"/>
            <w:r w:rsidRPr="00942150">
              <w:rPr>
                <w:rFonts w:ascii="Calibri" w:hAnsi="Calibri" w:cs="Arial"/>
              </w:rPr>
              <w:t>admission  from</w:t>
            </w:r>
            <w:proofErr w:type="gramEnd"/>
            <w:r w:rsidRPr="00942150">
              <w:rPr>
                <w:rFonts w:ascii="Calibri" w:hAnsi="Calibri" w:cs="Arial"/>
              </w:rPr>
              <w:t xml:space="preserve"> </w:t>
            </w:r>
            <w:r>
              <w:rPr>
                <w:rFonts w:ascii="Calibri" w:hAnsi="Calibri" w:cs="Arial"/>
              </w:rPr>
              <w:t>93</w:t>
            </w:r>
            <w:r w:rsidRPr="00942150">
              <w:rPr>
                <w:rFonts w:ascii="Calibri" w:hAnsi="Calibri" w:cs="Arial"/>
              </w:rPr>
              <w:t xml:space="preserve">% to </w:t>
            </w:r>
            <w:r w:rsidRPr="00942150">
              <w:rPr>
                <w:rFonts w:ascii="Calibri" w:hAnsi="Calibri" w:cs="Arial"/>
                <w:highlight w:val="yellow"/>
              </w:rPr>
              <w:t>X</w:t>
            </w:r>
            <w:r w:rsidRPr="00942150">
              <w:rPr>
                <w:rFonts w:ascii="Calibri" w:hAnsi="Calibri" w:cs="Arial"/>
              </w:rPr>
              <w:t>%</w:t>
            </w:r>
            <w:r w:rsidR="00774A63">
              <w:rPr>
                <w:rFonts w:ascii="Calibri" w:hAnsi="Calibri" w:cs="Arial"/>
              </w:rPr>
              <w:t>, including those that refuse an examination.</w:t>
            </w:r>
            <w:r w:rsidRPr="00942150">
              <w:rPr>
                <w:rFonts w:ascii="Calibri" w:hAnsi="Calibri" w:cs="Arial"/>
              </w:rPr>
              <w:t xml:space="preserve"> </w:t>
            </w:r>
          </w:p>
          <w:p w:rsidR="00942150" w:rsidRPr="00942150" w:rsidRDefault="00942150" w:rsidP="00942150">
            <w:pPr>
              <w:pStyle w:val="ListParagraph"/>
              <w:numPr>
                <w:ilvl w:val="0"/>
                <w:numId w:val="3"/>
              </w:numPr>
              <w:rPr>
                <w:rFonts w:ascii="Calibri" w:hAnsi="Calibri" w:cs="Arial"/>
              </w:rPr>
            </w:pPr>
            <w:r w:rsidRPr="00942150">
              <w:rPr>
                <w:rFonts w:ascii="Calibri" w:hAnsi="Calibri" w:cs="Arial"/>
              </w:rPr>
              <w:t xml:space="preserve">Increase the percentage of community health patients who are physically assessed within 48 hours of admission or referral, to </w:t>
            </w:r>
            <w:r w:rsidRPr="00942150">
              <w:rPr>
                <w:rFonts w:ascii="Calibri" w:hAnsi="Calibri" w:cs="Arial"/>
                <w:highlight w:val="yellow"/>
              </w:rPr>
              <w:t>X</w:t>
            </w:r>
            <w:r w:rsidRPr="00942150">
              <w:rPr>
                <w:rFonts w:ascii="Calibri" w:hAnsi="Calibri" w:cs="Arial"/>
              </w:rPr>
              <w:t>% for Community Hospitals</w:t>
            </w:r>
            <w:r w:rsidR="00173A7A">
              <w:rPr>
                <w:rFonts w:ascii="Calibri" w:hAnsi="Calibri" w:cs="Arial"/>
              </w:rPr>
              <w:t xml:space="preserve"> </w:t>
            </w:r>
            <w:r w:rsidR="00173A7A" w:rsidRPr="00942150">
              <w:rPr>
                <w:rFonts w:ascii="Calibri" w:hAnsi="Calibri" w:cs="Arial"/>
              </w:rPr>
              <w:t>(including for VTE)</w:t>
            </w:r>
            <w:r w:rsidRPr="00942150">
              <w:rPr>
                <w:rFonts w:ascii="Calibri" w:hAnsi="Calibri" w:cs="Arial"/>
              </w:rPr>
              <w:t xml:space="preserve"> &amp; </w:t>
            </w:r>
            <w:r w:rsidR="00173A7A">
              <w:rPr>
                <w:rFonts w:ascii="Calibri" w:hAnsi="Calibri" w:cs="Arial"/>
              </w:rPr>
              <w:t xml:space="preserve">for </w:t>
            </w:r>
            <w:r w:rsidRPr="00942150">
              <w:rPr>
                <w:rFonts w:ascii="Calibri" w:hAnsi="Calibri" w:cs="Arial"/>
                <w:highlight w:val="yellow"/>
              </w:rPr>
              <w:t>X</w:t>
            </w:r>
            <w:r w:rsidRPr="00942150">
              <w:rPr>
                <w:rFonts w:ascii="Calibri" w:hAnsi="Calibri" w:cs="Arial"/>
              </w:rPr>
              <w:t xml:space="preserve">% </w:t>
            </w:r>
            <w:r w:rsidR="00522C68">
              <w:rPr>
                <w:rFonts w:ascii="Calibri" w:hAnsi="Calibri" w:cs="Arial"/>
              </w:rPr>
              <w:t xml:space="preserve">assessed by the second visit </w:t>
            </w:r>
            <w:r w:rsidRPr="00942150">
              <w:rPr>
                <w:rFonts w:ascii="Calibri" w:hAnsi="Calibri" w:cs="Arial"/>
              </w:rPr>
              <w:t xml:space="preserve">for Community Nursing </w:t>
            </w:r>
          </w:p>
          <w:p w:rsidR="00942150" w:rsidRPr="00942150" w:rsidRDefault="00942150" w:rsidP="00942150">
            <w:pPr>
              <w:pStyle w:val="ListParagraph"/>
              <w:numPr>
                <w:ilvl w:val="0"/>
                <w:numId w:val="3"/>
              </w:numPr>
              <w:rPr>
                <w:rFonts w:ascii="Calibri" w:hAnsi="Calibri" w:cs="Arial"/>
              </w:rPr>
            </w:pPr>
            <w:r w:rsidRPr="00942150">
              <w:rPr>
                <w:rFonts w:ascii="Calibri" w:hAnsi="Calibri" w:cs="Arial"/>
              </w:rPr>
              <w:t>85% of patients will be assessed for pressure ulcer risk on their first visit or within 6 hours of admission, and will have actions indentified on the key risk factors and any preventative measures implemented within 2 days</w:t>
            </w:r>
            <w:r w:rsidR="00774A63">
              <w:rPr>
                <w:rFonts w:ascii="Calibri" w:hAnsi="Calibri" w:cs="Arial"/>
              </w:rPr>
              <w:t>, for Community Hospitals and Older Adult Mental Health wards</w:t>
            </w:r>
          </w:p>
          <w:p w:rsidR="00942150" w:rsidRPr="00942150" w:rsidRDefault="00942150" w:rsidP="00942150">
            <w:pPr>
              <w:pStyle w:val="ListParagraph"/>
              <w:numPr>
                <w:ilvl w:val="0"/>
                <w:numId w:val="3"/>
              </w:numPr>
              <w:rPr>
                <w:rFonts w:ascii="Calibri" w:hAnsi="Calibri" w:cs="Arial"/>
              </w:rPr>
            </w:pPr>
            <w:r w:rsidRPr="00942150">
              <w:rPr>
                <w:rFonts w:ascii="Calibri" w:hAnsi="Calibri" w:cs="Arial"/>
              </w:rPr>
              <w:t>85% of community hospital patients</w:t>
            </w:r>
            <w:r w:rsidR="00774A63">
              <w:rPr>
                <w:rFonts w:ascii="Calibri" w:hAnsi="Calibri" w:cs="Arial"/>
              </w:rPr>
              <w:t xml:space="preserve"> and Older Adult Mental Health service users</w:t>
            </w:r>
            <w:r w:rsidRPr="00942150">
              <w:rPr>
                <w:rFonts w:ascii="Calibri" w:hAnsi="Calibri" w:cs="Arial"/>
              </w:rPr>
              <w:t xml:space="preserve"> will have a MUST nutrition assessment within 3 days of admission</w:t>
            </w:r>
          </w:p>
          <w:p w:rsidR="00522C68" w:rsidRDefault="00522C68" w:rsidP="00522C68">
            <w:pPr>
              <w:pStyle w:val="ListParagraph"/>
              <w:numPr>
                <w:ilvl w:val="0"/>
                <w:numId w:val="3"/>
              </w:numPr>
              <w:rPr>
                <w:rFonts w:ascii="Calibri" w:hAnsi="Calibri" w:cs="Arial"/>
              </w:rPr>
            </w:pPr>
            <w:r>
              <w:rPr>
                <w:rFonts w:ascii="Calibri" w:hAnsi="Calibri" w:cs="Arial"/>
              </w:rPr>
              <w:t>Reduce the number of mental health patients who go Absent W</w:t>
            </w:r>
            <w:r w:rsidR="00465932">
              <w:rPr>
                <w:rFonts w:ascii="Calibri" w:hAnsi="Calibri" w:cs="Arial"/>
              </w:rPr>
              <w:t>i</w:t>
            </w:r>
            <w:r>
              <w:rPr>
                <w:rFonts w:ascii="Calibri" w:hAnsi="Calibri" w:cs="Arial"/>
              </w:rPr>
              <w:t xml:space="preserve">thout Leave from </w:t>
            </w:r>
            <w:r w:rsidRPr="00522C68">
              <w:rPr>
                <w:rFonts w:ascii="Calibri" w:hAnsi="Calibri" w:cs="Arial"/>
                <w:highlight w:val="yellow"/>
              </w:rPr>
              <w:t>X</w:t>
            </w:r>
            <w:r>
              <w:rPr>
                <w:rFonts w:ascii="Calibri" w:hAnsi="Calibri" w:cs="Arial"/>
              </w:rPr>
              <w:t xml:space="preserve"> to </w:t>
            </w:r>
            <w:r w:rsidRPr="00522C68">
              <w:rPr>
                <w:rFonts w:ascii="Calibri" w:hAnsi="Calibri" w:cs="Arial"/>
                <w:highlight w:val="yellow"/>
              </w:rPr>
              <w:t>X</w:t>
            </w:r>
          </w:p>
          <w:p w:rsidR="007565D0" w:rsidRPr="007565D0" w:rsidRDefault="00522C68" w:rsidP="00823E85">
            <w:pPr>
              <w:pStyle w:val="ListParagraph"/>
              <w:numPr>
                <w:ilvl w:val="0"/>
                <w:numId w:val="3"/>
              </w:numPr>
              <w:rPr>
                <w:rFonts w:ascii="Calibri" w:hAnsi="Calibri" w:cs="Arial"/>
              </w:rPr>
            </w:pPr>
            <w:r>
              <w:rPr>
                <w:rFonts w:ascii="Calibri" w:hAnsi="Calibri" w:cs="Arial"/>
              </w:rPr>
              <w:t xml:space="preserve">Implement </w:t>
            </w:r>
            <w:r w:rsidR="00F624E2">
              <w:rPr>
                <w:rFonts w:ascii="Calibri" w:hAnsi="Calibri" w:cs="Arial"/>
              </w:rPr>
              <w:t xml:space="preserve">the </w:t>
            </w:r>
            <w:r>
              <w:rPr>
                <w:rFonts w:ascii="Calibri" w:hAnsi="Calibri" w:cs="Arial"/>
              </w:rPr>
              <w:t xml:space="preserve">Safety Thermometer according to the </w:t>
            </w:r>
            <w:r w:rsidR="00F624E2">
              <w:rPr>
                <w:rFonts w:ascii="Calibri" w:hAnsi="Calibri" w:cs="Arial"/>
              </w:rPr>
              <w:t>nationally-defined</w:t>
            </w:r>
            <w:r>
              <w:rPr>
                <w:rFonts w:ascii="Calibri" w:hAnsi="Calibri" w:cs="Arial"/>
              </w:rPr>
              <w:t xml:space="preserve"> CQUIN</w:t>
            </w:r>
            <w:r w:rsidR="007565D0">
              <w:rPr>
                <w:rFonts w:ascii="Calibri" w:hAnsi="Calibri" w:cs="Arial"/>
              </w:rPr>
              <w:t xml:space="preserve"> </w:t>
            </w:r>
            <w:r w:rsidR="006E0939" w:rsidRPr="006E0939">
              <w:rPr>
                <w:rFonts w:ascii="Calibri" w:hAnsi="Calibri" w:cs="Arial"/>
              </w:rPr>
              <w:t xml:space="preserve">in Community Hospitals, </w:t>
            </w:r>
            <w:r w:rsidR="007565D0">
              <w:rPr>
                <w:rFonts w:ascii="Calibri" w:hAnsi="Calibri" w:cs="Arial"/>
              </w:rPr>
              <w:t>District Nursing and Older Adult Mental Health teams</w:t>
            </w:r>
          </w:p>
        </w:tc>
      </w:tr>
      <w:tr w:rsidR="00A6698A" w:rsidTr="003B0BAF">
        <w:tc>
          <w:tcPr>
            <w:tcW w:w="9747" w:type="dxa"/>
          </w:tcPr>
          <w:p w:rsidR="00A6698A" w:rsidRPr="00B25833" w:rsidRDefault="00A6698A" w:rsidP="00A6698A">
            <w:pPr>
              <w:rPr>
                <w:rFonts w:ascii="Calibri" w:hAnsi="Calibri" w:cs="Arial"/>
                <w:b/>
              </w:rPr>
            </w:pPr>
            <w:r>
              <w:rPr>
                <w:rFonts w:ascii="Calibri" w:hAnsi="Calibri" w:cs="Arial"/>
                <w:b/>
              </w:rPr>
              <w:t>Initiatives</w:t>
            </w:r>
            <w:r w:rsidRPr="00B25833">
              <w:rPr>
                <w:rFonts w:ascii="Calibri" w:hAnsi="Calibri" w:cs="Arial"/>
                <w:b/>
              </w:rPr>
              <w:t>:</w:t>
            </w:r>
          </w:p>
          <w:p w:rsidR="00A6698A" w:rsidRDefault="00AE7001" w:rsidP="00A6698A">
            <w:pPr>
              <w:pStyle w:val="ListParagraph"/>
              <w:numPr>
                <w:ilvl w:val="0"/>
                <w:numId w:val="3"/>
              </w:numPr>
              <w:rPr>
                <w:rFonts w:ascii="Calibri" w:hAnsi="Calibri" w:cs="Arial"/>
              </w:rPr>
            </w:pPr>
            <w:r>
              <w:rPr>
                <w:rFonts w:ascii="Calibri" w:hAnsi="Calibri" w:cs="Arial"/>
              </w:rPr>
              <w:t>Implement the new Child Protection Service Model</w:t>
            </w:r>
          </w:p>
          <w:p w:rsidR="00AE7001" w:rsidRDefault="00AE7001" w:rsidP="00A6698A">
            <w:pPr>
              <w:pStyle w:val="ListParagraph"/>
              <w:numPr>
                <w:ilvl w:val="0"/>
                <w:numId w:val="3"/>
              </w:numPr>
              <w:rPr>
                <w:rFonts w:ascii="Calibri" w:hAnsi="Calibri" w:cs="Arial"/>
              </w:rPr>
            </w:pPr>
            <w:r>
              <w:rPr>
                <w:rFonts w:ascii="Calibri" w:hAnsi="Calibri" w:cs="Arial"/>
              </w:rPr>
              <w:t>Implement the Buckinghamshire CAMHS model, to be fully operational by the end of the year</w:t>
            </w:r>
          </w:p>
          <w:p w:rsidR="00522C68" w:rsidRDefault="00522C68" w:rsidP="00A6698A">
            <w:pPr>
              <w:pStyle w:val="ListParagraph"/>
              <w:numPr>
                <w:ilvl w:val="0"/>
                <w:numId w:val="3"/>
              </w:numPr>
              <w:rPr>
                <w:rFonts w:ascii="Calibri" w:hAnsi="Calibri" w:cs="Arial"/>
              </w:rPr>
            </w:pPr>
            <w:r>
              <w:rPr>
                <w:rFonts w:ascii="Calibri" w:hAnsi="Calibri" w:cs="Arial"/>
              </w:rPr>
              <w:lastRenderedPageBreak/>
              <w:t>Remodel Crisis Services in Oxfordshire</w:t>
            </w:r>
          </w:p>
          <w:p w:rsidR="00720545" w:rsidRDefault="00720545" w:rsidP="00A6698A">
            <w:pPr>
              <w:pStyle w:val="ListParagraph"/>
              <w:numPr>
                <w:ilvl w:val="0"/>
                <w:numId w:val="3"/>
              </w:numPr>
              <w:rPr>
                <w:rFonts w:ascii="Calibri" w:hAnsi="Calibri" w:cs="Arial"/>
              </w:rPr>
            </w:pPr>
            <w:r>
              <w:rPr>
                <w:rFonts w:ascii="Calibri" w:hAnsi="Calibri" w:cs="Arial"/>
              </w:rPr>
              <w:t>Implement care clusters</w:t>
            </w:r>
            <w:r w:rsidR="00FC49CA">
              <w:rPr>
                <w:rFonts w:ascii="Calibri" w:hAnsi="Calibri" w:cs="Arial"/>
              </w:rPr>
              <w:t xml:space="preserve">.  This is a system of </w:t>
            </w:r>
            <w:r w:rsidR="00A66D9D">
              <w:rPr>
                <w:rFonts w:ascii="Calibri" w:hAnsi="Calibri" w:cs="Arial"/>
              </w:rPr>
              <w:t xml:space="preserve"> classify</w:t>
            </w:r>
            <w:r w:rsidR="00FC49CA">
              <w:rPr>
                <w:rFonts w:ascii="Calibri" w:hAnsi="Calibri" w:cs="Arial"/>
              </w:rPr>
              <w:t>ing</w:t>
            </w:r>
            <w:r w:rsidR="00A66D9D">
              <w:rPr>
                <w:rFonts w:ascii="Calibri" w:hAnsi="Calibri" w:cs="Arial"/>
              </w:rPr>
              <w:t xml:space="preserve"> mental health service users by their condition</w:t>
            </w:r>
            <w:r w:rsidR="00FC49CA">
              <w:rPr>
                <w:rFonts w:ascii="Calibri" w:hAnsi="Calibri" w:cs="Arial"/>
              </w:rPr>
              <w:t xml:space="preserve"> in order to</w:t>
            </w:r>
            <w:r w:rsidR="00C32D47">
              <w:rPr>
                <w:rFonts w:ascii="Calibri" w:hAnsi="Calibri" w:cs="Arial"/>
              </w:rPr>
              <w:t xml:space="preserve"> provide appropriate</w:t>
            </w:r>
            <w:r w:rsidR="00A66D9D">
              <w:rPr>
                <w:rFonts w:ascii="Calibri" w:hAnsi="Calibri" w:cs="Arial"/>
              </w:rPr>
              <w:t xml:space="preserve"> </w:t>
            </w:r>
            <w:r>
              <w:rPr>
                <w:rFonts w:ascii="Calibri" w:hAnsi="Calibri" w:cs="Arial"/>
              </w:rPr>
              <w:t xml:space="preserve">care packages </w:t>
            </w:r>
          </w:p>
          <w:p w:rsidR="00DE115E" w:rsidRDefault="00DE115E" w:rsidP="00A6698A">
            <w:pPr>
              <w:pStyle w:val="ListParagraph"/>
              <w:numPr>
                <w:ilvl w:val="0"/>
                <w:numId w:val="3"/>
              </w:numPr>
              <w:rPr>
                <w:rFonts w:ascii="Calibri" w:hAnsi="Calibri" w:cs="Arial"/>
              </w:rPr>
            </w:pPr>
            <w:r>
              <w:rPr>
                <w:rFonts w:ascii="Calibri" w:hAnsi="Calibri" w:cs="Arial"/>
              </w:rPr>
              <w:t xml:space="preserve">Implement </w:t>
            </w:r>
            <w:r w:rsidR="00720545">
              <w:rPr>
                <w:rFonts w:ascii="Calibri" w:hAnsi="Calibri" w:cs="Arial"/>
              </w:rPr>
              <w:t>new</w:t>
            </w:r>
            <w:r>
              <w:rPr>
                <w:rFonts w:ascii="Calibri" w:hAnsi="Calibri" w:cs="Arial"/>
              </w:rPr>
              <w:t xml:space="preserve"> management</w:t>
            </w:r>
            <w:r w:rsidR="00720545">
              <w:rPr>
                <w:rFonts w:ascii="Calibri" w:hAnsi="Calibri" w:cs="Arial"/>
              </w:rPr>
              <w:t xml:space="preserve"> of medicines procedures in prison environments</w:t>
            </w:r>
          </w:p>
          <w:p w:rsidR="00D20A8C" w:rsidRDefault="00720545" w:rsidP="00A6698A">
            <w:pPr>
              <w:pStyle w:val="ListParagraph"/>
              <w:numPr>
                <w:ilvl w:val="0"/>
                <w:numId w:val="3"/>
              </w:numPr>
              <w:rPr>
                <w:rFonts w:ascii="Calibri" w:hAnsi="Calibri" w:cs="Arial"/>
              </w:rPr>
            </w:pPr>
            <w:r>
              <w:rPr>
                <w:rFonts w:ascii="Calibri" w:hAnsi="Calibri" w:cs="Arial"/>
              </w:rPr>
              <w:t xml:space="preserve">Implement </w:t>
            </w:r>
            <w:r w:rsidR="00D20A8C">
              <w:rPr>
                <w:rFonts w:ascii="Calibri" w:hAnsi="Calibri" w:cs="Arial"/>
              </w:rPr>
              <w:t>new Addictions Harm Minimisation service in conjunction with partners to provide a recovery led service</w:t>
            </w:r>
          </w:p>
          <w:p w:rsidR="00287286" w:rsidRPr="00544356" w:rsidRDefault="00287286" w:rsidP="00287286">
            <w:pPr>
              <w:pStyle w:val="ListParagraph"/>
              <w:numPr>
                <w:ilvl w:val="0"/>
                <w:numId w:val="3"/>
              </w:numPr>
              <w:rPr>
                <w:rFonts w:ascii="Calibri" w:hAnsi="Calibri" w:cs="Arial"/>
              </w:rPr>
            </w:pPr>
            <w:r w:rsidRPr="00544356">
              <w:rPr>
                <w:rFonts w:ascii="Calibri" w:hAnsi="Calibri" w:cs="Arial"/>
              </w:rPr>
              <w:t xml:space="preserve">Implement the action plans to reduce the number of serious drug errors in Community Health </w:t>
            </w:r>
            <w:r>
              <w:rPr>
                <w:rFonts w:ascii="Calibri" w:hAnsi="Calibri" w:cs="Arial"/>
              </w:rPr>
              <w:t xml:space="preserve">Services </w:t>
            </w:r>
            <w:r w:rsidRPr="00544356">
              <w:rPr>
                <w:rFonts w:ascii="Calibri" w:hAnsi="Calibri" w:cs="Arial"/>
              </w:rPr>
              <w:t>and roll out staff competency framework on prescribing and/or administering medicines</w:t>
            </w:r>
          </w:p>
          <w:p w:rsidR="00287286" w:rsidRPr="00544356" w:rsidRDefault="00720545" w:rsidP="00287286">
            <w:pPr>
              <w:pStyle w:val="ListParagraph"/>
              <w:numPr>
                <w:ilvl w:val="0"/>
                <w:numId w:val="3"/>
              </w:numPr>
              <w:rPr>
                <w:rFonts w:ascii="Calibri" w:hAnsi="Calibri" w:cs="Arial"/>
              </w:rPr>
            </w:pPr>
            <w:r>
              <w:rPr>
                <w:rFonts w:ascii="Calibri" w:hAnsi="Calibri" w:cs="Arial"/>
              </w:rPr>
              <w:t>Enhance</w:t>
            </w:r>
            <w:r w:rsidRPr="00544356">
              <w:rPr>
                <w:rFonts w:ascii="Calibri" w:hAnsi="Calibri" w:cs="Arial"/>
              </w:rPr>
              <w:t xml:space="preserve"> </w:t>
            </w:r>
            <w:r w:rsidR="00287286" w:rsidRPr="00544356">
              <w:rPr>
                <w:rFonts w:ascii="Calibri" w:hAnsi="Calibri" w:cs="Arial"/>
              </w:rPr>
              <w:t>ward-b</w:t>
            </w:r>
            <w:r w:rsidR="00287286">
              <w:rPr>
                <w:rFonts w:ascii="Calibri" w:hAnsi="Calibri" w:cs="Arial"/>
              </w:rPr>
              <w:t>ased falls reduction programmes</w:t>
            </w:r>
          </w:p>
          <w:p w:rsidR="00287286" w:rsidRPr="00544356" w:rsidRDefault="00287286" w:rsidP="00287286">
            <w:pPr>
              <w:pStyle w:val="ListParagraph"/>
              <w:numPr>
                <w:ilvl w:val="0"/>
                <w:numId w:val="3"/>
              </w:numPr>
              <w:rPr>
                <w:rFonts w:ascii="Calibri" w:hAnsi="Calibri" w:cs="Arial"/>
              </w:rPr>
            </w:pPr>
            <w:r>
              <w:rPr>
                <w:rFonts w:ascii="Calibri" w:hAnsi="Calibri" w:cs="Arial"/>
              </w:rPr>
              <w:t>Continue to actively monitor and analyse acquired infections, by location and service, implementing any preventative actions that may be identified as a consequence</w:t>
            </w:r>
          </w:p>
          <w:p w:rsidR="00DE115E" w:rsidRDefault="00F624E2" w:rsidP="00DE115E">
            <w:pPr>
              <w:pStyle w:val="ListParagraph"/>
              <w:numPr>
                <w:ilvl w:val="0"/>
                <w:numId w:val="3"/>
              </w:numPr>
              <w:rPr>
                <w:rFonts w:ascii="Calibri" w:hAnsi="Calibri" w:cs="Arial"/>
              </w:rPr>
            </w:pPr>
            <w:r>
              <w:rPr>
                <w:rFonts w:ascii="Calibri" w:hAnsi="Calibri" w:cs="Arial"/>
              </w:rPr>
              <w:t xml:space="preserve">Introduce the </w:t>
            </w:r>
            <w:r w:rsidR="00DE115E">
              <w:rPr>
                <w:rFonts w:ascii="Calibri" w:hAnsi="Calibri" w:cs="Arial"/>
              </w:rPr>
              <w:t>Mortality Global Trigger Tool in Community Hospitals</w:t>
            </w:r>
          </w:p>
          <w:p w:rsidR="00287286" w:rsidRDefault="00287286" w:rsidP="00287286">
            <w:pPr>
              <w:pStyle w:val="ListParagraph"/>
              <w:numPr>
                <w:ilvl w:val="0"/>
                <w:numId w:val="3"/>
              </w:numPr>
              <w:rPr>
                <w:rFonts w:ascii="Calibri" w:hAnsi="Calibri" w:cs="Arial"/>
              </w:rPr>
            </w:pPr>
            <w:r w:rsidRPr="00544356">
              <w:rPr>
                <w:rFonts w:ascii="Calibri" w:hAnsi="Calibri" w:cs="Arial"/>
              </w:rPr>
              <w:t>Investigate the number and nature of physical restraints</w:t>
            </w:r>
            <w:r w:rsidR="00E15A82">
              <w:rPr>
                <w:rFonts w:ascii="Calibri" w:hAnsi="Calibri" w:cs="Arial"/>
              </w:rPr>
              <w:t xml:space="preserve"> and use of seclusion</w:t>
            </w:r>
            <w:r w:rsidRPr="00544356">
              <w:rPr>
                <w:rFonts w:ascii="Calibri" w:hAnsi="Calibri" w:cs="Arial"/>
              </w:rPr>
              <w:t xml:space="preserve"> within the </w:t>
            </w:r>
            <w:r w:rsidR="00F624E2">
              <w:rPr>
                <w:rFonts w:ascii="Calibri" w:hAnsi="Calibri" w:cs="Arial"/>
              </w:rPr>
              <w:t>Mental Health wards</w:t>
            </w:r>
            <w:r w:rsidR="00F624E2" w:rsidRPr="00544356">
              <w:rPr>
                <w:rFonts w:ascii="Calibri" w:hAnsi="Calibri" w:cs="Arial"/>
              </w:rPr>
              <w:t xml:space="preserve"> </w:t>
            </w:r>
            <w:r w:rsidRPr="00544356">
              <w:rPr>
                <w:rFonts w:ascii="Calibri" w:hAnsi="Calibri" w:cs="Arial"/>
              </w:rPr>
              <w:t>with a view to analysing such incidents to ensure compliance with best practice and guidance</w:t>
            </w:r>
            <w:r w:rsidR="00C32D47">
              <w:rPr>
                <w:rFonts w:ascii="Calibri" w:hAnsi="Calibri" w:cs="Arial"/>
              </w:rPr>
              <w:t xml:space="preserve"> and also to review current policy and practice</w:t>
            </w:r>
          </w:p>
          <w:p w:rsidR="00AA4895" w:rsidRDefault="00AA4895" w:rsidP="00AA4895">
            <w:pPr>
              <w:pStyle w:val="ListParagraph"/>
              <w:numPr>
                <w:ilvl w:val="0"/>
                <w:numId w:val="45"/>
              </w:numPr>
              <w:rPr>
                <w:rFonts w:ascii="Calibri" w:hAnsi="Calibri" w:cs="Arial"/>
              </w:rPr>
            </w:pPr>
            <w:r>
              <w:rPr>
                <w:rFonts w:ascii="Calibri" w:hAnsi="Calibri" w:cs="Arial"/>
              </w:rPr>
              <w:t>Deliver the health visiting call to action using locally developed non-QIP</w:t>
            </w:r>
            <w:r w:rsidR="007B28AE">
              <w:rPr>
                <w:rFonts w:ascii="Calibri" w:hAnsi="Calibri" w:cs="Arial"/>
              </w:rPr>
              <w:t>P</w:t>
            </w:r>
            <w:r>
              <w:rPr>
                <w:rFonts w:ascii="Calibri" w:hAnsi="Calibri" w:cs="Arial"/>
              </w:rPr>
              <w:t xml:space="preserve"> CQUIN</w:t>
            </w:r>
          </w:p>
          <w:p w:rsidR="00CC2519" w:rsidRDefault="00CC2519" w:rsidP="00CC2519">
            <w:pPr>
              <w:pStyle w:val="ListParagraph"/>
              <w:numPr>
                <w:ilvl w:val="0"/>
                <w:numId w:val="45"/>
              </w:numPr>
              <w:rPr>
                <w:rFonts w:ascii="Calibri" w:hAnsi="Calibri" w:cs="Arial"/>
              </w:rPr>
            </w:pPr>
            <w:r>
              <w:rPr>
                <w:rFonts w:ascii="Calibri" w:hAnsi="Calibri" w:cs="Arial"/>
              </w:rPr>
              <w:t>Implement a programme of quality and safety walkabouts in OCS</w:t>
            </w:r>
          </w:p>
          <w:p w:rsidR="00720545" w:rsidRDefault="00720545" w:rsidP="00CC2519">
            <w:pPr>
              <w:pStyle w:val="ListParagraph"/>
              <w:numPr>
                <w:ilvl w:val="0"/>
                <w:numId w:val="45"/>
              </w:numPr>
              <w:rPr>
                <w:rFonts w:ascii="Calibri" w:hAnsi="Calibri" w:cs="Arial"/>
              </w:rPr>
            </w:pPr>
            <w:r>
              <w:rPr>
                <w:rFonts w:ascii="Calibri" w:hAnsi="Calibri" w:cs="Arial"/>
              </w:rPr>
              <w:t xml:space="preserve">Implement Safety Thermometer </w:t>
            </w:r>
            <w:r w:rsidR="004167E9">
              <w:rPr>
                <w:rFonts w:ascii="Calibri" w:hAnsi="Calibri" w:cs="Arial"/>
              </w:rPr>
              <w:t>to assess risk of harm in key areas of care.</w:t>
            </w:r>
          </w:p>
          <w:p w:rsidR="00720545" w:rsidRDefault="00720545" w:rsidP="00CC2519">
            <w:pPr>
              <w:pStyle w:val="ListParagraph"/>
              <w:numPr>
                <w:ilvl w:val="0"/>
                <w:numId w:val="45"/>
              </w:numPr>
              <w:rPr>
                <w:rFonts w:ascii="Calibri" w:hAnsi="Calibri" w:cs="Arial"/>
                <w:highlight w:val="yellow"/>
              </w:rPr>
            </w:pPr>
            <w:r w:rsidRPr="00720545">
              <w:rPr>
                <w:rFonts w:ascii="Calibri" w:hAnsi="Calibri" w:cs="Arial"/>
                <w:highlight w:val="yellow"/>
              </w:rPr>
              <w:t>[Include Safeguarding Adults initiative]</w:t>
            </w:r>
          </w:p>
          <w:p w:rsidR="007565D0" w:rsidRPr="007565D0" w:rsidRDefault="006E0939" w:rsidP="00CC2519">
            <w:pPr>
              <w:pStyle w:val="ListParagraph"/>
              <w:numPr>
                <w:ilvl w:val="0"/>
                <w:numId w:val="45"/>
              </w:numPr>
              <w:rPr>
                <w:rFonts w:ascii="Calibri" w:hAnsi="Calibri" w:cs="Arial"/>
              </w:rPr>
            </w:pPr>
            <w:r w:rsidRPr="006E0939">
              <w:rPr>
                <w:rFonts w:ascii="Calibri" w:hAnsi="Calibri" w:cs="Arial"/>
              </w:rPr>
              <w:t xml:space="preserve">Improve Child </w:t>
            </w:r>
            <w:proofErr w:type="spellStart"/>
            <w:r w:rsidRPr="006E0939">
              <w:rPr>
                <w:rFonts w:ascii="Calibri" w:hAnsi="Calibri" w:cs="Arial"/>
              </w:rPr>
              <w:t>Helath</w:t>
            </w:r>
            <w:proofErr w:type="spellEnd"/>
            <w:r w:rsidRPr="006E0939">
              <w:rPr>
                <w:rFonts w:ascii="Calibri" w:hAnsi="Calibri" w:cs="Arial"/>
              </w:rPr>
              <w:t xml:space="preserve"> &amp; early detection &amp; intervention to improve health of young children through increasing the number of Health Visitors in Oxfordshire</w:t>
            </w:r>
          </w:p>
          <w:p w:rsidR="00AA4895" w:rsidRPr="00287286" w:rsidRDefault="00AA4895" w:rsidP="00AA4895">
            <w:pPr>
              <w:pStyle w:val="ListParagraph"/>
              <w:rPr>
                <w:rFonts w:ascii="Calibri" w:hAnsi="Calibri" w:cs="Arial"/>
              </w:rPr>
            </w:pPr>
          </w:p>
        </w:tc>
      </w:tr>
    </w:tbl>
    <w:p w:rsidR="00A6698A" w:rsidRDefault="00A6698A" w:rsidP="00A6698A">
      <w:pPr>
        <w:rPr>
          <w:rFonts w:ascii="Calibri" w:hAnsi="Calibri" w:cs="Arial"/>
        </w:rPr>
      </w:pPr>
    </w:p>
    <w:tbl>
      <w:tblPr>
        <w:tblStyle w:val="TableGrid"/>
        <w:tblW w:w="0" w:type="auto"/>
        <w:tblInd w:w="108" w:type="dxa"/>
        <w:tblLook w:val="04A0"/>
      </w:tblPr>
      <w:tblGrid>
        <w:gridCol w:w="9747"/>
      </w:tblGrid>
      <w:tr w:rsidR="00A6698A" w:rsidTr="003B0BAF">
        <w:tc>
          <w:tcPr>
            <w:tcW w:w="9747" w:type="dxa"/>
            <w:shd w:val="clear" w:color="auto" w:fill="F2F2F2" w:themeFill="background1" w:themeFillShade="F2"/>
          </w:tcPr>
          <w:p w:rsidR="00A6698A" w:rsidRPr="006964D8" w:rsidRDefault="004E65E1" w:rsidP="00A6698A">
            <w:pPr>
              <w:rPr>
                <w:rFonts w:ascii="Calibri" w:hAnsi="Calibri" w:cs="Arial"/>
                <w:b/>
                <w:sz w:val="28"/>
                <w:szCs w:val="28"/>
              </w:rPr>
            </w:pPr>
            <w:r w:rsidRPr="004E65E1">
              <w:rPr>
                <w:rFonts w:ascii="Calibri" w:hAnsi="Calibri" w:cs="Arial"/>
                <w:b/>
                <w:sz w:val="28"/>
                <w:szCs w:val="28"/>
              </w:rPr>
              <w:t>Patients will be treated and cared for in safe environments</w:t>
            </w:r>
          </w:p>
        </w:tc>
      </w:tr>
      <w:tr w:rsidR="00A6698A" w:rsidTr="003B0BAF">
        <w:tc>
          <w:tcPr>
            <w:tcW w:w="9747" w:type="dxa"/>
          </w:tcPr>
          <w:p w:rsidR="00A6698A" w:rsidRDefault="00A6698A" w:rsidP="00A6698A">
            <w:pPr>
              <w:rPr>
                <w:rFonts w:ascii="Calibri" w:hAnsi="Calibri" w:cs="Arial"/>
              </w:rPr>
            </w:pPr>
            <w:r w:rsidRPr="00B25833">
              <w:rPr>
                <w:rFonts w:ascii="Calibri" w:hAnsi="Calibri" w:cs="Arial"/>
                <w:b/>
              </w:rPr>
              <w:t>Measure</w:t>
            </w:r>
            <w:r>
              <w:rPr>
                <w:rFonts w:ascii="Calibri" w:hAnsi="Calibri" w:cs="Arial"/>
                <w:b/>
              </w:rPr>
              <w:t>s</w:t>
            </w:r>
            <w:r w:rsidRPr="00B25833">
              <w:rPr>
                <w:rFonts w:ascii="Calibri" w:hAnsi="Calibri" w:cs="Arial"/>
                <w:b/>
              </w:rPr>
              <w:t>:</w:t>
            </w:r>
            <w:r>
              <w:rPr>
                <w:rFonts w:ascii="Calibri" w:hAnsi="Calibri" w:cs="Arial"/>
              </w:rPr>
              <w:t xml:space="preserve"> </w:t>
            </w:r>
          </w:p>
          <w:p w:rsidR="00A6698A" w:rsidRDefault="00AE7001" w:rsidP="00A6698A">
            <w:pPr>
              <w:pStyle w:val="ListParagraph"/>
              <w:numPr>
                <w:ilvl w:val="0"/>
                <w:numId w:val="46"/>
              </w:numPr>
              <w:rPr>
                <w:rFonts w:ascii="Calibri" w:hAnsi="Calibri" w:cs="Arial"/>
              </w:rPr>
            </w:pPr>
            <w:r>
              <w:rPr>
                <w:rFonts w:ascii="Calibri" w:hAnsi="Calibri" w:cs="Arial"/>
              </w:rPr>
              <w:t>Number of healthcare associated infections</w:t>
            </w:r>
          </w:p>
          <w:p w:rsidR="00C4715E" w:rsidRPr="00C4715E" w:rsidRDefault="00C4715E" w:rsidP="00C4715E">
            <w:pPr>
              <w:ind w:left="360"/>
              <w:rPr>
                <w:rFonts w:ascii="Calibri" w:hAnsi="Calibri" w:cs="Arial"/>
              </w:rPr>
            </w:pPr>
          </w:p>
        </w:tc>
      </w:tr>
      <w:tr w:rsidR="00A6698A" w:rsidTr="003B0BAF">
        <w:tc>
          <w:tcPr>
            <w:tcW w:w="9747" w:type="dxa"/>
          </w:tcPr>
          <w:p w:rsidR="00A6698A" w:rsidRPr="00B25833" w:rsidRDefault="00A6698A" w:rsidP="00A6698A">
            <w:pPr>
              <w:rPr>
                <w:rFonts w:ascii="Calibri" w:hAnsi="Calibri" w:cs="Arial"/>
                <w:b/>
              </w:rPr>
            </w:pPr>
            <w:r w:rsidRPr="00B25833">
              <w:rPr>
                <w:rFonts w:ascii="Calibri" w:hAnsi="Calibri" w:cs="Arial"/>
                <w:b/>
              </w:rPr>
              <w:t xml:space="preserve">Targets: </w:t>
            </w:r>
          </w:p>
          <w:p w:rsidR="00A6698A" w:rsidRDefault="00C4715E" w:rsidP="0088378C">
            <w:pPr>
              <w:pStyle w:val="ListParagraph"/>
              <w:numPr>
                <w:ilvl w:val="0"/>
                <w:numId w:val="44"/>
              </w:numPr>
              <w:rPr>
                <w:rFonts w:ascii="Calibri" w:hAnsi="Calibri" w:cs="Arial"/>
              </w:rPr>
            </w:pPr>
            <w:r>
              <w:rPr>
                <w:rFonts w:ascii="Calibri" w:hAnsi="Calibri" w:cs="Arial"/>
              </w:rPr>
              <w:t xml:space="preserve">Increase the overall number of </w:t>
            </w:r>
            <w:r w:rsidR="0088378C">
              <w:rPr>
                <w:rFonts w:ascii="Calibri" w:hAnsi="Calibri" w:cs="Arial"/>
              </w:rPr>
              <w:t xml:space="preserve">non-severe </w:t>
            </w:r>
            <w:r>
              <w:rPr>
                <w:rFonts w:ascii="Calibri" w:hAnsi="Calibri" w:cs="Arial"/>
              </w:rPr>
              <w:t xml:space="preserve">incidents reported from </w:t>
            </w:r>
            <w:r w:rsidR="0088378C">
              <w:rPr>
                <w:rFonts w:ascii="Calibri" w:hAnsi="Calibri" w:cs="Arial"/>
              </w:rPr>
              <w:t xml:space="preserve">6,686 in 2011/12 to </w:t>
            </w:r>
            <w:r w:rsidR="0088378C" w:rsidRPr="00D436AA">
              <w:rPr>
                <w:rFonts w:ascii="Calibri" w:hAnsi="Calibri" w:cs="Arial"/>
                <w:highlight w:val="yellow"/>
              </w:rPr>
              <w:t>X</w:t>
            </w:r>
            <w:r w:rsidR="0088378C">
              <w:rPr>
                <w:rFonts w:ascii="Calibri" w:hAnsi="Calibri" w:cs="Arial"/>
              </w:rPr>
              <w:t xml:space="preserve"> (</w:t>
            </w:r>
            <w:r w:rsidR="0088378C" w:rsidRPr="00D436AA">
              <w:rPr>
                <w:rFonts w:ascii="Calibri" w:hAnsi="Calibri" w:cs="Arial"/>
                <w:highlight w:val="yellow"/>
              </w:rPr>
              <w:t>X</w:t>
            </w:r>
            <w:r w:rsidR="0088378C">
              <w:rPr>
                <w:rFonts w:ascii="Calibri" w:hAnsi="Calibri" w:cs="Arial"/>
              </w:rPr>
              <w:t>%) in 2012/13</w:t>
            </w:r>
          </w:p>
          <w:p w:rsidR="00942150" w:rsidRDefault="00942150" w:rsidP="00942150">
            <w:pPr>
              <w:pStyle w:val="ListParagraph"/>
              <w:numPr>
                <w:ilvl w:val="0"/>
                <w:numId w:val="3"/>
              </w:numPr>
              <w:rPr>
                <w:rFonts w:ascii="Calibri" w:hAnsi="Calibri" w:cs="Arial"/>
              </w:rPr>
            </w:pPr>
            <w:r w:rsidRPr="00942150">
              <w:rPr>
                <w:rFonts w:ascii="Calibri" w:hAnsi="Calibri" w:cs="Arial"/>
              </w:rPr>
              <w:t>Reduce the incidence of avoidable infections of C</w:t>
            </w:r>
            <w:r w:rsidR="00C2466A">
              <w:rPr>
                <w:rFonts w:ascii="Calibri" w:hAnsi="Calibri" w:cs="Arial"/>
              </w:rPr>
              <w:t>. d</w:t>
            </w:r>
            <w:r w:rsidRPr="00942150">
              <w:rPr>
                <w:rFonts w:ascii="Calibri" w:hAnsi="Calibri" w:cs="Arial"/>
              </w:rPr>
              <w:t>iff from 15 in 2011/12 to 10 in 2012/13</w:t>
            </w:r>
          </w:p>
          <w:p w:rsidR="00942150" w:rsidRDefault="00942150" w:rsidP="00942150">
            <w:pPr>
              <w:pStyle w:val="ListParagraph"/>
              <w:numPr>
                <w:ilvl w:val="0"/>
                <w:numId w:val="3"/>
              </w:numPr>
              <w:rPr>
                <w:rFonts w:ascii="Calibri" w:hAnsi="Calibri" w:cs="Arial"/>
              </w:rPr>
            </w:pPr>
            <w:r>
              <w:rPr>
                <w:rFonts w:ascii="Calibri" w:hAnsi="Calibri" w:cs="Arial"/>
              </w:rPr>
              <w:t>M</w:t>
            </w:r>
            <w:r w:rsidRPr="00942150">
              <w:rPr>
                <w:rFonts w:ascii="Calibri" w:hAnsi="Calibri" w:cs="Arial"/>
              </w:rPr>
              <w:t xml:space="preserve">aintain a zero incidence of bacteraemia (MRSA and MSSA) </w:t>
            </w:r>
          </w:p>
          <w:p w:rsidR="00F624E2" w:rsidRPr="00942150" w:rsidRDefault="00F624E2" w:rsidP="00942150">
            <w:pPr>
              <w:pStyle w:val="ListParagraph"/>
              <w:numPr>
                <w:ilvl w:val="0"/>
                <w:numId w:val="3"/>
              </w:numPr>
              <w:rPr>
                <w:rFonts w:ascii="Calibri" w:hAnsi="Calibri" w:cs="Arial"/>
              </w:rPr>
            </w:pPr>
            <w:r>
              <w:rPr>
                <w:rFonts w:ascii="Calibri" w:hAnsi="Calibri" w:cs="Arial"/>
              </w:rPr>
              <w:t>Achieve the Quality in Dental Services Award in 2012/13</w:t>
            </w:r>
          </w:p>
          <w:p w:rsidR="00942150" w:rsidRPr="00942150" w:rsidRDefault="00942150" w:rsidP="00942150">
            <w:pPr>
              <w:ind w:left="360"/>
              <w:rPr>
                <w:rFonts w:ascii="Calibri" w:hAnsi="Calibri" w:cs="Arial"/>
              </w:rPr>
            </w:pPr>
          </w:p>
        </w:tc>
      </w:tr>
      <w:tr w:rsidR="00A6698A" w:rsidTr="003B0BAF">
        <w:tc>
          <w:tcPr>
            <w:tcW w:w="9747" w:type="dxa"/>
          </w:tcPr>
          <w:p w:rsidR="00A6698A" w:rsidRPr="00B25833" w:rsidRDefault="00A6698A" w:rsidP="00A6698A">
            <w:pPr>
              <w:rPr>
                <w:rFonts w:ascii="Calibri" w:hAnsi="Calibri" w:cs="Arial"/>
                <w:b/>
              </w:rPr>
            </w:pPr>
            <w:r>
              <w:rPr>
                <w:rFonts w:ascii="Calibri" w:hAnsi="Calibri" w:cs="Arial"/>
                <w:b/>
              </w:rPr>
              <w:t>Initiatives</w:t>
            </w:r>
            <w:r w:rsidRPr="00B25833">
              <w:rPr>
                <w:rFonts w:ascii="Calibri" w:hAnsi="Calibri" w:cs="Arial"/>
                <w:b/>
              </w:rPr>
              <w:t>:</w:t>
            </w:r>
          </w:p>
          <w:p w:rsidR="00C4715E" w:rsidRDefault="004167E9" w:rsidP="00C4715E">
            <w:pPr>
              <w:pStyle w:val="ListParagraph"/>
              <w:numPr>
                <w:ilvl w:val="0"/>
                <w:numId w:val="44"/>
              </w:numPr>
              <w:rPr>
                <w:rFonts w:ascii="Calibri" w:hAnsi="Calibri" w:cs="Arial"/>
              </w:rPr>
            </w:pPr>
            <w:r>
              <w:rPr>
                <w:rFonts w:ascii="Calibri" w:hAnsi="Calibri" w:cs="Arial"/>
              </w:rPr>
              <w:t>Actively promote reflective review of safety incidents, including the establishment of patient safety workshops in order to p</w:t>
            </w:r>
            <w:r w:rsidR="00C4715E">
              <w:rPr>
                <w:rFonts w:ascii="Calibri" w:hAnsi="Calibri" w:cs="Arial"/>
              </w:rPr>
              <w:t xml:space="preserve">romote </w:t>
            </w:r>
            <w:r>
              <w:rPr>
                <w:rFonts w:ascii="Calibri" w:hAnsi="Calibri" w:cs="Arial"/>
              </w:rPr>
              <w:t xml:space="preserve">an </w:t>
            </w:r>
            <w:r w:rsidR="00C4715E">
              <w:rPr>
                <w:rFonts w:ascii="Calibri" w:hAnsi="Calibri" w:cs="Arial"/>
              </w:rPr>
              <w:t xml:space="preserve">open culture of reporting safety incidents </w:t>
            </w:r>
          </w:p>
          <w:p w:rsidR="00FD447C" w:rsidRDefault="00FD447C" w:rsidP="00C4715E">
            <w:pPr>
              <w:pStyle w:val="ListParagraph"/>
              <w:numPr>
                <w:ilvl w:val="0"/>
                <w:numId w:val="44"/>
              </w:numPr>
              <w:rPr>
                <w:rFonts w:ascii="Calibri" w:hAnsi="Calibri" w:cs="Arial"/>
              </w:rPr>
            </w:pPr>
            <w:r>
              <w:rPr>
                <w:rFonts w:ascii="Calibri" w:hAnsi="Calibri" w:cs="Arial"/>
              </w:rPr>
              <w:t xml:space="preserve">Assess the impact of changing the testing for </w:t>
            </w:r>
            <w:r w:rsidR="00D436AA">
              <w:rPr>
                <w:rFonts w:ascii="Calibri" w:hAnsi="Calibri" w:cs="Arial"/>
              </w:rPr>
              <w:t>C.</w:t>
            </w:r>
            <w:r>
              <w:rPr>
                <w:rFonts w:ascii="Calibri" w:hAnsi="Calibri" w:cs="Arial"/>
              </w:rPr>
              <w:t xml:space="preserve"> </w:t>
            </w:r>
            <w:r w:rsidR="00C2466A">
              <w:rPr>
                <w:rFonts w:ascii="Calibri" w:hAnsi="Calibri" w:cs="Arial"/>
              </w:rPr>
              <w:t>d</w:t>
            </w:r>
            <w:r>
              <w:rPr>
                <w:rFonts w:ascii="Calibri" w:hAnsi="Calibri" w:cs="Arial"/>
              </w:rPr>
              <w:t>iff</w:t>
            </w:r>
            <w:r w:rsidR="00D436AA">
              <w:rPr>
                <w:rFonts w:ascii="Calibri" w:hAnsi="Calibri" w:cs="Arial"/>
              </w:rPr>
              <w:t xml:space="preserve"> </w:t>
            </w:r>
          </w:p>
          <w:p w:rsidR="00D436AA" w:rsidRDefault="00D436AA" w:rsidP="00C4715E">
            <w:pPr>
              <w:pStyle w:val="ListParagraph"/>
              <w:numPr>
                <w:ilvl w:val="0"/>
                <w:numId w:val="44"/>
              </w:numPr>
              <w:rPr>
                <w:rFonts w:ascii="Calibri" w:hAnsi="Calibri" w:cs="Arial"/>
              </w:rPr>
            </w:pPr>
            <w:r>
              <w:rPr>
                <w:rFonts w:ascii="Calibri" w:hAnsi="Calibri" w:cs="Arial"/>
              </w:rPr>
              <w:t>Continue implementing the current programme for acquired infections within community hospitals</w:t>
            </w:r>
          </w:p>
          <w:p w:rsidR="00A6698A" w:rsidRPr="00A256B3" w:rsidRDefault="00F624E2" w:rsidP="00F624E2">
            <w:pPr>
              <w:pStyle w:val="ListParagraph"/>
              <w:numPr>
                <w:ilvl w:val="0"/>
                <w:numId w:val="3"/>
              </w:numPr>
              <w:rPr>
                <w:rFonts w:ascii="Calibri" w:hAnsi="Calibri" w:cs="Arial"/>
              </w:rPr>
            </w:pPr>
            <w:r>
              <w:rPr>
                <w:rFonts w:ascii="Calibri" w:hAnsi="Calibri" w:cs="Arial"/>
              </w:rPr>
              <w:t xml:space="preserve">Work towards achieving the </w:t>
            </w:r>
            <w:r w:rsidR="00C4715E">
              <w:rPr>
                <w:rFonts w:ascii="Calibri" w:hAnsi="Calibri" w:cs="Arial"/>
              </w:rPr>
              <w:t>Quality in Dental Services Award in 2012/13</w:t>
            </w:r>
          </w:p>
        </w:tc>
      </w:tr>
    </w:tbl>
    <w:p w:rsidR="00C07871" w:rsidRDefault="00C07871">
      <w:pPr>
        <w:rPr>
          <w:rFonts w:ascii="Calibri" w:hAnsi="Calibri" w:cs="Arial"/>
          <w:color w:val="0070C0"/>
        </w:rPr>
      </w:pPr>
      <w:r>
        <w:rPr>
          <w:rFonts w:ascii="Calibri" w:hAnsi="Calibri" w:cs="Arial"/>
          <w:color w:val="0070C0"/>
        </w:rPr>
        <w:br w:type="page"/>
      </w:r>
    </w:p>
    <w:p w:rsidR="00ED3BBA" w:rsidRDefault="00ED3BBA" w:rsidP="00ED3BBA">
      <w:pPr>
        <w:jc w:val="both"/>
        <w:rPr>
          <w:rFonts w:ascii="Calibri" w:hAnsi="Calibri" w:cs="Arial"/>
          <w:color w:val="0070C0"/>
        </w:rPr>
      </w:pPr>
    </w:p>
    <w:tbl>
      <w:tblPr>
        <w:tblStyle w:val="TableGrid"/>
        <w:tblW w:w="0" w:type="auto"/>
        <w:tblBorders>
          <w:top w:val="single" w:sz="4" w:space="0" w:color="0070C0"/>
          <w:left w:val="none" w:sz="0" w:space="0" w:color="auto"/>
          <w:bottom w:val="single" w:sz="4" w:space="0" w:color="0070C0"/>
          <w:right w:val="none" w:sz="0" w:space="0" w:color="auto"/>
          <w:insideH w:val="none" w:sz="0" w:space="0" w:color="auto"/>
          <w:insideV w:val="none" w:sz="0" w:space="0" w:color="auto"/>
        </w:tblBorders>
        <w:tblLook w:val="04A0"/>
      </w:tblPr>
      <w:tblGrid>
        <w:gridCol w:w="9242"/>
      </w:tblGrid>
      <w:tr w:rsidR="00ED3BBA" w:rsidTr="00ED3BBA">
        <w:tc>
          <w:tcPr>
            <w:tcW w:w="9242" w:type="dxa"/>
          </w:tcPr>
          <w:p w:rsidR="00ED3BBA" w:rsidRPr="00ED3BBA" w:rsidRDefault="00ED3BBA" w:rsidP="00ED3BBA">
            <w:pPr>
              <w:jc w:val="both"/>
              <w:rPr>
                <w:rFonts w:ascii="Arial" w:hAnsi="Arial" w:cs="Arial"/>
                <w:color w:val="0070C0"/>
                <w:sz w:val="32"/>
                <w:szCs w:val="32"/>
              </w:rPr>
            </w:pPr>
            <w:r w:rsidRPr="00ED3BBA">
              <w:rPr>
                <w:rFonts w:ascii="Arial" w:hAnsi="Arial" w:cs="Arial"/>
                <w:color w:val="0070C0"/>
                <w:sz w:val="32"/>
                <w:szCs w:val="32"/>
              </w:rPr>
              <w:t>Effectiveness</w:t>
            </w:r>
          </w:p>
        </w:tc>
      </w:tr>
    </w:tbl>
    <w:p w:rsidR="00ED3BBA" w:rsidRDefault="00ED3BBA" w:rsidP="00ED3BBA">
      <w:pPr>
        <w:jc w:val="both"/>
        <w:rPr>
          <w:rFonts w:ascii="Calibri" w:hAnsi="Calibri" w:cs="Arial"/>
          <w:color w:val="0070C0"/>
        </w:rPr>
      </w:pPr>
    </w:p>
    <w:p w:rsidR="00ED3BBA" w:rsidRPr="00544356" w:rsidRDefault="00ED3BBA" w:rsidP="00940496">
      <w:pPr>
        <w:jc w:val="both"/>
        <w:rPr>
          <w:rFonts w:ascii="Calibri" w:hAnsi="Calibri" w:cs="Arial"/>
          <w:color w:val="0070C0"/>
        </w:rPr>
      </w:pPr>
    </w:p>
    <w:p w:rsidR="0023741E" w:rsidRPr="006964D8" w:rsidRDefault="004E65E1" w:rsidP="00ED3BBA">
      <w:pPr>
        <w:pStyle w:val="Heading3"/>
        <w:rPr>
          <w:sz w:val="28"/>
          <w:szCs w:val="28"/>
        </w:rPr>
      </w:pPr>
      <w:r w:rsidRPr="004E65E1">
        <w:rPr>
          <w:sz w:val="28"/>
          <w:szCs w:val="28"/>
        </w:rPr>
        <w:t>Domain 3: Enhancing quality of life for people with long-term conditions</w:t>
      </w:r>
    </w:p>
    <w:p w:rsidR="00D56089" w:rsidRPr="00544356" w:rsidRDefault="00D56089" w:rsidP="00D56089">
      <w:pPr>
        <w:pStyle w:val="Heading4"/>
        <w:jc w:val="both"/>
        <w:rPr>
          <w:color w:val="0070C0"/>
        </w:rPr>
      </w:pPr>
      <w:r w:rsidRPr="00544356">
        <w:rPr>
          <w:rFonts w:ascii="Calibri" w:hAnsi="Calibri"/>
          <w:color w:val="0070C0"/>
        </w:rPr>
        <w:t>Current position</w:t>
      </w:r>
    </w:p>
    <w:p w:rsidR="0007340A" w:rsidRPr="00602971" w:rsidRDefault="00B36C9A" w:rsidP="0007340A">
      <w:pPr>
        <w:pStyle w:val="Pa1"/>
        <w:spacing w:after="160"/>
        <w:jc w:val="both"/>
        <w:rPr>
          <w:rFonts w:ascii="Calibri" w:hAnsi="Calibri" w:cs="Arial"/>
        </w:rPr>
      </w:pPr>
      <w:r>
        <w:rPr>
          <w:rFonts w:ascii="Calibri" w:hAnsi="Calibri" w:cs="Frutiger 55 Roman"/>
        </w:rPr>
        <w:t xml:space="preserve">There are two strands to our strategy </w:t>
      </w:r>
      <w:r w:rsidR="00663CE4">
        <w:rPr>
          <w:rFonts w:ascii="Calibri" w:hAnsi="Calibri" w:cs="Frutiger 55 Roman"/>
        </w:rPr>
        <w:t>helping</w:t>
      </w:r>
      <w:r>
        <w:rPr>
          <w:rFonts w:ascii="Calibri" w:hAnsi="Calibri" w:cs="Frutiger 55 Roman"/>
        </w:rPr>
        <w:t xml:space="preserve"> people </w:t>
      </w:r>
      <w:r w:rsidR="00663CE4">
        <w:rPr>
          <w:rFonts w:ascii="Calibri" w:hAnsi="Calibri" w:cs="Frutiger 55 Roman"/>
        </w:rPr>
        <w:t xml:space="preserve">to manage and live with </w:t>
      </w:r>
      <w:r>
        <w:rPr>
          <w:rFonts w:ascii="Calibri" w:hAnsi="Calibri" w:cs="Frutiger 55 Roman"/>
        </w:rPr>
        <w:t>long term conditions.  The first is to address improving their quality of life with a range of initiatives, foremost of these entitled “</w:t>
      </w:r>
      <w:r>
        <w:rPr>
          <w:rFonts w:ascii="Calibri" w:hAnsi="Calibri" w:cs="Arial"/>
        </w:rPr>
        <w:t>Patient Reported Outcome Measures” or PROM</w:t>
      </w:r>
      <w:r w:rsidR="008B4C0F">
        <w:rPr>
          <w:rFonts w:ascii="Calibri" w:hAnsi="Calibri" w:cs="Arial"/>
        </w:rPr>
        <w:t>s</w:t>
      </w:r>
      <w:r>
        <w:rPr>
          <w:rFonts w:ascii="Calibri" w:hAnsi="Calibri" w:cs="Arial"/>
        </w:rPr>
        <w:t xml:space="preserve">, a wide-ranging series of enhancements to procedures.  The second is </w:t>
      </w:r>
      <w:r w:rsidR="00B53B3B">
        <w:rPr>
          <w:rFonts w:ascii="Calibri" w:hAnsi="Calibri" w:cs="Arial"/>
        </w:rPr>
        <w:t>through a series of actions intended to</w:t>
      </w:r>
      <w:r>
        <w:rPr>
          <w:rFonts w:ascii="Calibri" w:hAnsi="Calibri" w:cs="Arial"/>
        </w:rPr>
        <w:t xml:space="preserve"> reduce the amount of time people with long-term conditions spend in hospital.</w:t>
      </w:r>
    </w:p>
    <w:p w:rsidR="00EA52BD" w:rsidRDefault="00CA5305" w:rsidP="00EA52BD">
      <w:pPr>
        <w:pStyle w:val="Heading4"/>
        <w:rPr>
          <w:color w:val="0070C0"/>
        </w:rPr>
      </w:pPr>
      <w:r>
        <w:rPr>
          <w:color w:val="0070C0"/>
        </w:rPr>
        <w:t>Aims</w:t>
      </w:r>
    </w:p>
    <w:p w:rsidR="00A6698A" w:rsidRDefault="00A6698A" w:rsidP="00A6698A">
      <w:pPr>
        <w:rPr>
          <w:rFonts w:ascii="Calibri" w:hAnsi="Calibri" w:cs="Arial"/>
        </w:rPr>
      </w:pPr>
    </w:p>
    <w:tbl>
      <w:tblPr>
        <w:tblStyle w:val="TableGrid"/>
        <w:tblW w:w="0" w:type="auto"/>
        <w:tblInd w:w="108" w:type="dxa"/>
        <w:tblLook w:val="04A0"/>
      </w:tblPr>
      <w:tblGrid>
        <w:gridCol w:w="9747"/>
      </w:tblGrid>
      <w:tr w:rsidR="00A6698A" w:rsidTr="003B0BAF">
        <w:tc>
          <w:tcPr>
            <w:tcW w:w="9747" w:type="dxa"/>
            <w:shd w:val="clear" w:color="auto" w:fill="F2F2F2" w:themeFill="background1" w:themeFillShade="F2"/>
          </w:tcPr>
          <w:p w:rsidR="00A6698A" w:rsidRPr="006964D8" w:rsidRDefault="004E65E1" w:rsidP="00200D5D">
            <w:pPr>
              <w:rPr>
                <w:rFonts w:ascii="Calibri" w:hAnsi="Calibri" w:cs="Arial"/>
                <w:b/>
                <w:sz w:val="28"/>
                <w:szCs w:val="28"/>
              </w:rPr>
            </w:pPr>
            <w:r w:rsidRPr="004E65E1">
              <w:rPr>
                <w:rFonts w:ascii="Calibri" w:hAnsi="Calibri" w:cs="Arial"/>
                <w:b/>
                <w:sz w:val="28"/>
                <w:szCs w:val="28"/>
              </w:rPr>
              <w:t>The Quality of Life for People with Long-Term Conditions will improve</w:t>
            </w:r>
          </w:p>
        </w:tc>
      </w:tr>
      <w:tr w:rsidR="00A6698A" w:rsidTr="003B0BAF">
        <w:tc>
          <w:tcPr>
            <w:tcW w:w="9747" w:type="dxa"/>
          </w:tcPr>
          <w:p w:rsidR="00A6698A" w:rsidRDefault="00A6698A" w:rsidP="00A6698A">
            <w:pPr>
              <w:rPr>
                <w:rFonts w:ascii="Calibri" w:hAnsi="Calibri" w:cs="Arial"/>
              </w:rPr>
            </w:pPr>
            <w:r w:rsidRPr="00B25833">
              <w:rPr>
                <w:rFonts w:ascii="Calibri" w:hAnsi="Calibri" w:cs="Arial"/>
                <w:b/>
              </w:rPr>
              <w:t>Measure</w:t>
            </w:r>
            <w:r>
              <w:rPr>
                <w:rFonts w:ascii="Calibri" w:hAnsi="Calibri" w:cs="Arial"/>
                <w:b/>
              </w:rPr>
              <w:t>s</w:t>
            </w:r>
            <w:r w:rsidRPr="00B25833">
              <w:rPr>
                <w:rFonts w:ascii="Calibri" w:hAnsi="Calibri" w:cs="Arial"/>
                <w:b/>
              </w:rPr>
              <w:t>:</w:t>
            </w:r>
            <w:r>
              <w:rPr>
                <w:rFonts w:ascii="Calibri" w:hAnsi="Calibri" w:cs="Arial"/>
              </w:rPr>
              <w:t xml:space="preserve"> </w:t>
            </w:r>
          </w:p>
          <w:p w:rsidR="00C2466A" w:rsidRDefault="00C2466A" w:rsidP="00287286">
            <w:pPr>
              <w:pStyle w:val="ListParagraph"/>
              <w:numPr>
                <w:ilvl w:val="0"/>
                <w:numId w:val="46"/>
              </w:numPr>
              <w:rPr>
                <w:rFonts w:ascii="Calibri" w:hAnsi="Calibri" w:cs="Arial"/>
              </w:rPr>
            </w:pPr>
            <w:r>
              <w:rPr>
                <w:rFonts w:ascii="Calibri" w:hAnsi="Calibri" w:cs="Arial"/>
              </w:rPr>
              <w:t>% of service users engaged in meaningful activity</w:t>
            </w:r>
          </w:p>
          <w:p w:rsidR="00C2466A" w:rsidRDefault="00C2466A" w:rsidP="00287286">
            <w:pPr>
              <w:pStyle w:val="ListParagraph"/>
              <w:numPr>
                <w:ilvl w:val="0"/>
                <w:numId w:val="46"/>
              </w:numPr>
              <w:rPr>
                <w:rFonts w:ascii="Calibri" w:hAnsi="Calibri" w:cs="Arial"/>
              </w:rPr>
            </w:pPr>
            <w:r>
              <w:rPr>
                <w:rFonts w:ascii="Calibri" w:hAnsi="Calibri" w:cs="Arial"/>
              </w:rPr>
              <w:t>% of service users in settled accommodation</w:t>
            </w:r>
          </w:p>
          <w:p w:rsidR="00C2466A" w:rsidRDefault="00C2466A" w:rsidP="00287286">
            <w:pPr>
              <w:pStyle w:val="ListParagraph"/>
              <w:numPr>
                <w:ilvl w:val="0"/>
                <w:numId w:val="46"/>
              </w:numPr>
              <w:rPr>
                <w:rFonts w:ascii="Calibri" w:hAnsi="Calibri" w:cs="Arial"/>
              </w:rPr>
            </w:pPr>
            <w:r>
              <w:rPr>
                <w:rFonts w:ascii="Calibri" w:hAnsi="Calibri" w:cs="Arial"/>
              </w:rPr>
              <w:t>% of service users in employment</w:t>
            </w:r>
          </w:p>
          <w:p w:rsidR="00A6698A" w:rsidRDefault="00C2466A" w:rsidP="00C2466A">
            <w:pPr>
              <w:pStyle w:val="ListParagraph"/>
              <w:numPr>
                <w:ilvl w:val="0"/>
                <w:numId w:val="46"/>
              </w:numPr>
              <w:rPr>
                <w:rFonts w:ascii="Calibri" w:hAnsi="Calibri" w:cs="Arial"/>
              </w:rPr>
            </w:pPr>
            <w:r>
              <w:rPr>
                <w:rFonts w:ascii="Calibri" w:hAnsi="Calibri" w:cs="Arial"/>
              </w:rPr>
              <w:t xml:space="preserve">Number </w:t>
            </w:r>
            <w:r w:rsidR="00287286">
              <w:rPr>
                <w:rFonts w:ascii="Calibri" w:hAnsi="Calibri" w:cs="Arial"/>
              </w:rPr>
              <w:t xml:space="preserve">of people </w:t>
            </w:r>
            <w:r>
              <w:rPr>
                <w:rFonts w:ascii="Calibri" w:hAnsi="Calibri" w:cs="Arial"/>
              </w:rPr>
              <w:t xml:space="preserve">with long-term conditions </w:t>
            </w:r>
            <w:r w:rsidR="00287286">
              <w:rPr>
                <w:rFonts w:ascii="Calibri" w:hAnsi="Calibri" w:cs="Arial"/>
              </w:rPr>
              <w:t>receiving IAPT</w:t>
            </w:r>
          </w:p>
          <w:p w:rsidR="00E15A82" w:rsidRPr="00B25833" w:rsidRDefault="00E15A82" w:rsidP="00C2466A">
            <w:pPr>
              <w:pStyle w:val="ListParagraph"/>
              <w:numPr>
                <w:ilvl w:val="0"/>
                <w:numId w:val="46"/>
              </w:numPr>
              <w:rPr>
                <w:rFonts w:ascii="Calibri" w:hAnsi="Calibri" w:cs="Arial"/>
              </w:rPr>
            </w:pPr>
            <w:r>
              <w:rPr>
                <w:rFonts w:ascii="Calibri" w:hAnsi="Calibri" w:cs="Arial"/>
              </w:rPr>
              <w:t>[</w:t>
            </w:r>
            <w:r w:rsidRPr="00E15A82">
              <w:rPr>
                <w:rFonts w:ascii="Calibri" w:hAnsi="Calibri" w:cs="Arial"/>
                <w:highlight w:val="yellow"/>
              </w:rPr>
              <w:t>Community measures to be developed</w:t>
            </w:r>
            <w:r>
              <w:rPr>
                <w:rFonts w:ascii="Calibri" w:hAnsi="Calibri" w:cs="Arial"/>
              </w:rPr>
              <w:t>]</w:t>
            </w:r>
          </w:p>
        </w:tc>
      </w:tr>
      <w:tr w:rsidR="00A6698A" w:rsidTr="003B0BAF">
        <w:tc>
          <w:tcPr>
            <w:tcW w:w="9747" w:type="dxa"/>
          </w:tcPr>
          <w:p w:rsidR="00A6698A" w:rsidRPr="00B25833" w:rsidRDefault="00A6698A" w:rsidP="00A6698A">
            <w:pPr>
              <w:rPr>
                <w:rFonts w:ascii="Calibri" w:hAnsi="Calibri" w:cs="Arial"/>
                <w:b/>
              </w:rPr>
            </w:pPr>
            <w:r w:rsidRPr="00B25833">
              <w:rPr>
                <w:rFonts w:ascii="Calibri" w:hAnsi="Calibri" w:cs="Arial"/>
                <w:b/>
              </w:rPr>
              <w:t xml:space="preserve">Targets: </w:t>
            </w:r>
          </w:p>
          <w:p w:rsidR="00E037F4" w:rsidRPr="007E7383" w:rsidRDefault="00E037F4" w:rsidP="00E037F4">
            <w:pPr>
              <w:numPr>
                <w:ilvl w:val="0"/>
                <w:numId w:val="4"/>
              </w:numPr>
              <w:jc w:val="both"/>
              <w:rPr>
                <w:rFonts w:ascii="Calibri" w:hAnsi="Calibri" w:cs="Arial"/>
              </w:rPr>
            </w:pPr>
            <w:r w:rsidRPr="007E7383">
              <w:rPr>
                <w:rFonts w:ascii="Calibri" w:hAnsi="Calibri" w:cs="Arial"/>
              </w:rPr>
              <w:t xml:space="preserve">100% of mental health patients on CPA should have a current care plan, had care reviewed in the last 6 months; a care coordinator and a risk assessment which has been reviewed in the last 12 months </w:t>
            </w:r>
          </w:p>
          <w:p w:rsidR="00A6698A" w:rsidRDefault="00E037F4" w:rsidP="00E037F4">
            <w:pPr>
              <w:pStyle w:val="ListParagraph"/>
              <w:numPr>
                <w:ilvl w:val="0"/>
                <w:numId w:val="44"/>
              </w:numPr>
              <w:rPr>
                <w:rFonts w:ascii="Calibri" w:hAnsi="Calibri" w:cs="Arial"/>
              </w:rPr>
            </w:pPr>
            <w:r w:rsidRPr="007E7383">
              <w:rPr>
                <w:rFonts w:ascii="Calibri" w:hAnsi="Calibri" w:cs="Arial"/>
              </w:rPr>
              <w:t xml:space="preserve">100% of mental health patients have a copy of their care plan and were </w:t>
            </w:r>
            <w:r w:rsidR="00C2466A">
              <w:rPr>
                <w:rFonts w:ascii="Calibri" w:hAnsi="Calibri" w:cs="Arial"/>
              </w:rPr>
              <w:t xml:space="preserve">offered an opportunity to be </w:t>
            </w:r>
            <w:r w:rsidRPr="007E7383">
              <w:rPr>
                <w:rFonts w:ascii="Calibri" w:hAnsi="Calibri" w:cs="Arial"/>
              </w:rPr>
              <w:t xml:space="preserve">engaged in its development </w:t>
            </w:r>
          </w:p>
          <w:p w:rsidR="0019325D" w:rsidRDefault="0019325D" w:rsidP="00E037F4">
            <w:pPr>
              <w:pStyle w:val="ListParagraph"/>
              <w:numPr>
                <w:ilvl w:val="0"/>
                <w:numId w:val="44"/>
              </w:numPr>
              <w:rPr>
                <w:rFonts w:ascii="Calibri" w:hAnsi="Calibri" w:cs="Arial"/>
              </w:rPr>
            </w:pPr>
            <w:r>
              <w:rPr>
                <w:rFonts w:ascii="Calibri" w:hAnsi="Calibri" w:cs="Arial"/>
              </w:rPr>
              <w:t>At least 85% general rehabilitation patients admitted to Community Hospitals have been screened for dementia and depression based on the screening and assessment protocol.</w:t>
            </w:r>
          </w:p>
          <w:p w:rsidR="00E15A82" w:rsidRDefault="00E15A82" w:rsidP="00E037F4">
            <w:pPr>
              <w:pStyle w:val="ListParagraph"/>
              <w:numPr>
                <w:ilvl w:val="0"/>
                <w:numId w:val="44"/>
              </w:numPr>
              <w:rPr>
                <w:rFonts w:ascii="Calibri" w:hAnsi="Calibri" w:cs="Arial"/>
              </w:rPr>
            </w:pPr>
            <w:r>
              <w:rPr>
                <w:rFonts w:ascii="Calibri" w:hAnsi="Calibri" w:cs="Arial"/>
              </w:rPr>
              <w:t>Patients with long term conditions will have a named professional coordinating their care</w:t>
            </w:r>
          </w:p>
          <w:p w:rsidR="004131B4" w:rsidRDefault="004131B4" w:rsidP="00E037F4">
            <w:pPr>
              <w:pStyle w:val="ListParagraph"/>
              <w:numPr>
                <w:ilvl w:val="0"/>
                <w:numId w:val="44"/>
              </w:numPr>
              <w:rPr>
                <w:rFonts w:ascii="Calibri" w:hAnsi="Calibri" w:cs="Arial"/>
              </w:rPr>
            </w:pPr>
            <w:r w:rsidRPr="004131B4">
              <w:rPr>
                <w:rFonts w:ascii="Calibri" w:hAnsi="Calibri" w:cs="Arial"/>
                <w:highlight w:val="yellow"/>
              </w:rPr>
              <w:t xml:space="preserve">Target on </w:t>
            </w:r>
            <w:r w:rsidR="00E15A82">
              <w:rPr>
                <w:rFonts w:ascii="Calibri" w:hAnsi="Calibri" w:cs="Arial"/>
                <w:highlight w:val="yellow"/>
              </w:rPr>
              <w:t xml:space="preserve">Child Health </w:t>
            </w:r>
            <w:r w:rsidRPr="004131B4">
              <w:rPr>
                <w:rFonts w:ascii="Calibri" w:hAnsi="Calibri" w:cs="Arial"/>
                <w:highlight w:val="yellow"/>
              </w:rPr>
              <w:t>early intervention to be agreed</w:t>
            </w:r>
          </w:p>
          <w:p w:rsidR="00E15A82" w:rsidRDefault="00E15A82" w:rsidP="00E15A82">
            <w:pPr>
              <w:pStyle w:val="ListParagraph"/>
              <w:numPr>
                <w:ilvl w:val="0"/>
                <w:numId w:val="44"/>
              </w:numPr>
              <w:rPr>
                <w:rFonts w:ascii="Calibri" w:hAnsi="Calibri" w:cs="Arial"/>
              </w:rPr>
            </w:pPr>
            <w:r>
              <w:rPr>
                <w:rFonts w:ascii="Calibri" w:hAnsi="Calibri" w:cs="Arial"/>
              </w:rPr>
              <w:t>Redesign of Community Children’s Nursing Services to reduce unplanned admissions and support early discharges</w:t>
            </w:r>
          </w:p>
          <w:p w:rsidR="0080665D" w:rsidRDefault="0080665D" w:rsidP="00E15A82">
            <w:pPr>
              <w:pStyle w:val="ListParagraph"/>
              <w:numPr>
                <w:ilvl w:val="0"/>
                <w:numId w:val="44"/>
              </w:numPr>
              <w:rPr>
                <w:rFonts w:ascii="Calibri" w:hAnsi="Calibri" w:cs="Arial"/>
              </w:rPr>
            </w:pPr>
            <w:r>
              <w:rPr>
                <w:rFonts w:ascii="Calibri" w:hAnsi="Calibri" w:cs="Arial"/>
              </w:rPr>
              <w:t>[</w:t>
            </w:r>
            <w:r w:rsidRPr="0080665D">
              <w:rPr>
                <w:rFonts w:ascii="Calibri" w:hAnsi="Calibri" w:cs="Arial"/>
                <w:highlight w:val="yellow"/>
              </w:rPr>
              <w:t>Further community measures to be developed]</w:t>
            </w:r>
          </w:p>
        </w:tc>
      </w:tr>
      <w:tr w:rsidR="00A6698A" w:rsidTr="003B0BAF">
        <w:tc>
          <w:tcPr>
            <w:tcW w:w="9747" w:type="dxa"/>
          </w:tcPr>
          <w:p w:rsidR="00A6698A" w:rsidRPr="00B25833" w:rsidRDefault="00A6698A" w:rsidP="00A6698A">
            <w:pPr>
              <w:rPr>
                <w:rFonts w:ascii="Calibri" w:hAnsi="Calibri" w:cs="Arial"/>
                <w:b/>
              </w:rPr>
            </w:pPr>
            <w:r>
              <w:rPr>
                <w:rFonts w:ascii="Calibri" w:hAnsi="Calibri" w:cs="Arial"/>
                <w:b/>
              </w:rPr>
              <w:t>Initiatives</w:t>
            </w:r>
            <w:r w:rsidRPr="00B25833">
              <w:rPr>
                <w:rFonts w:ascii="Calibri" w:hAnsi="Calibri" w:cs="Arial"/>
                <w:b/>
              </w:rPr>
              <w:t>:</w:t>
            </w:r>
          </w:p>
          <w:p w:rsidR="004131B4" w:rsidRDefault="004131B4" w:rsidP="00A6698A">
            <w:pPr>
              <w:pStyle w:val="ListParagraph"/>
              <w:numPr>
                <w:ilvl w:val="0"/>
                <w:numId w:val="3"/>
              </w:numPr>
              <w:rPr>
                <w:rFonts w:ascii="Calibri" w:hAnsi="Calibri" w:cs="Arial"/>
              </w:rPr>
            </w:pPr>
            <w:r>
              <w:rPr>
                <w:rFonts w:ascii="Calibri" w:hAnsi="Calibri" w:cs="Arial"/>
              </w:rPr>
              <w:t>Improve access to IAPT</w:t>
            </w:r>
          </w:p>
          <w:p w:rsidR="00A6698A" w:rsidRDefault="00200D5D" w:rsidP="00A6698A">
            <w:pPr>
              <w:pStyle w:val="ListParagraph"/>
              <w:numPr>
                <w:ilvl w:val="0"/>
                <w:numId w:val="3"/>
              </w:numPr>
              <w:rPr>
                <w:rFonts w:ascii="Calibri" w:hAnsi="Calibri" w:cs="Arial"/>
              </w:rPr>
            </w:pPr>
            <w:r>
              <w:rPr>
                <w:rFonts w:ascii="Calibri" w:hAnsi="Calibri" w:cs="Arial"/>
              </w:rPr>
              <w:t>Ensure the integration and cross-working of physical and mental health skills to support people with Long Term Conditions (LTC)</w:t>
            </w:r>
            <w:r w:rsidR="000E5B4F">
              <w:rPr>
                <w:rFonts w:ascii="Calibri" w:hAnsi="Calibri" w:cs="Arial"/>
              </w:rPr>
              <w:t>. This will lead to improved access to IAPT for those with a LTC</w:t>
            </w:r>
          </w:p>
          <w:p w:rsidR="00A65C6D" w:rsidRDefault="00A65C6D" w:rsidP="00A6698A">
            <w:pPr>
              <w:pStyle w:val="ListParagraph"/>
              <w:numPr>
                <w:ilvl w:val="0"/>
                <w:numId w:val="3"/>
              </w:numPr>
              <w:rPr>
                <w:rFonts w:ascii="Calibri" w:hAnsi="Calibri" w:cs="Arial"/>
              </w:rPr>
            </w:pPr>
            <w:r>
              <w:rPr>
                <w:rFonts w:ascii="Calibri" w:hAnsi="Calibri" w:cs="Arial"/>
              </w:rPr>
              <w:t>Implement Patient Reported Outcome Measures (PROM</w:t>
            </w:r>
            <w:r w:rsidR="008B4C0F">
              <w:rPr>
                <w:rFonts w:ascii="Calibri" w:hAnsi="Calibri" w:cs="Arial"/>
              </w:rPr>
              <w:t>s</w:t>
            </w:r>
            <w:r>
              <w:rPr>
                <w:rFonts w:ascii="Calibri" w:hAnsi="Calibri" w:cs="Arial"/>
              </w:rPr>
              <w:t xml:space="preserve">) </w:t>
            </w:r>
            <w:r w:rsidR="004131B4">
              <w:rPr>
                <w:rFonts w:ascii="Calibri" w:hAnsi="Calibri" w:cs="Arial"/>
              </w:rPr>
              <w:t>in specific areas</w:t>
            </w:r>
          </w:p>
          <w:p w:rsidR="009D5A22" w:rsidRDefault="009D5A22" w:rsidP="00A6698A">
            <w:pPr>
              <w:pStyle w:val="ListParagraph"/>
              <w:numPr>
                <w:ilvl w:val="0"/>
                <w:numId w:val="3"/>
              </w:numPr>
              <w:rPr>
                <w:rFonts w:ascii="Calibri" w:hAnsi="Calibri" w:cs="Arial"/>
              </w:rPr>
            </w:pPr>
            <w:r>
              <w:rPr>
                <w:rFonts w:ascii="Calibri" w:hAnsi="Calibri" w:cs="Arial"/>
              </w:rPr>
              <w:t>As part of PROM</w:t>
            </w:r>
            <w:r w:rsidR="008B4C0F">
              <w:rPr>
                <w:rFonts w:ascii="Calibri" w:hAnsi="Calibri" w:cs="Arial"/>
              </w:rPr>
              <w:t>s</w:t>
            </w:r>
            <w:r>
              <w:rPr>
                <w:rFonts w:ascii="Calibri" w:hAnsi="Calibri" w:cs="Arial"/>
              </w:rPr>
              <w:t>, implement a self-monitoring system (</w:t>
            </w:r>
            <w:proofErr w:type="spellStart"/>
            <w:r>
              <w:rPr>
                <w:rFonts w:ascii="Calibri" w:hAnsi="Calibri" w:cs="Arial"/>
              </w:rPr>
              <w:t>Oxtext</w:t>
            </w:r>
            <w:proofErr w:type="spellEnd"/>
            <w:r>
              <w:rPr>
                <w:rFonts w:ascii="Calibri" w:hAnsi="Calibri" w:cs="Arial"/>
              </w:rPr>
              <w:t xml:space="preserve"> 7) </w:t>
            </w:r>
            <w:r w:rsidR="00554E8D">
              <w:rPr>
                <w:rFonts w:ascii="Calibri" w:hAnsi="Calibri" w:cs="Arial"/>
              </w:rPr>
              <w:t>that allows patients with a variety of conditions to take more control over their illness and also allows their care interventions to be tailored to the individual.</w:t>
            </w:r>
          </w:p>
          <w:p w:rsidR="00554E8D" w:rsidRPr="00554E8D" w:rsidRDefault="00554E8D" w:rsidP="00554E8D">
            <w:pPr>
              <w:pStyle w:val="ListParagraph"/>
              <w:numPr>
                <w:ilvl w:val="0"/>
                <w:numId w:val="3"/>
              </w:numPr>
              <w:rPr>
                <w:rFonts w:ascii="Calibri" w:hAnsi="Calibri" w:cs="Arial"/>
              </w:rPr>
            </w:pPr>
            <w:r>
              <w:rPr>
                <w:rFonts w:ascii="Calibri" w:hAnsi="Calibri" w:cs="Arial"/>
              </w:rPr>
              <w:t>As part of PROM</w:t>
            </w:r>
            <w:r w:rsidR="008B4C0F">
              <w:rPr>
                <w:rFonts w:ascii="Calibri" w:hAnsi="Calibri" w:cs="Arial"/>
              </w:rPr>
              <w:t>s</w:t>
            </w:r>
            <w:r>
              <w:rPr>
                <w:rFonts w:ascii="Calibri" w:hAnsi="Calibri" w:cs="Arial"/>
              </w:rPr>
              <w:t>, launch Outcomes Project within Forensics service in 2012</w:t>
            </w:r>
          </w:p>
          <w:p w:rsidR="00E037F4" w:rsidRDefault="00E037F4" w:rsidP="004131B4">
            <w:pPr>
              <w:pStyle w:val="ListParagraph"/>
              <w:numPr>
                <w:ilvl w:val="0"/>
                <w:numId w:val="3"/>
              </w:numPr>
              <w:rPr>
                <w:rFonts w:ascii="Calibri" w:hAnsi="Calibri" w:cs="Arial"/>
              </w:rPr>
            </w:pPr>
            <w:r>
              <w:rPr>
                <w:rFonts w:ascii="Calibri" w:hAnsi="Calibri" w:cs="Arial"/>
              </w:rPr>
              <w:t>Improving rehabilitation care for patients with dementia</w:t>
            </w:r>
            <w:r w:rsidR="000E5B4F">
              <w:rPr>
                <w:rFonts w:ascii="Calibri" w:hAnsi="Calibri" w:cs="Arial"/>
              </w:rPr>
              <w:t xml:space="preserve"> in OCS</w:t>
            </w:r>
          </w:p>
          <w:p w:rsidR="00E037F4" w:rsidRDefault="00E037F4" w:rsidP="004131B4">
            <w:pPr>
              <w:pStyle w:val="ListParagraph"/>
              <w:numPr>
                <w:ilvl w:val="0"/>
                <w:numId w:val="3"/>
              </w:numPr>
              <w:rPr>
                <w:rFonts w:ascii="Calibri" w:hAnsi="Calibri" w:cs="Arial"/>
              </w:rPr>
            </w:pPr>
            <w:r>
              <w:rPr>
                <w:rFonts w:ascii="Calibri" w:hAnsi="Calibri" w:cs="Arial"/>
              </w:rPr>
              <w:lastRenderedPageBreak/>
              <w:t xml:space="preserve">Improve use of the </w:t>
            </w:r>
            <w:r w:rsidR="004131B4">
              <w:rPr>
                <w:rFonts w:ascii="Calibri" w:hAnsi="Calibri" w:cs="Arial"/>
              </w:rPr>
              <w:t>“</w:t>
            </w:r>
            <w:r>
              <w:rPr>
                <w:rFonts w:ascii="Calibri" w:hAnsi="Calibri" w:cs="Arial"/>
              </w:rPr>
              <w:t>Liverpool care pathway</w:t>
            </w:r>
            <w:r w:rsidR="004131B4">
              <w:rPr>
                <w:rFonts w:ascii="Calibri" w:hAnsi="Calibri" w:cs="Arial"/>
              </w:rPr>
              <w:t>”</w:t>
            </w:r>
            <w:r>
              <w:rPr>
                <w:rFonts w:ascii="Calibri" w:hAnsi="Calibri" w:cs="Arial"/>
              </w:rPr>
              <w:t xml:space="preserve"> for people supported in dying at home</w:t>
            </w:r>
          </w:p>
          <w:p w:rsidR="0006431A" w:rsidRDefault="0006431A" w:rsidP="004131B4">
            <w:pPr>
              <w:pStyle w:val="ListParagraph"/>
              <w:numPr>
                <w:ilvl w:val="0"/>
                <w:numId w:val="3"/>
              </w:numPr>
              <w:rPr>
                <w:rFonts w:ascii="Calibri" w:hAnsi="Calibri" w:cs="Arial"/>
              </w:rPr>
            </w:pPr>
            <w:r>
              <w:rPr>
                <w:rFonts w:ascii="Calibri" w:hAnsi="Calibri" w:cs="Arial"/>
              </w:rPr>
              <w:t>Consist</w:t>
            </w:r>
            <w:r w:rsidR="004131B4">
              <w:rPr>
                <w:rFonts w:ascii="Calibri" w:hAnsi="Calibri" w:cs="Arial"/>
              </w:rPr>
              <w:t>e</w:t>
            </w:r>
            <w:r>
              <w:rPr>
                <w:rFonts w:ascii="Calibri" w:hAnsi="Calibri" w:cs="Arial"/>
              </w:rPr>
              <w:t>nt implementation of primary nursing across district nursing</w:t>
            </w:r>
          </w:p>
          <w:p w:rsidR="0006431A" w:rsidRDefault="0006431A" w:rsidP="004131B4">
            <w:pPr>
              <w:pStyle w:val="ListParagraph"/>
              <w:numPr>
                <w:ilvl w:val="0"/>
                <w:numId w:val="3"/>
              </w:numPr>
              <w:rPr>
                <w:rFonts w:ascii="Calibri" w:hAnsi="Calibri" w:cs="Arial"/>
              </w:rPr>
            </w:pPr>
            <w:r>
              <w:rPr>
                <w:rFonts w:ascii="Calibri" w:hAnsi="Calibri" w:cs="Arial"/>
              </w:rPr>
              <w:t xml:space="preserve">Roll out of </w:t>
            </w:r>
            <w:r w:rsidR="004131B4">
              <w:rPr>
                <w:rFonts w:ascii="Calibri" w:hAnsi="Calibri" w:cs="Arial"/>
              </w:rPr>
              <w:t>“</w:t>
            </w:r>
            <w:r>
              <w:rPr>
                <w:rFonts w:ascii="Calibri" w:hAnsi="Calibri" w:cs="Arial"/>
              </w:rPr>
              <w:t>East Kent Outcomes tool</w:t>
            </w:r>
            <w:r w:rsidR="004131B4">
              <w:rPr>
                <w:rFonts w:ascii="Calibri" w:hAnsi="Calibri" w:cs="Arial"/>
              </w:rPr>
              <w:t>” to help assess rehabilitation for stroke patients</w:t>
            </w:r>
          </w:p>
          <w:p w:rsidR="00A65C6D" w:rsidRDefault="004131B4" w:rsidP="004131B4">
            <w:pPr>
              <w:pStyle w:val="ListParagraph"/>
              <w:numPr>
                <w:ilvl w:val="0"/>
                <w:numId w:val="3"/>
              </w:numPr>
              <w:rPr>
                <w:rFonts w:ascii="Calibri" w:hAnsi="Calibri" w:cs="Arial"/>
              </w:rPr>
            </w:pPr>
            <w:r>
              <w:rPr>
                <w:rFonts w:ascii="Calibri" w:hAnsi="Calibri" w:cs="Arial"/>
              </w:rPr>
              <w:t>Develop our services to support care closer to home th</w:t>
            </w:r>
            <w:r w:rsidR="00F24970">
              <w:rPr>
                <w:rFonts w:ascii="Calibri" w:hAnsi="Calibri" w:cs="Arial"/>
              </w:rPr>
              <w:t xml:space="preserve">rough </w:t>
            </w:r>
            <w:r>
              <w:rPr>
                <w:rFonts w:ascii="Calibri" w:hAnsi="Calibri" w:cs="Arial"/>
              </w:rPr>
              <w:t xml:space="preserve">acute hospital avoidance </w:t>
            </w:r>
            <w:r w:rsidR="00F24970">
              <w:rPr>
                <w:rFonts w:ascii="Calibri" w:hAnsi="Calibri" w:cs="Arial"/>
              </w:rPr>
              <w:t>for OCS patients</w:t>
            </w:r>
          </w:p>
          <w:p w:rsidR="00E037F4" w:rsidRDefault="00F24970" w:rsidP="00F24970">
            <w:pPr>
              <w:pStyle w:val="ListParagraph"/>
              <w:numPr>
                <w:ilvl w:val="0"/>
                <w:numId w:val="3"/>
              </w:numPr>
              <w:rPr>
                <w:rFonts w:ascii="Calibri" w:hAnsi="Calibri" w:cs="Arial"/>
              </w:rPr>
            </w:pPr>
            <w:r>
              <w:rPr>
                <w:rFonts w:ascii="Calibri" w:hAnsi="Calibri" w:cs="Arial"/>
              </w:rPr>
              <w:t xml:space="preserve">For service users with non-psychotic and psychotic high need, define clear and comprehensive early intervention packages of care </w:t>
            </w:r>
          </w:p>
          <w:p w:rsidR="009D5A22" w:rsidRPr="00A256B3" w:rsidRDefault="009D5A22" w:rsidP="00D547C3">
            <w:pPr>
              <w:pStyle w:val="ListParagraph"/>
              <w:numPr>
                <w:ilvl w:val="0"/>
                <w:numId w:val="3"/>
              </w:numPr>
              <w:rPr>
                <w:rFonts w:ascii="Calibri" w:hAnsi="Calibri" w:cs="Arial"/>
              </w:rPr>
            </w:pPr>
            <w:r>
              <w:rPr>
                <w:rFonts w:ascii="Calibri" w:hAnsi="Calibri" w:cs="Arial"/>
              </w:rPr>
              <w:t xml:space="preserve">Promote </w:t>
            </w:r>
            <w:r w:rsidR="000E5B4F">
              <w:rPr>
                <w:rFonts w:ascii="Calibri" w:hAnsi="Calibri" w:cs="Arial"/>
              </w:rPr>
              <w:t>the wellbeing</w:t>
            </w:r>
            <w:r>
              <w:rPr>
                <w:rFonts w:ascii="Calibri" w:hAnsi="Calibri" w:cs="Arial"/>
              </w:rPr>
              <w:t xml:space="preserve"> of people with mental health conditions</w:t>
            </w:r>
            <w:r w:rsidR="000E5B4F">
              <w:rPr>
                <w:rFonts w:ascii="Calibri" w:hAnsi="Calibri" w:cs="Arial"/>
              </w:rPr>
              <w:t xml:space="preserve"> through initiatives such as smoking</w:t>
            </w:r>
            <w:r w:rsidR="00D547C3">
              <w:rPr>
                <w:rFonts w:ascii="Calibri" w:hAnsi="Calibri" w:cs="Arial"/>
              </w:rPr>
              <w:t xml:space="preserve"> cessation</w:t>
            </w:r>
          </w:p>
        </w:tc>
      </w:tr>
    </w:tbl>
    <w:p w:rsidR="00200D5D" w:rsidRDefault="00200D5D" w:rsidP="00200D5D">
      <w:pPr>
        <w:rPr>
          <w:rFonts w:ascii="Calibri" w:hAnsi="Calibri" w:cs="Arial"/>
        </w:rPr>
      </w:pPr>
    </w:p>
    <w:tbl>
      <w:tblPr>
        <w:tblStyle w:val="TableGrid"/>
        <w:tblW w:w="0" w:type="auto"/>
        <w:tblInd w:w="108" w:type="dxa"/>
        <w:tblLook w:val="04A0"/>
      </w:tblPr>
      <w:tblGrid>
        <w:gridCol w:w="9747"/>
      </w:tblGrid>
      <w:tr w:rsidR="00200D5D" w:rsidTr="003B0BAF">
        <w:tc>
          <w:tcPr>
            <w:tcW w:w="9747" w:type="dxa"/>
            <w:shd w:val="clear" w:color="auto" w:fill="F2F2F2" w:themeFill="background1" w:themeFillShade="F2"/>
          </w:tcPr>
          <w:p w:rsidR="00200D5D" w:rsidRPr="006964D8" w:rsidRDefault="004E65E1" w:rsidP="00200D5D">
            <w:pPr>
              <w:rPr>
                <w:rFonts w:ascii="Calibri" w:hAnsi="Calibri" w:cs="Arial"/>
                <w:b/>
                <w:sz w:val="28"/>
                <w:szCs w:val="28"/>
              </w:rPr>
            </w:pPr>
            <w:r w:rsidRPr="004E65E1">
              <w:rPr>
                <w:rFonts w:ascii="Calibri" w:hAnsi="Calibri" w:cs="Arial"/>
                <w:b/>
                <w:sz w:val="28"/>
                <w:szCs w:val="28"/>
              </w:rPr>
              <w:t>People with Long-Term Conditions will spend less Time in Hospital</w:t>
            </w:r>
          </w:p>
        </w:tc>
      </w:tr>
      <w:tr w:rsidR="00200D5D" w:rsidTr="003B0BAF">
        <w:tc>
          <w:tcPr>
            <w:tcW w:w="9747" w:type="dxa"/>
          </w:tcPr>
          <w:p w:rsidR="00200D5D" w:rsidRDefault="00200D5D" w:rsidP="00200D5D">
            <w:pPr>
              <w:rPr>
                <w:rFonts w:ascii="Calibri" w:hAnsi="Calibri" w:cs="Arial"/>
              </w:rPr>
            </w:pPr>
            <w:r w:rsidRPr="00B25833">
              <w:rPr>
                <w:rFonts w:ascii="Calibri" w:hAnsi="Calibri" w:cs="Arial"/>
                <w:b/>
              </w:rPr>
              <w:t>Measure</w:t>
            </w:r>
            <w:r>
              <w:rPr>
                <w:rFonts w:ascii="Calibri" w:hAnsi="Calibri" w:cs="Arial"/>
                <w:b/>
              </w:rPr>
              <w:t>s</w:t>
            </w:r>
            <w:r w:rsidRPr="00B25833">
              <w:rPr>
                <w:rFonts w:ascii="Calibri" w:hAnsi="Calibri" w:cs="Arial"/>
                <w:b/>
              </w:rPr>
              <w:t>:</w:t>
            </w:r>
            <w:r>
              <w:rPr>
                <w:rFonts w:ascii="Calibri" w:hAnsi="Calibri" w:cs="Arial"/>
              </w:rPr>
              <w:t xml:space="preserve"> </w:t>
            </w:r>
          </w:p>
          <w:p w:rsidR="00200D5D" w:rsidRPr="00B25833" w:rsidRDefault="00200D5D" w:rsidP="00200D5D">
            <w:pPr>
              <w:pStyle w:val="ListParagraph"/>
              <w:numPr>
                <w:ilvl w:val="0"/>
                <w:numId w:val="46"/>
              </w:numPr>
              <w:rPr>
                <w:rFonts w:ascii="Calibri" w:hAnsi="Calibri" w:cs="Arial"/>
              </w:rPr>
            </w:pPr>
            <w:r>
              <w:rPr>
                <w:rFonts w:ascii="Calibri" w:hAnsi="Calibri" w:cs="Arial"/>
              </w:rPr>
              <w:t>Number of unplanned hospital admissions for long-term conditions</w:t>
            </w:r>
          </w:p>
        </w:tc>
      </w:tr>
      <w:tr w:rsidR="00200D5D" w:rsidTr="003B0BAF">
        <w:tc>
          <w:tcPr>
            <w:tcW w:w="9747" w:type="dxa"/>
          </w:tcPr>
          <w:p w:rsidR="00200D5D" w:rsidRPr="00B25833" w:rsidRDefault="00200D5D" w:rsidP="00200D5D">
            <w:pPr>
              <w:rPr>
                <w:rFonts w:ascii="Calibri" w:hAnsi="Calibri" w:cs="Arial"/>
                <w:b/>
              </w:rPr>
            </w:pPr>
            <w:r w:rsidRPr="00B25833">
              <w:rPr>
                <w:rFonts w:ascii="Calibri" w:hAnsi="Calibri" w:cs="Arial"/>
                <w:b/>
              </w:rPr>
              <w:t xml:space="preserve">Targets: </w:t>
            </w:r>
          </w:p>
          <w:p w:rsidR="008440DA" w:rsidRDefault="008440DA" w:rsidP="008440DA">
            <w:pPr>
              <w:pStyle w:val="ListParagraph"/>
              <w:numPr>
                <w:ilvl w:val="0"/>
                <w:numId w:val="4"/>
              </w:numPr>
              <w:jc w:val="both"/>
              <w:rPr>
                <w:rFonts w:ascii="Calibri" w:hAnsi="Calibri" w:cs="Arial"/>
              </w:rPr>
            </w:pPr>
            <w:r>
              <w:rPr>
                <w:rFonts w:ascii="Calibri" w:hAnsi="Calibri" w:cs="Arial"/>
              </w:rPr>
              <w:t>At least 85% of general rehabilitation patients admitted to Community Hospitals have been screened for dementia and depression based on the screening and assessment protocol</w:t>
            </w:r>
          </w:p>
          <w:p w:rsidR="00CA5305" w:rsidRDefault="00CA5305" w:rsidP="00CA5305">
            <w:pPr>
              <w:pStyle w:val="ListParagraph"/>
              <w:numPr>
                <w:ilvl w:val="0"/>
                <w:numId w:val="4"/>
              </w:numPr>
              <w:jc w:val="both"/>
              <w:rPr>
                <w:rFonts w:ascii="Calibri" w:hAnsi="Calibri" w:cs="Arial"/>
              </w:rPr>
            </w:pPr>
            <w:r w:rsidRPr="00CA5305">
              <w:rPr>
                <w:rFonts w:ascii="Calibri" w:hAnsi="Calibri" w:cs="Arial"/>
              </w:rPr>
              <w:t>100% of mental health patients on CPA</w:t>
            </w:r>
            <w:r>
              <w:rPr>
                <w:rFonts w:ascii="Calibri" w:hAnsi="Calibri" w:cs="Arial"/>
              </w:rPr>
              <w:t>:</w:t>
            </w:r>
          </w:p>
          <w:p w:rsidR="00CA5305" w:rsidRDefault="00CA5305" w:rsidP="00CA5305">
            <w:pPr>
              <w:pStyle w:val="ListParagraph"/>
              <w:numPr>
                <w:ilvl w:val="1"/>
                <w:numId w:val="4"/>
              </w:numPr>
              <w:jc w:val="both"/>
              <w:rPr>
                <w:rFonts w:ascii="Calibri" w:hAnsi="Calibri" w:cs="Arial"/>
              </w:rPr>
            </w:pPr>
            <w:r w:rsidRPr="00CA5305">
              <w:rPr>
                <w:rFonts w:ascii="Calibri" w:hAnsi="Calibri" w:cs="Arial"/>
              </w:rPr>
              <w:t>have a current care plan</w:t>
            </w:r>
          </w:p>
          <w:p w:rsidR="00CA5305" w:rsidRDefault="00CA5305" w:rsidP="00CA5305">
            <w:pPr>
              <w:pStyle w:val="ListParagraph"/>
              <w:numPr>
                <w:ilvl w:val="1"/>
                <w:numId w:val="4"/>
              </w:numPr>
              <w:jc w:val="both"/>
              <w:rPr>
                <w:rFonts w:ascii="Calibri" w:hAnsi="Calibri" w:cs="Arial"/>
              </w:rPr>
            </w:pPr>
            <w:r w:rsidRPr="00CA5305">
              <w:rPr>
                <w:rFonts w:ascii="Calibri" w:hAnsi="Calibri" w:cs="Arial"/>
              </w:rPr>
              <w:t>had care reviewed in the last 6 months</w:t>
            </w:r>
          </w:p>
          <w:p w:rsidR="00CA5305" w:rsidRDefault="00CA5305" w:rsidP="00CA5305">
            <w:pPr>
              <w:pStyle w:val="ListParagraph"/>
              <w:numPr>
                <w:ilvl w:val="1"/>
                <w:numId w:val="4"/>
              </w:numPr>
              <w:jc w:val="both"/>
              <w:rPr>
                <w:rFonts w:ascii="Calibri" w:hAnsi="Calibri" w:cs="Arial"/>
              </w:rPr>
            </w:pPr>
            <w:r>
              <w:rPr>
                <w:rFonts w:ascii="Calibri" w:hAnsi="Calibri" w:cs="Arial"/>
              </w:rPr>
              <w:t>have</w:t>
            </w:r>
            <w:r w:rsidRPr="00CA5305">
              <w:rPr>
                <w:rFonts w:ascii="Calibri" w:hAnsi="Calibri" w:cs="Arial"/>
              </w:rPr>
              <w:t xml:space="preserve"> a care coordinator</w:t>
            </w:r>
          </w:p>
          <w:p w:rsidR="00CA5305" w:rsidRPr="00CA5305" w:rsidRDefault="00CA5305" w:rsidP="00CA5305">
            <w:pPr>
              <w:pStyle w:val="ListParagraph"/>
              <w:numPr>
                <w:ilvl w:val="1"/>
                <w:numId w:val="4"/>
              </w:numPr>
              <w:jc w:val="both"/>
              <w:rPr>
                <w:rFonts w:ascii="Calibri" w:hAnsi="Calibri" w:cs="Arial"/>
              </w:rPr>
            </w:pPr>
            <w:r>
              <w:rPr>
                <w:rFonts w:ascii="Calibri" w:hAnsi="Calibri" w:cs="Arial"/>
              </w:rPr>
              <w:t>have</w:t>
            </w:r>
            <w:r w:rsidRPr="00CA5305">
              <w:rPr>
                <w:rFonts w:ascii="Calibri" w:hAnsi="Calibri" w:cs="Arial"/>
              </w:rPr>
              <w:t xml:space="preserve"> a risk assessment which has been reviewed in the last 12 months </w:t>
            </w:r>
          </w:p>
          <w:p w:rsidR="008440DA" w:rsidRPr="00063B82" w:rsidRDefault="008440DA" w:rsidP="008440DA">
            <w:pPr>
              <w:numPr>
                <w:ilvl w:val="0"/>
                <w:numId w:val="4"/>
              </w:numPr>
              <w:jc w:val="both"/>
              <w:rPr>
                <w:rFonts w:ascii="Calibri" w:hAnsi="Calibri" w:cs="Arial"/>
              </w:rPr>
            </w:pPr>
            <w:r>
              <w:rPr>
                <w:rFonts w:ascii="Calibri" w:hAnsi="Calibri" w:cs="Arial"/>
              </w:rPr>
              <w:t>R</w:t>
            </w:r>
            <w:r w:rsidRPr="00063B82">
              <w:rPr>
                <w:rFonts w:ascii="Calibri" w:hAnsi="Calibri" w:cs="Arial"/>
              </w:rPr>
              <w:t>educe the incidence of emergency readmission in mental health</w:t>
            </w:r>
            <w:r>
              <w:rPr>
                <w:rFonts w:ascii="Calibri" w:hAnsi="Calibri" w:cs="Arial"/>
              </w:rPr>
              <w:t xml:space="preserve"> services</w:t>
            </w:r>
            <w:r w:rsidRPr="00063B82">
              <w:rPr>
                <w:rFonts w:ascii="Calibri" w:hAnsi="Calibri" w:cs="Arial"/>
              </w:rPr>
              <w:t xml:space="preserve"> within 28 days of discharge by careful discharge planning and assertive follow up </w:t>
            </w:r>
          </w:p>
          <w:p w:rsidR="008440DA" w:rsidRPr="00063B82" w:rsidRDefault="008440DA" w:rsidP="008440DA">
            <w:pPr>
              <w:numPr>
                <w:ilvl w:val="1"/>
                <w:numId w:val="4"/>
              </w:numPr>
              <w:jc w:val="both"/>
              <w:rPr>
                <w:rFonts w:ascii="Calibri" w:hAnsi="Calibri" w:cs="Arial"/>
              </w:rPr>
            </w:pPr>
            <w:r w:rsidRPr="00063B82">
              <w:rPr>
                <w:rFonts w:ascii="Calibri" w:hAnsi="Calibri" w:cs="Arial"/>
              </w:rPr>
              <w:t xml:space="preserve">Under </w:t>
            </w:r>
            <w:r w:rsidRPr="008440DA">
              <w:rPr>
                <w:rFonts w:ascii="Calibri" w:hAnsi="Calibri" w:cs="Arial"/>
                <w:highlight w:val="yellow"/>
              </w:rPr>
              <w:t>X</w:t>
            </w:r>
            <w:r w:rsidRPr="00063B82">
              <w:rPr>
                <w:rFonts w:ascii="Calibri" w:hAnsi="Calibri" w:cs="Arial"/>
              </w:rPr>
              <w:t>% of 28 day readmissions for adults (10.2% in 2011/12)</w:t>
            </w:r>
          </w:p>
          <w:p w:rsidR="008440DA" w:rsidRDefault="008440DA" w:rsidP="008440DA">
            <w:pPr>
              <w:numPr>
                <w:ilvl w:val="1"/>
                <w:numId w:val="4"/>
              </w:numPr>
              <w:jc w:val="both"/>
              <w:rPr>
                <w:rFonts w:ascii="Calibri" w:hAnsi="Calibri" w:cs="Arial"/>
              </w:rPr>
            </w:pPr>
            <w:r w:rsidRPr="00063B82">
              <w:rPr>
                <w:rFonts w:ascii="Calibri" w:hAnsi="Calibri" w:cs="Arial"/>
              </w:rPr>
              <w:t xml:space="preserve">Under </w:t>
            </w:r>
            <w:r w:rsidRPr="008440DA">
              <w:rPr>
                <w:rFonts w:ascii="Calibri" w:hAnsi="Calibri" w:cs="Arial"/>
                <w:highlight w:val="yellow"/>
              </w:rPr>
              <w:t>X</w:t>
            </w:r>
            <w:r w:rsidRPr="00063B82">
              <w:rPr>
                <w:rFonts w:ascii="Calibri" w:hAnsi="Calibri" w:cs="Arial"/>
              </w:rPr>
              <w:t>% of 28 day readmissions for older adults (1.4% in 2011/12)</w:t>
            </w:r>
          </w:p>
          <w:p w:rsidR="00C2424D" w:rsidRDefault="006964D8">
            <w:pPr>
              <w:numPr>
                <w:ilvl w:val="0"/>
                <w:numId w:val="4"/>
              </w:numPr>
              <w:jc w:val="both"/>
              <w:rPr>
                <w:rFonts w:ascii="Calibri" w:hAnsi="Calibri" w:cs="Arial"/>
              </w:rPr>
            </w:pPr>
            <w:r>
              <w:rPr>
                <w:rFonts w:ascii="Calibri" w:hAnsi="Calibri" w:cs="Arial"/>
              </w:rPr>
              <w:t>CQUIN DTOC target (to be finalised)</w:t>
            </w:r>
          </w:p>
          <w:p w:rsidR="00200D5D" w:rsidRDefault="00200D5D" w:rsidP="008440DA">
            <w:pPr>
              <w:pStyle w:val="ListParagraph"/>
              <w:rPr>
                <w:rFonts w:ascii="Calibri" w:hAnsi="Calibri" w:cs="Arial"/>
              </w:rPr>
            </w:pPr>
          </w:p>
        </w:tc>
      </w:tr>
      <w:tr w:rsidR="00200D5D" w:rsidTr="003B0BAF">
        <w:tc>
          <w:tcPr>
            <w:tcW w:w="9747" w:type="dxa"/>
          </w:tcPr>
          <w:p w:rsidR="00200D5D" w:rsidRPr="00B25833" w:rsidRDefault="00200D5D" w:rsidP="00200D5D">
            <w:pPr>
              <w:rPr>
                <w:rFonts w:ascii="Calibri" w:hAnsi="Calibri" w:cs="Arial"/>
                <w:b/>
              </w:rPr>
            </w:pPr>
            <w:r>
              <w:rPr>
                <w:rFonts w:ascii="Calibri" w:hAnsi="Calibri" w:cs="Arial"/>
                <w:b/>
              </w:rPr>
              <w:t>Initiatives</w:t>
            </w:r>
            <w:r w:rsidRPr="00B25833">
              <w:rPr>
                <w:rFonts w:ascii="Calibri" w:hAnsi="Calibri" w:cs="Arial"/>
                <w:b/>
              </w:rPr>
              <w:t>:</w:t>
            </w:r>
          </w:p>
          <w:p w:rsidR="0006431A" w:rsidRDefault="0006431A" w:rsidP="00E037F4">
            <w:pPr>
              <w:pStyle w:val="ListParagraph"/>
              <w:numPr>
                <w:ilvl w:val="0"/>
                <w:numId w:val="4"/>
              </w:numPr>
              <w:jc w:val="both"/>
              <w:rPr>
                <w:rFonts w:ascii="Calibri" w:hAnsi="Calibri" w:cs="Arial"/>
              </w:rPr>
            </w:pPr>
            <w:r>
              <w:rPr>
                <w:rFonts w:ascii="Calibri" w:hAnsi="Calibri" w:cs="Arial"/>
              </w:rPr>
              <w:t>Set up Single Point of Access action plan to support long term care and support in</w:t>
            </w:r>
            <w:r w:rsidR="00D6023E">
              <w:rPr>
                <w:rFonts w:ascii="Calibri" w:hAnsi="Calibri" w:cs="Arial"/>
              </w:rPr>
              <w:t xml:space="preserve"> </w:t>
            </w:r>
            <w:r>
              <w:rPr>
                <w:rFonts w:ascii="Calibri" w:hAnsi="Calibri" w:cs="Arial"/>
              </w:rPr>
              <w:t>the community to avoid unnecessary admissions</w:t>
            </w:r>
          </w:p>
          <w:p w:rsidR="00E037F4" w:rsidRDefault="00E037F4" w:rsidP="00E037F4">
            <w:pPr>
              <w:pStyle w:val="ListParagraph"/>
              <w:numPr>
                <w:ilvl w:val="0"/>
                <w:numId w:val="4"/>
              </w:numPr>
              <w:jc w:val="both"/>
              <w:rPr>
                <w:rFonts w:ascii="Calibri" w:hAnsi="Calibri" w:cs="Arial"/>
              </w:rPr>
            </w:pPr>
            <w:r>
              <w:rPr>
                <w:rFonts w:ascii="Calibri" w:hAnsi="Calibri" w:cs="Arial"/>
              </w:rPr>
              <w:t>Support diabetic patients to feel confident in managing their condition</w:t>
            </w:r>
          </w:p>
          <w:p w:rsidR="00200D5D" w:rsidRDefault="0006431A" w:rsidP="00200D5D">
            <w:pPr>
              <w:pStyle w:val="ListParagraph"/>
              <w:numPr>
                <w:ilvl w:val="0"/>
                <w:numId w:val="3"/>
              </w:numPr>
              <w:rPr>
                <w:rFonts w:ascii="Calibri" w:hAnsi="Calibri" w:cs="Arial"/>
              </w:rPr>
            </w:pPr>
            <w:r>
              <w:rPr>
                <w:rFonts w:ascii="Calibri" w:hAnsi="Calibri" w:cs="Arial"/>
              </w:rPr>
              <w:t xml:space="preserve">Redesign of Children’s Community Nursing Service in line with </w:t>
            </w:r>
            <w:r w:rsidR="009430CF">
              <w:rPr>
                <w:rFonts w:ascii="Calibri" w:hAnsi="Calibri" w:cs="Arial"/>
              </w:rPr>
              <w:t>specification and project plan</w:t>
            </w:r>
            <w:r w:rsidR="00B36507">
              <w:rPr>
                <w:rFonts w:ascii="Calibri" w:hAnsi="Calibri" w:cs="Arial"/>
              </w:rPr>
              <w:t xml:space="preserve"> to reduce admissions to children’s acute hospital</w:t>
            </w:r>
          </w:p>
          <w:p w:rsidR="009430CF" w:rsidRDefault="00B36507" w:rsidP="00200D5D">
            <w:pPr>
              <w:pStyle w:val="ListParagraph"/>
              <w:numPr>
                <w:ilvl w:val="0"/>
                <w:numId w:val="3"/>
              </w:numPr>
              <w:rPr>
                <w:rFonts w:ascii="Calibri" w:hAnsi="Calibri" w:cs="Arial"/>
              </w:rPr>
            </w:pPr>
            <w:r>
              <w:rPr>
                <w:rFonts w:ascii="Calibri" w:hAnsi="Calibri" w:cs="Arial"/>
              </w:rPr>
              <w:t>Develop pathways of care to i</w:t>
            </w:r>
            <w:r w:rsidR="009D5A22">
              <w:rPr>
                <w:rFonts w:ascii="Calibri" w:hAnsi="Calibri" w:cs="Arial"/>
              </w:rPr>
              <w:t xml:space="preserve">ntegrate physical and mental health care </w:t>
            </w:r>
            <w:r w:rsidR="009430CF">
              <w:rPr>
                <w:rFonts w:ascii="Calibri" w:hAnsi="Calibri" w:cs="Arial"/>
              </w:rPr>
              <w:t>for older people</w:t>
            </w:r>
          </w:p>
          <w:p w:rsidR="00554E8D" w:rsidRDefault="00554E8D" w:rsidP="00554E8D">
            <w:pPr>
              <w:pStyle w:val="ListParagraph"/>
              <w:numPr>
                <w:ilvl w:val="0"/>
                <w:numId w:val="3"/>
              </w:numPr>
              <w:rPr>
                <w:rFonts w:ascii="Calibri" w:hAnsi="Calibri" w:cs="Arial"/>
              </w:rPr>
            </w:pPr>
            <w:r w:rsidRPr="00057043">
              <w:rPr>
                <w:rFonts w:ascii="Calibri" w:hAnsi="Calibri" w:cs="Arial"/>
              </w:rPr>
              <w:t xml:space="preserve">Review </w:t>
            </w:r>
            <w:r>
              <w:rPr>
                <w:rFonts w:ascii="Calibri" w:hAnsi="Calibri" w:cs="Arial"/>
              </w:rPr>
              <w:t xml:space="preserve">the </w:t>
            </w:r>
            <w:r w:rsidRPr="00057043">
              <w:rPr>
                <w:rFonts w:ascii="Calibri" w:hAnsi="Calibri" w:cs="Arial"/>
              </w:rPr>
              <w:t xml:space="preserve">provision of care for people with complex enduring mental illness to provide a planned pathway of care for those patients who need a different provision from </w:t>
            </w:r>
            <w:r>
              <w:rPr>
                <w:rFonts w:ascii="Calibri" w:hAnsi="Calibri" w:cs="Arial"/>
              </w:rPr>
              <w:t xml:space="preserve">those </w:t>
            </w:r>
            <w:r w:rsidR="00B36507">
              <w:rPr>
                <w:rFonts w:ascii="Calibri" w:hAnsi="Calibri" w:cs="Arial"/>
              </w:rPr>
              <w:t xml:space="preserve">currently available in </w:t>
            </w:r>
            <w:r w:rsidRPr="00057043">
              <w:rPr>
                <w:rFonts w:ascii="Calibri" w:hAnsi="Calibri" w:cs="Arial"/>
              </w:rPr>
              <w:t>acute and forensic low secure</w:t>
            </w:r>
            <w:r>
              <w:rPr>
                <w:rFonts w:ascii="Calibri" w:hAnsi="Calibri" w:cs="Arial"/>
              </w:rPr>
              <w:t xml:space="preserve"> accommodation</w:t>
            </w:r>
            <w:r w:rsidRPr="00057043">
              <w:rPr>
                <w:rFonts w:ascii="Calibri" w:hAnsi="Calibri" w:cs="Arial"/>
              </w:rPr>
              <w:t>.</w:t>
            </w:r>
          </w:p>
          <w:p w:rsidR="006964D8" w:rsidRPr="00057043" w:rsidRDefault="006964D8" w:rsidP="00554E8D">
            <w:pPr>
              <w:pStyle w:val="ListParagraph"/>
              <w:numPr>
                <w:ilvl w:val="0"/>
                <w:numId w:val="3"/>
              </w:numPr>
              <w:rPr>
                <w:rFonts w:ascii="Calibri" w:hAnsi="Calibri" w:cs="Arial"/>
              </w:rPr>
            </w:pPr>
            <w:r>
              <w:rPr>
                <w:rFonts w:ascii="Calibri" w:hAnsi="Calibri" w:cs="Arial"/>
              </w:rPr>
              <w:t>R</w:t>
            </w:r>
            <w:r w:rsidR="00C2424D">
              <w:rPr>
                <w:rFonts w:ascii="Calibri" w:hAnsi="Calibri" w:cs="Arial"/>
              </w:rPr>
              <w:t>e</w:t>
            </w:r>
            <w:r>
              <w:rPr>
                <w:rFonts w:ascii="Calibri" w:hAnsi="Calibri" w:cs="Arial"/>
              </w:rPr>
              <w:t>duce delayed transfers of care in Oxford Health Services and work in partnership to improve pathways and minimise delays across health and social care</w:t>
            </w:r>
          </w:p>
          <w:p w:rsidR="009430CF" w:rsidRPr="00A256B3" w:rsidRDefault="009430CF" w:rsidP="009D5A22">
            <w:pPr>
              <w:pStyle w:val="ListParagraph"/>
              <w:rPr>
                <w:rFonts w:ascii="Calibri" w:hAnsi="Calibri" w:cs="Arial"/>
              </w:rPr>
            </w:pPr>
          </w:p>
        </w:tc>
      </w:tr>
    </w:tbl>
    <w:p w:rsidR="00200D5D" w:rsidRDefault="00200D5D" w:rsidP="00200D5D">
      <w:pPr>
        <w:rPr>
          <w:rFonts w:ascii="Calibri" w:hAnsi="Calibri" w:cs="Arial"/>
        </w:rPr>
      </w:pPr>
    </w:p>
    <w:p w:rsidR="0023741E" w:rsidRPr="00CA5305" w:rsidRDefault="0023741E" w:rsidP="00CA5305">
      <w:pPr>
        <w:jc w:val="both"/>
        <w:rPr>
          <w:rFonts w:ascii="Calibri" w:hAnsi="Calibri" w:cs="Arial"/>
          <w:color w:val="0070C0"/>
        </w:rPr>
      </w:pPr>
    </w:p>
    <w:p w:rsidR="00C07871" w:rsidRDefault="00C07871">
      <w:pPr>
        <w:rPr>
          <w:rFonts w:ascii="Arial" w:hAnsi="Arial" w:cs="Arial"/>
          <w:b/>
          <w:i/>
          <w:color w:val="0070C0"/>
        </w:rPr>
      </w:pPr>
      <w:r>
        <w:br w:type="page"/>
      </w:r>
    </w:p>
    <w:p w:rsidR="0023741E" w:rsidRPr="00544356" w:rsidRDefault="008C744B" w:rsidP="00ED3BBA">
      <w:pPr>
        <w:pStyle w:val="Heading3"/>
      </w:pPr>
      <w:r>
        <w:lastRenderedPageBreak/>
        <w:t>Domain 4</w:t>
      </w:r>
      <w:r w:rsidR="0023741E" w:rsidRPr="00544356">
        <w:t>: Helping people to recover from episodes of ill-health or following injury</w:t>
      </w:r>
    </w:p>
    <w:p w:rsidR="00ED5C00" w:rsidRDefault="00ED5C00" w:rsidP="00ED5C00">
      <w:pPr>
        <w:pStyle w:val="Heading4"/>
        <w:jc w:val="both"/>
        <w:rPr>
          <w:color w:val="0070C0"/>
        </w:rPr>
      </w:pPr>
      <w:r w:rsidRPr="00544356">
        <w:rPr>
          <w:color w:val="0070C0"/>
        </w:rPr>
        <w:t>Current position</w:t>
      </w:r>
    </w:p>
    <w:p w:rsidR="00D6023E" w:rsidRPr="00ED4664" w:rsidRDefault="00D6023E" w:rsidP="00D6023E">
      <w:pPr>
        <w:autoSpaceDE w:val="0"/>
        <w:autoSpaceDN w:val="0"/>
        <w:adjustRightInd w:val="0"/>
        <w:jc w:val="both"/>
        <w:rPr>
          <w:rFonts w:ascii="Calibri" w:hAnsi="Calibri"/>
        </w:rPr>
      </w:pPr>
      <w:r w:rsidRPr="00ED4664">
        <w:rPr>
          <w:rFonts w:ascii="Calibri" w:hAnsi="Calibri"/>
        </w:rPr>
        <w:t xml:space="preserve">Last year, the emphasis was on devising and developing care clusters and associated care packages under the Payment by Results work.  This is </w:t>
      </w:r>
      <w:r>
        <w:rPr>
          <w:rFonts w:ascii="Calibri" w:hAnsi="Calibri"/>
        </w:rPr>
        <w:t>substantial</w:t>
      </w:r>
      <w:r w:rsidRPr="00ED4664">
        <w:rPr>
          <w:rFonts w:ascii="Calibri" w:hAnsi="Calibri"/>
        </w:rPr>
        <w:t xml:space="preserve"> piece of work and one which is continuing in 2012/13.</w:t>
      </w:r>
      <w:r>
        <w:rPr>
          <w:rFonts w:ascii="Calibri" w:hAnsi="Calibri"/>
        </w:rPr>
        <w:t xml:space="preserve">  Consequently, the actions this year </w:t>
      </w:r>
      <w:r w:rsidR="00A31227">
        <w:rPr>
          <w:rFonts w:ascii="Calibri" w:hAnsi="Calibri"/>
        </w:rPr>
        <w:t>w</w:t>
      </w:r>
      <w:r w:rsidR="006964D8">
        <w:rPr>
          <w:rFonts w:ascii="Calibri" w:hAnsi="Calibri"/>
        </w:rPr>
        <w:t>ill focus on developing and agreeing care packages with commissioners and assigning service udders to cluster groups to begin to deliver evidence based interventions by year end.</w:t>
      </w:r>
    </w:p>
    <w:p w:rsidR="00EA52BD" w:rsidRDefault="00CA5305" w:rsidP="00EA52BD">
      <w:pPr>
        <w:pStyle w:val="Heading4"/>
        <w:rPr>
          <w:color w:val="0070C0"/>
        </w:rPr>
      </w:pPr>
      <w:r>
        <w:rPr>
          <w:color w:val="0070C0"/>
        </w:rPr>
        <w:t>Aims</w:t>
      </w:r>
      <w:r w:rsidR="006964D8">
        <w:rPr>
          <w:color w:val="0070C0"/>
        </w:rPr>
        <w:t xml:space="preserve"> </w:t>
      </w:r>
    </w:p>
    <w:p w:rsidR="00A6698A" w:rsidRDefault="00A6698A" w:rsidP="00A6698A">
      <w:pPr>
        <w:rPr>
          <w:rFonts w:ascii="Calibri" w:hAnsi="Calibri" w:cs="Arial"/>
        </w:rPr>
      </w:pPr>
    </w:p>
    <w:tbl>
      <w:tblPr>
        <w:tblStyle w:val="TableGrid"/>
        <w:tblW w:w="0" w:type="auto"/>
        <w:tblInd w:w="108" w:type="dxa"/>
        <w:tblLook w:val="04A0"/>
      </w:tblPr>
      <w:tblGrid>
        <w:gridCol w:w="9747"/>
      </w:tblGrid>
      <w:tr w:rsidR="00A6698A" w:rsidTr="003B0BAF">
        <w:tc>
          <w:tcPr>
            <w:tcW w:w="9747" w:type="dxa"/>
            <w:shd w:val="clear" w:color="auto" w:fill="F2F2F2" w:themeFill="background1" w:themeFillShade="F2"/>
          </w:tcPr>
          <w:p w:rsidR="00A6698A" w:rsidRPr="00A256B3" w:rsidRDefault="00D31ED0" w:rsidP="00A6698A">
            <w:pPr>
              <w:rPr>
                <w:rFonts w:ascii="Calibri" w:hAnsi="Calibri" w:cs="Arial"/>
                <w:b/>
              </w:rPr>
            </w:pPr>
            <w:r>
              <w:rPr>
                <w:rFonts w:ascii="Calibri" w:hAnsi="Calibri" w:cs="Arial"/>
                <w:b/>
              </w:rPr>
              <w:t>Patients will be supported to manage their own condition</w:t>
            </w:r>
          </w:p>
        </w:tc>
      </w:tr>
      <w:tr w:rsidR="00A6698A" w:rsidTr="003B0BAF">
        <w:tc>
          <w:tcPr>
            <w:tcW w:w="9747" w:type="dxa"/>
          </w:tcPr>
          <w:p w:rsidR="00A6698A" w:rsidRDefault="00A6698A" w:rsidP="00A6698A">
            <w:pPr>
              <w:rPr>
                <w:rFonts w:ascii="Calibri" w:hAnsi="Calibri" w:cs="Arial"/>
              </w:rPr>
            </w:pPr>
            <w:r w:rsidRPr="00B25833">
              <w:rPr>
                <w:rFonts w:ascii="Calibri" w:hAnsi="Calibri" w:cs="Arial"/>
                <w:b/>
              </w:rPr>
              <w:t>Measure</w:t>
            </w:r>
            <w:r>
              <w:rPr>
                <w:rFonts w:ascii="Calibri" w:hAnsi="Calibri" w:cs="Arial"/>
                <w:b/>
              </w:rPr>
              <w:t>s</w:t>
            </w:r>
            <w:r w:rsidRPr="00B25833">
              <w:rPr>
                <w:rFonts w:ascii="Calibri" w:hAnsi="Calibri" w:cs="Arial"/>
                <w:b/>
              </w:rPr>
              <w:t>:</w:t>
            </w:r>
            <w:r>
              <w:rPr>
                <w:rFonts w:ascii="Calibri" w:hAnsi="Calibri" w:cs="Arial"/>
              </w:rPr>
              <w:t xml:space="preserve"> </w:t>
            </w:r>
          </w:p>
          <w:p w:rsidR="00A6698A" w:rsidRDefault="00D31ED0" w:rsidP="00A6698A">
            <w:pPr>
              <w:pStyle w:val="ListParagraph"/>
              <w:numPr>
                <w:ilvl w:val="0"/>
                <w:numId w:val="46"/>
              </w:numPr>
              <w:rPr>
                <w:rFonts w:ascii="Calibri" w:hAnsi="Calibri" w:cs="Arial"/>
              </w:rPr>
            </w:pPr>
            <w:r>
              <w:rPr>
                <w:rFonts w:ascii="Calibri" w:hAnsi="Calibri" w:cs="Arial"/>
              </w:rPr>
              <w:t>Proportion of people report feeling supported to manage their condition</w:t>
            </w:r>
          </w:p>
          <w:p w:rsidR="009D5A22" w:rsidRPr="00B25833" w:rsidRDefault="009D5A22" w:rsidP="00A6698A">
            <w:pPr>
              <w:pStyle w:val="ListParagraph"/>
              <w:numPr>
                <w:ilvl w:val="0"/>
                <w:numId w:val="46"/>
              </w:numPr>
              <w:rPr>
                <w:rFonts w:ascii="Calibri" w:hAnsi="Calibri" w:cs="Arial"/>
              </w:rPr>
            </w:pPr>
            <w:r>
              <w:rPr>
                <w:rFonts w:ascii="Calibri" w:hAnsi="Calibri" w:cs="Arial"/>
              </w:rPr>
              <w:t xml:space="preserve">Number of people with a </w:t>
            </w:r>
            <w:r w:rsidR="00B36507">
              <w:rPr>
                <w:rFonts w:ascii="Calibri" w:hAnsi="Calibri" w:cs="Arial"/>
              </w:rPr>
              <w:t xml:space="preserve">personal </w:t>
            </w:r>
            <w:r>
              <w:rPr>
                <w:rFonts w:ascii="Calibri" w:hAnsi="Calibri" w:cs="Arial"/>
              </w:rPr>
              <w:t>physical health budget</w:t>
            </w:r>
          </w:p>
        </w:tc>
      </w:tr>
      <w:tr w:rsidR="00A6698A" w:rsidTr="003B0BAF">
        <w:tc>
          <w:tcPr>
            <w:tcW w:w="9747" w:type="dxa"/>
          </w:tcPr>
          <w:p w:rsidR="00A6698A" w:rsidRPr="00B25833" w:rsidRDefault="00A6698A" w:rsidP="00A6698A">
            <w:pPr>
              <w:rPr>
                <w:rFonts w:ascii="Calibri" w:hAnsi="Calibri" w:cs="Arial"/>
                <w:b/>
              </w:rPr>
            </w:pPr>
            <w:r w:rsidRPr="00B25833">
              <w:rPr>
                <w:rFonts w:ascii="Calibri" w:hAnsi="Calibri" w:cs="Arial"/>
                <w:b/>
              </w:rPr>
              <w:t xml:space="preserve">Targets: </w:t>
            </w:r>
          </w:p>
          <w:p w:rsidR="00C2466A" w:rsidRDefault="00C2466A" w:rsidP="00C2466A">
            <w:pPr>
              <w:numPr>
                <w:ilvl w:val="0"/>
                <w:numId w:val="4"/>
              </w:numPr>
              <w:jc w:val="both"/>
              <w:rPr>
                <w:rFonts w:ascii="Calibri" w:hAnsi="Calibri" w:cs="Arial"/>
              </w:rPr>
            </w:pPr>
            <w:r w:rsidRPr="007E7383">
              <w:rPr>
                <w:rFonts w:ascii="Calibri" w:hAnsi="Calibri" w:cs="Arial"/>
              </w:rPr>
              <w:t xml:space="preserve">Increase to </w:t>
            </w:r>
            <w:r w:rsidRPr="00E037F4">
              <w:rPr>
                <w:rFonts w:ascii="Calibri" w:hAnsi="Calibri" w:cs="Arial"/>
                <w:highlight w:val="yellow"/>
              </w:rPr>
              <w:t>X</w:t>
            </w:r>
            <w:r w:rsidRPr="007E7383">
              <w:rPr>
                <w:rFonts w:ascii="Calibri" w:hAnsi="Calibri" w:cs="Arial"/>
              </w:rPr>
              <w:t xml:space="preserve">% the number of mental health patients who have Advanced Statements in place </w:t>
            </w:r>
          </w:p>
          <w:p w:rsidR="00B36507" w:rsidRPr="007E7383" w:rsidRDefault="00B36507" w:rsidP="00C2466A">
            <w:pPr>
              <w:numPr>
                <w:ilvl w:val="0"/>
                <w:numId w:val="4"/>
              </w:numPr>
              <w:jc w:val="both"/>
              <w:rPr>
                <w:rFonts w:ascii="Calibri" w:hAnsi="Calibri" w:cs="Arial"/>
              </w:rPr>
            </w:pPr>
            <w:r w:rsidRPr="00B36507">
              <w:rPr>
                <w:rFonts w:ascii="Calibri" w:hAnsi="Calibri" w:cs="Arial"/>
                <w:highlight w:val="yellow"/>
              </w:rPr>
              <w:t>Possible target on personal physical health budget</w:t>
            </w:r>
          </w:p>
          <w:p w:rsidR="00C2466A" w:rsidRDefault="00C2466A" w:rsidP="00C2466A">
            <w:pPr>
              <w:pStyle w:val="ListParagraph"/>
              <w:rPr>
                <w:rFonts w:ascii="Calibri" w:hAnsi="Calibri" w:cs="Arial"/>
              </w:rPr>
            </w:pPr>
          </w:p>
        </w:tc>
      </w:tr>
      <w:tr w:rsidR="00A6698A" w:rsidTr="003B0BAF">
        <w:tc>
          <w:tcPr>
            <w:tcW w:w="9747" w:type="dxa"/>
          </w:tcPr>
          <w:p w:rsidR="00A6698A" w:rsidRPr="00B25833" w:rsidRDefault="00A6698A" w:rsidP="00A6698A">
            <w:pPr>
              <w:rPr>
                <w:rFonts w:ascii="Calibri" w:hAnsi="Calibri" w:cs="Arial"/>
                <w:b/>
              </w:rPr>
            </w:pPr>
            <w:r>
              <w:rPr>
                <w:rFonts w:ascii="Calibri" w:hAnsi="Calibri" w:cs="Arial"/>
                <w:b/>
              </w:rPr>
              <w:t>Initiatives</w:t>
            </w:r>
            <w:r w:rsidRPr="00B25833">
              <w:rPr>
                <w:rFonts w:ascii="Calibri" w:hAnsi="Calibri" w:cs="Arial"/>
                <w:b/>
              </w:rPr>
              <w:t>:</w:t>
            </w:r>
          </w:p>
          <w:p w:rsidR="00A175AC" w:rsidRDefault="00A175AC" w:rsidP="00A175AC">
            <w:pPr>
              <w:pStyle w:val="ListParagraph"/>
              <w:numPr>
                <w:ilvl w:val="0"/>
                <w:numId w:val="3"/>
              </w:numPr>
              <w:rPr>
                <w:rFonts w:ascii="Calibri" w:hAnsi="Calibri" w:cs="Arial"/>
              </w:rPr>
            </w:pPr>
            <w:r>
              <w:rPr>
                <w:rFonts w:ascii="Calibri" w:hAnsi="Calibri" w:cs="Arial"/>
              </w:rPr>
              <w:t>Roll out and take up of personal health budgets</w:t>
            </w:r>
            <w:r w:rsidR="009D5A22">
              <w:rPr>
                <w:rFonts w:ascii="Calibri" w:hAnsi="Calibri" w:cs="Arial"/>
              </w:rPr>
              <w:t xml:space="preserve"> within OCS</w:t>
            </w:r>
          </w:p>
          <w:p w:rsidR="00A175AC" w:rsidRDefault="00A175AC" w:rsidP="00602971">
            <w:pPr>
              <w:pStyle w:val="ListParagraph"/>
              <w:numPr>
                <w:ilvl w:val="0"/>
                <w:numId w:val="3"/>
              </w:numPr>
              <w:rPr>
                <w:rFonts w:ascii="Calibri" w:hAnsi="Calibri" w:cs="Arial"/>
              </w:rPr>
            </w:pPr>
            <w:r>
              <w:rPr>
                <w:rFonts w:ascii="Calibri" w:hAnsi="Calibri" w:cs="Arial"/>
              </w:rPr>
              <w:t xml:space="preserve">Review in Oxfordshire of self care of </w:t>
            </w:r>
            <w:r w:rsidR="00554E8D">
              <w:rPr>
                <w:rFonts w:ascii="Calibri" w:hAnsi="Calibri" w:cs="Arial"/>
              </w:rPr>
              <w:t xml:space="preserve">OCS </w:t>
            </w:r>
            <w:r>
              <w:rPr>
                <w:rFonts w:ascii="Calibri" w:hAnsi="Calibri" w:cs="Arial"/>
              </w:rPr>
              <w:t>patients with long-term conditions</w:t>
            </w:r>
          </w:p>
          <w:p w:rsidR="00A175AC" w:rsidRDefault="00A175AC" w:rsidP="00602971">
            <w:pPr>
              <w:pStyle w:val="ListParagraph"/>
              <w:numPr>
                <w:ilvl w:val="0"/>
                <w:numId w:val="3"/>
              </w:numPr>
              <w:rPr>
                <w:rFonts w:ascii="Calibri" w:hAnsi="Calibri" w:cs="Arial"/>
              </w:rPr>
            </w:pPr>
            <w:r>
              <w:rPr>
                <w:rFonts w:ascii="Calibri" w:hAnsi="Calibri" w:cs="Arial"/>
              </w:rPr>
              <w:t xml:space="preserve">Develop and roll out use of alternative user satisfaction measure as a part of </w:t>
            </w:r>
            <w:r w:rsidRPr="00057043">
              <w:rPr>
                <w:rFonts w:ascii="Calibri" w:hAnsi="Calibri" w:cs="Arial"/>
              </w:rPr>
              <w:t xml:space="preserve">Health </w:t>
            </w:r>
            <w:r>
              <w:rPr>
                <w:rFonts w:ascii="Calibri" w:hAnsi="Calibri" w:cs="Arial"/>
              </w:rPr>
              <w:t>V</w:t>
            </w:r>
            <w:r w:rsidRPr="00057043">
              <w:rPr>
                <w:rFonts w:ascii="Calibri" w:hAnsi="Calibri" w:cs="Arial"/>
              </w:rPr>
              <w:t xml:space="preserve">isiting </w:t>
            </w:r>
            <w:r>
              <w:rPr>
                <w:rFonts w:ascii="Calibri" w:hAnsi="Calibri" w:cs="Arial"/>
              </w:rPr>
              <w:t>C</w:t>
            </w:r>
            <w:r w:rsidRPr="00057043">
              <w:rPr>
                <w:rFonts w:ascii="Calibri" w:hAnsi="Calibri" w:cs="Arial"/>
              </w:rPr>
              <w:t xml:space="preserve">all for </w:t>
            </w:r>
            <w:r>
              <w:rPr>
                <w:rFonts w:ascii="Calibri" w:hAnsi="Calibri" w:cs="Arial"/>
              </w:rPr>
              <w:t>A</w:t>
            </w:r>
            <w:r w:rsidRPr="00057043">
              <w:rPr>
                <w:rFonts w:ascii="Calibri" w:hAnsi="Calibri" w:cs="Arial"/>
              </w:rPr>
              <w:t>ction</w:t>
            </w:r>
          </w:p>
          <w:p w:rsidR="00A6698A" w:rsidRDefault="00A175AC" w:rsidP="00A175AC">
            <w:pPr>
              <w:pStyle w:val="ListParagraph"/>
              <w:numPr>
                <w:ilvl w:val="0"/>
                <w:numId w:val="3"/>
              </w:numPr>
              <w:rPr>
                <w:rFonts w:ascii="Calibri" w:hAnsi="Calibri" w:cs="Arial"/>
              </w:rPr>
            </w:pPr>
            <w:r>
              <w:rPr>
                <w:rFonts w:ascii="Calibri" w:hAnsi="Calibri" w:cs="Arial"/>
              </w:rPr>
              <w:t>Launch Outcomes Project within Forensics service in 2012</w:t>
            </w:r>
          </w:p>
          <w:p w:rsidR="00124402" w:rsidRDefault="00124402" w:rsidP="00602971">
            <w:pPr>
              <w:pStyle w:val="ListParagraph"/>
              <w:numPr>
                <w:ilvl w:val="0"/>
                <w:numId w:val="3"/>
              </w:numPr>
              <w:rPr>
                <w:rFonts w:ascii="Calibri" w:hAnsi="Calibri" w:cs="Arial"/>
              </w:rPr>
            </w:pPr>
            <w:r w:rsidRPr="007F315F">
              <w:rPr>
                <w:rFonts w:ascii="Calibri" w:hAnsi="Calibri" w:cs="Arial"/>
              </w:rPr>
              <w:t xml:space="preserve">Deliver Hospital at Home services for the population of Oxfordshire </w:t>
            </w:r>
          </w:p>
          <w:p w:rsidR="006606CF" w:rsidRPr="0080665D" w:rsidRDefault="0080665D" w:rsidP="00602971">
            <w:pPr>
              <w:pStyle w:val="ListParagraph"/>
              <w:numPr>
                <w:ilvl w:val="0"/>
                <w:numId w:val="3"/>
              </w:numPr>
              <w:rPr>
                <w:rFonts w:ascii="Calibri" w:hAnsi="Calibri" w:cs="Arial"/>
              </w:rPr>
            </w:pPr>
            <w:r>
              <w:rPr>
                <w:rFonts w:ascii="Calibri" w:hAnsi="Calibri" w:cs="Arial"/>
              </w:rPr>
              <w:t>Increase patient choice</w:t>
            </w:r>
          </w:p>
          <w:p w:rsidR="00382EF1" w:rsidRPr="00ED5C00" w:rsidRDefault="00382EF1" w:rsidP="00602971">
            <w:pPr>
              <w:pStyle w:val="ListParagraph"/>
              <w:numPr>
                <w:ilvl w:val="0"/>
                <w:numId w:val="3"/>
              </w:numPr>
              <w:rPr>
                <w:rFonts w:ascii="Calibri" w:hAnsi="Calibri" w:cs="Arial"/>
              </w:rPr>
            </w:pPr>
            <w:r w:rsidRPr="00ED5C00">
              <w:rPr>
                <w:rFonts w:ascii="Calibri" w:hAnsi="Calibri" w:cs="Arial"/>
              </w:rPr>
              <w:t>Provide alternative services to support patients to prevent their attendance at acute A&amp;E service</w:t>
            </w:r>
            <w:r w:rsidR="006606CF">
              <w:rPr>
                <w:rFonts w:ascii="Calibri" w:hAnsi="Calibri" w:cs="Arial"/>
              </w:rPr>
              <w:t xml:space="preserve"> using the new 111 service</w:t>
            </w:r>
          </w:p>
          <w:p w:rsidR="00CC2519" w:rsidRDefault="00CC2519" w:rsidP="00CC2519">
            <w:pPr>
              <w:pStyle w:val="ListParagraph"/>
              <w:numPr>
                <w:ilvl w:val="0"/>
                <w:numId w:val="45"/>
              </w:numPr>
              <w:rPr>
                <w:rFonts w:ascii="Calibri" w:hAnsi="Calibri" w:cs="Arial"/>
              </w:rPr>
            </w:pPr>
            <w:r>
              <w:rPr>
                <w:rFonts w:ascii="Calibri" w:hAnsi="Calibri" w:cs="Arial"/>
              </w:rPr>
              <w:t>Implement clinical recommendations from the OCS District Nursing review</w:t>
            </w:r>
          </w:p>
          <w:p w:rsidR="006606CF" w:rsidRDefault="006606CF" w:rsidP="00CC2519">
            <w:pPr>
              <w:pStyle w:val="ListParagraph"/>
              <w:numPr>
                <w:ilvl w:val="0"/>
                <w:numId w:val="45"/>
              </w:numPr>
              <w:rPr>
                <w:rFonts w:ascii="Calibri" w:hAnsi="Calibri" w:cs="Arial"/>
              </w:rPr>
            </w:pPr>
            <w:r>
              <w:rPr>
                <w:rFonts w:ascii="Calibri" w:hAnsi="Calibri" w:cs="Arial"/>
              </w:rPr>
              <w:t xml:space="preserve">Extend provision on the Trust website of medication details and information on </w:t>
            </w:r>
            <w:r w:rsidR="000B3F10">
              <w:rPr>
                <w:rFonts w:ascii="Calibri" w:hAnsi="Calibri" w:cs="Arial"/>
              </w:rPr>
              <w:t xml:space="preserve">specific </w:t>
            </w:r>
            <w:r>
              <w:rPr>
                <w:rFonts w:ascii="Calibri" w:hAnsi="Calibri" w:cs="Arial"/>
              </w:rPr>
              <w:t xml:space="preserve">conditions to include community health </w:t>
            </w:r>
            <w:r w:rsidR="000B3F10">
              <w:rPr>
                <w:rFonts w:ascii="Calibri" w:hAnsi="Calibri" w:cs="Arial"/>
              </w:rPr>
              <w:t>services</w:t>
            </w:r>
          </w:p>
          <w:p w:rsidR="0080665D" w:rsidRDefault="0080665D" w:rsidP="00CC2519">
            <w:pPr>
              <w:pStyle w:val="ListParagraph"/>
              <w:numPr>
                <w:ilvl w:val="0"/>
                <w:numId w:val="45"/>
              </w:numPr>
              <w:rPr>
                <w:rFonts w:ascii="Calibri" w:hAnsi="Calibri" w:cs="Arial"/>
              </w:rPr>
            </w:pPr>
            <w:r>
              <w:rPr>
                <w:rFonts w:ascii="Calibri" w:hAnsi="Calibri" w:cs="Arial"/>
              </w:rPr>
              <w:t>Access &amp; Enablement Service and Hospital at Home service reducing length of stay and avoiding admission</w:t>
            </w:r>
          </w:p>
          <w:p w:rsidR="00CC2519" w:rsidRPr="00382EF1" w:rsidRDefault="00CC2519" w:rsidP="00CC2519">
            <w:pPr>
              <w:pStyle w:val="ListParagraph"/>
              <w:ind w:left="765"/>
              <w:jc w:val="both"/>
              <w:rPr>
                <w:rFonts w:ascii="Calibri" w:hAnsi="Calibri" w:cs="Arial"/>
              </w:rPr>
            </w:pPr>
          </w:p>
        </w:tc>
      </w:tr>
    </w:tbl>
    <w:p w:rsidR="0023741E" w:rsidRPr="00544356" w:rsidRDefault="0023741E" w:rsidP="007E7650">
      <w:pPr>
        <w:jc w:val="both"/>
        <w:rPr>
          <w:rFonts w:ascii="Calibri" w:hAnsi="Calibri" w:cs="Arial"/>
          <w:color w:val="0070C0"/>
        </w:rPr>
      </w:pPr>
    </w:p>
    <w:p w:rsidR="00C07871" w:rsidRDefault="00C07871">
      <w:pPr>
        <w:rPr>
          <w:rFonts w:ascii="Calibri" w:hAnsi="Calibri" w:cs="Arial"/>
          <w:color w:val="0070C0"/>
        </w:rPr>
      </w:pPr>
      <w:r>
        <w:rPr>
          <w:rFonts w:ascii="Calibri" w:hAnsi="Calibri" w:cs="Arial"/>
          <w:color w:val="0070C0"/>
        </w:rPr>
        <w:br w:type="page"/>
      </w:r>
    </w:p>
    <w:p w:rsidR="008C744B" w:rsidRDefault="008C744B" w:rsidP="008C744B">
      <w:pPr>
        <w:jc w:val="both"/>
        <w:rPr>
          <w:rFonts w:ascii="Calibri" w:hAnsi="Calibri" w:cs="Arial"/>
          <w:color w:val="0070C0"/>
        </w:rPr>
      </w:pPr>
    </w:p>
    <w:tbl>
      <w:tblPr>
        <w:tblStyle w:val="TableGrid"/>
        <w:tblW w:w="0" w:type="auto"/>
        <w:tblBorders>
          <w:top w:val="single" w:sz="4" w:space="0" w:color="0070C0"/>
          <w:left w:val="none" w:sz="0" w:space="0" w:color="auto"/>
          <w:bottom w:val="single" w:sz="4" w:space="0" w:color="0070C0"/>
          <w:right w:val="none" w:sz="0" w:space="0" w:color="auto"/>
          <w:insideH w:val="none" w:sz="0" w:space="0" w:color="auto"/>
          <w:insideV w:val="none" w:sz="0" w:space="0" w:color="auto"/>
        </w:tblBorders>
        <w:tblLook w:val="04A0"/>
      </w:tblPr>
      <w:tblGrid>
        <w:gridCol w:w="9242"/>
      </w:tblGrid>
      <w:tr w:rsidR="008C744B" w:rsidTr="008C744B">
        <w:tc>
          <w:tcPr>
            <w:tcW w:w="9242" w:type="dxa"/>
          </w:tcPr>
          <w:p w:rsidR="008C744B" w:rsidRPr="00ED3BBA" w:rsidRDefault="00195B6D" w:rsidP="008C744B">
            <w:pPr>
              <w:jc w:val="both"/>
              <w:rPr>
                <w:rFonts w:ascii="Arial" w:hAnsi="Arial" w:cs="Arial"/>
                <w:color w:val="0070C0"/>
                <w:sz w:val="32"/>
                <w:szCs w:val="32"/>
              </w:rPr>
            </w:pPr>
            <w:r>
              <w:rPr>
                <w:rFonts w:ascii="Arial" w:hAnsi="Arial" w:cs="Arial"/>
                <w:color w:val="0070C0"/>
                <w:sz w:val="32"/>
                <w:szCs w:val="32"/>
              </w:rPr>
              <w:t>User Experience</w:t>
            </w:r>
          </w:p>
        </w:tc>
      </w:tr>
    </w:tbl>
    <w:p w:rsidR="008C744B" w:rsidRDefault="008C744B" w:rsidP="008C744B">
      <w:pPr>
        <w:jc w:val="both"/>
        <w:rPr>
          <w:rFonts w:ascii="Calibri" w:hAnsi="Calibri" w:cs="Arial"/>
          <w:color w:val="0070C0"/>
        </w:rPr>
      </w:pPr>
    </w:p>
    <w:p w:rsidR="0023741E" w:rsidRPr="006964D8" w:rsidRDefault="004E65E1" w:rsidP="00ED3BBA">
      <w:pPr>
        <w:pStyle w:val="Heading3"/>
        <w:rPr>
          <w:sz w:val="28"/>
          <w:szCs w:val="28"/>
        </w:rPr>
      </w:pPr>
      <w:r w:rsidRPr="004E65E1">
        <w:rPr>
          <w:sz w:val="28"/>
          <w:szCs w:val="28"/>
        </w:rPr>
        <w:t>Domain 5: Ensuring people have a positive experience of care</w:t>
      </w:r>
    </w:p>
    <w:p w:rsidR="005656E9" w:rsidRDefault="005656E9" w:rsidP="005656E9">
      <w:pPr>
        <w:pStyle w:val="Heading4"/>
        <w:rPr>
          <w:rFonts w:ascii="Calibri" w:hAnsi="Calibri"/>
          <w:color w:val="0070C0"/>
        </w:rPr>
      </w:pPr>
      <w:r w:rsidRPr="00544356">
        <w:rPr>
          <w:color w:val="0070C0"/>
        </w:rPr>
        <w:t>Current Position</w:t>
      </w:r>
      <w:r w:rsidRPr="00ED5C00">
        <w:rPr>
          <w:color w:val="0070C0"/>
        </w:rPr>
        <w:t xml:space="preserve"> </w:t>
      </w:r>
    </w:p>
    <w:p w:rsidR="00D6023E" w:rsidRPr="00D6023E" w:rsidRDefault="00D6023E" w:rsidP="00D6023E">
      <w:pPr>
        <w:autoSpaceDE w:val="0"/>
        <w:autoSpaceDN w:val="0"/>
        <w:adjustRightInd w:val="0"/>
        <w:jc w:val="both"/>
        <w:rPr>
          <w:rFonts w:ascii="Calibri" w:hAnsi="Calibri"/>
        </w:rPr>
      </w:pPr>
      <w:r w:rsidRPr="00D6023E">
        <w:rPr>
          <w:rFonts w:ascii="Calibri" w:hAnsi="Calibri"/>
        </w:rPr>
        <w:t>Patient experience is an important indicator of the quality of services and can often pick up issues that would not be picked up by audit, national or local targets or general monitoring of services. Gathering patient experiences picks up some of the interpersonal and personal aspects of care.  This year, the Department of Health’s initiative of providing a Single Point of Contact, fronted by the new helpline number 111 will be an important area of development for us in 2012/13 in improving the level of care that our patients/service users experience.</w:t>
      </w:r>
    </w:p>
    <w:p w:rsidR="00A6698A" w:rsidRPr="00044350" w:rsidRDefault="00044350" w:rsidP="00044350">
      <w:pPr>
        <w:pStyle w:val="Heading4"/>
        <w:rPr>
          <w:color w:val="0070C0"/>
        </w:rPr>
      </w:pPr>
      <w:r w:rsidRPr="00044350">
        <w:rPr>
          <w:color w:val="0070C0"/>
        </w:rPr>
        <w:t>Aims</w:t>
      </w:r>
    </w:p>
    <w:p w:rsidR="00044350" w:rsidRDefault="00044350" w:rsidP="00A6698A">
      <w:pPr>
        <w:rPr>
          <w:rFonts w:ascii="Calibri" w:hAnsi="Calibri" w:cs="Arial"/>
        </w:rPr>
      </w:pPr>
    </w:p>
    <w:tbl>
      <w:tblPr>
        <w:tblStyle w:val="TableGrid"/>
        <w:tblW w:w="0" w:type="auto"/>
        <w:tblInd w:w="108" w:type="dxa"/>
        <w:tblLook w:val="04A0"/>
      </w:tblPr>
      <w:tblGrid>
        <w:gridCol w:w="9747"/>
      </w:tblGrid>
      <w:tr w:rsidR="00A6698A" w:rsidTr="003B0BAF">
        <w:tc>
          <w:tcPr>
            <w:tcW w:w="9747" w:type="dxa"/>
            <w:shd w:val="clear" w:color="auto" w:fill="F2F2F2" w:themeFill="background1" w:themeFillShade="F2"/>
          </w:tcPr>
          <w:p w:rsidR="00A6698A" w:rsidRPr="00A256B3" w:rsidRDefault="00A175AC" w:rsidP="00A6698A">
            <w:pPr>
              <w:rPr>
                <w:rFonts w:ascii="Calibri" w:hAnsi="Calibri" w:cs="Arial"/>
                <w:b/>
              </w:rPr>
            </w:pPr>
            <w:r>
              <w:rPr>
                <w:rFonts w:ascii="Calibri" w:hAnsi="Calibri" w:cs="Arial"/>
                <w:b/>
              </w:rPr>
              <w:t>Patients</w:t>
            </w:r>
            <w:r w:rsidR="000B3F10">
              <w:rPr>
                <w:rFonts w:ascii="Calibri" w:hAnsi="Calibri" w:cs="Arial"/>
                <w:b/>
              </w:rPr>
              <w:t>’</w:t>
            </w:r>
            <w:r>
              <w:rPr>
                <w:rFonts w:ascii="Calibri" w:hAnsi="Calibri" w:cs="Arial"/>
                <w:b/>
              </w:rPr>
              <w:t xml:space="preserve"> Experiences of Inpatient/Outpatient services will improve</w:t>
            </w:r>
          </w:p>
        </w:tc>
      </w:tr>
      <w:tr w:rsidR="00A6698A" w:rsidTr="003B0BAF">
        <w:tc>
          <w:tcPr>
            <w:tcW w:w="9747" w:type="dxa"/>
          </w:tcPr>
          <w:p w:rsidR="00A6698A" w:rsidRDefault="00A6698A" w:rsidP="00A6698A">
            <w:pPr>
              <w:rPr>
                <w:rFonts w:ascii="Calibri" w:hAnsi="Calibri" w:cs="Arial"/>
              </w:rPr>
            </w:pPr>
            <w:r w:rsidRPr="00B25833">
              <w:rPr>
                <w:rFonts w:ascii="Calibri" w:hAnsi="Calibri" w:cs="Arial"/>
                <w:b/>
              </w:rPr>
              <w:t>Measure</w:t>
            </w:r>
            <w:r>
              <w:rPr>
                <w:rFonts w:ascii="Calibri" w:hAnsi="Calibri" w:cs="Arial"/>
                <w:b/>
              </w:rPr>
              <w:t>s</w:t>
            </w:r>
            <w:r w:rsidRPr="00B25833">
              <w:rPr>
                <w:rFonts w:ascii="Calibri" w:hAnsi="Calibri" w:cs="Arial"/>
                <w:b/>
              </w:rPr>
              <w:t>:</w:t>
            </w:r>
            <w:r>
              <w:rPr>
                <w:rFonts w:ascii="Calibri" w:hAnsi="Calibri" w:cs="Arial"/>
              </w:rPr>
              <w:t xml:space="preserve"> </w:t>
            </w:r>
          </w:p>
          <w:p w:rsidR="00A6698A" w:rsidRDefault="00124402" w:rsidP="00124402">
            <w:pPr>
              <w:pStyle w:val="ListParagraph"/>
              <w:numPr>
                <w:ilvl w:val="0"/>
                <w:numId w:val="46"/>
              </w:numPr>
              <w:rPr>
                <w:rFonts w:ascii="Calibri" w:hAnsi="Calibri" w:cs="Arial"/>
              </w:rPr>
            </w:pPr>
            <w:r>
              <w:rPr>
                <w:rFonts w:ascii="Calibri" w:hAnsi="Calibri" w:cs="Arial"/>
              </w:rPr>
              <w:t>Admitted and non-admitted Referral to Treatment time (e.g. 18 weeks)</w:t>
            </w:r>
          </w:p>
          <w:p w:rsidR="000C068E" w:rsidRDefault="000B3F10" w:rsidP="000C068E">
            <w:pPr>
              <w:pStyle w:val="ListParagraph"/>
              <w:numPr>
                <w:ilvl w:val="0"/>
                <w:numId w:val="46"/>
              </w:numPr>
              <w:rPr>
                <w:rFonts w:ascii="Calibri" w:hAnsi="Calibri" w:cs="Arial"/>
              </w:rPr>
            </w:pPr>
            <w:r>
              <w:rPr>
                <w:rFonts w:ascii="Calibri" w:hAnsi="Calibri" w:cs="Arial"/>
              </w:rPr>
              <w:t>Position in the annual patients’ survey relative to other Trusts</w:t>
            </w:r>
          </w:p>
          <w:p w:rsidR="009F2AE5" w:rsidRDefault="009F2AE5" w:rsidP="000C068E">
            <w:pPr>
              <w:pStyle w:val="ListParagraph"/>
              <w:numPr>
                <w:ilvl w:val="0"/>
                <w:numId w:val="46"/>
              </w:numPr>
              <w:rPr>
                <w:rFonts w:ascii="Calibri" w:hAnsi="Calibri" w:cs="Arial"/>
              </w:rPr>
            </w:pPr>
            <w:r>
              <w:rPr>
                <w:rFonts w:ascii="Calibri" w:hAnsi="Calibri" w:cs="Arial"/>
              </w:rPr>
              <w:t>Productive Dashboard</w:t>
            </w:r>
          </w:p>
          <w:p w:rsidR="001C683A" w:rsidRPr="000C068E" w:rsidRDefault="001C683A" w:rsidP="000C068E">
            <w:pPr>
              <w:pStyle w:val="ListParagraph"/>
              <w:numPr>
                <w:ilvl w:val="0"/>
                <w:numId w:val="46"/>
              </w:numPr>
              <w:rPr>
                <w:rFonts w:ascii="Calibri" w:hAnsi="Calibri" w:cs="Arial"/>
              </w:rPr>
            </w:pPr>
            <w:r>
              <w:rPr>
                <w:rFonts w:ascii="Calibri" w:hAnsi="Calibri" w:cs="Arial"/>
              </w:rPr>
              <w:t>Results from local surveys</w:t>
            </w:r>
          </w:p>
          <w:p w:rsidR="005656E9" w:rsidRPr="00B25833" w:rsidRDefault="005656E9" w:rsidP="005656E9">
            <w:pPr>
              <w:pStyle w:val="ListParagraph"/>
              <w:rPr>
                <w:rFonts w:ascii="Calibri" w:hAnsi="Calibri" w:cs="Arial"/>
              </w:rPr>
            </w:pPr>
          </w:p>
        </w:tc>
      </w:tr>
      <w:tr w:rsidR="00A6698A" w:rsidTr="003B0BAF">
        <w:tc>
          <w:tcPr>
            <w:tcW w:w="9747" w:type="dxa"/>
          </w:tcPr>
          <w:p w:rsidR="00A6698A" w:rsidRPr="00B25833" w:rsidRDefault="00A6698A" w:rsidP="00A6698A">
            <w:pPr>
              <w:rPr>
                <w:rFonts w:ascii="Calibri" w:hAnsi="Calibri" w:cs="Arial"/>
                <w:b/>
              </w:rPr>
            </w:pPr>
            <w:r w:rsidRPr="00B25833">
              <w:rPr>
                <w:rFonts w:ascii="Calibri" w:hAnsi="Calibri" w:cs="Arial"/>
                <w:b/>
              </w:rPr>
              <w:t xml:space="preserve">Targets: </w:t>
            </w:r>
          </w:p>
          <w:p w:rsidR="000B3F10" w:rsidRDefault="00382EF1" w:rsidP="00382EF1">
            <w:pPr>
              <w:pStyle w:val="ListParagraph"/>
              <w:numPr>
                <w:ilvl w:val="0"/>
                <w:numId w:val="1"/>
              </w:numPr>
              <w:jc w:val="both"/>
              <w:rPr>
                <w:rFonts w:ascii="Calibri" w:hAnsi="Calibri" w:cs="Arial"/>
              </w:rPr>
            </w:pPr>
            <w:r w:rsidRPr="00382EF1">
              <w:rPr>
                <w:rFonts w:ascii="Calibri" w:hAnsi="Calibri" w:cs="Arial"/>
              </w:rPr>
              <w:t xml:space="preserve">Improve the % of mental health patients who positively respond </w:t>
            </w:r>
            <w:r w:rsidR="000B3F10">
              <w:rPr>
                <w:rFonts w:ascii="Calibri" w:hAnsi="Calibri" w:cs="Arial"/>
              </w:rPr>
              <w:t xml:space="preserve">in the monthly service users’ survey </w:t>
            </w:r>
          </w:p>
          <w:p w:rsidR="0080665D" w:rsidRDefault="0080665D" w:rsidP="00382EF1">
            <w:pPr>
              <w:pStyle w:val="ListParagraph"/>
              <w:numPr>
                <w:ilvl w:val="0"/>
                <w:numId w:val="1"/>
              </w:numPr>
              <w:jc w:val="both"/>
              <w:rPr>
                <w:rFonts w:ascii="Calibri" w:hAnsi="Calibri" w:cs="Arial"/>
              </w:rPr>
            </w:pPr>
            <w:r>
              <w:rPr>
                <w:rFonts w:ascii="Calibri" w:hAnsi="Calibri" w:cs="Arial"/>
              </w:rPr>
              <w:t>Improvement in local surveys</w:t>
            </w:r>
          </w:p>
          <w:p w:rsidR="0060498D" w:rsidRDefault="0060498D" w:rsidP="00382EF1">
            <w:pPr>
              <w:pStyle w:val="ListParagraph"/>
              <w:numPr>
                <w:ilvl w:val="0"/>
                <w:numId w:val="1"/>
              </w:numPr>
              <w:jc w:val="both"/>
              <w:rPr>
                <w:rFonts w:ascii="Calibri" w:hAnsi="Calibri" w:cs="Arial"/>
              </w:rPr>
            </w:pPr>
            <w:r w:rsidRPr="00382EF1">
              <w:rPr>
                <w:rFonts w:ascii="Calibri" w:hAnsi="Calibri" w:cs="Arial"/>
              </w:rPr>
              <w:t>Community Services aim to improve the percentage of patients who rate their care good, very good or excellent.</w:t>
            </w:r>
            <w:r>
              <w:rPr>
                <w:rFonts w:ascii="Calibri" w:hAnsi="Calibri" w:cs="Arial"/>
              </w:rPr>
              <w:t xml:space="preserve"> In the monthly patient users’ survey</w:t>
            </w:r>
          </w:p>
          <w:p w:rsidR="000B3F10" w:rsidRDefault="00382EF1" w:rsidP="00382EF1">
            <w:pPr>
              <w:pStyle w:val="ListParagraph"/>
              <w:numPr>
                <w:ilvl w:val="0"/>
                <w:numId w:val="1"/>
              </w:numPr>
              <w:jc w:val="both"/>
              <w:rPr>
                <w:rFonts w:ascii="Calibri" w:hAnsi="Calibri" w:cs="Arial"/>
              </w:rPr>
            </w:pPr>
            <w:proofErr w:type="gramStart"/>
            <w:r w:rsidRPr="00382EF1">
              <w:rPr>
                <w:rFonts w:ascii="Calibri" w:hAnsi="Calibri" w:cs="Arial"/>
              </w:rPr>
              <w:t>to</w:t>
            </w:r>
            <w:proofErr w:type="gramEnd"/>
            <w:r w:rsidRPr="00382EF1">
              <w:rPr>
                <w:rFonts w:ascii="Calibri" w:hAnsi="Calibri" w:cs="Arial"/>
              </w:rPr>
              <w:t xml:space="preserve"> the question by reporting it is good or excellent (service user priority). </w:t>
            </w:r>
          </w:p>
          <w:p w:rsidR="00382EF1" w:rsidRDefault="00382EF1" w:rsidP="00382EF1">
            <w:pPr>
              <w:pStyle w:val="ListParagraph"/>
              <w:numPr>
                <w:ilvl w:val="0"/>
                <w:numId w:val="1"/>
              </w:numPr>
              <w:jc w:val="both"/>
              <w:rPr>
                <w:rFonts w:ascii="Calibri" w:hAnsi="Calibri" w:cs="Arial"/>
              </w:rPr>
            </w:pPr>
            <w:r w:rsidRPr="00382EF1">
              <w:rPr>
                <w:rFonts w:ascii="Calibri" w:hAnsi="Calibri" w:cs="Arial"/>
              </w:rPr>
              <w:t xml:space="preserve">Within two years achieve a </w:t>
            </w:r>
            <w:r w:rsidR="000B3F10">
              <w:rPr>
                <w:rFonts w:ascii="Calibri" w:hAnsi="Calibri" w:cs="Arial"/>
              </w:rPr>
              <w:t xml:space="preserve">“good” or “excellent” </w:t>
            </w:r>
            <w:r w:rsidRPr="00382EF1">
              <w:rPr>
                <w:rFonts w:ascii="Calibri" w:hAnsi="Calibri" w:cs="Arial"/>
              </w:rPr>
              <w:t>score</w:t>
            </w:r>
            <w:r w:rsidR="000B3F10">
              <w:rPr>
                <w:rFonts w:ascii="Calibri" w:hAnsi="Calibri" w:cs="Arial"/>
              </w:rPr>
              <w:t xml:space="preserve"> in the annual patients’ survey to the question</w:t>
            </w:r>
            <w:r w:rsidRPr="00382EF1">
              <w:rPr>
                <w:rFonts w:ascii="Calibri" w:hAnsi="Calibri" w:cs="Arial"/>
              </w:rPr>
              <w:t xml:space="preserve"> </w:t>
            </w:r>
            <w:r w:rsidR="000B3F10" w:rsidRPr="00382EF1">
              <w:rPr>
                <w:rFonts w:ascii="Calibri" w:hAnsi="Calibri" w:cs="Arial"/>
              </w:rPr>
              <w:t xml:space="preserve">“Overall how do you rate the care you are receiving from Mental Health Services?” </w:t>
            </w:r>
            <w:r w:rsidRPr="00382EF1">
              <w:rPr>
                <w:rFonts w:ascii="Calibri" w:hAnsi="Calibri" w:cs="Arial"/>
              </w:rPr>
              <w:t xml:space="preserve">which is equal to or above the average of other Trusts, and within five years within the top 20% of </w:t>
            </w:r>
            <w:r w:rsidR="0080665D">
              <w:rPr>
                <w:rFonts w:ascii="Calibri" w:hAnsi="Calibri" w:cs="Arial"/>
              </w:rPr>
              <w:t>integrated</w:t>
            </w:r>
            <w:r w:rsidR="0080665D" w:rsidRPr="00382EF1">
              <w:rPr>
                <w:rFonts w:ascii="Calibri" w:hAnsi="Calibri" w:cs="Arial"/>
              </w:rPr>
              <w:t xml:space="preserve"> </w:t>
            </w:r>
            <w:r w:rsidRPr="00382EF1">
              <w:rPr>
                <w:rFonts w:ascii="Calibri" w:hAnsi="Calibri" w:cs="Arial"/>
              </w:rPr>
              <w:t>health trusts.</w:t>
            </w:r>
          </w:p>
          <w:p w:rsidR="009F2AE5" w:rsidRPr="00382EF1" w:rsidRDefault="009F2AE5" w:rsidP="00382EF1">
            <w:pPr>
              <w:pStyle w:val="ListParagraph"/>
              <w:numPr>
                <w:ilvl w:val="0"/>
                <w:numId w:val="1"/>
              </w:numPr>
              <w:jc w:val="both"/>
              <w:rPr>
                <w:rFonts w:ascii="Calibri" w:hAnsi="Calibri" w:cs="Arial"/>
              </w:rPr>
            </w:pPr>
            <w:r>
              <w:rPr>
                <w:rFonts w:ascii="Calibri" w:hAnsi="Calibri" w:cs="Arial"/>
              </w:rPr>
              <w:t>Year on year improvement of measures on the Productive Dashboard</w:t>
            </w:r>
          </w:p>
          <w:p w:rsidR="00A6698A" w:rsidRDefault="00A6698A" w:rsidP="0060498D">
            <w:pPr>
              <w:pStyle w:val="ListParagraph"/>
              <w:jc w:val="both"/>
              <w:rPr>
                <w:rFonts w:ascii="Calibri" w:hAnsi="Calibri" w:cs="Arial"/>
              </w:rPr>
            </w:pPr>
          </w:p>
        </w:tc>
      </w:tr>
      <w:tr w:rsidR="00A6698A" w:rsidTr="003B0BAF">
        <w:tc>
          <w:tcPr>
            <w:tcW w:w="9747" w:type="dxa"/>
          </w:tcPr>
          <w:p w:rsidR="00A6698A" w:rsidRPr="00B25833" w:rsidRDefault="00A6698A" w:rsidP="00A6698A">
            <w:pPr>
              <w:rPr>
                <w:rFonts w:ascii="Calibri" w:hAnsi="Calibri" w:cs="Arial"/>
                <w:b/>
              </w:rPr>
            </w:pPr>
            <w:r>
              <w:rPr>
                <w:rFonts w:ascii="Calibri" w:hAnsi="Calibri" w:cs="Arial"/>
                <w:b/>
              </w:rPr>
              <w:t>Initiatives</w:t>
            </w:r>
            <w:r w:rsidRPr="00B25833">
              <w:rPr>
                <w:rFonts w:ascii="Calibri" w:hAnsi="Calibri" w:cs="Arial"/>
                <w:b/>
              </w:rPr>
              <w:t>:</w:t>
            </w:r>
          </w:p>
          <w:p w:rsidR="00A6698A" w:rsidRDefault="005656E9" w:rsidP="00A6698A">
            <w:pPr>
              <w:pStyle w:val="ListParagraph"/>
              <w:numPr>
                <w:ilvl w:val="0"/>
                <w:numId w:val="3"/>
              </w:numPr>
              <w:rPr>
                <w:rFonts w:ascii="Calibri" w:hAnsi="Calibri" w:cs="Arial"/>
              </w:rPr>
            </w:pPr>
            <w:r>
              <w:rPr>
                <w:rFonts w:ascii="Calibri" w:hAnsi="Calibri" w:cs="Arial"/>
              </w:rPr>
              <w:t xml:space="preserve">Implementation of Patient Experience </w:t>
            </w:r>
            <w:r w:rsidR="0060498D">
              <w:rPr>
                <w:rFonts w:ascii="Calibri" w:hAnsi="Calibri" w:cs="Arial"/>
              </w:rPr>
              <w:t>Clinical Guidelines as produced by NICE</w:t>
            </w:r>
            <w:r w:rsidR="00C61EEF">
              <w:rPr>
                <w:rFonts w:ascii="Calibri" w:hAnsi="Calibri" w:cs="Arial"/>
              </w:rPr>
              <w:t xml:space="preserve"> Clinical Guideline 138 “Patient Experience in Adult NHS Services” (Feb 2012)</w:t>
            </w:r>
          </w:p>
          <w:p w:rsidR="005656E9" w:rsidRDefault="005656E9" w:rsidP="00A6698A">
            <w:pPr>
              <w:pStyle w:val="ListParagraph"/>
              <w:numPr>
                <w:ilvl w:val="0"/>
                <w:numId w:val="3"/>
              </w:numPr>
              <w:rPr>
                <w:rFonts w:ascii="Calibri" w:hAnsi="Calibri" w:cs="Arial"/>
              </w:rPr>
            </w:pPr>
            <w:r>
              <w:rPr>
                <w:rFonts w:ascii="Calibri" w:hAnsi="Calibri" w:cs="Arial"/>
              </w:rPr>
              <w:t>Complet</w:t>
            </w:r>
            <w:r w:rsidR="0060498D">
              <w:rPr>
                <w:rFonts w:ascii="Calibri" w:hAnsi="Calibri" w:cs="Arial"/>
              </w:rPr>
              <w:t>e</w:t>
            </w:r>
            <w:r>
              <w:rPr>
                <w:rFonts w:ascii="Calibri" w:hAnsi="Calibri" w:cs="Arial"/>
              </w:rPr>
              <w:t xml:space="preserve"> the </w:t>
            </w:r>
            <w:r w:rsidR="000C068E">
              <w:rPr>
                <w:rFonts w:ascii="Calibri" w:hAnsi="Calibri" w:cs="Arial"/>
              </w:rPr>
              <w:t>refurbishment of the</w:t>
            </w:r>
            <w:r w:rsidR="00B01493">
              <w:rPr>
                <w:rFonts w:ascii="Calibri" w:hAnsi="Calibri" w:cs="Arial"/>
              </w:rPr>
              <w:t xml:space="preserve"> </w:t>
            </w:r>
            <w:r>
              <w:rPr>
                <w:rFonts w:ascii="Calibri" w:hAnsi="Calibri" w:cs="Arial"/>
              </w:rPr>
              <w:t xml:space="preserve">Highfield </w:t>
            </w:r>
            <w:r w:rsidR="0060498D">
              <w:rPr>
                <w:rFonts w:ascii="Calibri" w:hAnsi="Calibri" w:cs="Arial"/>
              </w:rPr>
              <w:t>inpatient ward for young people and adolescents</w:t>
            </w:r>
          </w:p>
          <w:p w:rsidR="000C068E" w:rsidRDefault="00BC0E67" w:rsidP="00A6698A">
            <w:pPr>
              <w:pStyle w:val="ListParagraph"/>
              <w:numPr>
                <w:ilvl w:val="0"/>
                <w:numId w:val="3"/>
              </w:numPr>
              <w:rPr>
                <w:rFonts w:ascii="Calibri" w:hAnsi="Calibri" w:cs="Arial"/>
              </w:rPr>
            </w:pPr>
            <w:r>
              <w:rPr>
                <w:rFonts w:ascii="Calibri" w:hAnsi="Calibri" w:cs="Arial"/>
              </w:rPr>
              <w:t xml:space="preserve">Build </w:t>
            </w:r>
            <w:r w:rsidR="000C068E">
              <w:rPr>
                <w:rFonts w:ascii="Calibri" w:hAnsi="Calibri" w:cs="Arial"/>
              </w:rPr>
              <w:t>new mental health services in Buckinghamshire on the former Manor House site</w:t>
            </w:r>
          </w:p>
          <w:p w:rsidR="005656E9" w:rsidRDefault="005656E9" w:rsidP="00A6698A">
            <w:pPr>
              <w:pStyle w:val="ListParagraph"/>
              <w:numPr>
                <w:ilvl w:val="0"/>
                <w:numId w:val="3"/>
              </w:numPr>
              <w:rPr>
                <w:rFonts w:ascii="Calibri" w:hAnsi="Calibri" w:cs="Arial"/>
              </w:rPr>
            </w:pPr>
            <w:r>
              <w:rPr>
                <w:rFonts w:ascii="Calibri" w:hAnsi="Calibri" w:cs="Arial"/>
              </w:rPr>
              <w:t xml:space="preserve">Uniforms to be piloted in </w:t>
            </w:r>
            <w:r w:rsidR="000C068E">
              <w:rPr>
                <w:rFonts w:ascii="Calibri" w:hAnsi="Calibri" w:cs="Arial"/>
              </w:rPr>
              <w:t>CA</w:t>
            </w:r>
            <w:r w:rsidR="00BC0E67">
              <w:rPr>
                <w:rFonts w:ascii="Calibri" w:hAnsi="Calibri" w:cs="Arial"/>
              </w:rPr>
              <w:t>M</w:t>
            </w:r>
            <w:r w:rsidR="000C068E">
              <w:rPr>
                <w:rFonts w:ascii="Calibri" w:hAnsi="Calibri" w:cs="Arial"/>
              </w:rPr>
              <w:t>HS m</w:t>
            </w:r>
            <w:r>
              <w:rPr>
                <w:rFonts w:ascii="Calibri" w:hAnsi="Calibri" w:cs="Arial"/>
              </w:rPr>
              <w:t xml:space="preserve">ental </w:t>
            </w:r>
            <w:r w:rsidR="000C068E">
              <w:rPr>
                <w:rFonts w:ascii="Calibri" w:hAnsi="Calibri" w:cs="Arial"/>
              </w:rPr>
              <w:t>h</w:t>
            </w:r>
            <w:r>
              <w:rPr>
                <w:rFonts w:ascii="Calibri" w:hAnsi="Calibri" w:cs="Arial"/>
              </w:rPr>
              <w:t>ealth</w:t>
            </w:r>
            <w:r w:rsidR="000C068E">
              <w:rPr>
                <w:rFonts w:ascii="Calibri" w:hAnsi="Calibri" w:cs="Arial"/>
              </w:rPr>
              <w:t xml:space="preserve"> inpatient services in</w:t>
            </w:r>
            <w:r>
              <w:rPr>
                <w:rFonts w:ascii="Calibri" w:hAnsi="Calibri" w:cs="Arial"/>
              </w:rPr>
              <w:t xml:space="preserve"> Swindon</w:t>
            </w:r>
          </w:p>
          <w:p w:rsidR="005656E9" w:rsidRDefault="000C068E" w:rsidP="00A6698A">
            <w:pPr>
              <w:pStyle w:val="ListParagraph"/>
              <w:numPr>
                <w:ilvl w:val="0"/>
                <w:numId w:val="3"/>
              </w:numPr>
              <w:rPr>
                <w:rFonts w:ascii="Calibri" w:hAnsi="Calibri" w:cs="Arial"/>
              </w:rPr>
            </w:pPr>
            <w:r>
              <w:rPr>
                <w:rFonts w:ascii="Calibri" w:hAnsi="Calibri" w:cs="Arial"/>
              </w:rPr>
              <w:t xml:space="preserve">Improve </w:t>
            </w:r>
            <w:r w:rsidR="005656E9">
              <w:rPr>
                <w:rFonts w:ascii="Calibri" w:hAnsi="Calibri" w:cs="Arial"/>
              </w:rPr>
              <w:t xml:space="preserve">waiting times for prison </w:t>
            </w:r>
            <w:r>
              <w:rPr>
                <w:rFonts w:ascii="Calibri" w:hAnsi="Calibri" w:cs="Arial"/>
              </w:rPr>
              <w:t>health services</w:t>
            </w:r>
          </w:p>
          <w:p w:rsidR="000C068E" w:rsidRDefault="000C068E" w:rsidP="00A6698A">
            <w:pPr>
              <w:pStyle w:val="ListParagraph"/>
              <w:numPr>
                <w:ilvl w:val="0"/>
                <w:numId w:val="3"/>
              </w:numPr>
              <w:rPr>
                <w:rFonts w:ascii="Calibri" w:hAnsi="Calibri" w:cs="Arial"/>
              </w:rPr>
            </w:pPr>
            <w:r>
              <w:rPr>
                <w:rFonts w:ascii="Calibri" w:hAnsi="Calibri" w:cs="Arial"/>
              </w:rPr>
              <w:t>Improve waiting times for access to physiotherapy services</w:t>
            </w:r>
          </w:p>
          <w:p w:rsidR="000C068E" w:rsidRDefault="000C068E" w:rsidP="00A6698A">
            <w:pPr>
              <w:pStyle w:val="ListParagraph"/>
              <w:numPr>
                <w:ilvl w:val="0"/>
                <w:numId w:val="3"/>
              </w:numPr>
              <w:rPr>
                <w:rFonts w:ascii="Calibri" w:hAnsi="Calibri" w:cs="Arial"/>
              </w:rPr>
            </w:pPr>
            <w:r>
              <w:rPr>
                <w:rFonts w:ascii="Calibri" w:hAnsi="Calibri" w:cs="Arial"/>
              </w:rPr>
              <w:t>Improve waiting times for access to psychological services</w:t>
            </w:r>
            <w:r w:rsidR="00BC0E67">
              <w:rPr>
                <w:rFonts w:ascii="Calibri" w:hAnsi="Calibri" w:cs="Arial"/>
              </w:rPr>
              <w:t xml:space="preserve"> in OCS</w:t>
            </w:r>
            <w:r>
              <w:rPr>
                <w:rFonts w:ascii="Calibri" w:hAnsi="Calibri" w:cs="Arial"/>
              </w:rPr>
              <w:t xml:space="preserve"> </w:t>
            </w:r>
            <w:r w:rsidR="004E65E1" w:rsidRPr="004E65E1">
              <w:rPr>
                <w:rFonts w:ascii="Calibri" w:hAnsi="Calibri" w:cs="Arial"/>
                <w:highlight w:val="yellow"/>
              </w:rPr>
              <w:t>[?]</w:t>
            </w:r>
            <w:r>
              <w:rPr>
                <w:rFonts w:ascii="Calibri" w:hAnsi="Calibri" w:cs="Arial"/>
              </w:rPr>
              <w:t xml:space="preserve"> </w:t>
            </w:r>
          </w:p>
          <w:p w:rsidR="009D5A22" w:rsidRDefault="009D5A22" w:rsidP="009D5A22">
            <w:pPr>
              <w:pStyle w:val="ListParagraph"/>
              <w:numPr>
                <w:ilvl w:val="0"/>
                <w:numId w:val="3"/>
              </w:numPr>
              <w:rPr>
                <w:rFonts w:ascii="Calibri" w:hAnsi="Calibri" w:cs="Arial"/>
              </w:rPr>
            </w:pPr>
            <w:r>
              <w:rPr>
                <w:rFonts w:ascii="Calibri" w:hAnsi="Calibri" w:cs="Arial"/>
              </w:rPr>
              <w:t xml:space="preserve">Develop and roll out use of alternative user satisfaction measure as part of health visiting </w:t>
            </w:r>
            <w:r>
              <w:rPr>
                <w:rFonts w:ascii="Calibri" w:hAnsi="Calibri" w:cs="Arial"/>
              </w:rPr>
              <w:lastRenderedPageBreak/>
              <w:t>Call for Action programme delivery</w:t>
            </w:r>
          </w:p>
          <w:p w:rsidR="00BC0E67" w:rsidRDefault="009F2AE5" w:rsidP="00BC0E67">
            <w:pPr>
              <w:pStyle w:val="ListParagraph"/>
              <w:numPr>
                <w:ilvl w:val="0"/>
                <w:numId w:val="3"/>
              </w:numPr>
              <w:rPr>
                <w:rFonts w:ascii="Calibri" w:hAnsi="Calibri" w:cs="Arial"/>
              </w:rPr>
            </w:pPr>
            <w:r>
              <w:rPr>
                <w:rFonts w:ascii="Calibri" w:hAnsi="Calibri" w:cs="Arial"/>
              </w:rPr>
              <w:t>Implement Productive Programme releasing Time to Care to all teams</w:t>
            </w:r>
            <w:r w:rsidR="00BC0E67">
              <w:rPr>
                <w:rFonts w:ascii="Calibri" w:hAnsi="Calibri" w:cs="Arial"/>
              </w:rPr>
              <w:t xml:space="preserve">, increasing the number of teams that have successfully implemented Productive Teams </w:t>
            </w:r>
          </w:p>
          <w:p w:rsidR="009D5A22" w:rsidRPr="00A256B3" w:rsidRDefault="009D5A22" w:rsidP="009D5A22">
            <w:pPr>
              <w:pStyle w:val="ListParagraph"/>
              <w:rPr>
                <w:rFonts w:ascii="Calibri" w:hAnsi="Calibri" w:cs="Arial"/>
              </w:rPr>
            </w:pPr>
          </w:p>
        </w:tc>
      </w:tr>
    </w:tbl>
    <w:p w:rsidR="00D31ED0" w:rsidRDefault="00D31ED0" w:rsidP="00D31ED0">
      <w:pPr>
        <w:rPr>
          <w:rFonts w:ascii="Calibri" w:hAnsi="Calibri" w:cs="Arial"/>
        </w:rPr>
      </w:pPr>
    </w:p>
    <w:tbl>
      <w:tblPr>
        <w:tblStyle w:val="TableGrid"/>
        <w:tblW w:w="0" w:type="auto"/>
        <w:tblInd w:w="108" w:type="dxa"/>
        <w:tblLook w:val="04A0"/>
      </w:tblPr>
      <w:tblGrid>
        <w:gridCol w:w="9747"/>
      </w:tblGrid>
      <w:tr w:rsidR="00D31ED0" w:rsidTr="003B0BAF">
        <w:tc>
          <w:tcPr>
            <w:tcW w:w="9747" w:type="dxa"/>
            <w:shd w:val="clear" w:color="auto" w:fill="F2F2F2" w:themeFill="background1" w:themeFillShade="F2"/>
          </w:tcPr>
          <w:p w:rsidR="00D31ED0" w:rsidRPr="00A256B3" w:rsidRDefault="00124402" w:rsidP="00D31ED0">
            <w:pPr>
              <w:rPr>
                <w:rFonts w:ascii="Calibri" w:hAnsi="Calibri" w:cs="Arial"/>
                <w:b/>
              </w:rPr>
            </w:pPr>
            <w:r>
              <w:rPr>
                <w:rFonts w:ascii="Calibri" w:hAnsi="Calibri" w:cs="Arial"/>
                <w:b/>
              </w:rPr>
              <w:t>Responsiveness to Patient/Service User’s Needs will improve</w:t>
            </w:r>
          </w:p>
        </w:tc>
      </w:tr>
      <w:tr w:rsidR="00D31ED0" w:rsidTr="003B0BAF">
        <w:tc>
          <w:tcPr>
            <w:tcW w:w="9747" w:type="dxa"/>
          </w:tcPr>
          <w:p w:rsidR="00D31ED0" w:rsidRDefault="00D31ED0" w:rsidP="00D31ED0">
            <w:pPr>
              <w:rPr>
                <w:rFonts w:ascii="Calibri" w:hAnsi="Calibri" w:cs="Arial"/>
              </w:rPr>
            </w:pPr>
            <w:r w:rsidRPr="00B25833">
              <w:rPr>
                <w:rFonts w:ascii="Calibri" w:hAnsi="Calibri" w:cs="Arial"/>
                <w:b/>
              </w:rPr>
              <w:t>Measure</w:t>
            </w:r>
            <w:r>
              <w:rPr>
                <w:rFonts w:ascii="Calibri" w:hAnsi="Calibri" w:cs="Arial"/>
                <w:b/>
              </w:rPr>
              <w:t>s</w:t>
            </w:r>
            <w:r w:rsidRPr="00B25833">
              <w:rPr>
                <w:rFonts w:ascii="Calibri" w:hAnsi="Calibri" w:cs="Arial"/>
                <w:b/>
              </w:rPr>
              <w:t>:</w:t>
            </w:r>
            <w:r>
              <w:rPr>
                <w:rFonts w:ascii="Calibri" w:hAnsi="Calibri" w:cs="Arial"/>
              </w:rPr>
              <w:t xml:space="preserve"> </w:t>
            </w:r>
          </w:p>
          <w:p w:rsidR="00D31ED0" w:rsidRPr="00B25833" w:rsidRDefault="00124402" w:rsidP="00D6023E">
            <w:pPr>
              <w:pStyle w:val="ListParagraph"/>
              <w:numPr>
                <w:ilvl w:val="0"/>
                <w:numId w:val="44"/>
              </w:numPr>
              <w:rPr>
                <w:rFonts w:ascii="Calibri" w:hAnsi="Calibri" w:cs="Arial"/>
              </w:rPr>
            </w:pPr>
            <w:r>
              <w:rPr>
                <w:rFonts w:ascii="Calibri" w:hAnsi="Calibri" w:cs="Arial"/>
              </w:rPr>
              <w:t>Patients/Service users &amp; carers report a positive experience in patient surveys</w:t>
            </w:r>
          </w:p>
        </w:tc>
      </w:tr>
      <w:tr w:rsidR="00D31ED0" w:rsidTr="003B0BAF">
        <w:tc>
          <w:tcPr>
            <w:tcW w:w="9747" w:type="dxa"/>
          </w:tcPr>
          <w:p w:rsidR="00D31ED0" w:rsidRPr="00B25833" w:rsidRDefault="00D31ED0" w:rsidP="00D31ED0">
            <w:pPr>
              <w:rPr>
                <w:rFonts w:ascii="Calibri" w:hAnsi="Calibri" w:cs="Arial"/>
                <w:b/>
              </w:rPr>
            </w:pPr>
            <w:r w:rsidRPr="00B25833">
              <w:rPr>
                <w:rFonts w:ascii="Calibri" w:hAnsi="Calibri" w:cs="Arial"/>
                <w:b/>
              </w:rPr>
              <w:t xml:space="preserve">Targets: </w:t>
            </w:r>
          </w:p>
          <w:p w:rsidR="005E48E3" w:rsidRDefault="005E48E3" w:rsidP="00D31ED0">
            <w:pPr>
              <w:pStyle w:val="ListParagraph"/>
              <w:numPr>
                <w:ilvl w:val="0"/>
                <w:numId w:val="44"/>
              </w:numPr>
              <w:rPr>
                <w:rFonts w:ascii="Calibri" w:hAnsi="Calibri" w:cs="Arial"/>
              </w:rPr>
            </w:pPr>
            <w:r>
              <w:rPr>
                <w:rFonts w:ascii="Calibri" w:hAnsi="Calibri" w:cs="Arial"/>
              </w:rPr>
              <w:t>Improve patient satisfaction scores</w:t>
            </w:r>
            <w:r w:rsidR="00672B79">
              <w:rPr>
                <w:rFonts w:ascii="Calibri" w:hAnsi="Calibri" w:cs="Arial"/>
              </w:rPr>
              <w:t xml:space="preserve"> in mental health services</w:t>
            </w:r>
            <w:r>
              <w:rPr>
                <w:rFonts w:ascii="Calibri" w:hAnsi="Calibri" w:cs="Arial"/>
              </w:rPr>
              <w:t xml:space="preserve"> by 10% </w:t>
            </w:r>
          </w:p>
          <w:p w:rsidR="00672B79" w:rsidRDefault="00672B79" w:rsidP="00D31ED0">
            <w:pPr>
              <w:pStyle w:val="ListParagraph"/>
              <w:numPr>
                <w:ilvl w:val="0"/>
                <w:numId w:val="44"/>
              </w:numPr>
              <w:rPr>
                <w:rFonts w:ascii="Calibri" w:hAnsi="Calibri" w:cs="Arial"/>
              </w:rPr>
            </w:pPr>
            <w:r>
              <w:rPr>
                <w:rFonts w:ascii="Calibri" w:hAnsi="Calibri" w:cs="Arial"/>
              </w:rPr>
              <w:t xml:space="preserve">Improve the patient satisfaction scores in community health services according to the individual </w:t>
            </w:r>
            <w:r w:rsidR="00BA401D">
              <w:rPr>
                <w:rFonts w:ascii="Calibri" w:hAnsi="Calibri" w:cs="Arial"/>
              </w:rPr>
              <w:t>targets set</w:t>
            </w:r>
          </w:p>
          <w:p w:rsidR="00FE1CED" w:rsidRDefault="00FE1CED" w:rsidP="00FE1CED">
            <w:pPr>
              <w:pStyle w:val="ListParagraph"/>
              <w:numPr>
                <w:ilvl w:val="0"/>
                <w:numId w:val="3"/>
              </w:numPr>
              <w:rPr>
                <w:rFonts w:ascii="Calibri" w:hAnsi="Calibri" w:cs="Arial"/>
              </w:rPr>
            </w:pPr>
            <w:r>
              <w:rPr>
                <w:rFonts w:ascii="Calibri" w:hAnsi="Calibri" w:cs="Arial"/>
              </w:rPr>
              <w:t>Children’s Therapies to achieve “You’re Welcome” accreditation</w:t>
            </w:r>
          </w:p>
          <w:p w:rsidR="00FE1CED" w:rsidRDefault="00FE1CED" w:rsidP="00FE1CED">
            <w:pPr>
              <w:pStyle w:val="ListParagraph"/>
              <w:numPr>
                <w:ilvl w:val="0"/>
                <w:numId w:val="3"/>
              </w:numPr>
              <w:rPr>
                <w:rFonts w:ascii="Calibri" w:hAnsi="Calibri" w:cs="Arial"/>
              </w:rPr>
            </w:pPr>
            <w:r>
              <w:rPr>
                <w:rFonts w:ascii="Calibri" w:hAnsi="Calibri" w:cs="Arial"/>
              </w:rPr>
              <w:t>Increase the number of people supported to die at home according to the CQUIN requirements</w:t>
            </w:r>
          </w:p>
          <w:p w:rsidR="00FE1CED" w:rsidRDefault="00FE1CED" w:rsidP="00FE1CED">
            <w:pPr>
              <w:pStyle w:val="ListParagraph"/>
              <w:rPr>
                <w:rFonts w:ascii="Calibri" w:hAnsi="Calibri" w:cs="Arial"/>
              </w:rPr>
            </w:pPr>
          </w:p>
        </w:tc>
      </w:tr>
      <w:tr w:rsidR="00D31ED0" w:rsidTr="003B0BAF">
        <w:tc>
          <w:tcPr>
            <w:tcW w:w="9747" w:type="dxa"/>
          </w:tcPr>
          <w:p w:rsidR="00D31ED0" w:rsidRPr="00B25833" w:rsidRDefault="00D31ED0" w:rsidP="00D31ED0">
            <w:pPr>
              <w:rPr>
                <w:rFonts w:ascii="Calibri" w:hAnsi="Calibri" w:cs="Arial"/>
                <w:b/>
              </w:rPr>
            </w:pPr>
            <w:r>
              <w:rPr>
                <w:rFonts w:ascii="Calibri" w:hAnsi="Calibri" w:cs="Arial"/>
                <w:b/>
              </w:rPr>
              <w:t>Initiatives</w:t>
            </w:r>
            <w:r w:rsidRPr="00B25833">
              <w:rPr>
                <w:rFonts w:ascii="Calibri" w:hAnsi="Calibri" w:cs="Arial"/>
                <w:b/>
              </w:rPr>
              <w:t>:</w:t>
            </w:r>
          </w:p>
          <w:p w:rsidR="00FE1CED" w:rsidRPr="00FE1CED" w:rsidRDefault="00646A1F" w:rsidP="005E48E3">
            <w:pPr>
              <w:pStyle w:val="ListParagraph"/>
              <w:numPr>
                <w:ilvl w:val="0"/>
                <w:numId w:val="44"/>
              </w:numPr>
              <w:rPr>
                <w:rFonts w:ascii="Calibri" w:hAnsi="Calibri" w:cs="Arial"/>
              </w:rPr>
            </w:pPr>
            <w:r>
              <w:rPr>
                <w:rFonts w:ascii="Calibri" w:hAnsi="Calibri" w:cs="Arial"/>
              </w:rPr>
              <w:t>Enhance the support for</w:t>
            </w:r>
            <w:r w:rsidR="005E48E3" w:rsidRPr="00FE1CED">
              <w:rPr>
                <w:rFonts w:ascii="Calibri" w:hAnsi="Calibri" w:cs="Arial"/>
              </w:rPr>
              <w:t xml:space="preserve"> people </w:t>
            </w:r>
            <w:r>
              <w:rPr>
                <w:rFonts w:ascii="Calibri" w:hAnsi="Calibri" w:cs="Arial"/>
              </w:rPr>
              <w:t>wanting to die</w:t>
            </w:r>
            <w:r w:rsidR="005E48E3" w:rsidRPr="00FE1CED">
              <w:rPr>
                <w:rFonts w:ascii="Calibri" w:hAnsi="Calibri" w:cs="Arial"/>
              </w:rPr>
              <w:t xml:space="preserve"> at home</w:t>
            </w:r>
            <w:r w:rsidR="00FE1CED" w:rsidRPr="00FE1CED">
              <w:rPr>
                <w:rFonts w:ascii="Calibri" w:hAnsi="Calibri" w:cs="Arial"/>
              </w:rPr>
              <w:t xml:space="preserve"> </w:t>
            </w:r>
          </w:p>
          <w:p w:rsidR="00D31ED0" w:rsidRDefault="005E48E3" w:rsidP="005E48E3">
            <w:pPr>
              <w:pStyle w:val="ListParagraph"/>
              <w:numPr>
                <w:ilvl w:val="0"/>
                <w:numId w:val="3"/>
              </w:numPr>
              <w:rPr>
                <w:rFonts w:ascii="Calibri" w:hAnsi="Calibri" w:cs="Arial"/>
              </w:rPr>
            </w:pPr>
            <w:r>
              <w:rPr>
                <w:rFonts w:ascii="Calibri" w:hAnsi="Calibri" w:cs="Arial"/>
              </w:rPr>
              <w:t>Continue roll out of patient</w:t>
            </w:r>
            <w:r w:rsidR="00646A1F">
              <w:rPr>
                <w:rFonts w:ascii="Calibri" w:hAnsi="Calibri" w:cs="Arial"/>
              </w:rPr>
              <w:t xml:space="preserve"> wellbeing checks with patients in community hospitals</w:t>
            </w:r>
          </w:p>
          <w:p w:rsidR="005E48E3" w:rsidRDefault="00FE1CED" w:rsidP="005E48E3">
            <w:pPr>
              <w:pStyle w:val="ListParagraph"/>
              <w:numPr>
                <w:ilvl w:val="0"/>
                <w:numId w:val="3"/>
              </w:numPr>
              <w:rPr>
                <w:rFonts w:ascii="Calibri" w:hAnsi="Calibri" w:cs="Arial"/>
              </w:rPr>
            </w:pPr>
            <w:r>
              <w:rPr>
                <w:rFonts w:ascii="Calibri" w:hAnsi="Calibri" w:cs="Arial"/>
              </w:rPr>
              <w:t xml:space="preserve">Agreed actions carried out in </w:t>
            </w:r>
            <w:r w:rsidR="005E48E3">
              <w:rPr>
                <w:rFonts w:ascii="Calibri" w:hAnsi="Calibri" w:cs="Arial"/>
              </w:rPr>
              <w:t>Children’s Therapies to achieve “You’re Welcome” accreditation</w:t>
            </w:r>
          </w:p>
          <w:p w:rsidR="005E48E3" w:rsidRDefault="00FE1CED" w:rsidP="005E48E3">
            <w:pPr>
              <w:pStyle w:val="ListParagraph"/>
              <w:numPr>
                <w:ilvl w:val="0"/>
                <w:numId w:val="3"/>
              </w:numPr>
              <w:rPr>
                <w:rFonts w:ascii="Calibri" w:hAnsi="Calibri" w:cs="Arial"/>
              </w:rPr>
            </w:pPr>
            <w:r>
              <w:rPr>
                <w:rFonts w:ascii="Calibri" w:hAnsi="Calibri" w:cs="Arial"/>
              </w:rPr>
              <w:t xml:space="preserve">Actions to reduce the number of </w:t>
            </w:r>
            <w:r w:rsidR="005E48E3">
              <w:rPr>
                <w:rFonts w:ascii="Calibri" w:hAnsi="Calibri" w:cs="Arial"/>
              </w:rPr>
              <w:t xml:space="preserve">complaints within </w:t>
            </w:r>
            <w:r>
              <w:rPr>
                <w:rFonts w:ascii="Calibri" w:hAnsi="Calibri" w:cs="Arial"/>
              </w:rPr>
              <w:t xml:space="preserve">the </w:t>
            </w:r>
            <w:r w:rsidR="005E48E3">
              <w:rPr>
                <w:rFonts w:ascii="Calibri" w:hAnsi="Calibri" w:cs="Arial"/>
              </w:rPr>
              <w:t>Prison</w:t>
            </w:r>
            <w:r>
              <w:rPr>
                <w:rFonts w:ascii="Calibri" w:hAnsi="Calibri" w:cs="Arial"/>
              </w:rPr>
              <w:t xml:space="preserve"> Service</w:t>
            </w:r>
          </w:p>
          <w:p w:rsidR="005E48E3" w:rsidRDefault="00FE1CED" w:rsidP="00FE1CED">
            <w:pPr>
              <w:pStyle w:val="ListParagraph"/>
              <w:numPr>
                <w:ilvl w:val="0"/>
                <w:numId w:val="3"/>
              </w:numPr>
              <w:rPr>
                <w:rFonts w:ascii="Calibri" w:hAnsi="Calibri" w:cs="Arial"/>
              </w:rPr>
            </w:pPr>
            <w:r>
              <w:rPr>
                <w:rFonts w:ascii="Calibri" w:hAnsi="Calibri" w:cs="Arial"/>
              </w:rPr>
              <w:t>Carry out bespoke patient experience survey  in the</w:t>
            </w:r>
            <w:r w:rsidR="005E48E3">
              <w:rPr>
                <w:rFonts w:ascii="Calibri" w:hAnsi="Calibri" w:cs="Arial"/>
              </w:rPr>
              <w:t xml:space="preserve"> Addictions Harm Minimisation Service</w:t>
            </w:r>
          </w:p>
          <w:p w:rsidR="00FC52F5" w:rsidRPr="00FC52F5" w:rsidRDefault="00FC52F5" w:rsidP="00FC52F5">
            <w:pPr>
              <w:pStyle w:val="ListParagraph"/>
              <w:numPr>
                <w:ilvl w:val="0"/>
                <w:numId w:val="45"/>
              </w:numPr>
              <w:rPr>
                <w:rFonts w:ascii="Calibri" w:hAnsi="Calibri" w:cs="Arial"/>
              </w:rPr>
            </w:pPr>
            <w:r>
              <w:rPr>
                <w:rFonts w:ascii="Calibri" w:hAnsi="Calibri" w:cs="Arial"/>
              </w:rPr>
              <w:t>Implement  session by session outcome measures for Children &amp; Young People in CAMHS IAPT services</w:t>
            </w:r>
          </w:p>
        </w:tc>
      </w:tr>
    </w:tbl>
    <w:p w:rsidR="00D31ED0" w:rsidRDefault="00D31ED0" w:rsidP="00D31ED0">
      <w:pPr>
        <w:rPr>
          <w:rFonts w:ascii="Calibri" w:hAnsi="Calibri" w:cs="Arial"/>
        </w:rPr>
      </w:pPr>
    </w:p>
    <w:tbl>
      <w:tblPr>
        <w:tblStyle w:val="TableGrid"/>
        <w:tblW w:w="0" w:type="auto"/>
        <w:tblInd w:w="108" w:type="dxa"/>
        <w:tblLook w:val="04A0"/>
      </w:tblPr>
      <w:tblGrid>
        <w:gridCol w:w="9747"/>
      </w:tblGrid>
      <w:tr w:rsidR="00D31ED0" w:rsidTr="003B0BAF">
        <w:tc>
          <w:tcPr>
            <w:tcW w:w="9747" w:type="dxa"/>
            <w:shd w:val="clear" w:color="auto" w:fill="F2F2F2" w:themeFill="background1" w:themeFillShade="F2"/>
          </w:tcPr>
          <w:p w:rsidR="00D31ED0" w:rsidRPr="00A256B3" w:rsidRDefault="00382EF1" w:rsidP="00D31ED0">
            <w:pPr>
              <w:rPr>
                <w:rFonts w:ascii="Calibri" w:hAnsi="Calibri" w:cs="Arial"/>
                <w:b/>
              </w:rPr>
            </w:pPr>
            <w:r>
              <w:rPr>
                <w:rFonts w:ascii="Calibri" w:hAnsi="Calibri" w:cs="Arial"/>
                <w:b/>
              </w:rPr>
              <w:t>Patient’s Access to Community-based services will improve</w:t>
            </w:r>
          </w:p>
        </w:tc>
      </w:tr>
      <w:tr w:rsidR="00D31ED0" w:rsidTr="003B0BAF">
        <w:tc>
          <w:tcPr>
            <w:tcW w:w="9747" w:type="dxa"/>
          </w:tcPr>
          <w:p w:rsidR="00D31ED0" w:rsidRDefault="00D31ED0" w:rsidP="00D31ED0">
            <w:pPr>
              <w:rPr>
                <w:rFonts w:ascii="Calibri" w:hAnsi="Calibri" w:cs="Arial"/>
              </w:rPr>
            </w:pPr>
            <w:r w:rsidRPr="00B25833">
              <w:rPr>
                <w:rFonts w:ascii="Calibri" w:hAnsi="Calibri" w:cs="Arial"/>
                <w:b/>
              </w:rPr>
              <w:t>Measure</w:t>
            </w:r>
            <w:r>
              <w:rPr>
                <w:rFonts w:ascii="Calibri" w:hAnsi="Calibri" w:cs="Arial"/>
                <w:b/>
              </w:rPr>
              <w:t>s</w:t>
            </w:r>
            <w:r w:rsidRPr="00B25833">
              <w:rPr>
                <w:rFonts w:ascii="Calibri" w:hAnsi="Calibri" w:cs="Arial"/>
                <w:b/>
              </w:rPr>
              <w:t>:</w:t>
            </w:r>
            <w:r>
              <w:rPr>
                <w:rFonts w:ascii="Calibri" w:hAnsi="Calibri" w:cs="Arial"/>
              </w:rPr>
              <w:t xml:space="preserve"> </w:t>
            </w:r>
          </w:p>
          <w:p w:rsidR="00D31ED0" w:rsidRDefault="00124402" w:rsidP="00D31ED0">
            <w:pPr>
              <w:pStyle w:val="ListParagraph"/>
              <w:numPr>
                <w:ilvl w:val="0"/>
                <w:numId w:val="46"/>
              </w:numPr>
              <w:rPr>
                <w:rFonts w:ascii="Calibri" w:hAnsi="Calibri" w:cs="Arial"/>
              </w:rPr>
            </w:pPr>
            <w:r>
              <w:rPr>
                <w:rFonts w:ascii="Calibri" w:hAnsi="Calibri" w:cs="Arial"/>
              </w:rPr>
              <w:t xml:space="preserve">Number of patients </w:t>
            </w:r>
            <w:r w:rsidR="00646A1F">
              <w:rPr>
                <w:rFonts w:ascii="Calibri" w:hAnsi="Calibri" w:cs="Arial"/>
              </w:rPr>
              <w:t xml:space="preserve">assessed and treated </w:t>
            </w:r>
            <w:r>
              <w:rPr>
                <w:rFonts w:ascii="Calibri" w:hAnsi="Calibri" w:cs="Arial"/>
              </w:rPr>
              <w:t>in community settings</w:t>
            </w:r>
          </w:p>
          <w:p w:rsidR="00602971" w:rsidRPr="00B25833" w:rsidRDefault="00602971" w:rsidP="00BC0E67">
            <w:pPr>
              <w:pStyle w:val="ListParagraph"/>
              <w:numPr>
                <w:ilvl w:val="0"/>
                <w:numId w:val="46"/>
              </w:numPr>
              <w:rPr>
                <w:rFonts w:ascii="Calibri" w:hAnsi="Calibri" w:cs="Arial"/>
              </w:rPr>
            </w:pPr>
            <w:r>
              <w:rPr>
                <w:rFonts w:ascii="Calibri" w:hAnsi="Calibri" w:cs="Arial"/>
              </w:rPr>
              <w:t xml:space="preserve">National </w:t>
            </w:r>
            <w:r w:rsidR="00BC0E67">
              <w:rPr>
                <w:rFonts w:ascii="Calibri" w:hAnsi="Calibri" w:cs="Arial"/>
              </w:rPr>
              <w:t xml:space="preserve">CQC Community Mental Health Service User Survey results </w:t>
            </w:r>
          </w:p>
        </w:tc>
      </w:tr>
      <w:tr w:rsidR="00D31ED0" w:rsidTr="003B0BAF">
        <w:tc>
          <w:tcPr>
            <w:tcW w:w="9747" w:type="dxa"/>
          </w:tcPr>
          <w:p w:rsidR="00D31ED0" w:rsidRPr="00B25833" w:rsidRDefault="00D31ED0" w:rsidP="00D31ED0">
            <w:pPr>
              <w:rPr>
                <w:rFonts w:ascii="Calibri" w:hAnsi="Calibri" w:cs="Arial"/>
                <w:b/>
              </w:rPr>
            </w:pPr>
            <w:r w:rsidRPr="00B25833">
              <w:rPr>
                <w:rFonts w:ascii="Calibri" w:hAnsi="Calibri" w:cs="Arial"/>
                <w:b/>
              </w:rPr>
              <w:t xml:space="preserve">Targets: </w:t>
            </w:r>
          </w:p>
          <w:p w:rsidR="005656E9" w:rsidRPr="00382EF1" w:rsidRDefault="005656E9" w:rsidP="005656E9">
            <w:pPr>
              <w:pStyle w:val="ListParagraph"/>
              <w:numPr>
                <w:ilvl w:val="0"/>
                <w:numId w:val="1"/>
              </w:numPr>
              <w:jc w:val="both"/>
              <w:rPr>
                <w:rFonts w:ascii="Arial" w:hAnsi="Arial" w:cs="Arial"/>
              </w:rPr>
            </w:pPr>
            <w:r w:rsidRPr="00382EF1">
              <w:rPr>
                <w:rFonts w:ascii="Calibri" w:hAnsi="Calibri" w:cs="Arial"/>
              </w:rPr>
              <w:t>The Trust aims to score better than the average of other organisations in the National Survey (Co</w:t>
            </w:r>
            <w:r>
              <w:rPr>
                <w:rFonts w:ascii="Calibri" w:hAnsi="Calibri" w:cs="Arial"/>
              </w:rPr>
              <w:t>mmunity) in the following areas:</w:t>
            </w:r>
            <w:r w:rsidRPr="00382EF1">
              <w:rPr>
                <w:rFonts w:ascii="Calibri" w:hAnsi="Calibri" w:cs="Arial"/>
              </w:rPr>
              <w:t xml:space="preserve"> </w:t>
            </w:r>
          </w:p>
          <w:p w:rsidR="005656E9" w:rsidRPr="00382EF1" w:rsidRDefault="005656E9" w:rsidP="005656E9">
            <w:pPr>
              <w:numPr>
                <w:ilvl w:val="0"/>
                <w:numId w:val="17"/>
              </w:numPr>
              <w:tabs>
                <w:tab w:val="clear" w:pos="1440"/>
                <w:tab w:val="num" w:pos="1800"/>
              </w:tabs>
              <w:jc w:val="both"/>
              <w:rPr>
                <w:rFonts w:ascii="Calibri" w:hAnsi="Calibri" w:cs="Arial"/>
              </w:rPr>
            </w:pPr>
            <w:r w:rsidRPr="00382EF1">
              <w:rPr>
                <w:rFonts w:ascii="Calibri" w:hAnsi="Calibri" w:cs="Arial"/>
              </w:rPr>
              <w:t xml:space="preserve">Service users knowing who their care coordinator was </w:t>
            </w:r>
          </w:p>
          <w:p w:rsidR="005656E9" w:rsidRPr="00382EF1" w:rsidRDefault="005656E9" w:rsidP="005656E9">
            <w:pPr>
              <w:numPr>
                <w:ilvl w:val="0"/>
                <w:numId w:val="17"/>
              </w:numPr>
              <w:tabs>
                <w:tab w:val="clear" w:pos="1440"/>
                <w:tab w:val="num" w:pos="1800"/>
              </w:tabs>
              <w:jc w:val="both"/>
              <w:rPr>
                <w:rFonts w:ascii="Calibri" w:hAnsi="Calibri" w:cs="Arial"/>
              </w:rPr>
            </w:pPr>
            <w:r w:rsidRPr="00382EF1">
              <w:rPr>
                <w:rFonts w:ascii="Calibri" w:hAnsi="Calibri" w:cs="Arial"/>
              </w:rPr>
              <w:t xml:space="preserve">Service users being offered a copy of the care plan </w:t>
            </w:r>
          </w:p>
          <w:p w:rsidR="005656E9" w:rsidRPr="00382EF1" w:rsidRDefault="005656E9" w:rsidP="005656E9">
            <w:pPr>
              <w:numPr>
                <w:ilvl w:val="0"/>
                <w:numId w:val="17"/>
              </w:numPr>
              <w:tabs>
                <w:tab w:val="clear" w:pos="1440"/>
                <w:tab w:val="num" w:pos="1800"/>
              </w:tabs>
              <w:jc w:val="both"/>
              <w:rPr>
                <w:rFonts w:ascii="Calibri" w:hAnsi="Calibri" w:cs="Arial"/>
              </w:rPr>
            </w:pPr>
            <w:r w:rsidRPr="00382EF1">
              <w:rPr>
                <w:rFonts w:ascii="Calibri" w:hAnsi="Calibri" w:cs="Arial"/>
              </w:rPr>
              <w:t>Service users had had a care plan review meeting in the past 12 months</w:t>
            </w:r>
          </w:p>
          <w:p w:rsidR="005656E9" w:rsidRDefault="005656E9" w:rsidP="00646A1F">
            <w:pPr>
              <w:numPr>
                <w:ilvl w:val="0"/>
                <w:numId w:val="17"/>
              </w:numPr>
              <w:tabs>
                <w:tab w:val="clear" w:pos="1440"/>
                <w:tab w:val="num" w:pos="1800"/>
              </w:tabs>
              <w:jc w:val="both"/>
              <w:rPr>
                <w:rFonts w:ascii="Calibri" w:hAnsi="Calibri" w:cs="Arial"/>
              </w:rPr>
            </w:pPr>
            <w:r w:rsidRPr="00382EF1">
              <w:rPr>
                <w:rFonts w:ascii="Calibri" w:hAnsi="Calibri" w:cs="Arial"/>
              </w:rPr>
              <w:t>Having a contact number out of hours</w:t>
            </w:r>
          </w:p>
          <w:p w:rsidR="00672B79" w:rsidRDefault="00672B79" w:rsidP="00BC0E67">
            <w:pPr>
              <w:pStyle w:val="ListParagraph"/>
              <w:numPr>
                <w:ilvl w:val="0"/>
                <w:numId w:val="1"/>
              </w:numPr>
              <w:jc w:val="both"/>
              <w:rPr>
                <w:rFonts w:ascii="Calibri" w:hAnsi="Calibri" w:cs="Arial"/>
              </w:rPr>
            </w:pPr>
            <w:r>
              <w:rPr>
                <w:rFonts w:ascii="Calibri" w:hAnsi="Calibri" w:cs="Arial"/>
              </w:rPr>
              <w:t xml:space="preserve">Reduce the number of </w:t>
            </w:r>
            <w:r w:rsidR="00BC0E67">
              <w:rPr>
                <w:rFonts w:ascii="Calibri" w:hAnsi="Calibri" w:cs="Arial"/>
              </w:rPr>
              <w:t xml:space="preserve">incidences of </w:t>
            </w:r>
            <w:r>
              <w:rPr>
                <w:rFonts w:ascii="Calibri" w:hAnsi="Calibri" w:cs="Arial"/>
              </w:rPr>
              <w:t>Delayed Transfer of Care attributable to OCS</w:t>
            </w:r>
          </w:p>
          <w:p w:rsidR="006C3112" w:rsidRDefault="006C3112" w:rsidP="00BC0E67">
            <w:pPr>
              <w:pStyle w:val="ListParagraph"/>
              <w:numPr>
                <w:ilvl w:val="0"/>
                <w:numId w:val="1"/>
              </w:numPr>
              <w:jc w:val="both"/>
              <w:rPr>
                <w:rFonts w:ascii="Calibri" w:hAnsi="Calibri" w:cs="Arial"/>
              </w:rPr>
            </w:pPr>
            <w:r w:rsidRPr="006C3112">
              <w:rPr>
                <w:rFonts w:ascii="Calibri" w:hAnsi="Calibri" w:cs="Arial"/>
                <w:highlight w:val="yellow"/>
              </w:rPr>
              <w:t>[Additional community targets to be developed]</w:t>
            </w:r>
          </w:p>
        </w:tc>
      </w:tr>
      <w:tr w:rsidR="00D31ED0" w:rsidTr="003B0BAF">
        <w:tc>
          <w:tcPr>
            <w:tcW w:w="9747" w:type="dxa"/>
          </w:tcPr>
          <w:p w:rsidR="00D31ED0" w:rsidRPr="00B25833" w:rsidRDefault="00D31ED0" w:rsidP="00D31ED0">
            <w:pPr>
              <w:rPr>
                <w:rFonts w:ascii="Calibri" w:hAnsi="Calibri" w:cs="Arial"/>
                <w:b/>
              </w:rPr>
            </w:pPr>
            <w:r>
              <w:rPr>
                <w:rFonts w:ascii="Calibri" w:hAnsi="Calibri" w:cs="Arial"/>
                <w:b/>
              </w:rPr>
              <w:t>Initiatives</w:t>
            </w:r>
            <w:r w:rsidRPr="00B25833">
              <w:rPr>
                <w:rFonts w:ascii="Calibri" w:hAnsi="Calibri" w:cs="Arial"/>
                <w:b/>
              </w:rPr>
              <w:t>:</w:t>
            </w:r>
          </w:p>
          <w:p w:rsidR="00D31ED0" w:rsidRPr="006C3112" w:rsidRDefault="005E48E3" w:rsidP="00D31ED0">
            <w:pPr>
              <w:pStyle w:val="ListParagraph"/>
              <w:numPr>
                <w:ilvl w:val="0"/>
                <w:numId w:val="3"/>
              </w:numPr>
              <w:rPr>
                <w:rFonts w:ascii="Calibri" w:hAnsi="Calibri" w:cs="Arial"/>
              </w:rPr>
            </w:pPr>
            <w:r w:rsidRPr="006C3112">
              <w:rPr>
                <w:rFonts w:ascii="Calibri" w:hAnsi="Calibri" w:cs="Arial"/>
              </w:rPr>
              <w:t>Develop skills in community nursing to extend scope and volume of sub-acute nursing</w:t>
            </w:r>
            <w:r>
              <w:rPr>
                <w:rFonts w:ascii="Calibri" w:hAnsi="Calibri" w:cs="Arial"/>
              </w:rPr>
              <w:t xml:space="preserve"> care (Hospital at Home)</w:t>
            </w:r>
            <w:r w:rsidR="006C3112">
              <w:rPr>
                <w:rFonts w:ascii="Calibri" w:hAnsi="Calibri" w:cs="Arial"/>
              </w:rPr>
              <w:t xml:space="preserve"> </w:t>
            </w:r>
            <w:r w:rsidR="006C3112" w:rsidRPr="006C3112">
              <w:rPr>
                <w:rFonts w:ascii="Calibri" w:hAnsi="Calibri" w:cs="Arial"/>
                <w:highlight w:val="yellow"/>
              </w:rPr>
              <w:t>[Target to be developed</w:t>
            </w:r>
            <w:r w:rsidR="006C3112" w:rsidRPr="006C3112">
              <w:rPr>
                <w:rFonts w:ascii="Calibri" w:hAnsi="Calibri" w:cs="Arial"/>
              </w:rPr>
              <w:t xml:space="preserve">] </w:t>
            </w:r>
          </w:p>
          <w:p w:rsidR="005E48E3" w:rsidRDefault="005E48E3" w:rsidP="00D31ED0">
            <w:pPr>
              <w:pStyle w:val="ListParagraph"/>
              <w:numPr>
                <w:ilvl w:val="0"/>
                <w:numId w:val="3"/>
              </w:numPr>
              <w:rPr>
                <w:rFonts w:ascii="Calibri" w:hAnsi="Calibri" w:cs="Arial"/>
              </w:rPr>
            </w:pPr>
            <w:r>
              <w:rPr>
                <w:rFonts w:ascii="Calibri" w:hAnsi="Calibri" w:cs="Arial"/>
              </w:rPr>
              <w:t xml:space="preserve">Introduce recommendations </w:t>
            </w:r>
            <w:r w:rsidR="00044350">
              <w:rPr>
                <w:rFonts w:ascii="Calibri" w:hAnsi="Calibri" w:cs="Arial"/>
              </w:rPr>
              <w:t>of the Delayed Transfer of Care (DTOC) action plan</w:t>
            </w:r>
            <w:r w:rsidR="006C3112">
              <w:rPr>
                <w:rFonts w:ascii="Calibri" w:hAnsi="Calibri" w:cs="Arial"/>
              </w:rPr>
              <w:t xml:space="preserve"> [</w:t>
            </w:r>
            <w:r w:rsidR="006C3112" w:rsidRPr="006C3112">
              <w:rPr>
                <w:rFonts w:ascii="Calibri" w:hAnsi="Calibri" w:cs="Arial"/>
                <w:highlight w:val="yellow"/>
              </w:rPr>
              <w:t>contract target to be put in above]</w:t>
            </w:r>
          </w:p>
          <w:p w:rsidR="00044350" w:rsidRDefault="00044350" w:rsidP="00672B79">
            <w:pPr>
              <w:pStyle w:val="ListParagraph"/>
              <w:numPr>
                <w:ilvl w:val="0"/>
                <w:numId w:val="3"/>
              </w:numPr>
              <w:rPr>
                <w:rFonts w:ascii="Calibri" w:hAnsi="Calibri" w:cs="Arial"/>
              </w:rPr>
            </w:pPr>
            <w:r>
              <w:rPr>
                <w:rFonts w:ascii="Calibri" w:hAnsi="Calibri" w:cs="Arial"/>
              </w:rPr>
              <w:t>Introduce Single Point of Contact (SPOC) and 111 service</w:t>
            </w:r>
            <w:r w:rsidR="00C61EEF">
              <w:rPr>
                <w:rFonts w:ascii="Calibri" w:hAnsi="Calibri" w:cs="Arial"/>
              </w:rPr>
              <w:t xml:space="preserve"> </w:t>
            </w:r>
            <w:r>
              <w:rPr>
                <w:rFonts w:ascii="Calibri" w:hAnsi="Calibri" w:cs="Arial"/>
              </w:rPr>
              <w:t>to improve access to community based services for referrers</w:t>
            </w:r>
          </w:p>
          <w:p w:rsidR="00044350" w:rsidRDefault="00044350" w:rsidP="00D31ED0">
            <w:pPr>
              <w:pStyle w:val="ListParagraph"/>
              <w:numPr>
                <w:ilvl w:val="0"/>
                <w:numId w:val="3"/>
              </w:numPr>
              <w:rPr>
                <w:rFonts w:ascii="Calibri" w:hAnsi="Calibri" w:cs="Arial"/>
              </w:rPr>
            </w:pPr>
            <w:r>
              <w:rPr>
                <w:rFonts w:ascii="Calibri" w:hAnsi="Calibri" w:cs="Arial"/>
              </w:rPr>
              <w:lastRenderedPageBreak/>
              <w:t>Pilot Routine Outcome Measures (ROM) and Self Referral within CAMHS</w:t>
            </w:r>
            <w:r w:rsidR="00672B79">
              <w:rPr>
                <w:rFonts w:ascii="Calibri" w:hAnsi="Calibri" w:cs="Arial"/>
              </w:rPr>
              <w:t xml:space="preserve"> as part of the Young People IAPT project</w:t>
            </w:r>
          </w:p>
          <w:p w:rsidR="00044350" w:rsidRPr="00A256B3" w:rsidRDefault="00044350" w:rsidP="00D31ED0">
            <w:pPr>
              <w:pStyle w:val="ListParagraph"/>
              <w:numPr>
                <w:ilvl w:val="0"/>
                <w:numId w:val="3"/>
              </w:numPr>
              <w:rPr>
                <w:rFonts w:ascii="Calibri" w:hAnsi="Calibri" w:cs="Arial"/>
              </w:rPr>
            </w:pPr>
            <w:r>
              <w:rPr>
                <w:rFonts w:ascii="Calibri" w:hAnsi="Calibri" w:cs="Arial"/>
              </w:rPr>
              <w:t>Increase number of home</w:t>
            </w:r>
            <w:r w:rsidR="00672B79">
              <w:rPr>
                <w:rFonts w:ascii="Calibri" w:hAnsi="Calibri" w:cs="Arial"/>
              </w:rPr>
              <w:t>-based community</w:t>
            </w:r>
            <w:r>
              <w:rPr>
                <w:rFonts w:ascii="Calibri" w:hAnsi="Calibri" w:cs="Arial"/>
              </w:rPr>
              <w:t xml:space="preserve"> treatments in line with the care clustering packages</w:t>
            </w:r>
          </w:p>
        </w:tc>
      </w:tr>
    </w:tbl>
    <w:p w:rsidR="005E0141" w:rsidRDefault="005E0141">
      <w:pPr>
        <w:rPr>
          <w:rFonts w:ascii="Calibri" w:hAnsi="Calibri" w:cs="Arial"/>
          <w:color w:val="0070C0"/>
        </w:rPr>
      </w:pPr>
      <w:r>
        <w:rPr>
          <w:rFonts w:ascii="Calibri" w:hAnsi="Calibri" w:cs="Arial"/>
          <w:color w:val="0070C0"/>
        </w:rPr>
        <w:lastRenderedPageBreak/>
        <w:br w:type="page"/>
      </w:r>
    </w:p>
    <w:p w:rsidR="0023741E" w:rsidRPr="00544356" w:rsidRDefault="0023741E" w:rsidP="00940496">
      <w:pPr>
        <w:jc w:val="both"/>
        <w:rPr>
          <w:rFonts w:ascii="Calibri" w:hAnsi="Calibri" w:cs="Arial"/>
          <w:color w:val="0070C0"/>
        </w:rPr>
      </w:pPr>
    </w:p>
    <w:p w:rsidR="00C90A15" w:rsidRPr="00FA2D48" w:rsidRDefault="00C90A15" w:rsidP="004A026F">
      <w:pPr>
        <w:pStyle w:val="Heading1"/>
      </w:pPr>
    </w:p>
    <w:tbl>
      <w:tblPr>
        <w:tblStyle w:val="TableGrid"/>
        <w:tblW w:w="0" w:type="auto"/>
        <w:tblBorders>
          <w:top w:val="single" w:sz="4" w:space="0" w:color="0070C0"/>
          <w:left w:val="none" w:sz="0" w:space="0" w:color="auto"/>
          <w:bottom w:val="double" w:sz="4" w:space="0" w:color="0070C0"/>
          <w:right w:val="none" w:sz="0" w:space="0" w:color="auto"/>
          <w:insideH w:val="none" w:sz="0" w:space="0" w:color="auto"/>
          <w:insideV w:val="none" w:sz="0" w:space="0" w:color="auto"/>
        </w:tblBorders>
        <w:tblLook w:val="04A0"/>
      </w:tblPr>
      <w:tblGrid>
        <w:gridCol w:w="9689"/>
      </w:tblGrid>
      <w:tr w:rsidR="00C90A15" w:rsidTr="00C90A15">
        <w:tc>
          <w:tcPr>
            <w:tcW w:w="9689" w:type="dxa"/>
          </w:tcPr>
          <w:p w:rsidR="00C90A15" w:rsidRPr="004A026F" w:rsidRDefault="00C90A15" w:rsidP="004A026F">
            <w:pPr>
              <w:pStyle w:val="Heading1"/>
              <w:rPr>
                <w:rFonts w:ascii="Calibri" w:hAnsi="Calibri"/>
                <w:u w:val="single"/>
              </w:rPr>
            </w:pPr>
            <w:bookmarkStart w:id="7" w:name="_Toc323283989"/>
            <w:proofErr w:type="gramStart"/>
            <w:r w:rsidRPr="004A026F">
              <w:t>Part 2b.</w:t>
            </w:r>
            <w:proofErr w:type="gramEnd"/>
            <w:r w:rsidRPr="004A026F">
              <w:tab/>
              <w:t>Statements of Assurance from the Board of Directors</w:t>
            </w:r>
            <w:bookmarkEnd w:id="7"/>
          </w:p>
        </w:tc>
      </w:tr>
    </w:tbl>
    <w:p w:rsidR="00C90A15" w:rsidRDefault="00C90A15" w:rsidP="00C90A15">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C90A15" w:rsidTr="00C90A15">
        <w:tc>
          <w:tcPr>
            <w:tcW w:w="9689" w:type="dxa"/>
            <w:shd w:val="clear" w:color="auto" w:fill="0070C0"/>
          </w:tcPr>
          <w:p w:rsidR="00C90A15" w:rsidRPr="0026092C" w:rsidRDefault="004A026F" w:rsidP="00C90A15">
            <w:pPr>
              <w:pStyle w:val="Heading2"/>
            </w:pPr>
            <w:bookmarkStart w:id="8" w:name="_Toc323283990"/>
            <w:r>
              <w:t>Review of Services</w:t>
            </w:r>
            <w:bookmarkEnd w:id="8"/>
          </w:p>
        </w:tc>
      </w:tr>
    </w:tbl>
    <w:p w:rsidR="00C90A15" w:rsidRDefault="00C90A15" w:rsidP="00C90A15">
      <w:pPr>
        <w:rPr>
          <w:rFonts w:ascii="Calibri" w:hAnsi="Calibri" w:cs="Arial"/>
          <w:b/>
          <w:sz w:val="22"/>
          <w:szCs w:val="22"/>
          <w:u w:val="single"/>
        </w:rPr>
      </w:pPr>
    </w:p>
    <w:p w:rsidR="0023741E" w:rsidRPr="00544356" w:rsidRDefault="0023741E" w:rsidP="0001725E">
      <w:pPr>
        <w:rPr>
          <w:rFonts w:ascii="Calibri" w:hAnsi="Calibri" w:cs="Arial"/>
        </w:rPr>
      </w:pPr>
      <w:r w:rsidRPr="00544356">
        <w:rPr>
          <w:rFonts w:ascii="Calibri" w:hAnsi="Calibri" w:cs="Arial"/>
        </w:rPr>
        <w:t>During 201</w:t>
      </w:r>
      <w:r w:rsidR="00886136" w:rsidRPr="00544356">
        <w:rPr>
          <w:rFonts w:ascii="Calibri" w:hAnsi="Calibri" w:cs="Arial"/>
        </w:rPr>
        <w:t>1</w:t>
      </w:r>
      <w:r w:rsidR="002340CD" w:rsidRPr="00544356">
        <w:rPr>
          <w:rFonts w:ascii="Calibri" w:hAnsi="Calibri" w:cs="Arial"/>
        </w:rPr>
        <w:t>/</w:t>
      </w:r>
      <w:r w:rsidRPr="00544356">
        <w:rPr>
          <w:rFonts w:ascii="Calibri" w:hAnsi="Calibri" w:cs="Arial"/>
        </w:rPr>
        <w:t>1</w:t>
      </w:r>
      <w:r w:rsidR="00886136" w:rsidRPr="00544356">
        <w:rPr>
          <w:rFonts w:ascii="Calibri" w:hAnsi="Calibri" w:cs="Arial"/>
        </w:rPr>
        <w:t>2</w:t>
      </w:r>
      <w:r w:rsidRPr="00544356">
        <w:rPr>
          <w:rFonts w:ascii="Calibri" w:hAnsi="Calibri" w:cs="Arial"/>
        </w:rPr>
        <w:t xml:space="preserve"> the Oxford Health NHS Foundation Trust provided and/or sub-contracted </w:t>
      </w:r>
      <w:r w:rsidR="00C61EEF">
        <w:rPr>
          <w:rFonts w:ascii="Calibri" w:hAnsi="Calibri" w:cs="Arial"/>
        </w:rPr>
        <w:t>19</w:t>
      </w:r>
      <w:r w:rsidR="00C61EEF" w:rsidRPr="00544356">
        <w:rPr>
          <w:rFonts w:ascii="Calibri" w:hAnsi="Calibri" w:cs="Arial"/>
        </w:rPr>
        <w:t xml:space="preserve"> </w:t>
      </w:r>
      <w:r w:rsidRPr="00544356">
        <w:rPr>
          <w:rFonts w:ascii="Calibri" w:hAnsi="Calibri" w:cs="Arial"/>
        </w:rPr>
        <w:t xml:space="preserve">NHS services. The Oxford Health NHS Foundation Trust has reviewed all the data available to them on the quality of care in all of these NHS services. These services are based on the </w:t>
      </w:r>
      <w:r w:rsidR="00984BBF">
        <w:rPr>
          <w:rFonts w:ascii="Calibri" w:hAnsi="Calibri" w:cs="Arial"/>
        </w:rPr>
        <w:t>Divisions</w:t>
      </w:r>
      <w:r w:rsidRPr="00544356">
        <w:rPr>
          <w:rFonts w:ascii="Calibri" w:hAnsi="Calibri" w:cs="Arial"/>
        </w:rPr>
        <w:t xml:space="preserve"> within the Trust during 201</w:t>
      </w:r>
      <w:r w:rsidR="002340CD" w:rsidRPr="00544356">
        <w:rPr>
          <w:rFonts w:ascii="Calibri" w:hAnsi="Calibri" w:cs="Arial"/>
        </w:rPr>
        <w:t>1/</w:t>
      </w:r>
      <w:r w:rsidRPr="00544356">
        <w:rPr>
          <w:rFonts w:ascii="Calibri" w:hAnsi="Calibri" w:cs="Arial"/>
        </w:rPr>
        <w:t>1</w:t>
      </w:r>
      <w:r w:rsidR="002340CD" w:rsidRPr="00544356">
        <w:rPr>
          <w:rFonts w:ascii="Calibri" w:hAnsi="Calibri" w:cs="Arial"/>
        </w:rPr>
        <w:t>2</w:t>
      </w:r>
      <w:r w:rsidRPr="00544356">
        <w:rPr>
          <w:rFonts w:ascii="Calibri" w:hAnsi="Calibri" w:cs="Arial"/>
        </w:rPr>
        <w:t xml:space="preserve"> which were:</w:t>
      </w:r>
    </w:p>
    <w:p w:rsidR="0023741E" w:rsidRDefault="0023741E" w:rsidP="0001725E">
      <w:pPr>
        <w:rPr>
          <w:rFonts w:ascii="Calibri" w:hAnsi="Calibri" w:cs="Arial"/>
        </w:rPr>
      </w:pPr>
    </w:p>
    <w:p w:rsidR="00984BBF" w:rsidRPr="00984BBF" w:rsidRDefault="00984BBF" w:rsidP="00984BBF">
      <w:pPr>
        <w:pStyle w:val="ListParagraph"/>
        <w:numPr>
          <w:ilvl w:val="0"/>
          <w:numId w:val="41"/>
        </w:numPr>
        <w:rPr>
          <w:rFonts w:ascii="Calibri" w:hAnsi="Calibri" w:cs="Arial"/>
        </w:rPr>
      </w:pPr>
      <w:r>
        <w:rPr>
          <w:rFonts w:ascii="Calibri" w:hAnsi="Calibri" w:cs="Arial"/>
        </w:rPr>
        <w:t>Mental Health Division</w:t>
      </w:r>
    </w:p>
    <w:p w:rsidR="0023741E" w:rsidRPr="00984BBF" w:rsidRDefault="0023741E" w:rsidP="00287286">
      <w:pPr>
        <w:pStyle w:val="ListParagraph"/>
        <w:numPr>
          <w:ilvl w:val="1"/>
          <w:numId w:val="41"/>
        </w:numPr>
        <w:rPr>
          <w:rFonts w:ascii="Calibri" w:hAnsi="Calibri" w:cs="Arial"/>
        </w:rPr>
      </w:pPr>
      <w:r w:rsidRPr="00984BBF">
        <w:rPr>
          <w:rFonts w:ascii="Calibri" w:hAnsi="Calibri" w:cs="Arial"/>
        </w:rPr>
        <w:t>Oxfordshire Adult and Older Adult Services</w:t>
      </w:r>
    </w:p>
    <w:p w:rsidR="0023741E" w:rsidRDefault="0023741E" w:rsidP="00287286">
      <w:pPr>
        <w:pStyle w:val="ListParagraph"/>
        <w:numPr>
          <w:ilvl w:val="1"/>
          <w:numId w:val="41"/>
        </w:numPr>
        <w:rPr>
          <w:rFonts w:ascii="Calibri" w:hAnsi="Calibri" w:cs="Arial"/>
        </w:rPr>
      </w:pPr>
      <w:r w:rsidRPr="00984BBF">
        <w:rPr>
          <w:rFonts w:ascii="Calibri" w:hAnsi="Calibri" w:cs="Arial"/>
        </w:rPr>
        <w:t>Buckinghamshire Adult and Older Adult Services</w:t>
      </w:r>
    </w:p>
    <w:p w:rsidR="00984BBF" w:rsidRDefault="00984BBF" w:rsidP="00984BBF">
      <w:pPr>
        <w:pStyle w:val="ListParagraph"/>
        <w:numPr>
          <w:ilvl w:val="0"/>
          <w:numId w:val="41"/>
        </w:numPr>
        <w:rPr>
          <w:rFonts w:ascii="Calibri" w:hAnsi="Calibri" w:cs="Arial"/>
        </w:rPr>
      </w:pPr>
      <w:r>
        <w:rPr>
          <w:rFonts w:ascii="Calibri" w:hAnsi="Calibri" w:cs="Arial"/>
        </w:rPr>
        <w:t>Child &amp; Family Services Division</w:t>
      </w:r>
    </w:p>
    <w:p w:rsidR="0023741E" w:rsidRDefault="0023741E" w:rsidP="009A2C49">
      <w:pPr>
        <w:pStyle w:val="ListParagraph"/>
        <w:numPr>
          <w:ilvl w:val="1"/>
          <w:numId w:val="41"/>
        </w:numPr>
        <w:rPr>
          <w:rFonts w:ascii="Calibri" w:hAnsi="Calibri" w:cs="Arial"/>
        </w:rPr>
      </w:pPr>
      <w:r w:rsidRPr="00984BBF">
        <w:rPr>
          <w:rFonts w:ascii="Calibri" w:hAnsi="Calibri" w:cs="Arial"/>
        </w:rPr>
        <w:t>Child and Adolescent Mental Health and Specialist Services</w:t>
      </w:r>
    </w:p>
    <w:p w:rsidR="009A2C49" w:rsidRDefault="009A2C49" w:rsidP="009A2C49">
      <w:pPr>
        <w:pStyle w:val="ListParagraph"/>
        <w:numPr>
          <w:ilvl w:val="1"/>
          <w:numId w:val="41"/>
        </w:numPr>
        <w:rPr>
          <w:rFonts w:ascii="Calibri" w:hAnsi="Calibri" w:cs="Arial"/>
        </w:rPr>
      </w:pPr>
      <w:r>
        <w:rPr>
          <w:rFonts w:ascii="Calibri" w:hAnsi="Calibri" w:cs="Arial"/>
        </w:rPr>
        <w:t>Eating disorders</w:t>
      </w:r>
    </w:p>
    <w:p w:rsidR="009A2C49" w:rsidRDefault="009A2C49" w:rsidP="009A2C49">
      <w:pPr>
        <w:pStyle w:val="ListParagraph"/>
        <w:numPr>
          <w:ilvl w:val="1"/>
          <w:numId w:val="41"/>
        </w:numPr>
        <w:rPr>
          <w:rFonts w:ascii="Calibri" w:hAnsi="Calibri" w:cs="Arial"/>
        </w:rPr>
      </w:pPr>
      <w:r>
        <w:rPr>
          <w:rFonts w:ascii="Calibri" w:hAnsi="Calibri" w:cs="Arial"/>
        </w:rPr>
        <w:t>Psychological therapies</w:t>
      </w:r>
    </w:p>
    <w:p w:rsidR="009A2C49" w:rsidRDefault="009A2C49" w:rsidP="009A2C49">
      <w:pPr>
        <w:pStyle w:val="ListParagraph"/>
        <w:numPr>
          <w:ilvl w:val="1"/>
          <w:numId w:val="41"/>
        </w:numPr>
        <w:rPr>
          <w:rFonts w:ascii="Calibri" w:hAnsi="Calibri" w:cs="Arial"/>
        </w:rPr>
      </w:pPr>
      <w:r>
        <w:rPr>
          <w:rFonts w:ascii="Calibri" w:hAnsi="Calibri" w:cs="Arial"/>
        </w:rPr>
        <w:t xml:space="preserve">Children’s Universal </w:t>
      </w:r>
      <w:r w:rsidR="006964D8">
        <w:rPr>
          <w:rFonts w:ascii="Calibri" w:hAnsi="Calibri" w:cs="Arial"/>
        </w:rPr>
        <w:t xml:space="preserve">Services </w:t>
      </w:r>
      <w:proofErr w:type="spellStart"/>
      <w:r w:rsidR="006964D8">
        <w:rPr>
          <w:rFonts w:ascii="Calibri" w:hAnsi="Calibri" w:cs="Arial"/>
        </w:rPr>
        <w:t>eg</w:t>
      </w:r>
      <w:proofErr w:type="spellEnd"/>
      <w:r w:rsidR="006964D8">
        <w:rPr>
          <w:rFonts w:ascii="Calibri" w:hAnsi="Calibri" w:cs="Arial"/>
        </w:rPr>
        <w:t>. Health Visiting, School Nursing and Childrens Therapies</w:t>
      </w:r>
    </w:p>
    <w:p w:rsidR="009A2C49" w:rsidRDefault="009A2C49" w:rsidP="009A2C49">
      <w:pPr>
        <w:pStyle w:val="ListParagraph"/>
        <w:numPr>
          <w:ilvl w:val="1"/>
          <w:numId w:val="41"/>
        </w:numPr>
        <w:rPr>
          <w:rFonts w:ascii="Calibri" w:hAnsi="Calibri" w:cs="Arial"/>
        </w:rPr>
      </w:pPr>
      <w:r>
        <w:rPr>
          <w:rFonts w:ascii="Calibri" w:hAnsi="Calibri" w:cs="Arial"/>
        </w:rPr>
        <w:t>Public Health Services</w:t>
      </w:r>
    </w:p>
    <w:p w:rsidR="009A2C49" w:rsidRDefault="009A2C49" w:rsidP="009A2C49">
      <w:pPr>
        <w:pStyle w:val="ListParagraph"/>
        <w:numPr>
          <w:ilvl w:val="1"/>
          <w:numId w:val="41"/>
        </w:numPr>
        <w:rPr>
          <w:rFonts w:ascii="Calibri" w:hAnsi="Calibri" w:cs="Arial"/>
        </w:rPr>
      </w:pPr>
      <w:r>
        <w:rPr>
          <w:rFonts w:ascii="Calibri" w:hAnsi="Calibri" w:cs="Arial"/>
        </w:rPr>
        <w:t>Children’s Nursery Services</w:t>
      </w:r>
    </w:p>
    <w:p w:rsidR="009A2C49" w:rsidRPr="00984BBF" w:rsidRDefault="009A2C49" w:rsidP="009A2C49">
      <w:pPr>
        <w:pStyle w:val="ListParagraph"/>
        <w:numPr>
          <w:ilvl w:val="1"/>
          <w:numId w:val="41"/>
        </w:numPr>
        <w:rPr>
          <w:rFonts w:ascii="Calibri" w:hAnsi="Calibri" w:cs="Arial"/>
        </w:rPr>
      </w:pPr>
      <w:r>
        <w:rPr>
          <w:rFonts w:ascii="Calibri" w:hAnsi="Calibri" w:cs="Arial"/>
        </w:rPr>
        <w:t>Contraception and Sexual Health</w:t>
      </w:r>
    </w:p>
    <w:p w:rsidR="00984BBF" w:rsidRDefault="00984BBF" w:rsidP="00984BBF">
      <w:pPr>
        <w:pStyle w:val="ListParagraph"/>
        <w:numPr>
          <w:ilvl w:val="0"/>
          <w:numId w:val="41"/>
        </w:numPr>
        <w:rPr>
          <w:rFonts w:ascii="Calibri" w:hAnsi="Calibri" w:cs="Arial"/>
        </w:rPr>
      </w:pPr>
      <w:r>
        <w:rPr>
          <w:rFonts w:ascii="Calibri" w:hAnsi="Calibri" w:cs="Arial"/>
        </w:rPr>
        <w:t>Specialist Services Division</w:t>
      </w:r>
    </w:p>
    <w:p w:rsidR="0023741E" w:rsidRDefault="0023741E" w:rsidP="00984BBF">
      <w:pPr>
        <w:pStyle w:val="ListParagraph"/>
        <w:numPr>
          <w:ilvl w:val="1"/>
          <w:numId w:val="41"/>
        </w:numPr>
        <w:rPr>
          <w:rFonts w:ascii="Calibri" w:hAnsi="Calibri" w:cs="Arial"/>
        </w:rPr>
      </w:pPr>
      <w:r w:rsidRPr="00984BBF">
        <w:rPr>
          <w:rFonts w:ascii="Calibri" w:hAnsi="Calibri" w:cs="Arial"/>
        </w:rPr>
        <w:t>Forensic Services</w:t>
      </w:r>
    </w:p>
    <w:p w:rsidR="00984BBF" w:rsidRDefault="00984BBF" w:rsidP="00984BBF">
      <w:pPr>
        <w:pStyle w:val="ListParagraph"/>
        <w:numPr>
          <w:ilvl w:val="1"/>
          <w:numId w:val="41"/>
        </w:numPr>
        <w:rPr>
          <w:rFonts w:ascii="Calibri" w:hAnsi="Calibri" w:cs="Arial"/>
        </w:rPr>
      </w:pPr>
      <w:r>
        <w:rPr>
          <w:rFonts w:ascii="Calibri" w:hAnsi="Calibri" w:cs="Arial"/>
        </w:rPr>
        <w:t>Drug &amp; Alcohol</w:t>
      </w:r>
    </w:p>
    <w:p w:rsidR="00984BBF" w:rsidRDefault="00984BBF" w:rsidP="00984BBF">
      <w:pPr>
        <w:pStyle w:val="ListParagraph"/>
        <w:numPr>
          <w:ilvl w:val="1"/>
          <w:numId w:val="41"/>
        </w:numPr>
        <w:rPr>
          <w:rFonts w:ascii="Calibri" w:hAnsi="Calibri" w:cs="Arial"/>
        </w:rPr>
      </w:pPr>
      <w:r>
        <w:rPr>
          <w:rFonts w:ascii="Calibri" w:hAnsi="Calibri" w:cs="Arial"/>
        </w:rPr>
        <w:t>Prison Health</w:t>
      </w:r>
    </w:p>
    <w:p w:rsidR="00984BBF" w:rsidRDefault="00984BBF" w:rsidP="00984BBF">
      <w:pPr>
        <w:pStyle w:val="ListParagraph"/>
        <w:numPr>
          <w:ilvl w:val="1"/>
          <w:numId w:val="41"/>
        </w:numPr>
        <w:rPr>
          <w:rFonts w:ascii="Calibri" w:hAnsi="Calibri" w:cs="Arial"/>
        </w:rPr>
      </w:pPr>
      <w:r>
        <w:rPr>
          <w:rFonts w:ascii="Calibri" w:hAnsi="Calibri" w:cs="Arial"/>
        </w:rPr>
        <w:t>Community Dental</w:t>
      </w:r>
    </w:p>
    <w:p w:rsidR="00984BBF" w:rsidRDefault="00984BBF" w:rsidP="00984BBF">
      <w:pPr>
        <w:pStyle w:val="ListParagraph"/>
        <w:numPr>
          <w:ilvl w:val="0"/>
          <w:numId w:val="41"/>
        </w:numPr>
        <w:rPr>
          <w:rFonts w:ascii="Calibri" w:hAnsi="Calibri" w:cs="Arial"/>
        </w:rPr>
      </w:pPr>
      <w:r>
        <w:rPr>
          <w:rFonts w:ascii="Calibri" w:hAnsi="Calibri" w:cs="Arial"/>
        </w:rPr>
        <w:t>Oxford Community Health Service</w:t>
      </w:r>
    </w:p>
    <w:p w:rsidR="006964D8" w:rsidRDefault="006964D8" w:rsidP="0013365C">
      <w:pPr>
        <w:pStyle w:val="ListParagraph"/>
        <w:numPr>
          <w:ilvl w:val="1"/>
          <w:numId w:val="41"/>
        </w:numPr>
        <w:rPr>
          <w:rFonts w:ascii="Calibri" w:hAnsi="Calibri" w:cs="Arial"/>
        </w:rPr>
      </w:pPr>
      <w:r>
        <w:rPr>
          <w:rFonts w:ascii="Calibri" w:hAnsi="Calibri" w:cs="Arial"/>
        </w:rPr>
        <w:t>8 Community hospitals</w:t>
      </w:r>
    </w:p>
    <w:p w:rsidR="00C2424D" w:rsidRDefault="00C2424D" w:rsidP="00C61EEF">
      <w:pPr>
        <w:pStyle w:val="ListParagraph"/>
        <w:numPr>
          <w:ilvl w:val="2"/>
          <w:numId w:val="41"/>
        </w:numPr>
        <w:ind w:left="1843" w:hanging="425"/>
        <w:rPr>
          <w:rFonts w:ascii="Calibri" w:hAnsi="Calibri" w:cs="Arial"/>
        </w:rPr>
      </w:pPr>
      <w:r>
        <w:rPr>
          <w:rFonts w:ascii="Calibri" w:hAnsi="Calibri" w:cs="Arial"/>
        </w:rPr>
        <w:t>I</w:t>
      </w:r>
      <w:r w:rsidR="006964D8">
        <w:rPr>
          <w:rFonts w:ascii="Calibri" w:hAnsi="Calibri" w:cs="Arial"/>
        </w:rPr>
        <w:t>n patient care</w:t>
      </w:r>
    </w:p>
    <w:p w:rsidR="00C2424D" w:rsidRDefault="006964D8" w:rsidP="00C61EEF">
      <w:pPr>
        <w:pStyle w:val="ListParagraph"/>
        <w:numPr>
          <w:ilvl w:val="2"/>
          <w:numId w:val="41"/>
        </w:numPr>
        <w:ind w:left="1843" w:hanging="425"/>
        <w:rPr>
          <w:rFonts w:ascii="Calibri" w:hAnsi="Calibri" w:cs="Arial"/>
        </w:rPr>
      </w:pPr>
      <w:r>
        <w:rPr>
          <w:rFonts w:ascii="Calibri" w:hAnsi="Calibri" w:cs="Arial"/>
        </w:rPr>
        <w:t>Urgent care</w:t>
      </w:r>
    </w:p>
    <w:p w:rsidR="00C2424D" w:rsidRDefault="006964D8" w:rsidP="00C61EEF">
      <w:pPr>
        <w:pStyle w:val="ListParagraph"/>
        <w:numPr>
          <w:ilvl w:val="2"/>
          <w:numId w:val="41"/>
        </w:numPr>
        <w:ind w:left="1843" w:hanging="425"/>
        <w:rPr>
          <w:rFonts w:ascii="Calibri" w:hAnsi="Calibri" w:cs="Arial"/>
        </w:rPr>
      </w:pPr>
      <w:r>
        <w:rPr>
          <w:rFonts w:ascii="Calibri" w:hAnsi="Calibri" w:cs="Arial"/>
        </w:rPr>
        <w:t>Patient care</w:t>
      </w:r>
    </w:p>
    <w:p w:rsidR="006964D8" w:rsidRDefault="006964D8" w:rsidP="006964D8">
      <w:pPr>
        <w:pStyle w:val="ListParagraph"/>
        <w:numPr>
          <w:ilvl w:val="1"/>
          <w:numId w:val="41"/>
        </w:numPr>
        <w:rPr>
          <w:rFonts w:ascii="Calibri" w:hAnsi="Calibri" w:cs="Arial"/>
        </w:rPr>
      </w:pPr>
      <w:r>
        <w:rPr>
          <w:rFonts w:ascii="Calibri" w:hAnsi="Calibri" w:cs="Arial"/>
        </w:rPr>
        <w:t>District Nursing and Specialist Nursing Therapies</w:t>
      </w:r>
    </w:p>
    <w:p w:rsidR="006964D8" w:rsidRDefault="006964D8" w:rsidP="0013365C">
      <w:pPr>
        <w:pStyle w:val="ListParagraph"/>
        <w:numPr>
          <w:ilvl w:val="1"/>
          <w:numId w:val="41"/>
        </w:numPr>
        <w:rPr>
          <w:rFonts w:ascii="Calibri" w:hAnsi="Calibri" w:cs="Arial"/>
        </w:rPr>
      </w:pPr>
      <w:r>
        <w:rPr>
          <w:rFonts w:ascii="Calibri" w:hAnsi="Calibri" w:cs="Arial"/>
        </w:rPr>
        <w:t>Hospital at Home</w:t>
      </w:r>
    </w:p>
    <w:p w:rsidR="006964D8" w:rsidRPr="00984BBF" w:rsidRDefault="006964D8" w:rsidP="0013365C">
      <w:pPr>
        <w:pStyle w:val="ListParagraph"/>
        <w:numPr>
          <w:ilvl w:val="1"/>
          <w:numId w:val="41"/>
        </w:numPr>
        <w:rPr>
          <w:rFonts w:ascii="Calibri" w:hAnsi="Calibri" w:cs="Arial"/>
        </w:rPr>
      </w:pPr>
      <w:r>
        <w:rPr>
          <w:rFonts w:ascii="Calibri" w:hAnsi="Calibri" w:cs="Arial"/>
        </w:rPr>
        <w:t xml:space="preserve">Access and Enablement Services </w:t>
      </w:r>
    </w:p>
    <w:p w:rsidR="0023741E" w:rsidRPr="00544356" w:rsidRDefault="0023741E" w:rsidP="0001725E">
      <w:pPr>
        <w:rPr>
          <w:rFonts w:ascii="Calibri" w:hAnsi="Calibri" w:cs="Arial"/>
        </w:rPr>
      </w:pPr>
    </w:p>
    <w:p w:rsidR="0023741E" w:rsidRPr="00544356" w:rsidRDefault="0023741E" w:rsidP="0001725E">
      <w:pPr>
        <w:rPr>
          <w:rFonts w:ascii="Calibri" w:hAnsi="Calibri" w:cs="Arial"/>
        </w:rPr>
      </w:pPr>
      <w:r w:rsidRPr="00544356">
        <w:rPr>
          <w:rFonts w:ascii="Calibri" w:hAnsi="Calibri" w:cs="Arial"/>
        </w:rPr>
        <w:t xml:space="preserve">Each of these directorates reviews service provision through quarterly performance meetings, monthly clinical governance meetings, quarterly performance and quality reports and patient feedback. </w:t>
      </w:r>
      <w:r w:rsidR="00DC2F71" w:rsidRPr="00544356">
        <w:rPr>
          <w:rFonts w:ascii="Calibri" w:hAnsi="Calibri" w:cs="Arial"/>
        </w:rPr>
        <w:t xml:space="preserve"> The data reviewed covers the three dimensions of quality – patient safety, clinical effectiveness and patient experience.  The amount of data available for review has not impeded this objective.</w:t>
      </w:r>
    </w:p>
    <w:p w:rsidR="0023741E" w:rsidRPr="00544356" w:rsidRDefault="0023741E" w:rsidP="0001725E">
      <w:pPr>
        <w:rPr>
          <w:rFonts w:ascii="Calibri" w:hAnsi="Calibri" w:cs="Arial"/>
        </w:rPr>
      </w:pPr>
    </w:p>
    <w:p w:rsidR="0023741E" w:rsidRPr="00544356" w:rsidRDefault="0023741E" w:rsidP="0001725E">
      <w:pPr>
        <w:rPr>
          <w:rFonts w:ascii="Calibri" w:hAnsi="Calibri" w:cs="Arial"/>
        </w:rPr>
      </w:pPr>
      <w:r w:rsidRPr="00544356">
        <w:rPr>
          <w:rFonts w:ascii="Calibri" w:hAnsi="Calibri" w:cs="Arial"/>
        </w:rPr>
        <w:t>The income generated by the NHS services reviewed in 201</w:t>
      </w:r>
      <w:r w:rsidR="00E96B41" w:rsidRPr="00544356">
        <w:rPr>
          <w:rFonts w:ascii="Calibri" w:hAnsi="Calibri" w:cs="Arial"/>
        </w:rPr>
        <w:t>1</w:t>
      </w:r>
      <w:r w:rsidR="002340CD" w:rsidRPr="00544356">
        <w:rPr>
          <w:rFonts w:ascii="Calibri" w:hAnsi="Calibri" w:cs="Arial"/>
        </w:rPr>
        <w:t>/12</w:t>
      </w:r>
      <w:r w:rsidRPr="00544356">
        <w:rPr>
          <w:rFonts w:ascii="Calibri" w:hAnsi="Calibri" w:cs="Arial"/>
        </w:rPr>
        <w:t xml:space="preserve"> represents </w:t>
      </w:r>
      <w:r w:rsidR="002B766E">
        <w:rPr>
          <w:rFonts w:ascii="Calibri" w:hAnsi="Calibri" w:cs="Arial"/>
        </w:rPr>
        <w:t>85</w:t>
      </w:r>
      <w:proofErr w:type="gramStart"/>
      <w:r w:rsidR="002B766E">
        <w:rPr>
          <w:rFonts w:ascii="Calibri" w:hAnsi="Calibri" w:cs="Arial"/>
        </w:rPr>
        <w:t xml:space="preserve">% </w:t>
      </w:r>
      <w:r w:rsidRPr="00544356">
        <w:rPr>
          <w:rFonts w:ascii="Calibri" w:hAnsi="Calibri" w:cs="Arial"/>
        </w:rPr>
        <w:t xml:space="preserve"> per</w:t>
      </w:r>
      <w:proofErr w:type="gramEnd"/>
      <w:r w:rsidRPr="00544356">
        <w:rPr>
          <w:rFonts w:ascii="Calibri" w:hAnsi="Calibri" w:cs="Arial"/>
        </w:rPr>
        <w:t xml:space="preserve"> cent of the total income generated from the provision of NHS services by the Oxford Health NHS Foundation Trust for 201</w:t>
      </w:r>
      <w:r w:rsidR="00E96B41" w:rsidRPr="00544356">
        <w:rPr>
          <w:rFonts w:ascii="Calibri" w:hAnsi="Calibri" w:cs="Arial"/>
        </w:rPr>
        <w:t>1</w:t>
      </w:r>
      <w:r w:rsidR="002340CD" w:rsidRPr="00544356">
        <w:rPr>
          <w:rFonts w:ascii="Calibri" w:hAnsi="Calibri" w:cs="Arial"/>
        </w:rPr>
        <w:t>/</w:t>
      </w:r>
      <w:r w:rsidRPr="00544356">
        <w:rPr>
          <w:rFonts w:ascii="Calibri" w:hAnsi="Calibri" w:cs="Arial"/>
        </w:rPr>
        <w:t>1</w:t>
      </w:r>
      <w:r w:rsidR="00E96B41" w:rsidRPr="00544356">
        <w:rPr>
          <w:rFonts w:ascii="Calibri" w:hAnsi="Calibri" w:cs="Arial"/>
        </w:rPr>
        <w:t>2</w:t>
      </w:r>
      <w:r w:rsidR="002B766E">
        <w:rPr>
          <w:rFonts w:ascii="Calibri" w:hAnsi="Calibri" w:cs="Arial"/>
        </w:rPr>
        <w:t xml:space="preserve"> (subject to confirmation by audit)</w:t>
      </w:r>
      <w:r w:rsidRPr="00544356">
        <w:rPr>
          <w:rFonts w:ascii="Calibri" w:hAnsi="Calibri" w:cs="Arial"/>
        </w:rPr>
        <w:t>.</w:t>
      </w:r>
    </w:p>
    <w:p w:rsidR="004A026F" w:rsidRDefault="004A026F" w:rsidP="004A026F">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4A026F" w:rsidTr="004A026F">
        <w:tc>
          <w:tcPr>
            <w:tcW w:w="9689" w:type="dxa"/>
            <w:shd w:val="clear" w:color="auto" w:fill="0070C0"/>
          </w:tcPr>
          <w:p w:rsidR="004A026F" w:rsidRPr="004A026F" w:rsidRDefault="004A026F" w:rsidP="0055289C">
            <w:pPr>
              <w:pStyle w:val="Heading2"/>
            </w:pPr>
            <w:bookmarkStart w:id="9" w:name="_Toc323283991"/>
            <w:r w:rsidRPr="004A026F">
              <w:lastRenderedPageBreak/>
              <w:t xml:space="preserve">Participation in Clinical Audits </w:t>
            </w:r>
            <w:r>
              <w:t>and National Confidential Enquiries</w:t>
            </w:r>
            <w:bookmarkEnd w:id="9"/>
          </w:p>
        </w:tc>
      </w:tr>
    </w:tbl>
    <w:p w:rsidR="004A026F" w:rsidRDefault="004A026F" w:rsidP="004A026F">
      <w:pPr>
        <w:rPr>
          <w:rFonts w:ascii="Calibri" w:hAnsi="Calibri" w:cs="Arial"/>
          <w:b/>
          <w:sz w:val="22"/>
          <w:szCs w:val="22"/>
          <w:u w:val="single"/>
        </w:rPr>
      </w:pPr>
    </w:p>
    <w:p w:rsidR="0023741E" w:rsidRPr="00544356" w:rsidRDefault="0023741E" w:rsidP="00DE0AD3">
      <w:pPr>
        <w:rPr>
          <w:rFonts w:ascii="Calibri" w:hAnsi="Calibri" w:cs="Arial"/>
        </w:rPr>
      </w:pPr>
      <w:r w:rsidRPr="00544356">
        <w:rPr>
          <w:rFonts w:ascii="Calibri" w:hAnsi="Calibri" w:cs="Arial"/>
        </w:rPr>
        <w:t>During 201</w:t>
      </w:r>
      <w:r w:rsidR="002340CD" w:rsidRPr="00544356">
        <w:rPr>
          <w:rFonts w:ascii="Calibri" w:hAnsi="Calibri" w:cs="Arial"/>
        </w:rPr>
        <w:t>1/</w:t>
      </w:r>
      <w:r w:rsidRPr="00544356">
        <w:rPr>
          <w:rFonts w:ascii="Calibri" w:hAnsi="Calibri" w:cs="Arial"/>
        </w:rPr>
        <w:t>1</w:t>
      </w:r>
      <w:r w:rsidR="002340CD" w:rsidRPr="00544356">
        <w:rPr>
          <w:rFonts w:ascii="Calibri" w:hAnsi="Calibri" w:cs="Arial"/>
        </w:rPr>
        <w:t>2</w:t>
      </w:r>
      <w:r w:rsidRPr="00544356">
        <w:rPr>
          <w:rFonts w:ascii="Calibri" w:hAnsi="Calibri" w:cs="Arial"/>
        </w:rPr>
        <w:t xml:space="preserve">, </w:t>
      </w:r>
      <w:r w:rsidRPr="00D972A7">
        <w:rPr>
          <w:rFonts w:ascii="Calibri" w:hAnsi="Calibri" w:cs="Arial"/>
        </w:rPr>
        <w:t>seven</w:t>
      </w:r>
      <w:r w:rsidRPr="00544356">
        <w:rPr>
          <w:rFonts w:ascii="Calibri" w:hAnsi="Calibri" w:cs="Arial"/>
        </w:rPr>
        <w:t xml:space="preserve"> national clinical audits and </w:t>
      </w:r>
      <w:r w:rsidRPr="00D972A7">
        <w:rPr>
          <w:rFonts w:ascii="Calibri" w:hAnsi="Calibri" w:cs="Arial"/>
        </w:rPr>
        <w:t>one</w:t>
      </w:r>
      <w:r w:rsidRPr="00544356">
        <w:rPr>
          <w:rFonts w:ascii="Calibri" w:hAnsi="Calibri" w:cs="Arial"/>
        </w:rPr>
        <w:t xml:space="preserve"> national confidential inquiry covered NHS services that Oxford Health NHS Foundation Trust provides.</w:t>
      </w:r>
    </w:p>
    <w:p w:rsidR="0023741E" w:rsidRPr="00544356" w:rsidRDefault="0023741E" w:rsidP="00DE0AD3">
      <w:pPr>
        <w:rPr>
          <w:rFonts w:ascii="Calibri" w:hAnsi="Calibri" w:cs="Arial"/>
        </w:rPr>
      </w:pPr>
    </w:p>
    <w:p w:rsidR="0023741E" w:rsidRPr="00544356" w:rsidRDefault="0023741E" w:rsidP="00DE0AD3">
      <w:pPr>
        <w:rPr>
          <w:rFonts w:ascii="Calibri" w:hAnsi="Calibri" w:cs="Arial"/>
        </w:rPr>
      </w:pPr>
      <w:r w:rsidRPr="00544356">
        <w:rPr>
          <w:rFonts w:ascii="Calibri" w:hAnsi="Calibri" w:cs="Arial"/>
        </w:rPr>
        <w:t xml:space="preserve">During </w:t>
      </w:r>
      <w:r w:rsidR="0072110E">
        <w:rPr>
          <w:rFonts w:ascii="Calibri" w:hAnsi="Calibri" w:cs="Arial"/>
        </w:rPr>
        <w:t>that period</w:t>
      </w:r>
      <w:r w:rsidRPr="00544356">
        <w:rPr>
          <w:rFonts w:ascii="Calibri" w:hAnsi="Calibri" w:cs="Arial"/>
        </w:rPr>
        <w:t xml:space="preserve"> Oxford Health NHS Foundation Trust participated in </w:t>
      </w:r>
      <w:r w:rsidRPr="00D972A7">
        <w:rPr>
          <w:rFonts w:ascii="Calibri" w:hAnsi="Calibri" w:cs="Arial"/>
        </w:rPr>
        <w:t>100%</w:t>
      </w:r>
      <w:r w:rsidRPr="00544356">
        <w:rPr>
          <w:rFonts w:ascii="Calibri" w:hAnsi="Calibri" w:cs="Arial"/>
        </w:rPr>
        <w:t xml:space="preserve"> of the national clinical audits and </w:t>
      </w:r>
      <w:r w:rsidRPr="00D972A7">
        <w:rPr>
          <w:rFonts w:ascii="Calibri" w:hAnsi="Calibri" w:cs="Arial"/>
        </w:rPr>
        <w:t>100</w:t>
      </w:r>
      <w:r w:rsidRPr="00544356">
        <w:rPr>
          <w:rFonts w:ascii="Calibri" w:hAnsi="Calibri" w:cs="Arial"/>
        </w:rPr>
        <w:t>% of the national confidential inquiries, of the national clinical audits and national confidential inquiries which it</w:t>
      </w:r>
      <w:r w:rsidR="0072110E">
        <w:rPr>
          <w:rFonts w:ascii="Calibri" w:hAnsi="Calibri" w:cs="Arial"/>
        </w:rPr>
        <w:t xml:space="preserve"> was eligible to participate in</w:t>
      </w:r>
      <w:r w:rsidRPr="00544356">
        <w:rPr>
          <w:rFonts w:ascii="Calibri" w:hAnsi="Calibri" w:cs="Arial"/>
        </w:rPr>
        <w:t>.</w:t>
      </w:r>
    </w:p>
    <w:p w:rsidR="0023741E" w:rsidRPr="00544356" w:rsidRDefault="0023741E" w:rsidP="0001725E">
      <w:pPr>
        <w:rPr>
          <w:rFonts w:ascii="Calibri" w:hAnsi="Calibri" w:cs="Arial"/>
        </w:rPr>
      </w:pPr>
    </w:p>
    <w:p w:rsidR="0023741E" w:rsidRPr="00544356" w:rsidRDefault="0023741E" w:rsidP="0001725E">
      <w:pPr>
        <w:rPr>
          <w:rFonts w:ascii="Calibri" w:hAnsi="Calibri" w:cs="Arial"/>
        </w:rPr>
      </w:pPr>
      <w:r w:rsidRPr="00544356">
        <w:rPr>
          <w:rFonts w:ascii="Calibri" w:hAnsi="Calibri" w:cs="Arial"/>
        </w:rPr>
        <w:t>The national clinical audits and national confidential inquiries that Oxford Health NHS Foundation Trust was eligible to participate in during 201</w:t>
      </w:r>
      <w:r w:rsidR="002340CD" w:rsidRPr="00544356">
        <w:rPr>
          <w:rFonts w:ascii="Calibri" w:hAnsi="Calibri" w:cs="Arial"/>
        </w:rPr>
        <w:t>1/12</w:t>
      </w:r>
      <w:r w:rsidRPr="00544356">
        <w:rPr>
          <w:rFonts w:ascii="Calibri" w:hAnsi="Calibri" w:cs="Arial"/>
        </w:rPr>
        <w:t xml:space="preserve"> are </w:t>
      </w:r>
      <w:r w:rsidR="0072110E">
        <w:rPr>
          <w:rFonts w:ascii="Calibri" w:hAnsi="Calibri" w:cs="Arial"/>
        </w:rPr>
        <w:t>shown below in table 1:</w:t>
      </w:r>
    </w:p>
    <w:p w:rsidR="0023741E" w:rsidRPr="00544356" w:rsidRDefault="0023741E" w:rsidP="0001725E">
      <w:pPr>
        <w:rPr>
          <w:rFonts w:ascii="Calibri" w:hAnsi="Calibri" w:cs="Arial"/>
        </w:rPr>
      </w:pPr>
    </w:p>
    <w:p w:rsidR="0023741E" w:rsidRPr="00544356" w:rsidRDefault="0023741E" w:rsidP="00DE0AD3">
      <w:pPr>
        <w:rPr>
          <w:rFonts w:ascii="Calibri" w:hAnsi="Calibri" w:cs="Arial"/>
        </w:rPr>
      </w:pPr>
      <w:r w:rsidRPr="00544356">
        <w:rPr>
          <w:rFonts w:ascii="Calibri" w:hAnsi="Calibri" w:cs="Arial"/>
        </w:rPr>
        <w:t>The national clinical audits and national confidential inquiries that Oxford Health NHS Foundation Trust participated in and for which data collection was completed during 201</w:t>
      </w:r>
      <w:r w:rsidR="002340CD" w:rsidRPr="00544356">
        <w:rPr>
          <w:rFonts w:ascii="Calibri" w:hAnsi="Calibri" w:cs="Arial"/>
        </w:rPr>
        <w:t>1/12</w:t>
      </w:r>
      <w:r w:rsidRPr="00544356">
        <w:rPr>
          <w:rFonts w:ascii="Calibri" w:hAnsi="Calibri" w:cs="Arial"/>
        </w:rPr>
        <w:t>, are listed below</w:t>
      </w:r>
      <w:r w:rsidR="0072110E">
        <w:rPr>
          <w:rFonts w:ascii="Calibri" w:hAnsi="Calibri" w:cs="Arial"/>
        </w:rPr>
        <w:t xml:space="preserve"> in table 1</w:t>
      </w:r>
      <w:r w:rsidRPr="00544356">
        <w:rPr>
          <w:rFonts w:ascii="Calibri" w:hAnsi="Calibri" w:cs="Arial"/>
        </w:rPr>
        <w:t xml:space="preserve"> alongside the number of cases submitted to each audit or inquiry as a percent of the number of registered cases required by the terms of that audit or inquiry.</w:t>
      </w:r>
    </w:p>
    <w:p w:rsidR="0023741E" w:rsidRPr="00544356" w:rsidRDefault="0023741E" w:rsidP="0001725E">
      <w:pPr>
        <w:rPr>
          <w:rFonts w:ascii="Calibri" w:hAnsi="Calibri" w:cs="Arial"/>
        </w:rPr>
      </w:pPr>
    </w:p>
    <w:p w:rsidR="0023741E" w:rsidRPr="00B038C0" w:rsidRDefault="0023741E" w:rsidP="00DE0AD3">
      <w:pPr>
        <w:rPr>
          <w:rFonts w:ascii="Calibri" w:hAnsi="Calibri"/>
          <w:b/>
          <w:i/>
          <w:color w:val="0070C0"/>
          <w:u w:val="single"/>
        </w:rPr>
      </w:pPr>
      <w:r w:rsidRPr="00B038C0">
        <w:rPr>
          <w:rFonts w:ascii="Calibri" w:hAnsi="Calibri"/>
          <w:b/>
          <w:i/>
          <w:color w:val="0070C0"/>
          <w:u w:val="single"/>
        </w:rPr>
        <w:t>Table 1</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26"/>
        <w:gridCol w:w="1460"/>
        <w:gridCol w:w="2268"/>
        <w:gridCol w:w="2126"/>
      </w:tblGrid>
      <w:tr w:rsidR="0023741E" w:rsidRPr="00544356" w:rsidTr="00B34473">
        <w:trPr>
          <w:tblHeader/>
        </w:trPr>
        <w:tc>
          <w:tcPr>
            <w:tcW w:w="3326" w:type="dxa"/>
            <w:tcBorders>
              <w:left w:val="nil"/>
              <w:bottom w:val="single" w:sz="4" w:space="0" w:color="002060"/>
              <w:right w:val="nil"/>
            </w:tcBorders>
            <w:shd w:val="clear" w:color="auto" w:fill="0070C0"/>
          </w:tcPr>
          <w:p w:rsidR="0023741E" w:rsidRPr="00544356" w:rsidRDefault="0023741E" w:rsidP="0078292D">
            <w:pPr>
              <w:rPr>
                <w:rFonts w:ascii="Calibri" w:hAnsi="Calibri"/>
                <w:color w:val="FFFFFF" w:themeColor="background1"/>
              </w:rPr>
            </w:pPr>
            <w:r w:rsidRPr="00544356">
              <w:rPr>
                <w:rFonts w:ascii="Calibri" w:hAnsi="Calibri"/>
                <w:color w:val="FFFFFF" w:themeColor="background1"/>
              </w:rPr>
              <w:t>Audit or Inquiry</w:t>
            </w:r>
          </w:p>
        </w:tc>
        <w:tc>
          <w:tcPr>
            <w:tcW w:w="1460" w:type="dxa"/>
            <w:tcBorders>
              <w:left w:val="nil"/>
              <w:bottom w:val="single" w:sz="4" w:space="0" w:color="002060"/>
              <w:right w:val="nil"/>
            </w:tcBorders>
            <w:shd w:val="clear" w:color="auto" w:fill="0070C0"/>
          </w:tcPr>
          <w:p w:rsidR="0023741E" w:rsidRPr="00544356" w:rsidRDefault="0023741E" w:rsidP="00DE0AD3">
            <w:pPr>
              <w:rPr>
                <w:rFonts w:ascii="Calibri" w:hAnsi="Calibri"/>
                <w:color w:val="FFFFFF" w:themeColor="background1"/>
              </w:rPr>
            </w:pPr>
            <w:r w:rsidRPr="00544356">
              <w:rPr>
                <w:rFonts w:ascii="Calibri" w:hAnsi="Calibri"/>
                <w:color w:val="FFFFFF" w:themeColor="background1"/>
              </w:rPr>
              <w:t>Participation (Yes or No)</w:t>
            </w:r>
          </w:p>
        </w:tc>
        <w:tc>
          <w:tcPr>
            <w:tcW w:w="2268" w:type="dxa"/>
            <w:tcBorders>
              <w:left w:val="nil"/>
              <w:bottom w:val="single" w:sz="4" w:space="0" w:color="002060"/>
              <w:right w:val="nil"/>
            </w:tcBorders>
            <w:shd w:val="clear" w:color="auto" w:fill="0070C0"/>
          </w:tcPr>
          <w:p w:rsidR="0023741E" w:rsidRPr="00544356" w:rsidRDefault="0023741E" w:rsidP="00DE0AD3">
            <w:pPr>
              <w:rPr>
                <w:rFonts w:ascii="Calibri" w:hAnsi="Calibri"/>
                <w:color w:val="FFFFFF" w:themeColor="background1"/>
              </w:rPr>
            </w:pPr>
            <w:r w:rsidRPr="00544356">
              <w:rPr>
                <w:rFonts w:ascii="Calibri" w:hAnsi="Calibri"/>
                <w:color w:val="FFFFFF" w:themeColor="background1"/>
              </w:rPr>
              <w:t>Number of Cases Required by Terms</w:t>
            </w:r>
          </w:p>
        </w:tc>
        <w:tc>
          <w:tcPr>
            <w:tcW w:w="2126" w:type="dxa"/>
            <w:tcBorders>
              <w:left w:val="nil"/>
              <w:bottom w:val="single" w:sz="4" w:space="0" w:color="002060"/>
              <w:right w:val="nil"/>
            </w:tcBorders>
            <w:shd w:val="clear" w:color="auto" w:fill="0070C0"/>
          </w:tcPr>
          <w:p w:rsidR="0023741E" w:rsidRPr="00544356" w:rsidRDefault="0023741E" w:rsidP="00DE0AD3">
            <w:pPr>
              <w:rPr>
                <w:rFonts w:ascii="Calibri" w:hAnsi="Calibri"/>
                <w:color w:val="FFFFFF" w:themeColor="background1"/>
              </w:rPr>
            </w:pPr>
            <w:r w:rsidRPr="00544356">
              <w:rPr>
                <w:rFonts w:ascii="Calibri" w:hAnsi="Calibri"/>
                <w:color w:val="FFFFFF" w:themeColor="background1"/>
              </w:rPr>
              <w:t>Number of Cases Submitted</w:t>
            </w:r>
          </w:p>
        </w:tc>
      </w:tr>
      <w:tr w:rsidR="001D2EAA" w:rsidRPr="00544356" w:rsidTr="00B34473">
        <w:tc>
          <w:tcPr>
            <w:tcW w:w="3326" w:type="dxa"/>
            <w:tcBorders>
              <w:top w:val="single" w:sz="4" w:space="0" w:color="002060"/>
              <w:left w:val="nil"/>
              <w:bottom w:val="nil"/>
              <w:right w:val="nil"/>
            </w:tcBorders>
          </w:tcPr>
          <w:p w:rsidR="001D2EAA" w:rsidRPr="00D972A7" w:rsidRDefault="001D2EAA" w:rsidP="001D2EAA">
            <w:pPr>
              <w:rPr>
                <w:rFonts w:ascii="Arial" w:hAnsi="Arial" w:cs="Arial"/>
                <w:sz w:val="20"/>
                <w:szCs w:val="20"/>
              </w:rPr>
            </w:pPr>
            <w:r w:rsidRPr="00D972A7">
              <w:rPr>
                <w:rFonts w:ascii="Arial" w:hAnsi="Arial" w:cs="Arial"/>
                <w:sz w:val="20"/>
                <w:szCs w:val="20"/>
              </w:rPr>
              <w:t xml:space="preserve">Eliminating Mixed Sex Accommodation – audit data quality </w:t>
            </w:r>
            <w:r w:rsidR="00A03168">
              <w:rPr>
                <w:rFonts w:ascii="Arial" w:hAnsi="Arial" w:cs="Arial"/>
                <w:b/>
                <w:sz w:val="20"/>
                <w:szCs w:val="20"/>
              </w:rPr>
              <w:t>–</w:t>
            </w:r>
            <w:r w:rsidRPr="00D972A7">
              <w:rPr>
                <w:rFonts w:ascii="Arial" w:hAnsi="Arial" w:cs="Arial"/>
                <w:b/>
                <w:sz w:val="20"/>
                <w:szCs w:val="20"/>
              </w:rPr>
              <w:t xml:space="preserve"> completed</w:t>
            </w:r>
            <w:r w:rsidR="00A03168">
              <w:rPr>
                <w:rFonts w:ascii="Arial" w:hAnsi="Arial" w:cs="Arial"/>
                <w:b/>
                <w:sz w:val="20"/>
                <w:szCs w:val="20"/>
              </w:rPr>
              <w:t>, awaiting review</w:t>
            </w:r>
          </w:p>
        </w:tc>
        <w:tc>
          <w:tcPr>
            <w:tcW w:w="1460" w:type="dxa"/>
            <w:tcBorders>
              <w:top w:val="single" w:sz="4" w:space="0" w:color="002060"/>
              <w:left w:val="nil"/>
              <w:bottom w:val="nil"/>
              <w:right w:val="nil"/>
            </w:tcBorders>
            <w:vAlign w:val="center"/>
          </w:tcPr>
          <w:p w:rsidR="001D2EAA" w:rsidRPr="00D972A7" w:rsidRDefault="001D2EAA" w:rsidP="001D2EAA">
            <w:pPr>
              <w:jc w:val="center"/>
              <w:rPr>
                <w:rFonts w:ascii="Arial" w:hAnsi="Arial" w:cs="Arial"/>
                <w:sz w:val="20"/>
                <w:szCs w:val="20"/>
              </w:rPr>
            </w:pPr>
            <w:r w:rsidRPr="00D972A7">
              <w:rPr>
                <w:rFonts w:ascii="Arial" w:hAnsi="Arial" w:cs="Arial"/>
                <w:sz w:val="20"/>
                <w:szCs w:val="20"/>
              </w:rPr>
              <w:t>YES</w:t>
            </w:r>
          </w:p>
        </w:tc>
        <w:tc>
          <w:tcPr>
            <w:tcW w:w="2268" w:type="dxa"/>
            <w:tcBorders>
              <w:top w:val="single" w:sz="4" w:space="0" w:color="002060"/>
              <w:left w:val="nil"/>
              <w:bottom w:val="nil"/>
              <w:right w:val="nil"/>
            </w:tcBorders>
            <w:vAlign w:val="center"/>
          </w:tcPr>
          <w:p w:rsidR="001D2EAA" w:rsidRPr="00D972A7" w:rsidRDefault="001D2EAA" w:rsidP="001D2EAA">
            <w:pPr>
              <w:jc w:val="center"/>
              <w:rPr>
                <w:rFonts w:ascii="Arial" w:hAnsi="Arial" w:cs="Arial"/>
                <w:sz w:val="20"/>
                <w:szCs w:val="20"/>
              </w:rPr>
            </w:pPr>
            <w:r w:rsidRPr="00D972A7">
              <w:rPr>
                <w:rFonts w:ascii="Arial" w:hAnsi="Arial" w:cs="Arial"/>
                <w:sz w:val="20"/>
                <w:szCs w:val="20"/>
              </w:rPr>
              <w:t>N/A</w:t>
            </w:r>
          </w:p>
        </w:tc>
        <w:tc>
          <w:tcPr>
            <w:tcW w:w="2126" w:type="dxa"/>
            <w:tcBorders>
              <w:top w:val="single" w:sz="4" w:space="0" w:color="002060"/>
              <w:left w:val="nil"/>
              <w:bottom w:val="nil"/>
              <w:right w:val="nil"/>
            </w:tcBorders>
            <w:vAlign w:val="center"/>
          </w:tcPr>
          <w:p w:rsidR="001D2EAA" w:rsidRPr="00D972A7" w:rsidRDefault="001D2EAA" w:rsidP="001D2EAA">
            <w:pPr>
              <w:jc w:val="center"/>
              <w:rPr>
                <w:rFonts w:ascii="Arial" w:hAnsi="Arial" w:cs="Arial"/>
              </w:rPr>
            </w:pPr>
            <w:r w:rsidRPr="00D972A7">
              <w:rPr>
                <w:rFonts w:ascii="Arial" w:hAnsi="Arial" w:cs="Arial"/>
                <w:sz w:val="20"/>
                <w:szCs w:val="20"/>
              </w:rPr>
              <w:t>N/A</w:t>
            </w:r>
          </w:p>
        </w:tc>
      </w:tr>
      <w:tr w:rsidR="001D2EAA" w:rsidRPr="00544356" w:rsidTr="00B34473">
        <w:tc>
          <w:tcPr>
            <w:tcW w:w="3326" w:type="dxa"/>
            <w:tcBorders>
              <w:top w:val="nil"/>
              <w:left w:val="nil"/>
              <w:bottom w:val="nil"/>
              <w:right w:val="nil"/>
            </w:tcBorders>
            <w:shd w:val="clear" w:color="auto" w:fill="DAEEF3" w:themeFill="accent5" w:themeFillTint="33"/>
          </w:tcPr>
          <w:p w:rsidR="001D2EAA" w:rsidRPr="00D972A7" w:rsidRDefault="001D2EAA" w:rsidP="00A03168">
            <w:pPr>
              <w:rPr>
                <w:rFonts w:ascii="Arial" w:hAnsi="Arial" w:cs="Arial"/>
                <w:sz w:val="20"/>
                <w:szCs w:val="20"/>
              </w:rPr>
            </w:pPr>
            <w:r w:rsidRPr="00D972A7">
              <w:rPr>
                <w:rFonts w:ascii="Arial" w:hAnsi="Arial" w:cs="Arial"/>
                <w:sz w:val="20"/>
                <w:szCs w:val="20"/>
              </w:rPr>
              <w:t>Back pain management by NHS Occupational Health Services in England</w:t>
            </w:r>
            <w:r w:rsidRPr="00D972A7">
              <w:rPr>
                <w:rFonts w:ascii="Arial" w:hAnsi="Arial" w:cs="Arial"/>
                <w:b/>
                <w:sz w:val="20"/>
                <w:szCs w:val="20"/>
              </w:rPr>
              <w:t>- completed</w:t>
            </w:r>
            <w:r w:rsidR="00A03168">
              <w:rPr>
                <w:rFonts w:ascii="Arial" w:hAnsi="Arial" w:cs="Arial"/>
                <w:b/>
                <w:sz w:val="20"/>
                <w:szCs w:val="20"/>
              </w:rPr>
              <w:t>, awaiting national report</w:t>
            </w:r>
          </w:p>
        </w:tc>
        <w:tc>
          <w:tcPr>
            <w:tcW w:w="1460" w:type="dxa"/>
            <w:tcBorders>
              <w:top w:val="nil"/>
              <w:left w:val="nil"/>
              <w:bottom w:val="nil"/>
              <w:right w:val="nil"/>
            </w:tcBorders>
            <w:shd w:val="clear" w:color="auto" w:fill="DAEEF3" w:themeFill="accent5" w:themeFillTint="33"/>
            <w:vAlign w:val="center"/>
          </w:tcPr>
          <w:p w:rsidR="001D2EAA" w:rsidRPr="00D972A7" w:rsidRDefault="001D2EAA" w:rsidP="001D2EAA">
            <w:pPr>
              <w:jc w:val="center"/>
              <w:rPr>
                <w:rFonts w:ascii="Arial" w:hAnsi="Arial" w:cs="Arial"/>
              </w:rPr>
            </w:pPr>
            <w:r w:rsidRPr="00D972A7">
              <w:rPr>
                <w:rFonts w:ascii="Arial" w:hAnsi="Arial" w:cs="Arial"/>
                <w:sz w:val="20"/>
                <w:szCs w:val="20"/>
              </w:rPr>
              <w:t>YES</w:t>
            </w:r>
          </w:p>
        </w:tc>
        <w:tc>
          <w:tcPr>
            <w:tcW w:w="2268" w:type="dxa"/>
            <w:tcBorders>
              <w:top w:val="nil"/>
              <w:left w:val="nil"/>
              <w:bottom w:val="nil"/>
              <w:right w:val="nil"/>
            </w:tcBorders>
            <w:shd w:val="clear" w:color="auto" w:fill="DAEEF3" w:themeFill="accent5" w:themeFillTint="33"/>
            <w:vAlign w:val="center"/>
          </w:tcPr>
          <w:p w:rsidR="001D2EAA" w:rsidRPr="00D972A7" w:rsidRDefault="001D2EAA" w:rsidP="001D2EAA">
            <w:pPr>
              <w:jc w:val="center"/>
              <w:rPr>
                <w:rFonts w:ascii="Arial" w:hAnsi="Arial" w:cs="Arial"/>
              </w:rPr>
            </w:pPr>
            <w:r w:rsidRPr="00D972A7">
              <w:rPr>
                <w:rFonts w:ascii="Arial" w:hAnsi="Arial" w:cs="Arial"/>
                <w:sz w:val="20"/>
                <w:szCs w:val="20"/>
              </w:rPr>
              <w:t>N/A</w:t>
            </w:r>
          </w:p>
        </w:tc>
        <w:tc>
          <w:tcPr>
            <w:tcW w:w="2126" w:type="dxa"/>
            <w:tcBorders>
              <w:top w:val="nil"/>
              <w:left w:val="nil"/>
              <w:bottom w:val="nil"/>
              <w:right w:val="nil"/>
            </w:tcBorders>
            <w:shd w:val="clear" w:color="auto" w:fill="DAEEF3" w:themeFill="accent5" w:themeFillTint="33"/>
            <w:vAlign w:val="center"/>
          </w:tcPr>
          <w:p w:rsidR="001D2EAA" w:rsidRPr="00D972A7" w:rsidRDefault="001D2EAA" w:rsidP="001D2EAA">
            <w:pPr>
              <w:jc w:val="center"/>
              <w:rPr>
                <w:rFonts w:ascii="Arial" w:hAnsi="Arial" w:cs="Arial"/>
              </w:rPr>
            </w:pPr>
            <w:r w:rsidRPr="00D972A7">
              <w:rPr>
                <w:rFonts w:ascii="Arial" w:hAnsi="Arial" w:cs="Arial"/>
                <w:sz w:val="20"/>
                <w:szCs w:val="20"/>
              </w:rPr>
              <w:t>67</w:t>
            </w:r>
          </w:p>
        </w:tc>
      </w:tr>
      <w:tr w:rsidR="001D2EAA" w:rsidRPr="00544356" w:rsidTr="00B34473">
        <w:tc>
          <w:tcPr>
            <w:tcW w:w="3326" w:type="dxa"/>
            <w:tcBorders>
              <w:top w:val="nil"/>
              <w:left w:val="nil"/>
              <w:bottom w:val="nil"/>
              <w:right w:val="nil"/>
            </w:tcBorders>
          </w:tcPr>
          <w:p w:rsidR="001D2EAA" w:rsidRPr="00D972A7" w:rsidRDefault="001D2EAA" w:rsidP="00F93257">
            <w:pPr>
              <w:rPr>
                <w:rFonts w:ascii="Arial" w:hAnsi="Arial" w:cs="Arial"/>
                <w:sz w:val="20"/>
                <w:szCs w:val="20"/>
              </w:rPr>
            </w:pPr>
            <w:r w:rsidRPr="00D972A7">
              <w:rPr>
                <w:rFonts w:ascii="Arial" w:hAnsi="Arial" w:cs="Arial"/>
                <w:sz w:val="20"/>
                <w:szCs w:val="20"/>
              </w:rPr>
              <w:t>POMH-UK Topic 1 Pr</w:t>
            </w:r>
            <w:r w:rsidR="00F93257">
              <w:rPr>
                <w:rFonts w:ascii="Arial" w:hAnsi="Arial" w:cs="Arial"/>
                <w:sz w:val="20"/>
                <w:szCs w:val="20"/>
              </w:rPr>
              <w:t>e</w:t>
            </w:r>
            <w:r w:rsidRPr="00D972A7">
              <w:rPr>
                <w:rFonts w:ascii="Arial" w:hAnsi="Arial" w:cs="Arial"/>
                <w:sz w:val="20"/>
                <w:szCs w:val="20"/>
              </w:rPr>
              <w:t xml:space="preserve">scribing high dose and combined antipsychotics on Adult &amp; PICU wards – </w:t>
            </w:r>
            <w:r w:rsidR="00A03168">
              <w:rPr>
                <w:rFonts w:ascii="Arial" w:hAnsi="Arial" w:cs="Arial"/>
                <w:b/>
                <w:sz w:val="20"/>
                <w:szCs w:val="20"/>
              </w:rPr>
              <w:t>completed, awaiting national report</w:t>
            </w:r>
          </w:p>
        </w:tc>
        <w:tc>
          <w:tcPr>
            <w:tcW w:w="1460" w:type="dxa"/>
            <w:tcBorders>
              <w:top w:val="nil"/>
              <w:left w:val="nil"/>
              <w:bottom w:val="nil"/>
              <w:right w:val="nil"/>
            </w:tcBorders>
            <w:vAlign w:val="center"/>
          </w:tcPr>
          <w:p w:rsidR="001D2EAA" w:rsidRPr="00D972A7" w:rsidRDefault="001D2EAA" w:rsidP="001D2EAA">
            <w:pPr>
              <w:jc w:val="center"/>
              <w:rPr>
                <w:rFonts w:ascii="Arial" w:hAnsi="Arial" w:cs="Arial"/>
              </w:rPr>
            </w:pPr>
            <w:r w:rsidRPr="00D972A7">
              <w:rPr>
                <w:rFonts w:ascii="Arial" w:hAnsi="Arial" w:cs="Arial"/>
                <w:sz w:val="20"/>
                <w:szCs w:val="20"/>
              </w:rPr>
              <w:t>YES</w:t>
            </w:r>
          </w:p>
        </w:tc>
        <w:tc>
          <w:tcPr>
            <w:tcW w:w="2268" w:type="dxa"/>
            <w:tcBorders>
              <w:top w:val="nil"/>
              <w:left w:val="nil"/>
              <w:bottom w:val="nil"/>
              <w:right w:val="nil"/>
            </w:tcBorders>
            <w:vAlign w:val="center"/>
          </w:tcPr>
          <w:p w:rsidR="001D2EAA" w:rsidRPr="00D972A7" w:rsidRDefault="001D2EAA" w:rsidP="001D2EAA">
            <w:pPr>
              <w:jc w:val="center"/>
              <w:rPr>
                <w:rFonts w:ascii="Arial" w:hAnsi="Arial" w:cs="Arial"/>
              </w:rPr>
            </w:pPr>
            <w:r w:rsidRPr="00D972A7">
              <w:rPr>
                <w:rFonts w:ascii="Arial" w:hAnsi="Arial" w:cs="Arial"/>
                <w:sz w:val="20"/>
                <w:szCs w:val="20"/>
              </w:rPr>
              <w:t>N/A</w:t>
            </w:r>
          </w:p>
        </w:tc>
        <w:tc>
          <w:tcPr>
            <w:tcW w:w="2126" w:type="dxa"/>
            <w:tcBorders>
              <w:top w:val="nil"/>
              <w:left w:val="nil"/>
              <w:bottom w:val="nil"/>
              <w:right w:val="nil"/>
            </w:tcBorders>
            <w:vAlign w:val="center"/>
          </w:tcPr>
          <w:p w:rsidR="001D2EAA" w:rsidRPr="00D972A7" w:rsidRDefault="00F93257" w:rsidP="001D2EAA">
            <w:pPr>
              <w:jc w:val="center"/>
              <w:rPr>
                <w:rFonts w:ascii="Arial" w:hAnsi="Arial" w:cs="Arial"/>
              </w:rPr>
            </w:pPr>
            <w:r>
              <w:rPr>
                <w:rFonts w:ascii="Arial" w:hAnsi="Arial" w:cs="Arial"/>
                <w:sz w:val="20"/>
                <w:szCs w:val="20"/>
              </w:rPr>
              <w:t>296</w:t>
            </w:r>
          </w:p>
        </w:tc>
      </w:tr>
      <w:tr w:rsidR="001D2EAA" w:rsidRPr="00544356" w:rsidTr="00B34473">
        <w:tc>
          <w:tcPr>
            <w:tcW w:w="3326" w:type="dxa"/>
            <w:tcBorders>
              <w:top w:val="nil"/>
              <w:left w:val="nil"/>
              <w:bottom w:val="nil"/>
              <w:right w:val="nil"/>
            </w:tcBorders>
            <w:shd w:val="clear" w:color="auto" w:fill="DAEEF3" w:themeFill="accent5" w:themeFillTint="33"/>
          </w:tcPr>
          <w:p w:rsidR="001D2EAA" w:rsidRPr="00D972A7" w:rsidRDefault="001D2EAA" w:rsidP="001D2EAA">
            <w:pPr>
              <w:rPr>
                <w:rFonts w:ascii="Arial" w:hAnsi="Arial" w:cs="Arial"/>
                <w:sz w:val="20"/>
                <w:szCs w:val="20"/>
              </w:rPr>
            </w:pPr>
            <w:r w:rsidRPr="00D972A7">
              <w:rPr>
                <w:rFonts w:ascii="Arial" w:hAnsi="Arial" w:cs="Arial"/>
                <w:sz w:val="20"/>
                <w:szCs w:val="20"/>
              </w:rPr>
              <w:t>POMH-UK Topic 6 Assessment of side effects of depot antipsychotic medication</w:t>
            </w:r>
            <w:r w:rsidRPr="00D972A7">
              <w:rPr>
                <w:rFonts w:ascii="Arial" w:hAnsi="Arial" w:cs="Arial"/>
                <w:b/>
                <w:sz w:val="20"/>
                <w:szCs w:val="20"/>
              </w:rPr>
              <w:t>- completed</w:t>
            </w:r>
            <w:r w:rsidR="00A03168">
              <w:rPr>
                <w:rFonts w:ascii="Arial" w:hAnsi="Arial" w:cs="Arial"/>
                <w:b/>
                <w:sz w:val="20"/>
                <w:szCs w:val="20"/>
              </w:rPr>
              <w:t xml:space="preserve"> and reviewed</w:t>
            </w:r>
          </w:p>
        </w:tc>
        <w:tc>
          <w:tcPr>
            <w:tcW w:w="1460" w:type="dxa"/>
            <w:tcBorders>
              <w:top w:val="nil"/>
              <w:left w:val="nil"/>
              <w:bottom w:val="nil"/>
              <w:right w:val="nil"/>
            </w:tcBorders>
            <w:shd w:val="clear" w:color="auto" w:fill="DAEEF3" w:themeFill="accent5" w:themeFillTint="33"/>
            <w:vAlign w:val="center"/>
          </w:tcPr>
          <w:p w:rsidR="001D2EAA" w:rsidRPr="00D972A7" w:rsidRDefault="001D2EAA" w:rsidP="001D2EAA">
            <w:pPr>
              <w:jc w:val="center"/>
              <w:rPr>
                <w:rFonts w:ascii="Arial" w:hAnsi="Arial" w:cs="Arial"/>
              </w:rPr>
            </w:pPr>
            <w:r w:rsidRPr="00D972A7">
              <w:rPr>
                <w:rFonts w:ascii="Arial" w:hAnsi="Arial" w:cs="Arial"/>
                <w:sz w:val="20"/>
                <w:szCs w:val="20"/>
              </w:rPr>
              <w:t>YES</w:t>
            </w:r>
          </w:p>
        </w:tc>
        <w:tc>
          <w:tcPr>
            <w:tcW w:w="2268" w:type="dxa"/>
            <w:tcBorders>
              <w:top w:val="nil"/>
              <w:left w:val="nil"/>
              <w:bottom w:val="nil"/>
              <w:right w:val="nil"/>
            </w:tcBorders>
            <w:shd w:val="clear" w:color="auto" w:fill="DAEEF3" w:themeFill="accent5" w:themeFillTint="33"/>
            <w:vAlign w:val="center"/>
          </w:tcPr>
          <w:p w:rsidR="001D2EAA" w:rsidRPr="00D972A7" w:rsidRDefault="001D2EAA" w:rsidP="001D2EAA">
            <w:pPr>
              <w:jc w:val="center"/>
              <w:rPr>
                <w:rFonts w:ascii="Arial" w:hAnsi="Arial" w:cs="Arial"/>
              </w:rPr>
            </w:pPr>
            <w:r w:rsidRPr="00D972A7">
              <w:rPr>
                <w:rFonts w:ascii="Arial" w:hAnsi="Arial" w:cs="Arial"/>
                <w:sz w:val="20"/>
                <w:szCs w:val="20"/>
              </w:rPr>
              <w:t>N/A</w:t>
            </w:r>
          </w:p>
        </w:tc>
        <w:tc>
          <w:tcPr>
            <w:tcW w:w="2126" w:type="dxa"/>
            <w:tcBorders>
              <w:top w:val="nil"/>
              <w:left w:val="nil"/>
              <w:bottom w:val="nil"/>
              <w:right w:val="nil"/>
            </w:tcBorders>
            <w:shd w:val="clear" w:color="auto" w:fill="DAEEF3" w:themeFill="accent5" w:themeFillTint="33"/>
            <w:vAlign w:val="center"/>
          </w:tcPr>
          <w:p w:rsidR="001D2EAA" w:rsidRPr="00D972A7" w:rsidRDefault="001D2EAA" w:rsidP="001D2EAA">
            <w:pPr>
              <w:jc w:val="center"/>
              <w:rPr>
                <w:rFonts w:ascii="Arial" w:hAnsi="Arial" w:cs="Arial"/>
              </w:rPr>
            </w:pPr>
            <w:r w:rsidRPr="00D972A7">
              <w:rPr>
                <w:rFonts w:ascii="Arial" w:hAnsi="Arial" w:cs="Arial"/>
                <w:sz w:val="20"/>
                <w:szCs w:val="20"/>
              </w:rPr>
              <w:t>232</w:t>
            </w:r>
          </w:p>
        </w:tc>
      </w:tr>
      <w:tr w:rsidR="001D2EAA" w:rsidRPr="00544356" w:rsidTr="00B34473">
        <w:tc>
          <w:tcPr>
            <w:tcW w:w="3326" w:type="dxa"/>
            <w:tcBorders>
              <w:top w:val="nil"/>
              <w:left w:val="nil"/>
              <w:bottom w:val="nil"/>
              <w:right w:val="nil"/>
            </w:tcBorders>
          </w:tcPr>
          <w:p w:rsidR="001D2EAA" w:rsidRPr="00D972A7" w:rsidRDefault="001D2EAA" w:rsidP="00A03168">
            <w:pPr>
              <w:rPr>
                <w:rFonts w:ascii="Arial" w:hAnsi="Arial" w:cs="Arial"/>
                <w:sz w:val="20"/>
                <w:szCs w:val="20"/>
              </w:rPr>
            </w:pPr>
            <w:r w:rsidRPr="00D972A7">
              <w:rPr>
                <w:rFonts w:ascii="Arial" w:hAnsi="Arial" w:cs="Arial"/>
                <w:sz w:val="20"/>
                <w:szCs w:val="20"/>
              </w:rPr>
              <w:t>POMH-UK Topic 7 Monitoring of patients prescribed lithium</w:t>
            </w:r>
            <w:r w:rsidRPr="00D972A7">
              <w:rPr>
                <w:rFonts w:ascii="Arial" w:hAnsi="Arial" w:cs="Arial"/>
                <w:b/>
                <w:sz w:val="20"/>
                <w:szCs w:val="20"/>
              </w:rPr>
              <w:t xml:space="preserve">- </w:t>
            </w:r>
            <w:r w:rsidR="00A03168">
              <w:rPr>
                <w:rFonts w:ascii="Arial" w:hAnsi="Arial" w:cs="Arial"/>
                <w:b/>
                <w:sz w:val="20"/>
                <w:szCs w:val="20"/>
              </w:rPr>
              <w:t>completed, awaiting review</w:t>
            </w:r>
          </w:p>
        </w:tc>
        <w:tc>
          <w:tcPr>
            <w:tcW w:w="1460" w:type="dxa"/>
            <w:tcBorders>
              <w:top w:val="nil"/>
              <w:left w:val="nil"/>
              <w:bottom w:val="nil"/>
              <w:right w:val="nil"/>
            </w:tcBorders>
            <w:vAlign w:val="center"/>
          </w:tcPr>
          <w:p w:rsidR="001D2EAA" w:rsidRPr="00D972A7" w:rsidRDefault="001D2EAA" w:rsidP="001D2EAA">
            <w:pPr>
              <w:jc w:val="center"/>
              <w:rPr>
                <w:rFonts w:ascii="Arial" w:hAnsi="Arial" w:cs="Arial"/>
              </w:rPr>
            </w:pPr>
            <w:r w:rsidRPr="00D972A7">
              <w:rPr>
                <w:rFonts w:ascii="Arial" w:hAnsi="Arial" w:cs="Arial"/>
                <w:sz w:val="20"/>
                <w:szCs w:val="20"/>
              </w:rPr>
              <w:t>YES</w:t>
            </w:r>
          </w:p>
        </w:tc>
        <w:tc>
          <w:tcPr>
            <w:tcW w:w="2268" w:type="dxa"/>
            <w:tcBorders>
              <w:top w:val="nil"/>
              <w:left w:val="nil"/>
              <w:bottom w:val="nil"/>
              <w:right w:val="nil"/>
            </w:tcBorders>
            <w:vAlign w:val="center"/>
          </w:tcPr>
          <w:p w:rsidR="001D2EAA" w:rsidRPr="00D972A7" w:rsidRDefault="001D2EAA" w:rsidP="001D2EAA">
            <w:pPr>
              <w:jc w:val="center"/>
              <w:rPr>
                <w:rFonts w:ascii="Arial" w:hAnsi="Arial" w:cs="Arial"/>
              </w:rPr>
            </w:pPr>
            <w:r w:rsidRPr="00D972A7">
              <w:rPr>
                <w:rFonts w:ascii="Arial" w:hAnsi="Arial" w:cs="Arial"/>
                <w:sz w:val="20"/>
                <w:szCs w:val="20"/>
              </w:rPr>
              <w:t>N/A</w:t>
            </w:r>
          </w:p>
        </w:tc>
        <w:tc>
          <w:tcPr>
            <w:tcW w:w="2126" w:type="dxa"/>
            <w:tcBorders>
              <w:top w:val="nil"/>
              <w:left w:val="nil"/>
              <w:bottom w:val="nil"/>
              <w:right w:val="nil"/>
            </w:tcBorders>
            <w:vAlign w:val="center"/>
          </w:tcPr>
          <w:p w:rsidR="001D2EAA" w:rsidRPr="00D972A7" w:rsidRDefault="001D2EAA" w:rsidP="001D2EAA">
            <w:pPr>
              <w:jc w:val="center"/>
              <w:rPr>
                <w:rFonts w:ascii="Arial" w:hAnsi="Arial" w:cs="Arial"/>
              </w:rPr>
            </w:pPr>
            <w:r w:rsidRPr="00D972A7">
              <w:rPr>
                <w:rFonts w:ascii="Arial" w:hAnsi="Arial" w:cs="Arial"/>
                <w:sz w:val="20"/>
                <w:szCs w:val="20"/>
              </w:rPr>
              <w:t>118</w:t>
            </w:r>
          </w:p>
        </w:tc>
      </w:tr>
      <w:tr w:rsidR="001D2EAA" w:rsidRPr="00544356" w:rsidTr="00B34473">
        <w:tc>
          <w:tcPr>
            <w:tcW w:w="3326" w:type="dxa"/>
            <w:tcBorders>
              <w:top w:val="nil"/>
              <w:left w:val="nil"/>
              <w:bottom w:val="nil"/>
              <w:right w:val="nil"/>
            </w:tcBorders>
            <w:shd w:val="clear" w:color="auto" w:fill="DAEEF3" w:themeFill="accent5" w:themeFillTint="33"/>
          </w:tcPr>
          <w:p w:rsidR="001D2EAA" w:rsidRPr="00D972A7" w:rsidRDefault="001D2EAA" w:rsidP="00A03168">
            <w:pPr>
              <w:rPr>
                <w:rFonts w:ascii="Arial" w:hAnsi="Arial" w:cs="Arial"/>
                <w:sz w:val="20"/>
                <w:szCs w:val="20"/>
              </w:rPr>
            </w:pPr>
            <w:r w:rsidRPr="00D972A7">
              <w:rPr>
                <w:rFonts w:ascii="Arial" w:hAnsi="Arial" w:cs="Arial"/>
                <w:sz w:val="20"/>
                <w:szCs w:val="20"/>
              </w:rPr>
              <w:t>POMH-UK Topic 10 Use of antipsychotic medicine in CAMHS</w:t>
            </w:r>
            <w:r w:rsidRPr="00D972A7">
              <w:rPr>
                <w:rFonts w:ascii="Arial" w:hAnsi="Arial" w:cs="Arial"/>
                <w:b/>
                <w:sz w:val="20"/>
                <w:szCs w:val="20"/>
              </w:rPr>
              <w:t>- completed</w:t>
            </w:r>
            <w:r w:rsidR="00A03168">
              <w:rPr>
                <w:rFonts w:ascii="Arial" w:hAnsi="Arial" w:cs="Arial"/>
                <w:b/>
                <w:sz w:val="20"/>
                <w:szCs w:val="20"/>
              </w:rPr>
              <w:t>, awaiting national report</w:t>
            </w:r>
          </w:p>
        </w:tc>
        <w:tc>
          <w:tcPr>
            <w:tcW w:w="1460" w:type="dxa"/>
            <w:tcBorders>
              <w:top w:val="nil"/>
              <w:left w:val="nil"/>
              <w:bottom w:val="nil"/>
              <w:right w:val="nil"/>
            </w:tcBorders>
            <w:shd w:val="clear" w:color="auto" w:fill="DAEEF3" w:themeFill="accent5" w:themeFillTint="33"/>
            <w:vAlign w:val="center"/>
          </w:tcPr>
          <w:p w:rsidR="001D2EAA" w:rsidRPr="00D972A7" w:rsidRDefault="001D2EAA" w:rsidP="001D2EAA">
            <w:pPr>
              <w:jc w:val="center"/>
              <w:rPr>
                <w:rFonts w:ascii="Arial" w:hAnsi="Arial" w:cs="Arial"/>
              </w:rPr>
            </w:pPr>
            <w:r w:rsidRPr="00D972A7">
              <w:rPr>
                <w:rFonts w:ascii="Arial" w:hAnsi="Arial" w:cs="Arial"/>
                <w:sz w:val="20"/>
                <w:szCs w:val="20"/>
              </w:rPr>
              <w:t>YES</w:t>
            </w:r>
          </w:p>
        </w:tc>
        <w:tc>
          <w:tcPr>
            <w:tcW w:w="2268" w:type="dxa"/>
            <w:tcBorders>
              <w:top w:val="nil"/>
              <w:left w:val="nil"/>
              <w:bottom w:val="nil"/>
              <w:right w:val="nil"/>
            </w:tcBorders>
            <w:shd w:val="clear" w:color="auto" w:fill="DAEEF3" w:themeFill="accent5" w:themeFillTint="33"/>
            <w:vAlign w:val="center"/>
          </w:tcPr>
          <w:p w:rsidR="001D2EAA" w:rsidRPr="00D972A7" w:rsidRDefault="001D2EAA" w:rsidP="001D2EAA">
            <w:pPr>
              <w:jc w:val="center"/>
              <w:rPr>
                <w:rFonts w:ascii="Arial" w:hAnsi="Arial" w:cs="Arial"/>
              </w:rPr>
            </w:pPr>
            <w:r w:rsidRPr="00D972A7">
              <w:rPr>
                <w:rFonts w:ascii="Arial" w:hAnsi="Arial" w:cs="Arial"/>
                <w:sz w:val="20"/>
                <w:szCs w:val="20"/>
              </w:rPr>
              <w:t>N/A</w:t>
            </w:r>
          </w:p>
        </w:tc>
        <w:tc>
          <w:tcPr>
            <w:tcW w:w="2126" w:type="dxa"/>
            <w:tcBorders>
              <w:top w:val="nil"/>
              <w:left w:val="nil"/>
              <w:bottom w:val="nil"/>
              <w:right w:val="nil"/>
            </w:tcBorders>
            <w:shd w:val="clear" w:color="auto" w:fill="DAEEF3" w:themeFill="accent5" w:themeFillTint="33"/>
            <w:vAlign w:val="center"/>
          </w:tcPr>
          <w:p w:rsidR="001D2EAA" w:rsidRPr="00D972A7" w:rsidRDefault="001D2EAA" w:rsidP="001D2EAA">
            <w:pPr>
              <w:jc w:val="center"/>
              <w:rPr>
                <w:rFonts w:ascii="Arial" w:hAnsi="Arial" w:cs="Arial"/>
              </w:rPr>
            </w:pPr>
            <w:r w:rsidRPr="00D972A7">
              <w:rPr>
                <w:rFonts w:ascii="Arial" w:hAnsi="Arial" w:cs="Arial"/>
                <w:sz w:val="20"/>
                <w:szCs w:val="20"/>
              </w:rPr>
              <w:t>54</w:t>
            </w:r>
          </w:p>
        </w:tc>
      </w:tr>
      <w:tr w:rsidR="001D2EAA" w:rsidRPr="00544356" w:rsidTr="00B34473">
        <w:tc>
          <w:tcPr>
            <w:tcW w:w="3326" w:type="dxa"/>
            <w:tcBorders>
              <w:top w:val="nil"/>
              <w:left w:val="nil"/>
              <w:bottom w:val="nil"/>
              <w:right w:val="nil"/>
            </w:tcBorders>
          </w:tcPr>
          <w:p w:rsidR="001D2EAA" w:rsidRPr="00D972A7" w:rsidRDefault="001D2EAA" w:rsidP="001D2EAA">
            <w:pPr>
              <w:rPr>
                <w:rFonts w:ascii="Arial" w:hAnsi="Arial" w:cs="Arial"/>
                <w:sz w:val="20"/>
                <w:szCs w:val="20"/>
              </w:rPr>
            </w:pPr>
            <w:r w:rsidRPr="00D972A7">
              <w:rPr>
                <w:rFonts w:ascii="Arial" w:hAnsi="Arial" w:cs="Arial"/>
                <w:sz w:val="20"/>
                <w:szCs w:val="20"/>
              </w:rPr>
              <w:t>POMH-UK Topic 11 Dementia</w:t>
            </w:r>
            <w:r w:rsidRPr="00D972A7">
              <w:rPr>
                <w:rFonts w:ascii="Arial" w:hAnsi="Arial" w:cs="Arial"/>
                <w:b/>
                <w:sz w:val="20"/>
                <w:szCs w:val="20"/>
              </w:rPr>
              <w:t>- completed</w:t>
            </w:r>
            <w:r w:rsidR="00A03168">
              <w:rPr>
                <w:rFonts w:ascii="Arial" w:hAnsi="Arial" w:cs="Arial"/>
                <w:b/>
                <w:sz w:val="20"/>
                <w:szCs w:val="20"/>
              </w:rPr>
              <w:t xml:space="preserve"> and reviewed</w:t>
            </w:r>
          </w:p>
        </w:tc>
        <w:tc>
          <w:tcPr>
            <w:tcW w:w="1460" w:type="dxa"/>
            <w:tcBorders>
              <w:top w:val="nil"/>
              <w:left w:val="nil"/>
              <w:bottom w:val="nil"/>
              <w:right w:val="nil"/>
            </w:tcBorders>
            <w:vAlign w:val="center"/>
          </w:tcPr>
          <w:p w:rsidR="001D2EAA" w:rsidRPr="00D972A7" w:rsidRDefault="001D2EAA" w:rsidP="001D2EAA">
            <w:pPr>
              <w:jc w:val="center"/>
              <w:rPr>
                <w:rFonts w:ascii="Arial" w:hAnsi="Arial" w:cs="Arial"/>
              </w:rPr>
            </w:pPr>
            <w:r w:rsidRPr="00D972A7">
              <w:rPr>
                <w:rFonts w:ascii="Arial" w:hAnsi="Arial" w:cs="Arial"/>
                <w:sz w:val="20"/>
                <w:szCs w:val="20"/>
              </w:rPr>
              <w:t>YES</w:t>
            </w:r>
          </w:p>
        </w:tc>
        <w:tc>
          <w:tcPr>
            <w:tcW w:w="2268" w:type="dxa"/>
            <w:tcBorders>
              <w:top w:val="nil"/>
              <w:left w:val="nil"/>
              <w:bottom w:val="nil"/>
              <w:right w:val="nil"/>
            </w:tcBorders>
            <w:vAlign w:val="center"/>
          </w:tcPr>
          <w:p w:rsidR="001D2EAA" w:rsidRPr="00D972A7" w:rsidRDefault="001D2EAA" w:rsidP="001D2EAA">
            <w:pPr>
              <w:jc w:val="center"/>
              <w:rPr>
                <w:rFonts w:ascii="Arial" w:hAnsi="Arial" w:cs="Arial"/>
              </w:rPr>
            </w:pPr>
            <w:r w:rsidRPr="00D972A7">
              <w:rPr>
                <w:rFonts w:ascii="Arial" w:hAnsi="Arial" w:cs="Arial"/>
                <w:sz w:val="20"/>
                <w:szCs w:val="20"/>
              </w:rPr>
              <w:t>N/A</w:t>
            </w:r>
          </w:p>
        </w:tc>
        <w:tc>
          <w:tcPr>
            <w:tcW w:w="2126" w:type="dxa"/>
            <w:tcBorders>
              <w:top w:val="nil"/>
              <w:left w:val="nil"/>
              <w:bottom w:val="nil"/>
              <w:right w:val="nil"/>
            </w:tcBorders>
            <w:vAlign w:val="center"/>
          </w:tcPr>
          <w:p w:rsidR="001D2EAA" w:rsidRPr="00D972A7" w:rsidRDefault="001D2EAA" w:rsidP="001D2EAA">
            <w:pPr>
              <w:jc w:val="center"/>
              <w:rPr>
                <w:rFonts w:ascii="Arial" w:hAnsi="Arial" w:cs="Arial"/>
              </w:rPr>
            </w:pPr>
            <w:r w:rsidRPr="00D972A7">
              <w:rPr>
                <w:rFonts w:ascii="Arial" w:hAnsi="Arial" w:cs="Arial"/>
                <w:sz w:val="20"/>
                <w:szCs w:val="20"/>
              </w:rPr>
              <w:t>196</w:t>
            </w:r>
          </w:p>
        </w:tc>
      </w:tr>
      <w:tr w:rsidR="001D2EAA" w:rsidRPr="00544356" w:rsidTr="00B34473">
        <w:tc>
          <w:tcPr>
            <w:tcW w:w="3326" w:type="dxa"/>
            <w:tcBorders>
              <w:top w:val="nil"/>
              <w:left w:val="nil"/>
              <w:bottom w:val="nil"/>
              <w:right w:val="nil"/>
            </w:tcBorders>
            <w:shd w:val="clear" w:color="auto" w:fill="DAEEF3" w:themeFill="accent5" w:themeFillTint="33"/>
          </w:tcPr>
          <w:p w:rsidR="001D2EAA" w:rsidRPr="00D972A7" w:rsidRDefault="001D2EAA" w:rsidP="00A03168">
            <w:pPr>
              <w:rPr>
                <w:rFonts w:ascii="Arial" w:hAnsi="Arial" w:cs="Arial"/>
                <w:sz w:val="20"/>
                <w:szCs w:val="20"/>
              </w:rPr>
            </w:pPr>
            <w:r w:rsidRPr="00D972A7">
              <w:rPr>
                <w:rFonts w:ascii="Arial" w:hAnsi="Arial" w:cs="Arial"/>
                <w:sz w:val="20"/>
                <w:szCs w:val="20"/>
              </w:rPr>
              <w:t xml:space="preserve">POMH-UK Topic 12 Prescribing for People with a Personality Disorder </w:t>
            </w:r>
            <w:r w:rsidRPr="00D972A7">
              <w:rPr>
                <w:rFonts w:ascii="Arial" w:hAnsi="Arial" w:cs="Arial"/>
                <w:b/>
                <w:sz w:val="20"/>
                <w:szCs w:val="20"/>
              </w:rPr>
              <w:t>–April 2012 start</w:t>
            </w:r>
          </w:p>
        </w:tc>
        <w:tc>
          <w:tcPr>
            <w:tcW w:w="1460" w:type="dxa"/>
            <w:tcBorders>
              <w:top w:val="nil"/>
              <w:left w:val="nil"/>
              <w:bottom w:val="nil"/>
              <w:right w:val="nil"/>
            </w:tcBorders>
            <w:shd w:val="clear" w:color="auto" w:fill="DAEEF3" w:themeFill="accent5" w:themeFillTint="33"/>
            <w:vAlign w:val="center"/>
          </w:tcPr>
          <w:p w:rsidR="001D2EAA" w:rsidRPr="00D972A7" w:rsidRDefault="001D2EAA" w:rsidP="001D2EAA">
            <w:pPr>
              <w:jc w:val="center"/>
              <w:rPr>
                <w:rFonts w:ascii="Arial" w:hAnsi="Arial" w:cs="Arial"/>
                <w:sz w:val="20"/>
                <w:szCs w:val="20"/>
              </w:rPr>
            </w:pPr>
          </w:p>
        </w:tc>
        <w:tc>
          <w:tcPr>
            <w:tcW w:w="2268" w:type="dxa"/>
            <w:tcBorders>
              <w:top w:val="nil"/>
              <w:left w:val="nil"/>
              <w:bottom w:val="nil"/>
              <w:right w:val="nil"/>
            </w:tcBorders>
            <w:shd w:val="clear" w:color="auto" w:fill="DAEEF3" w:themeFill="accent5" w:themeFillTint="33"/>
            <w:vAlign w:val="center"/>
          </w:tcPr>
          <w:p w:rsidR="001D2EAA" w:rsidRPr="00D972A7" w:rsidRDefault="001D2EAA" w:rsidP="001D2EAA">
            <w:pPr>
              <w:jc w:val="center"/>
              <w:rPr>
                <w:rFonts w:ascii="Arial" w:hAnsi="Arial" w:cs="Arial"/>
              </w:rPr>
            </w:pPr>
            <w:r w:rsidRPr="00D972A7">
              <w:rPr>
                <w:rFonts w:ascii="Arial" w:hAnsi="Arial" w:cs="Arial"/>
                <w:sz w:val="20"/>
                <w:szCs w:val="20"/>
              </w:rPr>
              <w:t>N/A</w:t>
            </w:r>
          </w:p>
        </w:tc>
        <w:tc>
          <w:tcPr>
            <w:tcW w:w="2126" w:type="dxa"/>
            <w:tcBorders>
              <w:top w:val="nil"/>
              <w:left w:val="nil"/>
              <w:bottom w:val="nil"/>
              <w:right w:val="nil"/>
            </w:tcBorders>
            <w:shd w:val="clear" w:color="auto" w:fill="DAEEF3" w:themeFill="accent5" w:themeFillTint="33"/>
            <w:vAlign w:val="center"/>
          </w:tcPr>
          <w:p w:rsidR="001D2EAA" w:rsidRPr="00D972A7" w:rsidRDefault="001D2EAA" w:rsidP="001D2EAA">
            <w:pPr>
              <w:jc w:val="center"/>
              <w:rPr>
                <w:rFonts w:ascii="Arial" w:hAnsi="Arial" w:cs="Arial"/>
              </w:rPr>
            </w:pPr>
            <w:r w:rsidRPr="00D972A7">
              <w:rPr>
                <w:rFonts w:ascii="Arial" w:hAnsi="Arial" w:cs="Arial"/>
                <w:sz w:val="20"/>
                <w:szCs w:val="20"/>
              </w:rPr>
              <w:t>-</w:t>
            </w:r>
          </w:p>
        </w:tc>
      </w:tr>
      <w:tr w:rsidR="001D2EAA" w:rsidRPr="00544356" w:rsidTr="00B34473">
        <w:tc>
          <w:tcPr>
            <w:tcW w:w="3326" w:type="dxa"/>
            <w:tcBorders>
              <w:top w:val="nil"/>
              <w:left w:val="nil"/>
              <w:bottom w:val="nil"/>
              <w:right w:val="nil"/>
            </w:tcBorders>
          </w:tcPr>
          <w:p w:rsidR="001D2EAA" w:rsidRPr="00D972A7" w:rsidRDefault="001D2EAA" w:rsidP="00A03168">
            <w:pPr>
              <w:rPr>
                <w:rFonts w:ascii="Arial" w:hAnsi="Arial" w:cs="Arial"/>
                <w:sz w:val="20"/>
                <w:szCs w:val="20"/>
              </w:rPr>
            </w:pPr>
            <w:r w:rsidRPr="00D972A7">
              <w:rPr>
                <w:rFonts w:ascii="Arial" w:hAnsi="Arial" w:cs="Arial"/>
                <w:sz w:val="20"/>
                <w:szCs w:val="20"/>
              </w:rPr>
              <w:t>National Audit of Schizophrenia (NAS)</w:t>
            </w:r>
            <w:r w:rsidRPr="00D972A7">
              <w:rPr>
                <w:rFonts w:ascii="Arial" w:hAnsi="Arial" w:cs="Arial"/>
                <w:b/>
                <w:sz w:val="20"/>
                <w:szCs w:val="20"/>
              </w:rPr>
              <w:t xml:space="preserve"> </w:t>
            </w:r>
            <w:r w:rsidR="00B25833">
              <w:rPr>
                <w:rFonts w:ascii="Arial" w:hAnsi="Arial" w:cs="Arial"/>
                <w:b/>
                <w:sz w:val="20"/>
                <w:szCs w:val="20"/>
              </w:rPr>
              <w:t>–</w:t>
            </w:r>
            <w:r w:rsidRPr="00D972A7">
              <w:rPr>
                <w:rFonts w:ascii="Arial" w:hAnsi="Arial" w:cs="Arial"/>
                <w:b/>
                <w:sz w:val="20"/>
                <w:szCs w:val="20"/>
              </w:rPr>
              <w:t xml:space="preserve"> </w:t>
            </w:r>
            <w:r w:rsidR="00A03168" w:rsidRPr="00D972A7">
              <w:rPr>
                <w:rFonts w:ascii="Arial" w:hAnsi="Arial" w:cs="Arial"/>
                <w:b/>
                <w:sz w:val="20"/>
                <w:szCs w:val="20"/>
              </w:rPr>
              <w:t>completed</w:t>
            </w:r>
            <w:r w:rsidR="00A03168">
              <w:rPr>
                <w:rFonts w:ascii="Arial" w:hAnsi="Arial" w:cs="Arial"/>
                <w:b/>
                <w:sz w:val="20"/>
                <w:szCs w:val="20"/>
              </w:rPr>
              <w:t>, awaiting national report</w:t>
            </w:r>
          </w:p>
        </w:tc>
        <w:tc>
          <w:tcPr>
            <w:tcW w:w="1460" w:type="dxa"/>
            <w:tcBorders>
              <w:top w:val="nil"/>
              <w:left w:val="nil"/>
              <w:bottom w:val="nil"/>
              <w:right w:val="nil"/>
            </w:tcBorders>
            <w:vAlign w:val="center"/>
          </w:tcPr>
          <w:p w:rsidR="001D2EAA" w:rsidRPr="00D972A7" w:rsidRDefault="001D2EAA" w:rsidP="001D2EAA">
            <w:pPr>
              <w:jc w:val="center"/>
              <w:rPr>
                <w:rFonts w:ascii="Arial" w:hAnsi="Arial" w:cs="Arial"/>
              </w:rPr>
            </w:pPr>
            <w:r w:rsidRPr="00D972A7">
              <w:rPr>
                <w:rFonts w:ascii="Arial" w:hAnsi="Arial" w:cs="Arial"/>
                <w:sz w:val="20"/>
                <w:szCs w:val="20"/>
              </w:rPr>
              <w:t>YES</w:t>
            </w:r>
          </w:p>
        </w:tc>
        <w:tc>
          <w:tcPr>
            <w:tcW w:w="2268" w:type="dxa"/>
            <w:tcBorders>
              <w:top w:val="nil"/>
              <w:left w:val="nil"/>
              <w:bottom w:val="nil"/>
              <w:right w:val="nil"/>
            </w:tcBorders>
            <w:vAlign w:val="center"/>
          </w:tcPr>
          <w:p w:rsidR="001D2EAA" w:rsidRPr="00D972A7" w:rsidRDefault="001D2EAA" w:rsidP="001D2EAA">
            <w:pPr>
              <w:jc w:val="center"/>
              <w:rPr>
                <w:rFonts w:ascii="Arial" w:hAnsi="Arial" w:cs="Arial"/>
              </w:rPr>
            </w:pPr>
            <w:r w:rsidRPr="00D972A7">
              <w:rPr>
                <w:rFonts w:ascii="Arial" w:hAnsi="Arial" w:cs="Arial"/>
                <w:sz w:val="20"/>
                <w:szCs w:val="20"/>
              </w:rPr>
              <w:t>80</w:t>
            </w:r>
          </w:p>
        </w:tc>
        <w:tc>
          <w:tcPr>
            <w:tcW w:w="2126" w:type="dxa"/>
            <w:tcBorders>
              <w:top w:val="nil"/>
              <w:left w:val="nil"/>
              <w:bottom w:val="nil"/>
              <w:right w:val="nil"/>
            </w:tcBorders>
            <w:vAlign w:val="center"/>
          </w:tcPr>
          <w:p w:rsidR="001D2EAA" w:rsidRPr="00D972A7" w:rsidRDefault="001D2EAA" w:rsidP="001D2EAA">
            <w:pPr>
              <w:jc w:val="center"/>
              <w:rPr>
                <w:rFonts w:ascii="Arial" w:hAnsi="Arial" w:cs="Arial"/>
              </w:rPr>
            </w:pPr>
            <w:r w:rsidRPr="00D972A7">
              <w:rPr>
                <w:rFonts w:ascii="Arial" w:hAnsi="Arial" w:cs="Arial"/>
                <w:sz w:val="20"/>
                <w:szCs w:val="20"/>
              </w:rPr>
              <w:t>86</w:t>
            </w:r>
          </w:p>
        </w:tc>
      </w:tr>
      <w:tr w:rsidR="001D2EAA" w:rsidRPr="00544356" w:rsidTr="00B34473">
        <w:tc>
          <w:tcPr>
            <w:tcW w:w="3326" w:type="dxa"/>
            <w:tcBorders>
              <w:top w:val="nil"/>
              <w:left w:val="nil"/>
              <w:bottom w:val="nil"/>
              <w:right w:val="nil"/>
            </w:tcBorders>
            <w:shd w:val="clear" w:color="auto" w:fill="DAEEF3" w:themeFill="accent5" w:themeFillTint="33"/>
          </w:tcPr>
          <w:p w:rsidR="001D2EAA" w:rsidRPr="00D972A7" w:rsidRDefault="001D2EAA" w:rsidP="001D2EAA">
            <w:pPr>
              <w:rPr>
                <w:rFonts w:ascii="Arial" w:hAnsi="Arial" w:cs="Arial"/>
                <w:sz w:val="20"/>
                <w:szCs w:val="20"/>
              </w:rPr>
            </w:pPr>
            <w:r w:rsidRPr="00D972A7">
              <w:rPr>
                <w:rFonts w:ascii="Arial" w:hAnsi="Arial" w:cs="Arial"/>
                <w:sz w:val="20"/>
                <w:szCs w:val="20"/>
              </w:rPr>
              <w:t>Infection Control Programme:</w:t>
            </w:r>
          </w:p>
          <w:p w:rsidR="001D2EAA" w:rsidRPr="00D972A7" w:rsidRDefault="001D2EAA" w:rsidP="00AE6CD0">
            <w:pPr>
              <w:pStyle w:val="ListParagraph"/>
              <w:numPr>
                <w:ilvl w:val="0"/>
                <w:numId w:val="23"/>
              </w:numPr>
              <w:rPr>
                <w:rFonts w:ascii="Arial" w:hAnsi="Arial" w:cs="Arial"/>
                <w:sz w:val="20"/>
                <w:szCs w:val="20"/>
              </w:rPr>
            </w:pPr>
            <w:r w:rsidRPr="00D972A7">
              <w:rPr>
                <w:rFonts w:ascii="Arial" w:hAnsi="Arial" w:cs="Arial"/>
                <w:sz w:val="20"/>
                <w:szCs w:val="20"/>
              </w:rPr>
              <w:t>Hand hygiene audit</w:t>
            </w:r>
          </w:p>
          <w:p w:rsidR="001D2EAA" w:rsidRPr="00D972A7" w:rsidRDefault="001D2EAA" w:rsidP="00AE6CD0">
            <w:pPr>
              <w:pStyle w:val="ListParagraph"/>
              <w:numPr>
                <w:ilvl w:val="0"/>
                <w:numId w:val="23"/>
              </w:numPr>
              <w:rPr>
                <w:rFonts w:ascii="Arial" w:hAnsi="Arial" w:cs="Arial"/>
                <w:sz w:val="20"/>
                <w:szCs w:val="20"/>
              </w:rPr>
            </w:pPr>
            <w:r w:rsidRPr="00D972A7">
              <w:rPr>
                <w:rFonts w:ascii="Arial" w:hAnsi="Arial" w:cs="Arial"/>
                <w:sz w:val="20"/>
                <w:szCs w:val="20"/>
              </w:rPr>
              <w:t xml:space="preserve">Survey of staff knowledge </w:t>
            </w:r>
            <w:r w:rsidRPr="00D972A7">
              <w:rPr>
                <w:rFonts w:ascii="Arial" w:hAnsi="Arial" w:cs="Arial"/>
                <w:sz w:val="20"/>
                <w:szCs w:val="20"/>
              </w:rPr>
              <w:lastRenderedPageBreak/>
              <w:t>and training needs on infection prevention and control</w:t>
            </w:r>
          </w:p>
          <w:p w:rsidR="001D2EAA" w:rsidRDefault="001D2EAA" w:rsidP="00AE6CD0">
            <w:pPr>
              <w:pStyle w:val="ListParagraph"/>
              <w:numPr>
                <w:ilvl w:val="0"/>
                <w:numId w:val="23"/>
              </w:numPr>
              <w:rPr>
                <w:rFonts w:ascii="Arial" w:hAnsi="Arial" w:cs="Arial"/>
                <w:sz w:val="20"/>
                <w:szCs w:val="20"/>
              </w:rPr>
            </w:pPr>
            <w:r w:rsidRPr="00D972A7">
              <w:rPr>
                <w:rFonts w:ascii="Arial" w:hAnsi="Arial" w:cs="Arial"/>
                <w:sz w:val="20"/>
                <w:szCs w:val="20"/>
              </w:rPr>
              <w:t>Environmental audit</w:t>
            </w:r>
          </w:p>
          <w:p w:rsidR="00823CFC" w:rsidRPr="00A03168" w:rsidRDefault="00A03168" w:rsidP="00A03168">
            <w:pPr>
              <w:rPr>
                <w:rFonts w:ascii="Arial" w:hAnsi="Arial" w:cs="Arial"/>
                <w:sz w:val="20"/>
                <w:szCs w:val="20"/>
              </w:rPr>
            </w:pPr>
            <w:r w:rsidRPr="00D972A7">
              <w:rPr>
                <w:rFonts w:ascii="Arial" w:hAnsi="Arial" w:cs="Arial"/>
                <w:b/>
                <w:sz w:val="20"/>
                <w:szCs w:val="20"/>
              </w:rPr>
              <w:t>- completed</w:t>
            </w:r>
            <w:r>
              <w:rPr>
                <w:rFonts w:ascii="Arial" w:hAnsi="Arial" w:cs="Arial"/>
                <w:b/>
                <w:sz w:val="20"/>
                <w:szCs w:val="20"/>
              </w:rPr>
              <w:t xml:space="preserve"> and reviewed</w:t>
            </w:r>
          </w:p>
        </w:tc>
        <w:tc>
          <w:tcPr>
            <w:tcW w:w="1460" w:type="dxa"/>
            <w:tcBorders>
              <w:top w:val="nil"/>
              <w:left w:val="nil"/>
              <w:bottom w:val="nil"/>
              <w:right w:val="nil"/>
            </w:tcBorders>
            <w:shd w:val="clear" w:color="auto" w:fill="DAEEF3" w:themeFill="accent5" w:themeFillTint="33"/>
            <w:vAlign w:val="center"/>
          </w:tcPr>
          <w:p w:rsidR="001D2EAA" w:rsidRPr="00D972A7" w:rsidRDefault="001D2EAA" w:rsidP="001D2EAA">
            <w:pPr>
              <w:jc w:val="center"/>
              <w:rPr>
                <w:rFonts w:ascii="Arial" w:hAnsi="Arial" w:cs="Arial"/>
              </w:rPr>
            </w:pPr>
            <w:r w:rsidRPr="00D972A7">
              <w:rPr>
                <w:rFonts w:ascii="Arial" w:hAnsi="Arial" w:cs="Arial"/>
                <w:sz w:val="20"/>
                <w:szCs w:val="20"/>
              </w:rPr>
              <w:lastRenderedPageBreak/>
              <w:t>YES</w:t>
            </w:r>
          </w:p>
        </w:tc>
        <w:tc>
          <w:tcPr>
            <w:tcW w:w="2268" w:type="dxa"/>
            <w:tcBorders>
              <w:top w:val="nil"/>
              <w:left w:val="nil"/>
              <w:bottom w:val="nil"/>
              <w:right w:val="nil"/>
            </w:tcBorders>
            <w:shd w:val="clear" w:color="auto" w:fill="DAEEF3" w:themeFill="accent5" w:themeFillTint="33"/>
            <w:vAlign w:val="center"/>
          </w:tcPr>
          <w:p w:rsidR="001D2EAA" w:rsidRPr="00D972A7" w:rsidRDefault="001D2EAA" w:rsidP="001D2EAA">
            <w:pPr>
              <w:jc w:val="center"/>
              <w:rPr>
                <w:rFonts w:ascii="Arial" w:hAnsi="Arial" w:cs="Arial"/>
              </w:rPr>
            </w:pPr>
            <w:r w:rsidRPr="00D972A7">
              <w:rPr>
                <w:rFonts w:ascii="Arial" w:hAnsi="Arial" w:cs="Arial"/>
                <w:sz w:val="20"/>
                <w:szCs w:val="20"/>
              </w:rPr>
              <w:t>N/A</w:t>
            </w:r>
          </w:p>
        </w:tc>
        <w:tc>
          <w:tcPr>
            <w:tcW w:w="2126" w:type="dxa"/>
            <w:tcBorders>
              <w:top w:val="nil"/>
              <w:left w:val="nil"/>
              <w:bottom w:val="nil"/>
              <w:right w:val="nil"/>
            </w:tcBorders>
            <w:shd w:val="clear" w:color="auto" w:fill="DAEEF3" w:themeFill="accent5" w:themeFillTint="33"/>
            <w:vAlign w:val="center"/>
          </w:tcPr>
          <w:p w:rsidR="001D2EAA" w:rsidRPr="00D972A7" w:rsidRDefault="001D2EAA" w:rsidP="001D2EAA">
            <w:pPr>
              <w:jc w:val="center"/>
              <w:rPr>
                <w:rFonts w:ascii="Arial" w:hAnsi="Arial" w:cs="Arial"/>
              </w:rPr>
            </w:pPr>
            <w:r w:rsidRPr="00D972A7">
              <w:rPr>
                <w:rFonts w:ascii="Arial" w:hAnsi="Arial" w:cs="Arial"/>
                <w:sz w:val="20"/>
                <w:szCs w:val="20"/>
              </w:rPr>
              <w:t>N/A</w:t>
            </w:r>
          </w:p>
        </w:tc>
      </w:tr>
      <w:tr w:rsidR="001D2EAA" w:rsidRPr="00544356" w:rsidTr="00B34473">
        <w:tc>
          <w:tcPr>
            <w:tcW w:w="3326" w:type="dxa"/>
            <w:tcBorders>
              <w:top w:val="nil"/>
              <w:left w:val="nil"/>
              <w:bottom w:val="nil"/>
              <w:right w:val="nil"/>
            </w:tcBorders>
          </w:tcPr>
          <w:p w:rsidR="001D2EAA" w:rsidRPr="00D972A7" w:rsidRDefault="001D2EAA" w:rsidP="001D2EAA">
            <w:pPr>
              <w:rPr>
                <w:rFonts w:ascii="Arial" w:hAnsi="Arial" w:cs="Arial"/>
                <w:sz w:val="20"/>
                <w:szCs w:val="20"/>
              </w:rPr>
            </w:pPr>
            <w:r w:rsidRPr="00D972A7">
              <w:rPr>
                <w:rFonts w:ascii="Arial" w:hAnsi="Arial" w:cs="Arial"/>
                <w:sz w:val="20"/>
                <w:szCs w:val="20"/>
              </w:rPr>
              <w:lastRenderedPageBreak/>
              <w:t xml:space="preserve">Audit tool for National Falls Audit </w:t>
            </w:r>
            <w:r w:rsidRPr="00D972A7">
              <w:rPr>
                <w:rFonts w:ascii="Arial" w:hAnsi="Arial" w:cs="Arial"/>
                <w:b/>
                <w:sz w:val="20"/>
                <w:szCs w:val="20"/>
              </w:rPr>
              <w:t>– participating at 2 sites in pilot programme</w:t>
            </w:r>
          </w:p>
        </w:tc>
        <w:tc>
          <w:tcPr>
            <w:tcW w:w="1460" w:type="dxa"/>
            <w:tcBorders>
              <w:top w:val="nil"/>
              <w:left w:val="nil"/>
              <w:bottom w:val="nil"/>
              <w:right w:val="nil"/>
            </w:tcBorders>
            <w:vAlign w:val="center"/>
          </w:tcPr>
          <w:p w:rsidR="001D2EAA" w:rsidRPr="00D972A7" w:rsidRDefault="001D2EAA" w:rsidP="001D2EAA">
            <w:pPr>
              <w:jc w:val="center"/>
              <w:rPr>
                <w:rFonts w:ascii="Arial" w:hAnsi="Arial" w:cs="Arial"/>
                <w:sz w:val="20"/>
                <w:szCs w:val="20"/>
              </w:rPr>
            </w:pPr>
            <w:r w:rsidRPr="00D972A7">
              <w:rPr>
                <w:rFonts w:ascii="Arial" w:hAnsi="Arial" w:cs="Arial"/>
                <w:sz w:val="20"/>
                <w:szCs w:val="20"/>
              </w:rPr>
              <w:t>YES</w:t>
            </w:r>
          </w:p>
        </w:tc>
        <w:tc>
          <w:tcPr>
            <w:tcW w:w="2268" w:type="dxa"/>
            <w:tcBorders>
              <w:top w:val="nil"/>
              <w:left w:val="nil"/>
              <w:bottom w:val="nil"/>
              <w:right w:val="nil"/>
            </w:tcBorders>
            <w:vAlign w:val="center"/>
          </w:tcPr>
          <w:p w:rsidR="001D2EAA" w:rsidRPr="00D972A7" w:rsidRDefault="001D2EAA" w:rsidP="001D2EAA">
            <w:pPr>
              <w:jc w:val="center"/>
              <w:rPr>
                <w:rFonts w:ascii="Arial" w:hAnsi="Arial" w:cs="Arial"/>
              </w:rPr>
            </w:pPr>
            <w:r w:rsidRPr="00D972A7">
              <w:rPr>
                <w:rFonts w:ascii="Arial" w:hAnsi="Arial" w:cs="Arial"/>
                <w:sz w:val="20"/>
                <w:szCs w:val="20"/>
              </w:rPr>
              <w:t>N/A</w:t>
            </w:r>
          </w:p>
        </w:tc>
        <w:tc>
          <w:tcPr>
            <w:tcW w:w="2126" w:type="dxa"/>
            <w:tcBorders>
              <w:top w:val="nil"/>
              <w:left w:val="nil"/>
              <w:bottom w:val="nil"/>
              <w:right w:val="nil"/>
            </w:tcBorders>
            <w:vAlign w:val="center"/>
          </w:tcPr>
          <w:p w:rsidR="001D2EAA" w:rsidRPr="00D972A7" w:rsidRDefault="001D2EAA" w:rsidP="001D2EAA">
            <w:pPr>
              <w:jc w:val="center"/>
              <w:rPr>
                <w:rFonts w:ascii="Arial" w:hAnsi="Arial" w:cs="Arial"/>
              </w:rPr>
            </w:pPr>
            <w:r w:rsidRPr="00D972A7">
              <w:rPr>
                <w:rFonts w:ascii="Arial" w:hAnsi="Arial" w:cs="Arial"/>
                <w:sz w:val="20"/>
                <w:szCs w:val="20"/>
              </w:rPr>
              <w:t>N/A</w:t>
            </w:r>
          </w:p>
        </w:tc>
      </w:tr>
    </w:tbl>
    <w:p w:rsidR="0023741E" w:rsidRPr="00544356" w:rsidRDefault="0023741E" w:rsidP="0001725E">
      <w:pPr>
        <w:ind w:left="360"/>
        <w:rPr>
          <w:rFonts w:ascii="Calibri" w:hAnsi="Calibri" w:cs="Arial"/>
        </w:rPr>
      </w:pPr>
    </w:p>
    <w:p w:rsidR="0023741E" w:rsidRPr="00544356" w:rsidRDefault="0023741E" w:rsidP="0001725E">
      <w:pPr>
        <w:rPr>
          <w:rFonts w:ascii="Calibri" w:hAnsi="Calibri" w:cs="Arial"/>
        </w:rPr>
      </w:pPr>
      <w:r w:rsidRPr="00544356">
        <w:rPr>
          <w:rFonts w:ascii="Calibri" w:hAnsi="Calibri" w:cs="Arial"/>
        </w:rPr>
        <w:t xml:space="preserve">The reports of </w:t>
      </w:r>
      <w:r w:rsidR="00A03168">
        <w:rPr>
          <w:rFonts w:ascii="Calibri" w:hAnsi="Calibri" w:cs="Arial"/>
        </w:rPr>
        <w:t>three</w:t>
      </w:r>
      <w:r w:rsidR="00CA3D25" w:rsidRPr="00544356">
        <w:rPr>
          <w:rFonts w:ascii="Calibri" w:hAnsi="Calibri" w:cs="Arial"/>
        </w:rPr>
        <w:t xml:space="preserve"> national clinical audits</w:t>
      </w:r>
      <w:r w:rsidRPr="00544356">
        <w:rPr>
          <w:rFonts w:ascii="Calibri" w:hAnsi="Calibri" w:cs="Arial"/>
        </w:rPr>
        <w:t xml:space="preserve"> were reviewed by the provider in 201</w:t>
      </w:r>
      <w:r w:rsidR="00CA3D25" w:rsidRPr="00544356">
        <w:rPr>
          <w:rFonts w:ascii="Calibri" w:hAnsi="Calibri" w:cs="Arial"/>
        </w:rPr>
        <w:t>1/12</w:t>
      </w:r>
      <w:r w:rsidRPr="00544356">
        <w:rPr>
          <w:rFonts w:ascii="Calibri" w:hAnsi="Calibri" w:cs="Arial"/>
        </w:rPr>
        <w:t xml:space="preserve"> and Oxford Health NHS Foundation Trust intends to take the following actions to improve the quality of healthcare provided (table 2). </w:t>
      </w:r>
      <w:r w:rsidR="00823CFC">
        <w:rPr>
          <w:rFonts w:ascii="Calibri" w:hAnsi="Calibri" w:cs="Arial"/>
        </w:rPr>
        <w:t xml:space="preserve"> Other </w:t>
      </w:r>
      <w:r w:rsidR="00B62D8D">
        <w:rPr>
          <w:rFonts w:ascii="Calibri" w:hAnsi="Calibri" w:cs="Arial"/>
        </w:rPr>
        <w:t>reports have been received and are due to be reviewed.</w:t>
      </w:r>
    </w:p>
    <w:p w:rsidR="0023741E" w:rsidRPr="00544356" w:rsidRDefault="0023741E" w:rsidP="0001725E">
      <w:pPr>
        <w:rPr>
          <w:rFonts w:ascii="Calibri" w:hAnsi="Calibri" w:cs="Arial"/>
        </w:rPr>
      </w:pPr>
    </w:p>
    <w:p w:rsidR="0023741E" w:rsidRPr="00B038C0" w:rsidRDefault="0023741E" w:rsidP="00510151">
      <w:pPr>
        <w:rPr>
          <w:rFonts w:ascii="Calibri" w:hAnsi="Calibri" w:cs="Arial"/>
          <w:b/>
          <w:i/>
          <w:color w:val="0070C0"/>
          <w:u w:val="single"/>
        </w:rPr>
      </w:pPr>
      <w:r w:rsidRPr="00B038C0">
        <w:rPr>
          <w:rFonts w:ascii="Calibri" w:hAnsi="Calibri" w:cs="Arial"/>
          <w:b/>
          <w:i/>
          <w:color w:val="0070C0"/>
          <w:u w:val="single"/>
        </w:rPr>
        <w:t>Table 2</w:t>
      </w:r>
    </w:p>
    <w:tbl>
      <w:tblPr>
        <w:tblW w:w="0" w:type="auto"/>
        <w:tblLook w:val="01E0"/>
      </w:tblPr>
      <w:tblGrid>
        <w:gridCol w:w="4248"/>
        <w:gridCol w:w="4932"/>
      </w:tblGrid>
      <w:tr w:rsidR="0023741E" w:rsidRPr="00544356" w:rsidTr="00B34473">
        <w:trPr>
          <w:tblHeader/>
        </w:trPr>
        <w:tc>
          <w:tcPr>
            <w:tcW w:w="4248" w:type="dxa"/>
            <w:shd w:val="clear" w:color="auto" w:fill="0070C0"/>
          </w:tcPr>
          <w:p w:rsidR="0023741E" w:rsidRPr="00544356" w:rsidRDefault="0023741E" w:rsidP="00691F7F">
            <w:pPr>
              <w:tabs>
                <w:tab w:val="right" w:pos="4032"/>
              </w:tabs>
              <w:rPr>
                <w:rFonts w:ascii="Calibri" w:hAnsi="Calibri" w:cs="Arial"/>
                <w:color w:val="FFFFFF" w:themeColor="background1"/>
              </w:rPr>
            </w:pPr>
            <w:r w:rsidRPr="00544356">
              <w:rPr>
                <w:rFonts w:ascii="Calibri" w:hAnsi="Calibri" w:cs="Arial"/>
                <w:color w:val="FFFFFF" w:themeColor="background1"/>
              </w:rPr>
              <w:t>Title of National Audit</w:t>
            </w:r>
            <w:r w:rsidRPr="00544356">
              <w:rPr>
                <w:rFonts w:ascii="Calibri" w:hAnsi="Calibri" w:cs="Arial"/>
                <w:color w:val="FFFFFF" w:themeColor="background1"/>
              </w:rPr>
              <w:tab/>
            </w:r>
          </w:p>
        </w:tc>
        <w:tc>
          <w:tcPr>
            <w:tcW w:w="4932" w:type="dxa"/>
            <w:shd w:val="clear" w:color="auto" w:fill="0070C0"/>
          </w:tcPr>
          <w:p w:rsidR="0023741E" w:rsidRPr="00544356" w:rsidRDefault="0023741E" w:rsidP="00687819">
            <w:pPr>
              <w:rPr>
                <w:rFonts w:ascii="Calibri" w:hAnsi="Calibri" w:cs="Arial"/>
                <w:color w:val="FFFFFF" w:themeColor="background1"/>
              </w:rPr>
            </w:pPr>
            <w:r w:rsidRPr="00544356">
              <w:rPr>
                <w:rFonts w:ascii="Calibri" w:hAnsi="Calibri" w:cs="Arial"/>
                <w:color w:val="FFFFFF" w:themeColor="background1"/>
              </w:rPr>
              <w:t>Agreed actions to improve the quality of healthcare</w:t>
            </w:r>
          </w:p>
        </w:tc>
      </w:tr>
      <w:tr w:rsidR="001D2EAA" w:rsidRPr="00544356" w:rsidTr="00B34473">
        <w:tc>
          <w:tcPr>
            <w:tcW w:w="4248" w:type="dxa"/>
          </w:tcPr>
          <w:p w:rsidR="001D2EAA" w:rsidRPr="00823CFC" w:rsidRDefault="00A03168" w:rsidP="001D2EAA">
            <w:pPr>
              <w:ind w:left="39"/>
              <w:rPr>
                <w:rFonts w:ascii="Arial" w:hAnsi="Arial" w:cs="Arial"/>
              </w:rPr>
            </w:pPr>
            <w:r w:rsidRPr="00D972A7">
              <w:rPr>
                <w:rFonts w:ascii="Arial" w:hAnsi="Arial" w:cs="Arial"/>
                <w:sz w:val="20"/>
                <w:szCs w:val="20"/>
              </w:rPr>
              <w:t>POMH-UK Topic 6 Assessment of side effects of depot antipsychotic medication</w:t>
            </w:r>
          </w:p>
        </w:tc>
        <w:tc>
          <w:tcPr>
            <w:tcW w:w="4932" w:type="dxa"/>
          </w:tcPr>
          <w:p w:rsidR="001D2EAA" w:rsidRPr="00823CFC" w:rsidRDefault="00A03168" w:rsidP="00AE6CD0">
            <w:pPr>
              <w:pStyle w:val="ListParagraph"/>
              <w:numPr>
                <w:ilvl w:val="0"/>
                <w:numId w:val="24"/>
              </w:numPr>
              <w:ind w:left="318" w:hanging="284"/>
              <w:rPr>
                <w:rFonts w:ascii="Arial" w:hAnsi="Arial" w:cs="Arial"/>
                <w:sz w:val="20"/>
                <w:szCs w:val="20"/>
              </w:rPr>
            </w:pPr>
            <w:r w:rsidRPr="00B62D8D">
              <w:rPr>
                <w:rFonts w:ascii="Calibri" w:hAnsi="Calibri" w:cs="Arial"/>
                <w:highlight w:val="yellow"/>
              </w:rPr>
              <w:t>TBA</w:t>
            </w:r>
          </w:p>
        </w:tc>
      </w:tr>
      <w:tr w:rsidR="00A03168" w:rsidRPr="00544356" w:rsidTr="00B34473">
        <w:tc>
          <w:tcPr>
            <w:tcW w:w="4248" w:type="dxa"/>
            <w:shd w:val="clear" w:color="auto" w:fill="DAEEF3" w:themeFill="accent5" w:themeFillTint="33"/>
          </w:tcPr>
          <w:p w:rsidR="00A03168" w:rsidRPr="00823CFC" w:rsidRDefault="00A03168" w:rsidP="00A03168">
            <w:pPr>
              <w:ind w:left="39"/>
              <w:rPr>
                <w:rFonts w:ascii="Arial" w:hAnsi="Arial" w:cs="Arial"/>
              </w:rPr>
            </w:pPr>
            <w:r w:rsidRPr="00823CFC">
              <w:rPr>
                <w:rFonts w:ascii="Arial" w:hAnsi="Arial" w:cs="Arial"/>
                <w:sz w:val="20"/>
                <w:szCs w:val="20"/>
              </w:rPr>
              <w:t>POMH-UK Topic 11 Dementia</w:t>
            </w:r>
          </w:p>
        </w:tc>
        <w:tc>
          <w:tcPr>
            <w:tcW w:w="4932" w:type="dxa"/>
            <w:shd w:val="clear" w:color="auto" w:fill="DAEEF3" w:themeFill="accent5" w:themeFillTint="33"/>
          </w:tcPr>
          <w:p w:rsidR="00A03168" w:rsidRPr="00823CFC" w:rsidRDefault="00A03168" w:rsidP="00A03168">
            <w:pPr>
              <w:pStyle w:val="ListParagraph"/>
              <w:numPr>
                <w:ilvl w:val="0"/>
                <w:numId w:val="24"/>
              </w:numPr>
              <w:ind w:left="318" w:hanging="284"/>
              <w:rPr>
                <w:rFonts w:ascii="Arial" w:hAnsi="Arial" w:cs="Arial"/>
                <w:sz w:val="20"/>
                <w:szCs w:val="20"/>
              </w:rPr>
            </w:pPr>
            <w:r w:rsidRPr="00823CFC">
              <w:rPr>
                <w:rFonts w:ascii="Arial" w:hAnsi="Arial" w:cs="Arial"/>
                <w:sz w:val="20"/>
                <w:szCs w:val="20"/>
              </w:rPr>
              <w:t>Guidelines for managing BPSD to be drawn up</w:t>
            </w:r>
          </w:p>
          <w:p w:rsidR="00A03168" w:rsidRPr="00823CFC" w:rsidRDefault="00A03168" w:rsidP="00A03168">
            <w:pPr>
              <w:pStyle w:val="ListParagraph"/>
              <w:numPr>
                <w:ilvl w:val="0"/>
                <w:numId w:val="24"/>
              </w:numPr>
              <w:ind w:left="318" w:hanging="284"/>
              <w:rPr>
                <w:rFonts w:ascii="Arial" w:hAnsi="Arial" w:cs="Arial"/>
                <w:sz w:val="20"/>
                <w:szCs w:val="20"/>
              </w:rPr>
            </w:pPr>
            <w:r w:rsidRPr="00823CFC">
              <w:rPr>
                <w:rFonts w:ascii="Arial" w:hAnsi="Arial" w:cs="Arial"/>
                <w:sz w:val="20"/>
                <w:szCs w:val="20"/>
              </w:rPr>
              <w:t>Better liaison between GP &amp; secondary care</w:t>
            </w:r>
          </w:p>
          <w:p w:rsidR="00A03168" w:rsidRPr="00823CFC" w:rsidRDefault="00A03168" w:rsidP="00A03168">
            <w:pPr>
              <w:pStyle w:val="ListParagraph"/>
              <w:numPr>
                <w:ilvl w:val="0"/>
                <w:numId w:val="24"/>
              </w:numPr>
              <w:ind w:left="318" w:hanging="284"/>
              <w:rPr>
                <w:rFonts w:ascii="Arial" w:hAnsi="Arial" w:cs="Arial"/>
                <w:sz w:val="20"/>
                <w:szCs w:val="20"/>
              </w:rPr>
            </w:pPr>
            <w:r w:rsidRPr="00823CFC">
              <w:rPr>
                <w:rFonts w:ascii="Arial" w:hAnsi="Arial" w:cs="Arial"/>
                <w:sz w:val="20"/>
                <w:szCs w:val="20"/>
              </w:rPr>
              <w:t>Develop forms to be used before prescribing antipsychotics</w:t>
            </w:r>
          </w:p>
        </w:tc>
      </w:tr>
      <w:tr w:rsidR="00A03168" w:rsidRPr="00544356" w:rsidTr="00B34473">
        <w:tc>
          <w:tcPr>
            <w:tcW w:w="4248" w:type="dxa"/>
          </w:tcPr>
          <w:p w:rsidR="00A03168" w:rsidRPr="00823CFC" w:rsidRDefault="00A03168" w:rsidP="00687819">
            <w:pPr>
              <w:rPr>
                <w:rFonts w:ascii="Calibri" w:hAnsi="Calibri" w:cs="Arial"/>
              </w:rPr>
            </w:pPr>
            <w:r w:rsidRPr="00D972A7">
              <w:rPr>
                <w:rFonts w:ascii="Arial" w:hAnsi="Arial" w:cs="Arial"/>
                <w:sz w:val="20"/>
                <w:szCs w:val="20"/>
              </w:rPr>
              <w:t>Infection Control Progra</w:t>
            </w:r>
            <w:r>
              <w:rPr>
                <w:rFonts w:ascii="Arial" w:hAnsi="Arial" w:cs="Arial"/>
                <w:sz w:val="20"/>
                <w:szCs w:val="20"/>
              </w:rPr>
              <w:t>mme</w:t>
            </w:r>
          </w:p>
        </w:tc>
        <w:tc>
          <w:tcPr>
            <w:tcW w:w="4932" w:type="dxa"/>
          </w:tcPr>
          <w:p w:rsidR="00A03168" w:rsidRPr="00A03168" w:rsidRDefault="00A03168" w:rsidP="00A03168">
            <w:pPr>
              <w:pStyle w:val="ListParagraph"/>
              <w:numPr>
                <w:ilvl w:val="0"/>
                <w:numId w:val="24"/>
              </w:numPr>
              <w:ind w:left="318" w:hanging="284"/>
              <w:rPr>
                <w:rFonts w:ascii="Calibri" w:hAnsi="Calibri"/>
              </w:rPr>
            </w:pPr>
            <w:r w:rsidRPr="00A03168">
              <w:rPr>
                <w:rFonts w:ascii="Calibri" w:hAnsi="Calibri" w:cs="Arial"/>
                <w:highlight w:val="yellow"/>
              </w:rPr>
              <w:t>TBA</w:t>
            </w:r>
          </w:p>
        </w:tc>
      </w:tr>
    </w:tbl>
    <w:p w:rsidR="00C74455" w:rsidRPr="00544356" w:rsidRDefault="00C74455" w:rsidP="0001725E">
      <w:pPr>
        <w:rPr>
          <w:rFonts w:ascii="Calibri" w:hAnsi="Calibri" w:cs="Arial"/>
        </w:rPr>
      </w:pPr>
    </w:p>
    <w:p w:rsidR="0023741E" w:rsidRPr="00544356" w:rsidRDefault="0023741E" w:rsidP="0001725E">
      <w:pPr>
        <w:rPr>
          <w:rFonts w:ascii="Calibri" w:hAnsi="Calibri" w:cs="Arial"/>
        </w:rPr>
      </w:pPr>
      <w:r w:rsidRPr="00544356">
        <w:rPr>
          <w:rFonts w:ascii="Calibri" w:hAnsi="Calibri" w:cs="Arial"/>
        </w:rPr>
        <w:t xml:space="preserve">The reports of </w:t>
      </w:r>
      <w:r w:rsidR="00CF0B6C">
        <w:rPr>
          <w:rFonts w:ascii="Calibri" w:hAnsi="Calibri" w:cs="Arial"/>
        </w:rPr>
        <w:t>21</w:t>
      </w:r>
      <w:r w:rsidR="00CF0B6C" w:rsidRPr="00544356">
        <w:rPr>
          <w:rFonts w:ascii="Calibri" w:hAnsi="Calibri" w:cs="Arial"/>
        </w:rPr>
        <w:t xml:space="preserve"> </w:t>
      </w:r>
      <w:r w:rsidRPr="00544356">
        <w:rPr>
          <w:rFonts w:ascii="Calibri" w:hAnsi="Calibri" w:cs="Arial"/>
        </w:rPr>
        <w:t>local clinical audits were reviewed by the provider in 201</w:t>
      </w:r>
      <w:r w:rsidR="00CA3D25" w:rsidRPr="00544356">
        <w:rPr>
          <w:rFonts w:ascii="Calibri" w:hAnsi="Calibri" w:cs="Arial"/>
        </w:rPr>
        <w:t>1/12</w:t>
      </w:r>
      <w:r w:rsidRPr="00544356">
        <w:rPr>
          <w:rFonts w:ascii="Calibri" w:hAnsi="Calibri" w:cs="Arial"/>
        </w:rPr>
        <w:t xml:space="preserve"> and Oxford Health NHS Foundation Trust intends to take actions to improve the quality of healthcare provided as identified in Annex 3.</w:t>
      </w:r>
      <w:r w:rsidR="00CF0B6C">
        <w:rPr>
          <w:rFonts w:ascii="Calibri" w:hAnsi="Calibri" w:cs="Arial"/>
        </w:rPr>
        <w:t xml:space="preserve">  Another 14 local clinical audits were undertaken and </w:t>
      </w:r>
      <w:r w:rsidR="00660876">
        <w:rPr>
          <w:rFonts w:ascii="Calibri" w:hAnsi="Calibri" w:cs="Arial"/>
        </w:rPr>
        <w:t>will be reported in the first quarter of 2012/13,</w:t>
      </w:r>
    </w:p>
    <w:p w:rsidR="0055289C" w:rsidRDefault="0055289C" w:rsidP="0055289C">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55289C" w:rsidTr="0055289C">
        <w:tc>
          <w:tcPr>
            <w:tcW w:w="9689" w:type="dxa"/>
            <w:shd w:val="clear" w:color="auto" w:fill="0070C0"/>
          </w:tcPr>
          <w:p w:rsidR="0055289C" w:rsidRPr="004A026F" w:rsidRDefault="0055289C" w:rsidP="0055289C">
            <w:pPr>
              <w:pStyle w:val="Heading2"/>
            </w:pPr>
            <w:bookmarkStart w:id="10" w:name="_Toc323283992"/>
            <w:r w:rsidRPr="004A026F">
              <w:t xml:space="preserve">Participation in Clinical </w:t>
            </w:r>
            <w:r>
              <w:t>Research</w:t>
            </w:r>
            <w:bookmarkEnd w:id="10"/>
          </w:p>
        </w:tc>
      </w:tr>
    </w:tbl>
    <w:p w:rsidR="0055289C" w:rsidRDefault="0055289C" w:rsidP="0055289C">
      <w:pPr>
        <w:rPr>
          <w:rFonts w:ascii="Calibri" w:hAnsi="Calibri" w:cs="Arial"/>
          <w:b/>
          <w:sz w:val="22"/>
          <w:szCs w:val="22"/>
          <w:u w:val="single"/>
        </w:rPr>
      </w:pPr>
    </w:p>
    <w:p w:rsidR="004450CE" w:rsidRDefault="0023741E" w:rsidP="0055289C">
      <w:pPr>
        <w:rPr>
          <w:rFonts w:ascii="Calibri" w:hAnsi="Calibri" w:cs="Arial"/>
          <w:b/>
          <w:sz w:val="22"/>
          <w:szCs w:val="22"/>
          <w:u w:val="single"/>
        </w:rPr>
      </w:pPr>
      <w:r w:rsidRPr="00544356">
        <w:rPr>
          <w:rFonts w:ascii="Calibri" w:hAnsi="Calibri" w:cs="Arial"/>
        </w:rPr>
        <w:t xml:space="preserve">The number of patients receiving NHS services provided or sub-contracted by </w:t>
      </w:r>
      <w:r w:rsidR="00CA3D25" w:rsidRPr="00544356">
        <w:rPr>
          <w:rFonts w:ascii="Calibri" w:hAnsi="Calibri" w:cs="Arial"/>
        </w:rPr>
        <w:t>Oxford Health NHS Foundation Trust</w:t>
      </w:r>
      <w:r w:rsidRPr="00544356">
        <w:rPr>
          <w:rFonts w:ascii="Calibri" w:hAnsi="Calibri" w:cs="Arial"/>
        </w:rPr>
        <w:t xml:space="preserve"> that were recruited during that period to participate in research approved by a research ethics committee </w:t>
      </w:r>
      <w:r w:rsidRPr="001A0AAE">
        <w:rPr>
          <w:rFonts w:ascii="Calibri" w:hAnsi="Calibri" w:cs="Arial"/>
        </w:rPr>
        <w:t xml:space="preserve">was </w:t>
      </w:r>
      <w:r w:rsidR="002B6AFF">
        <w:rPr>
          <w:rFonts w:ascii="Lucida Sans Unicode" w:hAnsi="Lucida Sans Unicode" w:cs="Lucida Sans Unicode"/>
          <w:sz w:val="20"/>
          <w:szCs w:val="20"/>
        </w:rPr>
        <w:t>2,316</w:t>
      </w:r>
      <w:r w:rsidR="004450CE" w:rsidRPr="001A0AAE">
        <w:rPr>
          <w:rFonts w:ascii="Lucida Sans Unicode" w:hAnsi="Lucida Sans Unicode" w:cs="Lucida Sans Unicode"/>
          <w:sz w:val="20"/>
          <w:szCs w:val="20"/>
        </w:rPr>
        <w:t>.  This is a provisional figure and is likely to increase by around 120 once the final figures are received</w:t>
      </w:r>
    </w:p>
    <w:p w:rsidR="001A0AAE" w:rsidRDefault="001A0AAE" w:rsidP="0055289C">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55289C" w:rsidTr="0055289C">
        <w:tc>
          <w:tcPr>
            <w:tcW w:w="9689" w:type="dxa"/>
            <w:shd w:val="clear" w:color="auto" w:fill="0070C0"/>
          </w:tcPr>
          <w:p w:rsidR="0055289C" w:rsidRPr="004A026F" w:rsidRDefault="0055289C" w:rsidP="0055289C">
            <w:pPr>
              <w:pStyle w:val="Heading2"/>
            </w:pPr>
            <w:bookmarkStart w:id="11" w:name="_Toc323283993"/>
            <w:r>
              <w:t>Use of the CQUIN payment framework</w:t>
            </w:r>
            <w:bookmarkEnd w:id="11"/>
          </w:p>
        </w:tc>
      </w:tr>
    </w:tbl>
    <w:p w:rsidR="0055289C" w:rsidRDefault="0055289C" w:rsidP="0055289C">
      <w:pPr>
        <w:rPr>
          <w:rFonts w:ascii="Calibri" w:hAnsi="Calibri" w:cs="Arial"/>
          <w:b/>
          <w:sz w:val="22"/>
          <w:szCs w:val="22"/>
          <w:u w:val="single"/>
        </w:rPr>
      </w:pPr>
    </w:p>
    <w:p w:rsidR="0023741E" w:rsidRDefault="0023741E" w:rsidP="0001725E">
      <w:pPr>
        <w:rPr>
          <w:rFonts w:ascii="Calibri" w:hAnsi="Calibri" w:cs="Arial"/>
        </w:rPr>
      </w:pPr>
      <w:r w:rsidRPr="00544356">
        <w:rPr>
          <w:rFonts w:ascii="Calibri" w:hAnsi="Calibri" w:cs="Arial"/>
        </w:rPr>
        <w:t>A proportion of Oxford Health NHS Foundation Trust’s income in 201</w:t>
      </w:r>
      <w:r w:rsidR="00CF6D67" w:rsidRPr="00544356">
        <w:rPr>
          <w:rFonts w:ascii="Calibri" w:hAnsi="Calibri" w:cs="Arial"/>
        </w:rPr>
        <w:t>1/12</w:t>
      </w:r>
      <w:r w:rsidRPr="00544356">
        <w:rPr>
          <w:rFonts w:ascii="Calibri" w:hAnsi="Calibri" w:cs="Arial"/>
        </w:rPr>
        <w:t xml:space="preserve"> was conditional on achieving quality improvement and innovation goals (CQUIN) agreed between Oxford Health NHS Foundation Trust and any person or body they entered into a contract, agreement or arrangement with for the provision of NHS services, through the Commissioning for Quality and Innovation payment framework.</w:t>
      </w:r>
      <w:r w:rsidR="00CF6D67" w:rsidRPr="00544356">
        <w:rPr>
          <w:rFonts w:ascii="Calibri" w:hAnsi="Calibri" w:cs="Arial"/>
        </w:rPr>
        <w:t xml:space="preserve">  Further details of the agreed goals for 2011/12 and for the following 12 month period are available online at:</w:t>
      </w:r>
    </w:p>
    <w:p w:rsidR="009E75DA" w:rsidRPr="00544356" w:rsidRDefault="009E75DA" w:rsidP="0001725E">
      <w:pPr>
        <w:rPr>
          <w:rFonts w:ascii="Calibri" w:hAnsi="Calibri" w:cs="Arial"/>
        </w:rPr>
      </w:pPr>
    </w:p>
    <w:p w:rsidR="00CF6D67" w:rsidRPr="00544356" w:rsidRDefault="001E1073" w:rsidP="0001725E">
      <w:pPr>
        <w:rPr>
          <w:rFonts w:ascii="Calibri" w:hAnsi="Calibri" w:cs="Arial"/>
        </w:rPr>
      </w:pPr>
      <w:hyperlink r:id="rId15" w:history="1">
        <w:r w:rsidR="00CF6D67" w:rsidRPr="00544356">
          <w:rPr>
            <w:rStyle w:val="Hyperlink"/>
            <w:i/>
            <w:iCs/>
          </w:rPr>
          <w:t>http://www.monitor-nhsft.gov.uk/sites/all/modules/fckeditor/plugins/ktbrowser/_openTKFile.php?id=3275</w:t>
        </w:r>
      </w:hyperlink>
      <w:r w:rsidR="00CF6D67" w:rsidRPr="00544356">
        <w:rPr>
          <w:i/>
          <w:iCs/>
        </w:rPr>
        <w:t xml:space="preserve"> </w:t>
      </w:r>
    </w:p>
    <w:p w:rsidR="0023741E" w:rsidRPr="00544356" w:rsidRDefault="0023741E" w:rsidP="0001725E">
      <w:pPr>
        <w:rPr>
          <w:rFonts w:ascii="Calibri" w:hAnsi="Calibri" w:cs="Arial"/>
        </w:rPr>
      </w:pPr>
    </w:p>
    <w:p w:rsidR="00ED063D" w:rsidRDefault="0010684D" w:rsidP="0001725E">
      <w:pPr>
        <w:rPr>
          <w:rFonts w:ascii="Calibri" w:hAnsi="Calibri" w:cs="Arial"/>
        </w:rPr>
      </w:pPr>
      <w:r>
        <w:rPr>
          <w:rFonts w:ascii="Calibri" w:hAnsi="Calibri" w:cs="Arial"/>
        </w:rPr>
        <w:lastRenderedPageBreak/>
        <w:t>There</w:t>
      </w:r>
      <w:r w:rsidR="0023741E" w:rsidRPr="0010684D">
        <w:rPr>
          <w:rFonts w:ascii="Calibri" w:hAnsi="Calibri" w:cs="Arial"/>
        </w:rPr>
        <w:t xml:space="preserve"> were </w:t>
      </w:r>
      <w:r w:rsidR="00326990">
        <w:rPr>
          <w:rFonts w:ascii="Calibri" w:hAnsi="Calibri" w:cs="Arial"/>
        </w:rPr>
        <w:t>six</w:t>
      </w:r>
      <w:r w:rsidR="0023741E" w:rsidRPr="0010684D">
        <w:rPr>
          <w:rFonts w:ascii="Calibri" w:hAnsi="Calibri" w:cs="Arial"/>
        </w:rPr>
        <w:t xml:space="preserve"> separate CQUIN schemes agreed with our commissioners for 201</w:t>
      </w:r>
      <w:r>
        <w:rPr>
          <w:rFonts w:ascii="Calibri" w:hAnsi="Calibri" w:cs="Arial"/>
        </w:rPr>
        <w:t>1/12</w:t>
      </w:r>
      <w:r w:rsidR="00ED063D" w:rsidRPr="0010684D">
        <w:rPr>
          <w:rFonts w:ascii="Calibri" w:hAnsi="Calibri" w:cs="Arial"/>
        </w:rPr>
        <w:t>:</w:t>
      </w:r>
    </w:p>
    <w:p w:rsidR="0010684D" w:rsidRPr="0010684D" w:rsidRDefault="0010684D" w:rsidP="0001725E">
      <w:pPr>
        <w:rPr>
          <w:rFonts w:ascii="Calibri" w:hAnsi="Calibri" w:cs="Arial"/>
        </w:rPr>
      </w:pPr>
    </w:p>
    <w:p w:rsidR="00ED063D" w:rsidRPr="00ED063D" w:rsidRDefault="00ED063D" w:rsidP="0010684D">
      <w:pPr>
        <w:pStyle w:val="ListParagraph"/>
        <w:numPr>
          <w:ilvl w:val="0"/>
          <w:numId w:val="29"/>
        </w:numPr>
        <w:ind w:left="714" w:hanging="357"/>
        <w:rPr>
          <w:rFonts w:asciiTheme="minorHAnsi" w:hAnsiTheme="minorHAnsi" w:cs="Arial"/>
        </w:rPr>
      </w:pPr>
      <w:r w:rsidRPr="00ED063D">
        <w:rPr>
          <w:rFonts w:asciiTheme="minorHAnsi" w:hAnsiTheme="minorHAnsi"/>
        </w:rPr>
        <w:t>Oxfordshire and Buckinghamshire Adult and Older Adult Services</w:t>
      </w:r>
    </w:p>
    <w:p w:rsidR="0010684D" w:rsidRPr="00ED063D" w:rsidRDefault="0010684D" w:rsidP="0010684D">
      <w:pPr>
        <w:pStyle w:val="Heading4"/>
        <w:numPr>
          <w:ilvl w:val="0"/>
          <w:numId w:val="29"/>
        </w:numPr>
        <w:spacing w:before="0"/>
        <w:ind w:left="714" w:hanging="357"/>
        <w:rPr>
          <w:rFonts w:asciiTheme="minorHAnsi" w:hAnsiTheme="minorHAnsi"/>
          <w:b w:val="0"/>
          <w:i w:val="0"/>
          <w:color w:val="auto"/>
          <w:u w:val="single"/>
        </w:rPr>
      </w:pPr>
      <w:bookmarkStart w:id="12" w:name="_Toc294256843"/>
      <w:r w:rsidRPr="00ED063D">
        <w:rPr>
          <w:rFonts w:asciiTheme="minorHAnsi" w:hAnsiTheme="minorHAnsi"/>
          <w:b w:val="0"/>
          <w:i w:val="0"/>
          <w:color w:val="auto"/>
        </w:rPr>
        <w:t>Forensic (Specialist Commissioning Group)</w:t>
      </w:r>
      <w:bookmarkEnd w:id="12"/>
    </w:p>
    <w:p w:rsidR="0010684D" w:rsidRPr="00ED063D" w:rsidRDefault="0010684D" w:rsidP="0010684D">
      <w:pPr>
        <w:pStyle w:val="Heading4"/>
        <w:numPr>
          <w:ilvl w:val="0"/>
          <w:numId w:val="29"/>
        </w:numPr>
        <w:spacing w:before="0"/>
        <w:ind w:left="714" w:hanging="357"/>
        <w:rPr>
          <w:rFonts w:asciiTheme="minorHAnsi" w:hAnsiTheme="minorHAnsi"/>
          <w:b w:val="0"/>
          <w:i w:val="0"/>
          <w:color w:val="auto"/>
        </w:rPr>
      </w:pPr>
      <w:r w:rsidRPr="00ED063D">
        <w:rPr>
          <w:rFonts w:asciiTheme="minorHAnsi" w:hAnsiTheme="minorHAnsi"/>
          <w:b w:val="0"/>
          <w:i w:val="0"/>
          <w:color w:val="auto"/>
        </w:rPr>
        <w:t xml:space="preserve">Wiltshire and </w:t>
      </w:r>
      <w:proofErr w:type="spellStart"/>
      <w:r w:rsidRPr="00ED063D">
        <w:rPr>
          <w:rFonts w:asciiTheme="minorHAnsi" w:hAnsiTheme="minorHAnsi"/>
          <w:b w:val="0"/>
          <w:i w:val="0"/>
          <w:color w:val="auto"/>
        </w:rPr>
        <w:t>BaNES</w:t>
      </w:r>
      <w:proofErr w:type="spellEnd"/>
      <w:r w:rsidRPr="00ED063D">
        <w:rPr>
          <w:rFonts w:asciiTheme="minorHAnsi" w:hAnsiTheme="minorHAnsi"/>
          <w:b w:val="0"/>
          <w:i w:val="0"/>
          <w:color w:val="auto"/>
        </w:rPr>
        <w:t xml:space="preserve"> CAMHS </w:t>
      </w:r>
    </w:p>
    <w:p w:rsidR="00326990" w:rsidRDefault="0010684D" w:rsidP="0010684D">
      <w:pPr>
        <w:pStyle w:val="Heading4"/>
        <w:numPr>
          <w:ilvl w:val="0"/>
          <w:numId w:val="29"/>
        </w:numPr>
        <w:spacing w:before="0"/>
        <w:ind w:left="714" w:hanging="357"/>
        <w:rPr>
          <w:rFonts w:asciiTheme="minorHAnsi" w:hAnsiTheme="minorHAnsi"/>
          <w:b w:val="0"/>
          <w:i w:val="0"/>
          <w:color w:val="auto"/>
        </w:rPr>
      </w:pPr>
      <w:bookmarkStart w:id="13" w:name="_Toc294256842"/>
      <w:r w:rsidRPr="00ED063D">
        <w:rPr>
          <w:rFonts w:asciiTheme="minorHAnsi" w:hAnsiTheme="minorHAnsi"/>
          <w:b w:val="0"/>
          <w:i w:val="0"/>
          <w:color w:val="auto"/>
        </w:rPr>
        <w:t>Swindon CAMHS</w:t>
      </w:r>
    </w:p>
    <w:p w:rsidR="00326990" w:rsidRDefault="00326990" w:rsidP="0010684D">
      <w:pPr>
        <w:pStyle w:val="Heading4"/>
        <w:numPr>
          <w:ilvl w:val="0"/>
          <w:numId w:val="29"/>
        </w:numPr>
        <w:spacing w:before="0"/>
        <w:ind w:left="714" w:hanging="357"/>
        <w:rPr>
          <w:rFonts w:asciiTheme="minorHAnsi" w:hAnsiTheme="minorHAnsi"/>
          <w:b w:val="0"/>
          <w:i w:val="0"/>
          <w:color w:val="auto"/>
        </w:rPr>
      </w:pPr>
      <w:r>
        <w:rPr>
          <w:rFonts w:asciiTheme="minorHAnsi" w:hAnsiTheme="minorHAnsi"/>
          <w:b w:val="0"/>
          <w:i w:val="0"/>
          <w:color w:val="auto"/>
        </w:rPr>
        <w:t>East of England</w:t>
      </w:r>
    </w:p>
    <w:p w:rsidR="0010684D" w:rsidRDefault="00326990" w:rsidP="0010684D">
      <w:pPr>
        <w:pStyle w:val="Heading4"/>
        <w:numPr>
          <w:ilvl w:val="0"/>
          <w:numId w:val="29"/>
        </w:numPr>
        <w:spacing w:before="0"/>
        <w:ind w:left="714" w:hanging="357"/>
        <w:rPr>
          <w:rFonts w:asciiTheme="minorHAnsi" w:hAnsiTheme="minorHAnsi"/>
          <w:b w:val="0"/>
          <w:i w:val="0"/>
          <w:color w:val="auto"/>
        </w:rPr>
      </w:pPr>
      <w:r>
        <w:rPr>
          <w:rFonts w:asciiTheme="minorHAnsi" w:hAnsiTheme="minorHAnsi"/>
          <w:b w:val="0"/>
          <w:i w:val="0"/>
          <w:color w:val="auto"/>
        </w:rPr>
        <w:t>Oxford Community Services</w:t>
      </w:r>
      <w:r w:rsidR="0010684D" w:rsidRPr="00ED063D">
        <w:rPr>
          <w:rFonts w:asciiTheme="minorHAnsi" w:hAnsiTheme="minorHAnsi"/>
          <w:b w:val="0"/>
          <w:i w:val="0"/>
          <w:color w:val="auto"/>
        </w:rPr>
        <w:t xml:space="preserve"> </w:t>
      </w:r>
    </w:p>
    <w:p w:rsidR="00326990" w:rsidRPr="00326990" w:rsidRDefault="00326990" w:rsidP="00326990"/>
    <w:p w:rsidR="0010684D" w:rsidRPr="0010684D" w:rsidRDefault="0010684D" w:rsidP="0010684D"/>
    <w:bookmarkEnd w:id="13"/>
    <w:p w:rsidR="0023741E" w:rsidRPr="0010684D" w:rsidRDefault="0023741E" w:rsidP="0001725E">
      <w:pPr>
        <w:rPr>
          <w:rFonts w:ascii="Calibri" w:hAnsi="Calibri" w:cs="Arial"/>
        </w:rPr>
      </w:pPr>
      <w:r w:rsidRPr="0010684D">
        <w:rPr>
          <w:rFonts w:ascii="Calibri" w:hAnsi="Calibri" w:cs="Arial"/>
        </w:rPr>
        <w:t xml:space="preserve">Details of these CQUIN goals together with our attainment levels are </w:t>
      </w:r>
      <w:r w:rsidR="00ED063D" w:rsidRPr="0010684D">
        <w:rPr>
          <w:rFonts w:ascii="Calibri" w:hAnsi="Calibri" w:cs="Arial"/>
        </w:rPr>
        <w:t>shown in Annex 4</w:t>
      </w:r>
      <w:r w:rsidRPr="0010684D">
        <w:rPr>
          <w:rFonts w:ascii="Calibri" w:hAnsi="Calibri" w:cs="Arial"/>
        </w:rPr>
        <w:t>:</w:t>
      </w:r>
    </w:p>
    <w:p w:rsidR="0023741E" w:rsidRPr="0010684D" w:rsidRDefault="0023741E" w:rsidP="0001725E">
      <w:pPr>
        <w:rPr>
          <w:rFonts w:ascii="Calibri" w:hAnsi="Calibri" w:cs="Arial"/>
        </w:rPr>
      </w:pPr>
    </w:p>
    <w:p w:rsidR="0023741E" w:rsidRPr="0010684D" w:rsidRDefault="0023741E" w:rsidP="0001725E">
      <w:pPr>
        <w:rPr>
          <w:rFonts w:ascii="Calibri" w:hAnsi="Calibri" w:cs="Arial"/>
        </w:rPr>
      </w:pPr>
      <w:r w:rsidRPr="0010684D">
        <w:rPr>
          <w:rFonts w:ascii="Calibri" w:hAnsi="Calibri" w:cs="Arial"/>
        </w:rPr>
        <w:t>Updates on progress against each goal are reported in the Quality Report presented to the Board of Directors quarterly and available on the Trust Website.</w:t>
      </w:r>
    </w:p>
    <w:p w:rsidR="0023741E" w:rsidRPr="00544356" w:rsidRDefault="0023741E" w:rsidP="0001725E">
      <w:pPr>
        <w:autoSpaceDE w:val="0"/>
        <w:autoSpaceDN w:val="0"/>
        <w:adjustRightInd w:val="0"/>
        <w:rPr>
          <w:rFonts w:ascii="Calibri" w:hAnsi="Calibri" w:cs="Arial"/>
          <w:i/>
          <w:iCs/>
          <w:color w:val="0070C0"/>
        </w:rPr>
      </w:pPr>
    </w:p>
    <w:p w:rsidR="0023741E" w:rsidRPr="00544356" w:rsidRDefault="0023741E" w:rsidP="00510151">
      <w:pPr>
        <w:autoSpaceDE w:val="0"/>
        <w:autoSpaceDN w:val="0"/>
        <w:adjustRightInd w:val="0"/>
        <w:rPr>
          <w:rFonts w:ascii="Calibri" w:hAnsi="Calibri" w:cs="Arial"/>
          <w:b/>
          <w:i/>
          <w:iCs/>
          <w:color w:val="0070C0"/>
          <w:u w:val="single"/>
        </w:rPr>
      </w:pPr>
      <w:r w:rsidRPr="00544356">
        <w:rPr>
          <w:rFonts w:ascii="Calibri" w:hAnsi="Calibri" w:cs="Arial"/>
          <w:b/>
          <w:i/>
          <w:iCs/>
          <w:color w:val="0070C0"/>
          <w:u w:val="single"/>
        </w:rPr>
        <w:t xml:space="preserve">Table </w:t>
      </w:r>
      <w:r w:rsidR="00613E68">
        <w:rPr>
          <w:rFonts w:ascii="Calibri" w:hAnsi="Calibri" w:cs="Arial"/>
          <w:b/>
          <w:i/>
          <w:iCs/>
          <w:color w:val="0070C0"/>
          <w:u w:val="single"/>
        </w:rPr>
        <w:t>3</w:t>
      </w:r>
      <w:r w:rsidRPr="00544356">
        <w:rPr>
          <w:rFonts w:ascii="Calibri" w:hAnsi="Calibri" w:cs="Arial"/>
          <w:b/>
          <w:i/>
          <w:iCs/>
          <w:color w:val="0070C0"/>
          <w:u w:val="single"/>
        </w:rPr>
        <w:t xml:space="preserve"> Income from CQUINs 201</w:t>
      </w:r>
      <w:r w:rsidR="006A1008">
        <w:rPr>
          <w:rFonts w:ascii="Calibri" w:hAnsi="Calibri" w:cs="Arial"/>
          <w:b/>
          <w:i/>
          <w:iCs/>
          <w:color w:val="0070C0"/>
          <w:u w:val="single"/>
        </w:rPr>
        <w:t>1</w:t>
      </w:r>
      <w:r w:rsidRPr="00544356">
        <w:rPr>
          <w:rFonts w:ascii="Calibri" w:hAnsi="Calibri" w:cs="Arial"/>
          <w:b/>
          <w:i/>
          <w:iCs/>
          <w:color w:val="0070C0"/>
          <w:u w:val="single"/>
        </w:rPr>
        <w:t>-201</w:t>
      </w:r>
      <w:r w:rsidR="006A1008">
        <w:rPr>
          <w:rFonts w:ascii="Calibri" w:hAnsi="Calibri" w:cs="Arial"/>
          <w:b/>
          <w:i/>
          <w:iCs/>
          <w:color w:val="0070C0"/>
          <w:u w:val="single"/>
        </w:rPr>
        <w:t>2</w:t>
      </w:r>
    </w:p>
    <w:p w:rsidR="0023741E" w:rsidRPr="00544356" w:rsidRDefault="0023741E" w:rsidP="0001725E">
      <w:pPr>
        <w:autoSpaceDE w:val="0"/>
        <w:autoSpaceDN w:val="0"/>
        <w:adjustRightInd w:val="0"/>
        <w:rPr>
          <w:rFonts w:ascii="Calibri" w:hAnsi="Calibri" w:cs="Arial"/>
          <w:b/>
          <w:i/>
          <w:iCs/>
          <w:color w:val="0070C0"/>
          <w:sz w:val="20"/>
          <w:szCs w:val="20"/>
          <w:u w:val="single"/>
        </w:rPr>
      </w:pPr>
    </w:p>
    <w:tbl>
      <w:tblPr>
        <w:tblW w:w="0" w:type="auto"/>
        <w:tblCellMar>
          <w:left w:w="0" w:type="dxa"/>
          <w:right w:w="0" w:type="dxa"/>
        </w:tblCellMar>
        <w:tblLook w:val="04A0"/>
      </w:tblPr>
      <w:tblGrid>
        <w:gridCol w:w="2715"/>
        <w:gridCol w:w="1387"/>
        <w:gridCol w:w="1892"/>
        <w:gridCol w:w="1922"/>
        <w:gridCol w:w="1831"/>
      </w:tblGrid>
      <w:tr w:rsidR="009378DB" w:rsidTr="005E7C47">
        <w:tc>
          <w:tcPr>
            <w:tcW w:w="2717" w:type="dxa"/>
            <w:shd w:val="clear" w:color="auto" w:fill="0070C0"/>
            <w:tcMar>
              <w:top w:w="0" w:type="dxa"/>
              <w:left w:w="108" w:type="dxa"/>
              <w:bottom w:w="0" w:type="dxa"/>
              <w:right w:w="108" w:type="dxa"/>
            </w:tcMar>
            <w:hideMark/>
          </w:tcPr>
          <w:p w:rsidR="009378DB" w:rsidRPr="009378DB" w:rsidRDefault="009378DB" w:rsidP="009378DB">
            <w:pPr>
              <w:autoSpaceDE w:val="0"/>
              <w:autoSpaceDN w:val="0"/>
              <w:adjustRightInd w:val="0"/>
              <w:rPr>
                <w:rFonts w:ascii="Calibri" w:hAnsi="Calibri" w:cs="Arial"/>
                <w:iCs/>
                <w:color w:val="FFFFFF" w:themeColor="background1"/>
              </w:rPr>
            </w:pPr>
            <w:r w:rsidRPr="009378DB">
              <w:rPr>
                <w:rFonts w:ascii="Calibri" w:hAnsi="Calibri" w:cs="Arial"/>
                <w:iCs/>
                <w:color w:val="FFFFFF" w:themeColor="background1"/>
              </w:rPr>
              <w:t>Commissioner</w:t>
            </w:r>
          </w:p>
        </w:tc>
        <w:tc>
          <w:tcPr>
            <w:tcW w:w="1388" w:type="dxa"/>
            <w:shd w:val="clear" w:color="auto" w:fill="0070C0"/>
            <w:tcMar>
              <w:top w:w="0" w:type="dxa"/>
              <w:left w:w="108" w:type="dxa"/>
              <w:bottom w:w="0" w:type="dxa"/>
              <w:right w:w="108" w:type="dxa"/>
            </w:tcMar>
            <w:hideMark/>
          </w:tcPr>
          <w:p w:rsidR="009378DB" w:rsidRPr="009378DB" w:rsidRDefault="009378DB" w:rsidP="009378DB">
            <w:pPr>
              <w:autoSpaceDE w:val="0"/>
              <w:autoSpaceDN w:val="0"/>
              <w:adjustRightInd w:val="0"/>
              <w:jc w:val="center"/>
              <w:rPr>
                <w:rFonts w:ascii="Calibri" w:hAnsi="Calibri" w:cs="Arial"/>
                <w:iCs/>
                <w:color w:val="FFFFFF" w:themeColor="background1"/>
              </w:rPr>
            </w:pPr>
            <w:r w:rsidRPr="009378DB">
              <w:rPr>
                <w:rFonts w:ascii="Calibri" w:hAnsi="Calibri" w:cs="Arial"/>
                <w:iCs/>
                <w:color w:val="FFFFFF" w:themeColor="background1"/>
              </w:rPr>
              <w:t>Mental Health Amount</w:t>
            </w:r>
          </w:p>
        </w:tc>
        <w:tc>
          <w:tcPr>
            <w:tcW w:w="1894" w:type="dxa"/>
            <w:shd w:val="clear" w:color="auto" w:fill="0070C0"/>
            <w:tcMar>
              <w:top w:w="0" w:type="dxa"/>
              <w:left w:w="108" w:type="dxa"/>
              <w:bottom w:w="0" w:type="dxa"/>
              <w:right w:w="108" w:type="dxa"/>
            </w:tcMar>
            <w:hideMark/>
          </w:tcPr>
          <w:p w:rsidR="009378DB" w:rsidRPr="009378DB" w:rsidRDefault="009378DB" w:rsidP="009378DB">
            <w:pPr>
              <w:autoSpaceDE w:val="0"/>
              <w:autoSpaceDN w:val="0"/>
              <w:adjustRightInd w:val="0"/>
              <w:jc w:val="center"/>
              <w:rPr>
                <w:rFonts w:ascii="Calibri" w:hAnsi="Calibri" w:cs="Arial"/>
                <w:iCs/>
                <w:color w:val="FFFFFF" w:themeColor="background1"/>
              </w:rPr>
            </w:pPr>
            <w:r w:rsidRPr="009378DB">
              <w:rPr>
                <w:rFonts w:ascii="Calibri" w:hAnsi="Calibri" w:cs="Arial"/>
                <w:iCs/>
                <w:color w:val="FFFFFF" w:themeColor="background1"/>
              </w:rPr>
              <w:t>% of Contract Value</w:t>
            </w:r>
          </w:p>
        </w:tc>
        <w:tc>
          <w:tcPr>
            <w:tcW w:w="1924" w:type="dxa"/>
            <w:shd w:val="clear" w:color="auto" w:fill="0070C0"/>
            <w:hideMark/>
          </w:tcPr>
          <w:p w:rsidR="009378DB" w:rsidRPr="009378DB" w:rsidRDefault="009378DB" w:rsidP="009378DB">
            <w:pPr>
              <w:autoSpaceDE w:val="0"/>
              <w:autoSpaceDN w:val="0"/>
              <w:adjustRightInd w:val="0"/>
              <w:jc w:val="center"/>
              <w:rPr>
                <w:rFonts w:ascii="Calibri" w:hAnsi="Calibri" w:cs="Arial"/>
                <w:iCs/>
                <w:color w:val="FFFFFF" w:themeColor="background1"/>
              </w:rPr>
            </w:pPr>
            <w:r w:rsidRPr="009378DB">
              <w:rPr>
                <w:rFonts w:ascii="Calibri" w:hAnsi="Calibri" w:cs="Arial"/>
                <w:iCs/>
                <w:color w:val="FFFFFF" w:themeColor="background1"/>
              </w:rPr>
              <w:t xml:space="preserve">Community Services </w:t>
            </w:r>
          </w:p>
          <w:p w:rsidR="009378DB" w:rsidRPr="009378DB" w:rsidRDefault="009378DB" w:rsidP="009378DB">
            <w:pPr>
              <w:autoSpaceDE w:val="0"/>
              <w:autoSpaceDN w:val="0"/>
              <w:adjustRightInd w:val="0"/>
              <w:jc w:val="center"/>
              <w:rPr>
                <w:rFonts w:ascii="Calibri" w:hAnsi="Calibri" w:cs="Arial"/>
                <w:iCs/>
                <w:color w:val="FFFFFF" w:themeColor="background1"/>
              </w:rPr>
            </w:pPr>
            <w:r w:rsidRPr="009378DB">
              <w:rPr>
                <w:rFonts w:ascii="Calibri" w:hAnsi="Calibri" w:cs="Arial"/>
                <w:iCs/>
                <w:color w:val="FFFFFF" w:themeColor="background1"/>
              </w:rPr>
              <w:t>CQUIN Amount £</w:t>
            </w:r>
          </w:p>
        </w:tc>
        <w:tc>
          <w:tcPr>
            <w:tcW w:w="1834" w:type="dxa"/>
            <w:shd w:val="clear" w:color="auto" w:fill="0070C0"/>
            <w:hideMark/>
          </w:tcPr>
          <w:p w:rsidR="009378DB" w:rsidRPr="009378DB" w:rsidRDefault="009378DB" w:rsidP="009378DB">
            <w:pPr>
              <w:autoSpaceDE w:val="0"/>
              <w:autoSpaceDN w:val="0"/>
              <w:adjustRightInd w:val="0"/>
              <w:jc w:val="center"/>
              <w:rPr>
                <w:rFonts w:ascii="Calibri" w:hAnsi="Calibri" w:cs="Arial"/>
                <w:iCs/>
                <w:color w:val="FFFFFF" w:themeColor="background1"/>
              </w:rPr>
            </w:pPr>
            <w:r w:rsidRPr="009378DB">
              <w:rPr>
                <w:rFonts w:ascii="Calibri" w:hAnsi="Calibri" w:cs="Arial"/>
                <w:iCs/>
                <w:color w:val="FFFFFF" w:themeColor="background1"/>
              </w:rPr>
              <w:t xml:space="preserve">% of Contract Value </w:t>
            </w:r>
          </w:p>
        </w:tc>
      </w:tr>
      <w:tr w:rsidR="006E4017" w:rsidTr="005E7C47">
        <w:tc>
          <w:tcPr>
            <w:tcW w:w="2717" w:type="dxa"/>
            <w:tcMar>
              <w:top w:w="0" w:type="dxa"/>
              <w:left w:w="108" w:type="dxa"/>
              <w:bottom w:w="0" w:type="dxa"/>
              <w:right w:w="108" w:type="dxa"/>
            </w:tcMar>
            <w:hideMark/>
          </w:tcPr>
          <w:p w:rsidR="006E4017" w:rsidRPr="009378DB" w:rsidRDefault="006E4017">
            <w:pPr>
              <w:autoSpaceDE w:val="0"/>
              <w:autoSpaceDN w:val="0"/>
              <w:rPr>
                <w:rFonts w:asciiTheme="minorHAnsi" w:eastAsiaTheme="minorHAnsi" w:hAnsiTheme="minorHAnsi"/>
                <w:iCs/>
              </w:rPr>
            </w:pPr>
            <w:r w:rsidRPr="009378DB">
              <w:rPr>
                <w:rFonts w:asciiTheme="minorHAnsi" w:hAnsiTheme="minorHAnsi"/>
              </w:rPr>
              <w:t xml:space="preserve">NHS Oxfordshire </w:t>
            </w:r>
          </w:p>
        </w:tc>
        <w:tc>
          <w:tcPr>
            <w:tcW w:w="1388" w:type="dxa"/>
            <w:tcMar>
              <w:top w:w="0" w:type="dxa"/>
              <w:left w:w="108" w:type="dxa"/>
              <w:bottom w:w="0" w:type="dxa"/>
              <w:right w:w="108" w:type="dxa"/>
            </w:tcMar>
            <w:hideMark/>
          </w:tcPr>
          <w:p w:rsidR="006E4017" w:rsidRPr="009378DB" w:rsidRDefault="006E4017">
            <w:pPr>
              <w:autoSpaceDE w:val="0"/>
              <w:autoSpaceDN w:val="0"/>
              <w:jc w:val="center"/>
              <w:rPr>
                <w:rFonts w:asciiTheme="minorHAnsi" w:eastAsiaTheme="minorHAnsi" w:hAnsiTheme="minorHAnsi"/>
                <w:iCs/>
              </w:rPr>
            </w:pPr>
            <w:r w:rsidRPr="009378DB">
              <w:rPr>
                <w:rFonts w:asciiTheme="minorHAnsi" w:hAnsiTheme="minorHAnsi"/>
                <w:iCs/>
              </w:rPr>
              <w:t>669,862</w:t>
            </w:r>
          </w:p>
        </w:tc>
        <w:tc>
          <w:tcPr>
            <w:tcW w:w="1894" w:type="dxa"/>
            <w:tcMar>
              <w:top w:w="0" w:type="dxa"/>
              <w:left w:w="108" w:type="dxa"/>
              <w:bottom w:w="0" w:type="dxa"/>
              <w:right w:w="108" w:type="dxa"/>
            </w:tcMar>
            <w:hideMark/>
          </w:tcPr>
          <w:p w:rsidR="006E4017" w:rsidRPr="009378DB" w:rsidRDefault="006E4017">
            <w:pPr>
              <w:autoSpaceDE w:val="0"/>
              <w:autoSpaceDN w:val="0"/>
              <w:jc w:val="center"/>
              <w:rPr>
                <w:rFonts w:asciiTheme="minorHAnsi" w:eastAsiaTheme="minorHAnsi" w:hAnsiTheme="minorHAnsi"/>
                <w:iCs/>
              </w:rPr>
            </w:pPr>
            <w:r w:rsidRPr="009378DB">
              <w:rPr>
                <w:rFonts w:asciiTheme="minorHAnsi" w:hAnsiTheme="minorHAnsi"/>
                <w:iCs/>
              </w:rPr>
              <w:t>1.4%</w:t>
            </w:r>
          </w:p>
        </w:tc>
        <w:tc>
          <w:tcPr>
            <w:tcW w:w="1924" w:type="dxa"/>
            <w:hideMark/>
          </w:tcPr>
          <w:p w:rsidR="006E4017" w:rsidRPr="009378DB" w:rsidRDefault="006E4017">
            <w:pPr>
              <w:autoSpaceDE w:val="0"/>
              <w:autoSpaceDN w:val="0"/>
              <w:jc w:val="center"/>
              <w:rPr>
                <w:rFonts w:asciiTheme="minorHAnsi" w:eastAsiaTheme="minorHAnsi" w:hAnsiTheme="minorHAnsi"/>
                <w:iCs/>
                <w:sz w:val="22"/>
                <w:szCs w:val="22"/>
              </w:rPr>
            </w:pPr>
            <w:r w:rsidRPr="009378DB">
              <w:rPr>
                <w:rFonts w:asciiTheme="minorHAnsi" w:hAnsiTheme="minorHAnsi"/>
                <w:iCs/>
              </w:rPr>
              <w:t>1,228,074</w:t>
            </w:r>
          </w:p>
        </w:tc>
        <w:tc>
          <w:tcPr>
            <w:tcW w:w="1834" w:type="dxa"/>
            <w:hideMark/>
          </w:tcPr>
          <w:p w:rsidR="006E4017" w:rsidRPr="009378DB" w:rsidRDefault="006E4017">
            <w:pPr>
              <w:autoSpaceDE w:val="0"/>
              <w:autoSpaceDN w:val="0"/>
              <w:jc w:val="center"/>
              <w:rPr>
                <w:rFonts w:asciiTheme="minorHAnsi" w:eastAsiaTheme="minorHAnsi" w:hAnsiTheme="minorHAnsi"/>
                <w:iCs/>
                <w:sz w:val="22"/>
                <w:szCs w:val="22"/>
              </w:rPr>
            </w:pPr>
            <w:r w:rsidRPr="009378DB">
              <w:rPr>
                <w:rFonts w:asciiTheme="minorHAnsi" w:hAnsiTheme="minorHAnsi"/>
                <w:iCs/>
              </w:rPr>
              <w:t>1.5%</w:t>
            </w:r>
          </w:p>
        </w:tc>
      </w:tr>
      <w:tr w:rsidR="006E4017" w:rsidTr="005E7C47">
        <w:tc>
          <w:tcPr>
            <w:tcW w:w="2717" w:type="dxa"/>
            <w:shd w:val="clear" w:color="auto" w:fill="DAEEF3" w:themeFill="accent5" w:themeFillTint="33"/>
            <w:tcMar>
              <w:top w:w="0" w:type="dxa"/>
              <w:left w:w="108" w:type="dxa"/>
              <w:bottom w:w="0" w:type="dxa"/>
              <w:right w:w="108" w:type="dxa"/>
            </w:tcMar>
            <w:hideMark/>
          </w:tcPr>
          <w:p w:rsidR="006E4017" w:rsidRPr="009378DB" w:rsidRDefault="006E4017">
            <w:pPr>
              <w:autoSpaceDE w:val="0"/>
              <w:autoSpaceDN w:val="0"/>
              <w:rPr>
                <w:rFonts w:asciiTheme="minorHAnsi" w:eastAsiaTheme="minorHAnsi" w:hAnsiTheme="minorHAnsi"/>
                <w:iCs/>
              </w:rPr>
            </w:pPr>
            <w:r w:rsidRPr="009378DB">
              <w:rPr>
                <w:rFonts w:asciiTheme="minorHAnsi" w:hAnsiTheme="minorHAnsi"/>
              </w:rPr>
              <w:t xml:space="preserve">NHS Buckinghamshire </w:t>
            </w:r>
          </w:p>
        </w:tc>
        <w:tc>
          <w:tcPr>
            <w:tcW w:w="1388" w:type="dxa"/>
            <w:shd w:val="clear" w:color="auto" w:fill="DAEEF3" w:themeFill="accent5" w:themeFillTint="33"/>
            <w:tcMar>
              <w:top w:w="0" w:type="dxa"/>
              <w:left w:w="108" w:type="dxa"/>
              <w:bottom w:w="0" w:type="dxa"/>
              <w:right w:w="108" w:type="dxa"/>
            </w:tcMar>
            <w:hideMark/>
          </w:tcPr>
          <w:p w:rsidR="006E4017" w:rsidRPr="009378DB" w:rsidRDefault="006E4017">
            <w:pPr>
              <w:autoSpaceDE w:val="0"/>
              <w:autoSpaceDN w:val="0"/>
              <w:jc w:val="center"/>
              <w:rPr>
                <w:rFonts w:asciiTheme="minorHAnsi" w:eastAsiaTheme="minorHAnsi" w:hAnsiTheme="minorHAnsi"/>
                <w:iCs/>
              </w:rPr>
            </w:pPr>
            <w:r w:rsidRPr="009378DB">
              <w:rPr>
                <w:rFonts w:asciiTheme="minorHAnsi" w:hAnsiTheme="minorHAnsi"/>
                <w:iCs/>
              </w:rPr>
              <w:t>466,833</w:t>
            </w:r>
          </w:p>
        </w:tc>
        <w:tc>
          <w:tcPr>
            <w:tcW w:w="1894" w:type="dxa"/>
            <w:shd w:val="clear" w:color="auto" w:fill="DAEEF3" w:themeFill="accent5" w:themeFillTint="33"/>
            <w:tcMar>
              <w:top w:w="0" w:type="dxa"/>
              <w:left w:w="108" w:type="dxa"/>
              <w:bottom w:w="0" w:type="dxa"/>
              <w:right w:w="108" w:type="dxa"/>
            </w:tcMar>
            <w:hideMark/>
          </w:tcPr>
          <w:p w:rsidR="006E4017" w:rsidRPr="009378DB" w:rsidRDefault="006E4017">
            <w:pPr>
              <w:autoSpaceDE w:val="0"/>
              <w:autoSpaceDN w:val="0"/>
              <w:jc w:val="center"/>
              <w:rPr>
                <w:rFonts w:asciiTheme="minorHAnsi" w:eastAsiaTheme="minorHAnsi" w:hAnsiTheme="minorHAnsi"/>
                <w:iCs/>
              </w:rPr>
            </w:pPr>
            <w:r w:rsidRPr="009378DB">
              <w:rPr>
                <w:rFonts w:asciiTheme="minorHAnsi" w:hAnsiTheme="minorHAnsi"/>
                <w:iCs/>
              </w:rPr>
              <w:t>1.4%</w:t>
            </w:r>
          </w:p>
        </w:tc>
        <w:tc>
          <w:tcPr>
            <w:tcW w:w="1924" w:type="dxa"/>
            <w:shd w:val="clear" w:color="auto" w:fill="DAEEF3" w:themeFill="accent5" w:themeFillTint="33"/>
            <w:hideMark/>
          </w:tcPr>
          <w:p w:rsidR="006E4017" w:rsidRPr="009378DB" w:rsidRDefault="006E4017">
            <w:pPr>
              <w:autoSpaceDE w:val="0"/>
              <w:autoSpaceDN w:val="0"/>
              <w:jc w:val="center"/>
              <w:rPr>
                <w:rFonts w:asciiTheme="minorHAnsi" w:eastAsiaTheme="minorHAnsi" w:hAnsiTheme="minorHAnsi"/>
                <w:iCs/>
                <w:sz w:val="22"/>
                <w:szCs w:val="22"/>
              </w:rPr>
            </w:pPr>
            <w:r w:rsidRPr="009378DB">
              <w:rPr>
                <w:rFonts w:asciiTheme="minorHAnsi" w:hAnsiTheme="minorHAnsi"/>
                <w:iCs/>
              </w:rPr>
              <w:t>2,009</w:t>
            </w:r>
          </w:p>
        </w:tc>
        <w:tc>
          <w:tcPr>
            <w:tcW w:w="1834" w:type="dxa"/>
            <w:shd w:val="clear" w:color="auto" w:fill="DAEEF3" w:themeFill="accent5" w:themeFillTint="33"/>
            <w:hideMark/>
          </w:tcPr>
          <w:p w:rsidR="006E4017" w:rsidRPr="009378DB" w:rsidRDefault="006E4017">
            <w:pPr>
              <w:autoSpaceDE w:val="0"/>
              <w:autoSpaceDN w:val="0"/>
              <w:jc w:val="center"/>
              <w:rPr>
                <w:rFonts w:asciiTheme="minorHAnsi" w:eastAsiaTheme="minorHAnsi" w:hAnsiTheme="minorHAnsi"/>
                <w:iCs/>
                <w:sz w:val="22"/>
                <w:szCs w:val="22"/>
              </w:rPr>
            </w:pPr>
            <w:r w:rsidRPr="009378DB">
              <w:rPr>
                <w:rFonts w:asciiTheme="minorHAnsi" w:hAnsiTheme="minorHAnsi"/>
                <w:iCs/>
              </w:rPr>
              <w:t>1.5%</w:t>
            </w:r>
          </w:p>
        </w:tc>
      </w:tr>
      <w:tr w:rsidR="006E4017" w:rsidTr="005E7C47">
        <w:tc>
          <w:tcPr>
            <w:tcW w:w="2717" w:type="dxa"/>
            <w:tcMar>
              <w:top w:w="0" w:type="dxa"/>
              <w:left w:w="108" w:type="dxa"/>
              <w:bottom w:w="0" w:type="dxa"/>
              <w:right w:w="108" w:type="dxa"/>
            </w:tcMar>
            <w:hideMark/>
          </w:tcPr>
          <w:p w:rsidR="006E4017" w:rsidRPr="009378DB" w:rsidRDefault="006E4017">
            <w:pPr>
              <w:autoSpaceDE w:val="0"/>
              <w:autoSpaceDN w:val="0"/>
              <w:rPr>
                <w:rFonts w:asciiTheme="minorHAnsi" w:eastAsiaTheme="minorHAnsi" w:hAnsiTheme="minorHAnsi"/>
                <w:iCs/>
              </w:rPr>
            </w:pPr>
            <w:r w:rsidRPr="009378DB">
              <w:rPr>
                <w:rFonts w:asciiTheme="minorHAnsi" w:hAnsiTheme="minorHAnsi"/>
                <w:color w:val="1F497D"/>
              </w:rPr>
              <w:t> </w:t>
            </w:r>
            <w:r w:rsidRPr="009378DB">
              <w:rPr>
                <w:rFonts w:asciiTheme="minorHAnsi" w:hAnsiTheme="minorHAnsi"/>
              </w:rPr>
              <w:t xml:space="preserve">Wiltshire &amp; </w:t>
            </w:r>
            <w:proofErr w:type="spellStart"/>
            <w:r w:rsidRPr="009378DB">
              <w:rPr>
                <w:rFonts w:asciiTheme="minorHAnsi" w:hAnsiTheme="minorHAnsi"/>
              </w:rPr>
              <w:t>BaNES</w:t>
            </w:r>
            <w:proofErr w:type="spellEnd"/>
            <w:r w:rsidRPr="009378DB">
              <w:rPr>
                <w:rFonts w:asciiTheme="minorHAnsi" w:hAnsiTheme="minorHAnsi"/>
              </w:rPr>
              <w:t xml:space="preserve"> PCT </w:t>
            </w:r>
          </w:p>
        </w:tc>
        <w:tc>
          <w:tcPr>
            <w:tcW w:w="1388" w:type="dxa"/>
            <w:tcMar>
              <w:top w:w="0" w:type="dxa"/>
              <w:left w:w="108" w:type="dxa"/>
              <w:bottom w:w="0" w:type="dxa"/>
              <w:right w:w="108" w:type="dxa"/>
            </w:tcMar>
            <w:hideMark/>
          </w:tcPr>
          <w:p w:rsidR="006E4017" w:rsidRPr="009378DB" w:rsidRDefault="006E4017">
            <w:pPr>
              <w:autoSpaceDE w:val="0"/>
              <w:autoSpaceDN w:val="0"/>
              <w:jc w:val="center"/>
              <w:rPr>
                <w:rFonts w:asciiTheme="minorHAnsi" w:eastAsiaTheme="minorHAnsi" w:hAnsiTheme="minorHAnsi"/>
                <w:iCs/>
              </w:rPr>
            </w:pPr>
            <w:r w:rsidRPr="009378DB">
              <w:rPr>
                <w:rFonts w:asciiTheme="minorHAnsi" w:hAnsiTheme="minorHAnsi"/>
                <w:iCs/>
              </w:rPr>
              <w:t>£97,875</w:t>
            </w:r>
          </w:p>
        </w:tc>
        <w:tc>
          <w:tcPr>
            <w:tcW w:w="1894" w:type="dxa"/>
            <w:tcMar>
              <w:top w:w="0" w:type="dxa"/>
              <w:left w:w="108" w:type="dxa"/>
              <w:bottom w:w="0" w:type="dxa"/>
              <w:right w:w="108" w:type="dxa"/>
            </w:tcMar>
            <w:hideMark/>
          </w:tcPr>
          <w:p w:rsidR="006E4017" w:rsidRPr="009378DB" w:rsidRDefault="006E4017">
            <w:pPr>
              <w:autoSpaceDE w:val="0"/>
              <w:autoSpaceDN w:val="0"/>
              <w:jc w:val="center"/>
              <w:rPr>
                <w:rFonts w:asciiTheme="minorHAnsi" w:eastAsiaTheme="minorHAnsi" w:hAnsiTheme="minorHAnsi"/>
                <w:iCs/>
              </w:rPr>
            </w:pPr>
            <w:r w:rsidRPr="009378DB">
              <w:rPr>
                <w:rFonts w:asciiTheme="minorHAnsi" w:hAnsiTheme="minorHAnsi"/>
                <w:iCs/>
              </w:rPr>
              <w:t>1.5%</w:t>
            </w:r>
          </w:p>
        </w:tc>
        <w:tc>
          <w:tcPr>
            <w:tcW w:w="1924" w:type="dxa"/>
          </w:tcPr>
          <w:p w:rsidR="006E4017" w:rsidRPr="009378DB" w:rsidRDefault="006E4017">
            <w:pPr>
              <w:autoSpaceDE w:val="0"/>
              <w:autoSpaceDN w:val="0"/>
              <w:jc w:val="center"/>
              <w:rPr>
                <w:rFonts w:asciiTheme="minorHAnsi" w:eastAsiaTheme="minorHAnsi" w:hAnsiTheme="minorHAnsi"/>
                <w:iCs/>
                <w:sz w:val="22"/>
                <w:szCs w:val="22"/>
              </w:rPr>
            </w:pPr>
            <w:r>
              <w:rPr>
                <w:rFonts w:asciiTheme="minorHAnsi" w:eastAsiaTheme="minorHAnsi" w:hAnsiTheme="minorHAnsi"/>
                <w:iCs/>
                <w:sz w:val="22"/>
                <w:szCs w:val="22"/>
              </w:rPr>
              <w:t>-</w:t>
            </w:r>
          </w:p>
        </w:tc>
        <w:tc>
          <w:tcPr>
            <w:tcW w:w="1834" w:type="dxa"/>
          </w:tcPr>
          <w:p w:rsidR="006E4017" w:rsidRPr="009378DB" w:rsidRDefault="006E4017">
            <w:pPr>
              <w:autoSpaceDE w:val="0"/>
              <w:autoSpaceDN w:val="0"/>
              <w:jc w:val="center"/>
              <w:rPr>
                <w:rFonts w:asciiTheme="minorHAnsi" w:eastAsiaTheme="minorHAnsi" w:hAnsiTheme="minorHAnsi"/>
                <w:iCs/>
                <w:sz w:val="22"/>
                <w:szCs w:val="22"/>
              </w:rPr>
            </w:pPr>
            <w:r>
              <w:rPr>
                <w:rFonts w:asciiTheme="minorHAnsi" w:eastAsiaTheme="minorHAnsi" w:hAnsiTheme="minorHAnsi"/>
                <w:iCs/>
                <w:sz w:val="22"/>
                <w:szCs w:val="22"/>
              </w:rPr>
              <w:t>-</w:t>
            </w:r>
          </w:p>
        </w:tc>
      </w:tr>
      <w:tr w:rsidR="006E4017" w:rsidTr="005E7C47">
        <w:tc>
          <w:tcPr>
            <w:tcW w:w="2717" w:type="dxa"/>
            <w:shd w:val="clear" w:color="auto" w:fill="DAEEF3" w:themeFill="accent5" w:themeFillTint="33"/>
            <w:tcMar>
              <w:top w:w="0" w:type="dxa"/>
              <w:left w:w="108" w:type="dxa"/>
              <w:bottom w:w="0" w:type="dxa"/>
              <w:right w:w="108" w:type="dxa"/>
            </w:tcMar>
            <w:hideMark/>
          </w:tcPr>
          <w:p w:rsidR="006E4017" w:rsidRPr="009378DB" w:rsidRDefault="006E4017">
            <w:pPr>
              <w:autoSpaceDE w:val="0"/>
              <w:autoSpaceDN w:val="0"/>
              <w:rPr>
                <w:rFonts w:asciiTheme="minorHAnsi" w:eastAsiaTheme="minorHAnsi" w:hAnsiTheme="minorHAnsi"/>
                <w:sz w:val="22"/>
                <w:szCs w:val="22"/>
              </w:rPr>
            </w:pPr>
            <w:r w:rsidRPr="009378DB">
              <w:rPr>
                <w:rFonts w:asciiTheme="minorHAnsi" w:hAnsiTheme="minorHAnsi"/>
              </w:rPr>
              <w:t xml:space="preserve">Northants </w:t>
            </w:r>
          </w:p>
        </w:tc>
        <w:tc>
          <w:tcPr>
            <w:tcW w:w="1388" w:type="dxa"/>
            <w:shd w:val="clear" w:color="auto" w:fill="DAEEF3" w:themeFill="accent5" w:themeFillTint="33"/>
            <w:tcMar>
              <w:top w:w="0" w:type="dxa"/>
              <w:left w:w="108" w:type="dxa"/>
              <w:bottom w:w="0" w:type="dxa"/>
              <w:right w:w="108" w:type="dxa"/>
            </w:tcMar>
            <w:hideMark/>
          </w:tcPr>
          <w:p w:rsidR="006E4017" w:rsidRPr="009378DB" w:rsidRDefault="006E4017" w:rsidP="009378DB">
            <w:pPr>
              <w:jc w:val="center"/>
              <w:rPr>
                <w:rFonts w:asciiTheme="minorHAnsi" w:hAnsiTheme="minorHAnsi"/>
                <w:sz w:val="20"/>
                <w:szCs w:val="20"/>
              </w:rPr>
            </w:pPr>
            <w:r>
              <w:rPr>
                <w:rFonts w:asciiTheme="minorHAnsi" w:hAnsiTheme="minorHAnsi"/>
                <w:sz w:val="20"/>
                <w:szCs w:val="20"/>
              </w:rPr>
              <w:t>-</w:t>
            </w:r>
          </w:p>
        </w:tc>
        <w:tc>
          <w:tcPr>
            <w:tcW w:w="1894" w:type="dxa"/>
            <w:shd w:val="clear" w:color="auto" w:fill="DAEEF3" w:themeFill="accent5" w:themeFillTint="33"/>
            <w:tcMar>
              <w:top w:w="0" w:type="dxa"/>
              <w:left w:w="108" w:type="dxa"/>
              <w:bottom w:w="0" w:type="dxa"/>
              <w:right w:w="108" w:type="dxa"/>
            </w:tcMar>
            <w:hideMark/>
          </w:tcPr>
          <w:p w:rsidR="006E4017" w:rsidRPr="009378DB" w:rsidRDefault="006E4017" w:rsidP="009378DB">
            <w:pPr>
              <w:jc w:val="center"/>
              <w:rPr>
                <w:rFonts w:asciiTheme="minorHAnsi" w:hAnsiTheme="minorHAnsi"/>
                <w:sz w:val="20"/>
                <w:szCs w:val="20"/>
              </w:rPr>
            </w:pPr>
            <w:r>
              <w:rPr>
                <w:rFonts w:asciiTheme="minorHAnsi" w:hAnsiTheme="minorHAnsi"/>
                <w:sz w:val="20"/>
                <w:szCs w:val="20"/>
              </w:rPr>
              <w:t>-</w:t>
            </w:r>
          </w:p>
        </w:tc>
        <w:tc>
          <w:tcPr>
            <w:tcW w:w="1924" w:type="dxa"/>
            <w:shd w:val="clear" w:color="auto" w:fill="DAEEF3" w:themeFill="accent5" w:themeFillTint="33"/>
            <w:hideMark/>
          </w:tcPr>
          <w:p w:rsidR="006E4017" w:rsidRPr="009378DB" w:rsidRDefault="006E4017">
            <w:pPr>
              <w:autoSpaceDE w:val="0"/>
              <w:autoSpaceDN w:val="0"/>
              <w:jc w:val="center"/>
              <w:rPr>
                <w:rFonts w:asciiTheme="minorHAnsi" w:eastAsiaTheme="minorHAnsi" w:hAnsiTheme="minorHAnsi"/>
                <w:iCs/>
                <w:sz w:val="22"/>
                <w:szCs w:val="22"/>
              </w:rPr>
            </w:pPr>
            <w:r w:rsidRPr="009378DB">
              <w:rPr>
                <w:rFonts w:asciiTheme="minorHAnsi" w:hAnsiTheme="minorHAnsi"/>
                <w:iCs/>
              </w:rPr>
              <w:t>6346</w:t>
            </w:r>
          </w:p>
        </w:tc>
        <w:tc>
          <w:tcPr>
            <w:tcW w:w="1834" w:type="dxa"/>
            <w:shd w:val="clear" w:color="auto" w:fill="DAEEF3" w:themeFill="accent5" w:themeFillTint="33"/>
            <w:hideMark/>
          </w:tcPr>
          <w:p w:rsidR="006E4017" w:rsidRPr="009378DB" w:rsidRDefault="006E4017">
            <w:pPr>
              <w:autoSpaceDE w:val="0"/>
              <w:autoSpaceDN w:val="0"/>
              <w:jc w:val="center"/>
              <w:rPr>
                <w:rFonts w:asciiTheme="minorHAnsi" w:eastAsiaTheme="minorHAnsi" w:hAnsiTheme="minorHAnsi"/>
                <w:iCs/>
                <w:sz w:val="22"/>
                <w:szCs w:val="22"/>
              </w:rPr>
            </w:pPr>
            <w:r w:rsidRPr="009378DB">
              <w:rPr>
                <w:rFonts w:asciiTheme="minorHAnsi" w:hAnsiTheme="minorHAnsi"/>
                <w:iCs/>
              </w:rPr>
              <w:t>1.5%</w:t>
            </w:r>
          </w:p>
        </w:tc>
      </w:tr>
      <w:tr w:rsidR="006E4017" w:rsidTr="005E7C47">
        <w:tc>
          <w:tcPr>
            <w:tcW w:w="2717" w:type="dxa"/>
            <w:tcMar>
              <w:top w:w="0" w:type="dxa"/>
              <w:left w:w="108" w:type="dxa"/>
              <w:bottom w:w="0" w:type="dxa"/>
              <w:right w:w="108" w:type="dxa"/>
            </w:tcMar>
            <w:hideMark/>
          </w:tcPr>
          <w:p w:rsidR="006E4017" w:rsidRPr="009378DB" w:rsidRDefault="006E4017">
            <w:pPr>
              <w:autoSpaceDE w:val="0"/>
              <w:autoSpaceDN w:val="0"/>
              <w:rPr>
                <w:rFonts w:asciiTheme="minorHAnsi" w:eastAsiaTheme="minorHAnsi" w:hAnsiTheme="minorHAnsi"/>
                <w:iCs/>
              </w:rPr>
            </w:pPr>
            <w:r w:rsidRPr="009378DB">
              <w:rPr>
                <w:rFonts w:asciiTheme="minorHAnsi" w:hAnsiTheme="minorHAnsi"/>
              </w:rPr>
              <w:t>Swindon PCT</w:t>
            </w:r>
          </w:p>
        </w:tc>
        <w:tc>
          <w:tcPr>
            <w:tcW w:w="1388" w:type="dxa"/>
            <w:tcMar>
              <w:top w:w="0" w:type="dxa"/>
              <w:left w:w="108" w:type="dxa"/>
              <w:bottom w:w="0" w:type="dxa"/>
              <w:right w:w="108" w:type="dxa"/>
            </w:tcMar>
            <w:hideMark/>
          </w:tcPr>
          <w:p w:rsidR="006E4017" w:rsidRPr="009378DB" w:rsidRDefault="006E4017">
            <w:pPr>
              <w:autoSpaceDE w:val="0"/>
              <w:autoSpaceDN w:val="0"/>
              <w:jc w:val="center"/>
              <w:rPr>
                <w:rFonts w:asciiTheme="minorHAnsi" w:eastAsiaTheme="minorHAnsi" w:hAnsiTheme="minorHAnsi"/>
                <w:iCs/>
              </w:rPr>
            </w:pPr>
            <w:r w:rsidRPr="009378DB">
              <w:rPr>
                <w:rFonts w:asciiTheme="minorHAnsi" w:hAnsiTheme="minorHAnsi"/>
                <w:iCs/>
              </w:rPr>
              <w:t>£37,079</w:t>
            </w:r>
          </w:p>
        </w:tc>
        <w:tc>
          <w:tcPr>
            <w:tcW w:w="1894" w:type="dxa"/>
            <w:tcMar>
              <w:top w:w="0" w:type="dxa"/>
              <w:left w:w="108" w:type="dxa"/>
              <w:bottom w:w="0" w:type="dxa"/>
              <w:right w:w="108" w:type="dxa"/>
            </w:tcMar>
            <w:hideMark/>
          </w:tcPr>
          <w:p w:rsidR="006E4017" w:rsidRPr="009378DB" w:rsidRDefault="006E4017">
            <w:pPr>
              <w:autoSpaceDE w:val="0"/>
              <w:autoSpaceDN w:val="0"/>
              <w:jc w:val="center"/>
              <w:rPr>
                <w:rFonts w:asciiTheme="minorHAnsi" w:eastAsiaTheme="minorHAnsi" w:hAnsiTheme="minorHAnsi"/>
                <w:iCs/>
              </w:rPr>
            </w:pPr>
            <w:r w:rsidRPr="009378DB">
              <w:rPr>
                <w:rFonts w:asciiTheme="minorHAnsi" w:hAnsiTheme="minorHAnsi"/>
                <w:iCs/>
              </w:rPr>
              <w:t>1.4%</w:t>
            </w:r>
          </w:p>
        </w:tc>
        <w:tc>
          <w:tcPr>
            <w:tcW w:w="1924" w:type="dxa"/>
            <w:hideMark/>
          </w:tcPr>
          <w:p w:rsidR="006E4017" w:rsidRPr="009378DB" w:rsidRDefault="006E4017">
            <w:pPr>
              <w:autoSpaceDE w:val="0"/>
              <w:autoSpaceDN w:val="0"/>
              <w:jc w:val="center"/>
              <w:rPr>
                <w:rFonts w:asciiTheme="minorHAnsi" w:eastAsiaTheme="minorHAnsi" w:hAnsiTheme="minorHAnsi"/>
                <w:iCs/>
                <w:sz w:val="22"/>
                <w:szCs w:val="22"/>
              </w:rPr>
            </w:pPr>
            <w:r w:rsidRPr="009378DB">
              <w:rPr>
                <w:rFonts w:asciiTheme="minorHAnsi" w:hAnsiTheme="minorHAnsi"/>
                <w:iCs/>
              </w:rPr>
              <w:t>2872</w:t>
            </w:r>
          </w:p>
        </w:tc>
        <w:tc>
          <w:tcPr>
            <w:tcW w:w="1834" w:type="dxa"/>
            <w:hideMark/>
          </w:tcPr>
          <w:p w:rsidR="006E4017" w:rsidRPr="009378DB" w:rsidRDefault="006E4017">
            <w:pPr>
              <w:autoSpaceDE w:val="0"/>
              <w:autoSpaceDN w:val="0"/>
              <w:jc w:val="center"/>
              <w:rPr>
                <w:rFonts w:asciiTheme="minorHAnsi" w:eastAsiaTheme="minorHAnsi" w:hAnsiTheme="minorHAnsi"/>
                <w:iCs/>
                <w:sz w:val="22"/>
                <w:szCs w:val="22"/>
              </w:rPr>
            </w:pPr>
            <w:r w:rsidRPr="009378DB">
              <w:rPr>
                <w:rFonts w:asciiTheme="minorHAnsi" w:hAnsiTheme="minorHAnsi"/>
                <w:iCs/>
              </w:rPr>
              <w:t>1.5%</w:t>
            </w:r>
          </w:p>
        </w:tc>
      </w:tr>
      <w:tr w:rsidR="006E4017" w:rsidTr="005E7C47">
        <w:tc>
          <w:tcPr>
            <w:tcW w:w="2717" w:type="dxa"/>
            <w:shd w:val="clear" w:color="auto" w:fill="DAEEF3" w:themeFill="accent5" w:themeFillTint="33"/>
            <w:tcMar>
              <w:top w:w="0" w:type="dxa"/>
              <w:left w:w="108" w:type="dxa"/>
              <w:bottom w:w="0" w:type="dxa"/>
              <w:right w:w="108" w:type="dxa"/>
            </w:tcMar>
            <w:hideMark/>
          </w:tcPr>
          <w:p w:rsidR="006E4017" w:rsidRPr="009378DB" w:rsidRDefault="006E4017">
            <w:pPr>
              <w:autoSpaceDE w:val="0"/>
              <w:autoSpaceDN w:val="0"/>
              <w:rPr>
                <w:rFonts w:asciiTheme="minorHAnsi" w:eastAsiaTheme="minorHAnsi" w:hAnsiTheme="minorHAnsi"/>
              </w:rPr>
            </w:pPr>
            <w:r w:rsidRPr="009378DB">
              <w:rPr>
                <w:rFonts w:asciiTheme="minorHAnsi" w:hAnsiTheme="minorHAnsi"/>
              </w:rPr>
              <w:t>East of England PCT</w:t>
            </w:r>
          </w:p>
        </w:tc>
        <w:tc>
          <w:tcPr>
            <w:tcW w:w="1388" w:type="dxa"/>
            <w:shd w:val="clear" w:color="auto" w:fill="DAEEF3" w:themeFill="accent5" w:themeFillTint="33"/>
            <w:tcMar>
              <w:top w:w="0" w:type="dxa"/>
              <w:left w:w="108" w:type="dxa"/>
              <w:bottom w:w="0" w:type="dxa"/>
              <w:right w:w="108" w:type="dxa"/>
            </w:tcMar>
            <w:hideMark/>
          </w:tcPr>
          <w:p w:rsidR="006E4017" w:rsidRPr="009378DB" w:rsidRDefault="006E4017">
            <w:pPr>
              <w:autoSpaceDE w:val="0"/>
              <w:autoSpaceDN w:val="0"/>
              <w:jc w:val="center"/>
              <w:rPr>
                <w:rFonts w:asciiTheme="minorHAnsi" w:eastAsiaTheme="minorHAnsi" w:hAnsiTheme="minorHAnsi"/>
                <w:iCs/>
              </w:rPr>
            </w:pPr>
            <w:r w:rsidRPr="009378DB">
              <w:rPr>
                <w:rFonts w:asciiTheme="minorHAnsi" w:hAnsiTheme="minorHAnsi"/>
                <w:iCs/>
              </w:rPr>
              <w:t>£6,348</w:t>
            </w:r>
          </w:p>
        </w:tc>
        <w:tc>
          <w:tcPr>
            <w:tcW w:w="1894" w:type="dxa"/>
            <w:shd w:val="clear" w:color="auto" w:fill="DAEEF3" w:themeFill="accent5" w:themeFillTint="33"/>
            <w:tcMar>
              <w:top w:w="0" w:type="dxa"/>
              <w:left w:w="108" w:type="dxa"/>
              <w:bottom w:w="0" w:type="dxa"/>
              <w:right w:w="108" w:type="dxa"/>
            </w:tcMar>
            <w:hideMark/>
          </w:tcPr>
          <w:p w:rsidR="006E4017" w:rsidRPr="009378DB" w:rsidRDefault="006E4017">
            <w:pPr>
              <w:autoSpaceDE w:val="0"/>
              <w:autoSpaceDN w:val="0"/>
              <w:jc w:val="center"/>
              <w:rPr>
                <w:rFonts w:asciiTheme="minorHAnsi" w:eastAsiaTheme="minorHAnsi" w:hAnsiTheme="minorHAnsi"/>
                <w:iCs/>
              </w:rPr>
            </w:pPr>
            <w:r w:rsidRPr="009378DB">
              <w:rPr>
                <w:rFonts w:asciiTheme="minorHAnsi" w:hAnsiTheme="minorHAnsi"/>
                <w:iCs/>
              </w:rPr>
              <w:t>1.4%</w:t>
            </w:r>
          </w:p>
        </w:tc>
        <w:tc>
          <w:tcPr>
            <w:tcW w:w="1924" w:type="dxa"/>
            <w:shd w:val="clear" w:color="auto" w:fill="DAEEF3" w:themeFill="accent5" w:themeFillTint="33"/>
          </w:tcPr>
          <w:p w:rsidR="006E4017" w:rsidRPr="009378DB" w:rsidRDefault="006E4017">
            <w:pPr>
              <w:autoSpaceDE w:val="0"/>
              <w:autoSpaceDN w:val="0"/>
              <w:jc w:val="center"/>
              <w:rPr>
                <w:rFonts w:asciiTheme="minorHAnsi" w:eastAsiaTheme="minorHAnsi" w:hAnsiTheme="minorHAnsi"/>
                <w:iCs/>
                <w:sz w:val="22"/>
                <w:szCs w:val="22"/>
              </w:rPr>
            </w:pPr>
            <w:r>
              <w:rPr>
                <w:rFonts w:asciiTheme="minorHAnsi" w:eastAsiaTheme="minorHAnsi" w:hAnsiTheme="minorHAnsi"/>
                <w:iCs/>
                <w:sz w:val="22"/>
                <w:szCs w:val="22"/>
              </w:rPr>
              <w:t>-</w:t>
            </w:r>
          </w:p>
        </w:tc>
        <w:tc>
          <w:tcPr>
            <w:tcW w:w="1834" w:type="dxa"/>
            <w:shd w:val="clear" w:color="auto" w:fill="DAEEF3" w:themeFill="accent5" w:themeFillTint="33"/>
          </w:tcPr>
          <w:p w:rsidR="006E4017" w:rsidRPr="009378DB" w:rsidRDefault="006E4017">
            <w:pPr>
              <w:autoSpaceDE w:val="0"/>
              <w:autoSpaceDN w:val="0"/>
              <w:jc w:val="center"/>
              <w:rPr>
                <w:rFonts w:asciiTheme="minorHAnsi" w:eastAsiaTheme="minorHAnsi" w:hAnsiTheme="minorHAnsi"/>
                <w:iCs/>
                <w:sz w:val="22"/>
                <w:szCs w:val="22"/>
              </w:rPr>
            </w:pPr>
            <w:r>
              <w:rPr>
                <w:rFonts w:asciiTheme="minorHAnsi" w:eastAsiaTheme="minorHAnsi" w:hAnsiTheme="minorHAnsi"/>
                <w:iCs/>
                <w:sz w:val="22"/>
                <w:szCs w:val="22"/>
              </w:rPr>
              <w:t>-</w:t>
            </w:r>
          </w:p>
        </w:tc>
      </w:tr>
      <w:tr w:rsidR="006E4017" w:rsidTr="005E7C47">
        <w:tc>
          <w:tcPr>
            <w:tcW w:w="2717" w:type="dxa"/>
            <w:tcMar>
              <w:top w:w="0" w:type="dxa"/>
              <w:left w:w="108" w:type="dxa"/>
              <w:bottom w:w="0" w:type="dxa"/>
              <w:right w:w="108" w:type="dxa"/>
            </w:tcMar>
            <w:hideMark/>
          </w:tcPr>
          <w:p w:rsidR="006E4017" w:rsidRPr="009378DB" w:rsidRDefault="006E4017">
            <w:pPr>
              <w:autoSpaceDE w:val="0"/>
              <w:autoSpaceDN w:val="0"/>
              <w:rPr>
                <w:rFonts w:asciiTheme="minorHAnsi" w:eastAsiaTheme="minorHAnsi" w:hAnsiTheme="minorHAnsi"/>
                <w:sz w:val="22"/>
                <w:szCs w:val="22"/>
              </w:rPr>
            </w:pPr>
            <w:r w:rsidRPr="009378DB">
              <w:rPr>
                <w:rFonts w:asciiTheme="minorHAnsi" w:hAnsiTheme="minorHAnsi"/>
              </w:rPr>
              <w:t xml:space="preserve">Warwickshire PCT </w:t>
            </w:r>
          </w:p>
        </w:tc>
        <w:tc>
          <w:tcPr>
            <w:tcW w:w="1388" w:type="dxa"/>
            <w:tcMar>
              <w:top w:w="0" w:type="dxa"/>
              <w:left w:w="108" w:type="dxa"/>
              <w:bottom w:w="0" w:type="dxa"/>
              <w:right w:w="108" w:type="dxa"/>
            </w:tcMar>
            <w:hideMark/>
          </w:tcPr>
          <w:p w:rsidR="006E4017" w:rsidRPr="009378DB" w:rsidRDefault="006E4017" w:rsidP="009378DB">
            <w:pPr>
              <w:jc w:val="center"/>
              <w:rPr>
                <w:rFonts w:asciiTheme="minorHAnsi" w:hAnsiTheme="minorHAnsi"/>
                <w:sz w:val="20"/>
                <w:szCs w:val="20"/>
              </w:rPr>
            </w:pPr>
            <w:r>
              <w:rPr>
                <w:rFonts w:asciiTheme="minorHAnsi" w:hAnsiTheme="minorHAnsi"/>
                <w:sz w:val="20"/>
                <w:szCs w:val="20"/>
              </w:rPr>
              <w:t>-</w:t>
            </w:r>
          </w:p>
        </w:tc>
        <w:tc>
          <w:tcPr>
            <w:tcW w:w="1894" w:type="dxa"/>
            <w:tcMar>
              <w:top w:w="0" w:type="dxa"/>
              <w:left w:w="108" w:type="dxa"/>
              <w:bottom w:w="0" w:type="dxa"/>
              <w:right w:w="108" w:type="dxa"/>
            </w:tcMar>
            <w:hideMark/>
          </w:tcPr>
          <w:p w:rsidR="006E4017" w:rsidRPr="009378DB" w:rsidRDefault="006E4017" w:rsidP="009378DB">
            <w:pPr>
              <w:jc w:val="center"/>
              <w:rPr>
                <w:rFonts w:asciiTheme="minorHAnsi" w:hAnsiTheme="minorHAnsi"/>
                <w:sz w:val="20"/>
                <w:szCs w:val="20"/>
              </w:rPr>
            </w:pPr>
            <w:r>
              <w:rPr>
                <w:rFonts w:asciiTheme="minorHAnsi" w:hAnsiTheme="minorHAnsi"/>
                <w:sz w:val="20"/>
                <w:szCs w:val="20"/>
              </w:rPr>
              <w:t>-</w:t>
            </w:r>
          </w:p>
        </w:tc>
        <w:tc>
          <w:tcPr>
            <w:tcW w:w="1924" w:type="dxa"/>
            <w:hideMark/>
          </w:tcPr>
          <w:p w:rsidR="006E4017" w:rsidRPr="009378DB" w:rsidRDefault="006E4017">
            <w:pPr>
              <w:autoSpaceDE w:val="0"/>
              <w:autoSpaceDN w:val="0"/>
              <w:jc w:val="center"/>
              <w:rPr>
                <w:rFonts w:asciiTheme="minorHAnsi" w:eastAsiaTheme="minorHAnsi" w:hAnsiTheme="minorHAnsi"/>
                <w:iCs/>
                <w:sz w:val="22"/>
                <w:szCs w:val="22"/>
              </w:rPr>
            </w:pPr>
            <w:r w:rsidRPr="009378DB">
              <w:rPr>
                <w:rFonts w:asciiTheme="minorHAnsi" w:hAnsiTheme="minorHAnsi"/>
                <w:iCs/>
              </w:rPr>
              <w:t>1015</w:t>
            </w:r>
          </w:p>
        </w:tc>
        <w:tc>
          <w:tcPr>
            <w:tcW w:w="1834" w:type="dxa"/>
            <w:hideMark/>
          </w:tcPr>
          <w:p w:rsidR="006E4017" w:rsidRPr="009378DB" w:rsidRDefault="006E4017">
            <w:pPr>
              <w:autoSpaceDE w:val="0"/>
              <w:autoSpaceDN w:val="0"/>
              <w:jc w:val="center"/>
              <w:rPr>
                <w:rFonts w:asciiTheme="minorHAnsi" w:eastAsiaTheme="minorHAnsi" w:hAnsiTheme="minorHAnsi"/>
                <w:iCs/>
                <w:sz w:val="22"/>
                <w:szCs w:val="22"/>
              </w:rPr>
            </w:pPr>
            <w:r w:rsidRPr="009378DB">
              <w:rPr>
                <w:rFonts w:asciiTheme="minorHAnsi" w:hAnsiTheme="minorHAnsi"/>
                <w:iCs/>
              </w:rPr>
              <w:t>1.5%</w:t>
            </w:r>
          </w:p>
        </w:tc>
      </w:tr>
    </w:tbl>
    <w:p w:rsidR="0055289C" w:rsidRDefault="0055289C" w:rsidP="0055289C">
      <w:pPr>
        <w:rPr>
          <w:rFonts w:ascii="Calibri" w:hAnsi="Calibri" w:cs="Arial"/>
          <w:b/>
          <w:sz w:val="22"/>
          <w:szCs w:val="22"/>
          <w:u w:val="single"/>
        </w:rPr>
      </w:pPr>
    </w:p>
    <w:p w:rsidR="009378DB" w:rsidRDefault="009378DB" w:rsidP="0055289C">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55289C" w:rsidTr="0055289C">
        <w:tc>
          <w:tcPr>
            <w:tcW w:w="9689" w:type="dxa"/>
            <w:shd w:val="clear" w:color="auto" w:fill="0070C0"/>
          </w:tcPr>
          <w:p w:rsidR="0055289C" w:rsidRPr="004A026F" w:rsidRDefault="0055289C" w:rsidP="0055289C">
            <w:pPr>
              <w:pStyle w:val="Heading2"/>
            </w:pPr>
            <w:bookmarkStart w:id="14" w:name="_Toc323283994"/>
            <w:r>
              <w:t>Statements from the Care Quality Commission</w:t>
            </w:r>
            <w:bookmarkEnd w:id="14"/>
          </w:p>
        </w:tc>
      </w:tr>
    </w:tbl>
    <w:p w:rsidR="0055289C" w:rsidRDefault="0055289C" w:rsidP="0055289C">
      <w:pPr>
        <w:rPr>
          <w:rFonts w:ascii="Calibri" w:hAnsi="Calibri" w:cs="Arial"/>
          <w:b/>
          <w:sz w:val="22"/>
          <w:szCs w:val="22"/>
          <w:u w:val="single"/>
        </w:rPr>
      </w:pPr>
    </w:p>
    <w:p w:rsidR="0023741E" w:rsidRPr="00544356" w:rsidRDefault="0023741E" w:rsidP="0001725E">
      <w:pPr>
        <w:rPr>
          <w:rFonts w:ascii="Calibri" w:hAnsi="Calibri" w:cs="Arial"/>
        </w:rPr>
      </w:pPr>
      <w:r w:rsidRPr="00544356">
        <w:rPr>
          <w:rFonts w:ascii="Calibri" w:hAnsi="Calibri" w:cs="Arial"/>
        </w:rPr>
        <w:t>Oxford Health NHS Foundation Trust is required to register with the Care Quality Commission (CQC) and its current registration status is registered without conditions.</w:t>
      </w:r>
    </w:p>
    <w:p w:rsidR="0023741E" w:rsidRPr="00544356" w:rsidRDefault="0023741E" w:rsidP="0001725E">
      <w:pPr>
        <w:rPr>
          <w:rFonts w:ascii="Calibri" w:hAnsi="Calibri" w:cs="Arial"/>
        </w:rPr>
      </w:pPr>
    </w:p>
    <w:p w:rsidR="0023741E" w:rsidRPr="00544356" w:rsidRDefault="0023741E" w:rsidP="0001725E">
      <w:pPr>
        <w:rPr>
          <w:rFonts w:ascii="Calibri" w:hAnsi="Calibri" w:cs="Arial"/>
        </w:rPr>
      </w:pPr>
      <w:r w:rsidRPr="00544356">
        <w:rPr>
          <w:rFonts w:ascii="Calibri" w:hAnsi="Calibri" w:cs="Arial"/>
        </w:rPr>
        <w:t>The CQC has not taken enforcement action against Oxford Health NHS Foundation Trust during 2010-2011.</w:t>
      </w:r>
    </w:p>
    <w:p w:rsidR="0023741E" w:rsidRPr="00544356" w:rsidRDefault="0023741E" w:rsidP="0001725E">
      <w:pPr>
        <w:rPr>
          <w:rFonts w:ascii="Calibri" w:hAnsi="Calibri" w:cs="Arial"/>
        </w:rPr>
      </w:pPr>
    </w:p>
    <w:p w:rsidR="0023741E" w:rsidRPr="00544356" w:rsidRDefault="0023741E" w:rsidP="006B33D9">
      <w:pPr>
        <w:rPr>
          <w:rFonts w:ascii="Calibri" w:hAnsi="Calibri" w:cs="Arial"/>
          <w:color w:val="0070C0"/>
        </w:rPr>
      </w:pPr>
      <w:r w:rsidRPr="00544356">
        <w:rPr>
          <w:rFonts w:ascii="Calibri" w:hAnsi="Calibri" w:cs="Arial"/>
        </w:rPr>
        <w:t xml:space="preserve">Oxford Health NHS Foundation Trust </w:t>
      </w:r>
      <w:r w:rsidR="006B33D9" w:rsidRPr="00544356">
        <w:rPr>
          <w:rFonts w:ascii="Calibri" w:hAnsi="Calibri" w:cs="Arial"/>
        </w:rPr>
        <w:t xml:space="preserve">has </w:t>
      </w:r>
      <w:r w:rsidR="00604087">
        <w:rPr>
          <w:rFonts w:ascii="Calibri" w:hAnsi="Calibri" w:cs="Arial"/>
        </w:rPr>
        <w:t xml:space="preserve">not </w:t>
      </w:r>
      <w:r w:rsidRPr="00544356">
        <w:rPr>
          <w:rFonts w:ascii="Calibri" w:hAnsi="Calibri" w:cs="Arial"/>
        </w:rPr>
        <w:t xml:space="preserve">participated in </w:t>
      </w:r>
      <w:r w:rsidR="006B33D9" w:rsidRPr="00544356">
        <w:rPr>
          <w:rFonts w:ascii="Calibri" w:hAnsi="Calibri" w:cs="Arial"/>
        </w:rPr>
        <w:t>special</w:t>
      </w:r>
      <w:r w:rsidRPr="00544356">
        <w:rPr>
          <w:rFonts w:ascii="Calibri" w:hAnsi="Calibri" w:cs="Arial"/>
        </w:rPr>
        <w:t xml:space="preserve"> review</w:t>
      </w:r>
      <w:r w:rsidR="006B33D9" w:rsidRPr="00544356">
        <w:rPr>
          <w:rFonts w:ascii="Calibri" w:hAnsi="Calibri" w:cs="Arial"/>
        </w:rPr>
        <w:t>s or investigations by the Care Quality Commission during 2011/</w:t>
      </w:r>
      <w:r w:rsidR="00604087">
        <w:rPr>
          <w:rFonts w:ascii="Calibri" w:hAnsi="Calibri" w:cs="Arial"/>
        </w:rPr>
        <w:t>12.</w:t>
      </w:r>
    </w:p>
    <w:p w:rsidR="00115D3F" w:rsidRDefault="00115D3F">
      <w:pPr>
        <w:rPr>
          <w:rFonts w:ascii="Calibri" w:hAnsi="Calibri"/>
        </w:rPr>
      </w:pPr>
    </w:p>
    <w:p w:rsidR="009378DB" w:rsidRDefault="00115D3F">
      <w:pPr>
        <w:rPr>
          <w:rFonts w:ascii="Calibri" w:hAnsi="Calibri"/>
        </w:rPr>
      </w:pPr>
      <w:r>
        <w:rPr>
          <w:rFonts w:ascii="Calibri" w:hAnsi="Calibri"/>
        </w:rPr>
        <w:t xml:space="preserve">The CQC undertook inspections of inpatient mental health facilities to inspect welfare of patients detained under the Mental Health Act (1983). The CQC Mental Health Act for Annual Statement for the year 2011/12 is expected </w:t>
      </w:r>
      <w:r w:rsidR="001A68CE">
        <w:rPr>
          <w:rFonts w:ascii="Calibri" w:hAnsi="Calibri"/>
        </w:rPr>
        <w:t xml:space="preserve">shortly. </w:t>
      </w:r>
      <w:r>
        <w:rPr>
          <w:rFonts w:ascii="Calibri" w:hAnsi="Calibri"/>
        </w:rPr>
        <w:t xml:space="preserve">The 2010/11 report was presented by the CQC inspector to </w:t>
      </w:r>
      <w:r w:rsidR="001A68CE">
        <w:rPr>
          <w:rFonts w:ascii="Calibri" w:hAnsi="Calibri"/>
        </w:rPr>
        <w:t>the Integrated</w:t>
      </w:r>
      <w:r>
        <w:rPr>
          <w:rFonts w:ascii="Calibri" w:hAnsi="Calibri"/>
        </w:rPr>
        <w:t xml:space="preserve"> Gover</w:t>
      </w:r>
      <w:r w:rsidR="0052656C">
        <w:rPr>
          <w:rFonts w:ascii="Calibri" w:hAnsi="Calibri"/>
        </w:rPr>
        <w:t>n</w:t>
      </w:r>
      <w:r>
        <w:rPr>
          <w:rFonts w:ascii="Calibri" w:hAnsi="Calibri"/>
        </w:rPr>
        <w:t>ance Committee</w:t>
      </w:r>
      <w:r w:rsidR="0052656C">
        <w:rPr>
          <w:rFonts w:ascii="Calibri" w:hAnsi="Calibri"/>
        </w:rPr>
        <w:t xml:space="preserve"> recommendations included ensuring</w:t>
      </w:r>
      <w:r>
        <w:rPr>
          <w:rFonts w:ascii="Calibri" w:hAnsi="Calibri"/>
        </w:rPr>
        <w:t xml:space="preserve"> patients understand their rights to access </w:t>
      </w:r>
      <w:r w:rsidR="001A68CE">
        <w:rPr>
          <w:rFonts w:ascii="Calibri" w:hAnsi="Calibri"/>
        </w:rPr>
        <w:t xml:space="preserve">and egress </w:t>
      </w:r>
      <w:r>
        <w:rPr>
          <w:rFonts w:ascii="Calibri" w:hAnsi="Calibri"/>
        </w:rPr>
        <w:t xml:space="preserve">in the wards has been improved. Improvements to standards in Care Planning and environmental </w:t>
      </w:r>
      <w:r w:rsidR="001A68CE">
        <w:rPr>
          <w:rFonts w:ascii="Calibri" w:hAnsi="Calibri"/>
        </w:rPr>
        <w:t>improvements</w:t>
      </w:r>
      <w:r>
        <w:rPr>
          <w:rFonts w:ascii="Calibri" w:hAnsi="Calibri"/>
        </w:rPr>
        <w:t xml:space="preserve"> have also been made.</w:t>
      </w:r>
    </w:p>
    <w:p w:rsidR="008F1D48" w:rsidRPr="00185C19" w:rsidRDefault="008F1D48" w:rsidP="006B33D9">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B211F9" w:rsidTr="00B211F9">
        <w:tc>
          <w:tcPr>
            <w:tcW w:w="9689" w:type="dxa"/>
            <w:shd w:val="clear" w:color="auto" w:fill="0070C0"/>
          </w:tcPr>
          <w:p w:rsidR="00B211F9" w:rsidRPr="004A026F" w:rsidRDefault="00B211F9" w:rsidP="00B211F9">
            <w:pPr>
              <w:pStyle w:val="Heading2"/>
            </w:pPr>
            <w:bookmarkStart w:id="15" w:name="_Toc323283995"/>
            <w:r>
              <w:lastRenderedPageBreak/>
              <w:t>Quality of Data</w:t>
            </w:r>
            <w:bookmarkEnd w:id="15"/>
          </w:p>
        </w:tc>
      </w:tr>
    </w:tbl>
    <w:p w:rsidR="00B211F9" w:rsidRDefault="00B211F9" w:rsidP="00B211F9">
      <w:pPr>
        <w:rPr>
          <w:rFonts w:ascii="Calibri" w:hAnsi="Calibri" w:cs="Arial"/>
          <w:b/>
          <w:sz w:val="22"/>
          <w:szCs w:val="22"/>
          <w:u w:val="single"/>
        </w:rPr>
      </w:pPr>
    </w:p>
    <w:p w:rsidR="001E482D" w:rsidRPr="00544356" w:rsidRDefault="001E482D" w:rsidP="0001725E">
      <w:pPr>
        <w:rPr>
          <w:rFonts w:ascii="Calibri" w:hAnsi="Calibri" w:cs="Arial"/>
        </w:rPr>
      </w:pPr>
      <w:r w:rsidRPr="00544356">
        <w:rPr>
          <w:rFonts w:ascii="Calibri" w:hAnsi="Calibri" w:cs="Arial"/>
        </w:rPr>
        <w:t>Oxford Health NHS Foundation Trust submitted records during 2011/12 to the Secondary Uses service for inclusion in the Hospital Episode Statistics which are included in the latest published data.  The percentage of records in the published data:</w:t>
      </w:r>
    </w:p>
    <w:p w:rsidR="001E482D" w:rsidRPr="00544356" w:rsidRDefault="001E482D" w:rsidP="0001725E">
      <w:pPr>
        <w:rPr>
          <w:rFonts w:ascii="Calibri" w:hAnsi="Calibri" w:cs="Arial"/>
        </w:rPr>
      </w:pPr>
    </w:p>
    <w:p w:rsidR="00C3155B" w:rsidRPr="00544356" w:rsidRDefault="00C3155B" w:rsidP="00C3155B">
      <w:pPr>
        <w:pStyle w:val="ListParagraph"/>
        <w:numPr>
          <w:ilvl w:val="2"/>
          <w:numId w:val="7"/>
        </w:numPr>
        <w:ind w:left="567" w:hanging="567"/>
        <w:rPr>
          <w:rFonts w:ascii="Calibri" w:hAnsi="Calibri" w:cs="Arial"/>
        </w:rPr>
      </w:pPr>
      <w:proofErr w:type="gramStart"/>
      <w:r w:rsidRPr="00544356">
        <w:rPr>
          <w:rFonts w:ascii="Calibri" w:hAnsi="Calibri" w:cs="Arial"/>
        </w:rPr>
        <w:t>which</w:t>
      </w:r>
      <w:proofErr w:type="gramEnd"/>
      <w:r w:rsidRPr="00544356">
        <w:rPr>
          <w:rFonts w:ascii="Calibri" w:hAnsi="Calibri" w:cs="Arial"/>
        </w:rPr>
        <w:t xml:space="preserve"> included the patient’s valid NHS Number was: </w:t>
      </w:r>
      <w:r>
        <w:rPr>
          <w:rFonts w:ascii="Calibri" w:hAnsi="Calibri" w:cs="Arial"/>
        </w:rPr>
        <w:t>98.7%</w:t>
      </w:r>
      <w:r w:rsidRPr="00544356">
        <w:rPr>
          <w:rFonts w:ascii="Calibri" w:hAnsi="Calibri" w:cs="Arial"/>
        </w:rPr>
        <w:t xml:space="preserve"> for admitted patient care</w:t>
      </w:r>
      <w:r>
        <w:rPr>
          <w:rFonts w:ascii="Calibri" w:hAnsi="Calibri" w:cs="Arial"/>
        </w:rPr>
        <w:t xml:space="preserve"> (Mental Health); 99.9% for admitted patient (Community Health) and 99.2%</w:t>
      </w:r>
      <w:r w:rsidRPr="00544356">
        <w:rPr>
          <w:rFonts w:ascii="Calibri" w:hAnsi="Calibri" w:cs="Arial"/>
        </w:rPr>
        <w:t xml:space="preserve"> for outpatient care</w:t>
      </w:r>
      <w:r>
        <w:rPr>
          <w:rFonts w:ascii="Calibri" w:hAnsi="Calibri" w:cs="Arial"/>
        </w:rPr>
        <w:t xml:space="preserve">. We do not submit data </w:t>
      </w:r>
      <w:r w:rsidRPr="00544356">
        <w:rPr>
          <w:rFonts w:ascii="Calibri" w:hAnsi="Calibri" w:cs="Arial"/>
        </w:rPr>
        <w:t>for accident and emergency care</w:t>
      </w:r>
    </w:p>
    <w:p w:rsidR="00C3155B" w:rsidRPr="00544356" w:rsidRDefault="00C3155B" w:rsidP="00C3155B">
      <w:pPr>
        <w:pStyle w:val="ListParagraph"/>
        <w:numPr>
          <w:ilvl w:val="2"/>
          <w:numId w:val="7"/>
        </w:numPr>
        <w:ind w:left="567" w:hanging="567"/>
        <w:rPr>
          <w:rFonts w:ascii="Calibri" w:hAnsi="Calibri" w:cs="Arial"/>
        </w:rPr>
      </w:pPr>
      <w:proofErr w:type="gramStart"/>
      <w:r w:rsidRPr="00544356">
        <w:rPr>
          <w:rFonts w:ascii="Calibri" w:hAnsi="Calibri" w:cs="Arial"/>
        </w:rPr>
        <w:t>which</w:t>
      </w:r>
      <w:proofErr w:type="gramEnd"/>
      <w:r w:rsidRPr="00544356">
        <w:rPr>
          <w:rFonts w:ascii="Calibri" w:hAnsi="Calibri" w:cs="Arial"/>
        </w:rPr>
        <w:t xml:space="preserve"> included the patient’s valid General Practitioner Registration Code was: </w:t>
      </w:r>
      <w:r w:rsidRPr="006350D6">
        <w:rPr>
          <w:rFonts w:ascii="Calibri" w:hAnsi="Calibri" w:cs="Arial"/>
        </w:rPr>
        <w:t>81.6</w:t>
      </w:r>
      <w:r>
        <w:rPr>
          <w:rFonts w:ascii="Calibri" w:hAnsi="Calibri" w:cs="Arial"/>
        </w:rPr>
        <w:t>%</w:t>
      </w:r>
      <w:r w:rsidRPr="00544356">
        <w:rPr>
          <w:rFonts w:ascii="Calibri" w:hAnsi="Calibri" w:cs="Arial"/>
        </w:rPr>
        <w:t xml:space="preserve"> for admitted patient care</w:t>
      </w:r>
      <w:r>
        <w:rPr>
          <w:rFonts w:ascii="Calibri" w:hAnsi="Calibri" w:cs="Arial"/>
        </w:rPr>
        <w:t xml:space="preserve"> (mental health)</w:t>
      </w:r>
      <w:r w:rsidRPr="00544356">
        <w:rPr>
          <w:rFonts w:ascii="Calibri" w:hAnsi="Calibri" w:cs="Arial"/>
        </w:rPr>
        <w:t>;</w:t>
      </w:r>
      <w:r>
        <w:rPr>
          <w:rFonts w:ascii="Calibri" w:hAnsi="Calibri" w:cs="Arial"/>
        </w:rPr>
        <w:t xml:space="preserve"> 77.6% for admitted patient care (Community Health) and </w:t>
      </w:r>
      <w:r w:rsidRPr="00544356">
        <w:rPr>
          <w:rFonts w:ascii="Calibri" w:hAnsi="Calibri" w:cs="Arial"/>
        </w:rPr>
        <w:t xml:space="preserve"> </w:t>
      </w:r>
      <w:r>
        <w:rPr>
          <w:rFonts w:ascii="Calibri" w:hAnsi="Calibri" w:cs="Arial"/>
        </w:rPr>
        <w:t>81%</w:t>
      </w:r>
      <w:r w:rsidRPr="00544356">
        <w:rPr>
          <w:rFonts w:ascii="Calibri" w:hAnsi="Calibri" w:cs="Arial"/>
        </w:rPr>
        <w:t xml:space="preserve"> for outpatient care</w:t>
      </w:r>
      <w:r>
        <w:rPr>
          <w:rFonts w:ascii="Calibri" w:hAnsi="Calibri" w:cs="Arial"/>
        </w:rPr>
        <w:t>. We do not submit data</w:t>
      </w:r>
      <w:r w:rsidRPr="00544356">
        <w:rPr>
          <w:rFonts w:ascii="Calibri" w:hAnsi="Calibri" w:cs="Arial"/>
        </w:rPr>
        <w:t xml:space="preserve"> for accident and emergency care</w:t>
      </w:r>
    </w:p>
    <w:p w:rsidR="00B96E00" w:rsidRPr="00544356" w:rsidRDefault="00B96E00" w:rsidP="00B96E00">
      <w:pPr>
        <w:rPr>
          <w:rFonts w:ascii="Calibri" w:hAnsi="Calibri" w:cs="Arial"/>
        </w:rPr>
      </w:pPr>
    </w:p>
    <w:p w:rsidR="00B96E00" w:rsidRPr="00544356" w:rsidRDefault="00B96E00" w:rsidP="00B96E00">
      <w:pPr>
        <w:rPr>
          <w:rFonts w:ascii="Calibri" w:hAnsi="Calibri" w:cs="Arial"/>
        </w:rPr>
      </w:pPr>
      <w:r w:rsidRPr="00544356">
        <w:rPr>
          <w:rFonts w:ascii="Calibri" w:hAnsi="Calibri" w:cs="Arial"/>
        </w:rPr>
        <w:t xml:space="preserve">Oxford Health NHS Foundation Trust’s Information Governance Assessment Report overall score overall score for 2011/12 was </w:t>
      </w:r>
      <w:r w:rsidR="00A748BB" w:rsidRPr="00A748BB">
        <w:rPr>
          <w:rFonts w:ascii="Calibri" w:hAnsi="Calibri" w:cs="Arial"/>
        </w:rPr>
        <w:t>80</w:t>
      </w:r>
      <w:r w:rsidRPr="00A748BB">
        <w:rPr>
          <w:rFonts w:ascii="Calibri" w:hAnsi="Calibri" w:cs="Arial"/>
        </w:rPr>
        <w:t>%</w:t>
      </w:r>
      <w:r w:rsidRPr="00544356">
        <w:rPr>
          <w:rFonts w:ascii="Calibri" w:hAnsi="Calibri" w:cs="Arial"/>
        </w:rPr>
        <w:t xml:space="preserve"> and was </w:t>
      </w:r>
      <w:r w:rsidR="008E6382" w:rsidRPr="00544356">
        <w:rPr>
          <w:rFonts w:ascii="Calibri" w:hAnsi="Calibri" w:cs="Arial"/>
        </w:rPr>
        <w:t xml:space="preserve">graded </w:t>
      </w:r>
      <w:r w:rsidR="00A748BB">
        <w:rPr>
          <w:rFonts w:ascii="Calibri" w:hAnsi="Calibri" w:cs="Arial"/>
        </w:rPr>
        <w:t>green (satisfactory)</w:t>
      </w:r>
      <w:r w:rsidRPr="00544356">
        <w:rPr>
          <w:rFonts w:ascii="Calibri" w:hAnsi="Calibri" w:cs="Arial"/>
        </w:rPr>
        <w:t xml:space="preserve">. </w:t>
      </w:r>
    </w:p>
    <w:p w:rsidR="008E6382" w:rsidRPr="00544356" w:rsidRDefault="008E6382" w:rsidP="00B96E00">
      <w:pPr>
        <w:rPr>
          <w:rFonts w:ascii="Calibri" w:hAnsi="Calibri" w:cs="Arial"/>
        </w:rPr>
      </w:pPr>
    </w:p>
    <w:p w:rsidR="0023741E" w:rsidRPr="00544356" w:rsidRDefault="0023741E" w:rsidP="0001725E">
      <w:pPr>
        <w:rPr>
          <w:rFonts w:ascii="Calibri" w:hAnsi="Calibri" w:cs="Arial"/>
        </w:rPr>
      </w:pPr>
      <w:r w:rsidRPr="00544356">
        <w:rPr>
          <w:rFonts w:ascii="Calibri" w:hAnsi="Calibri" w:cs="Arial"/>
        </w:rPr>
        <w:t>Oxford Health NHS Foundation Trust will be taking the following actions to improve data quality:</w:t>
      </w:r>
    </w:p>
    <w:p w:rsidR="0023741E" w:rsidRPr="00544356" w:rsidRDefault="0023741E" w:rsidP="0001725E">
      <w:pPr>
        <w:rPr>
          <w:rFonts w:ascii="Calibri" w:hAnsi="Calibri" w:cs="Arial"/>
          <w:color w:val="0070C0"/>
        </w:rPr>
      </w:pPr>
    </w:p>
    <w:p w:rsidR="00293200" w:rsidRDefault="00293200" w:rsidP="004425E9">
      <w:pPr>
        <w:numPr>
          <w:ilvl w:val="0"/>
          <w:numId w:val="12"/>
        </w:numPr>
        <w:autoSpaceDE w:val="0"/>
        <w:autoSpaceDN w:val="0"/>
        <w:adjustRightInd w:val="0"/>
        <w:rPr>
          <w:rFonts w:ascii="Calibri" w:hAnsi="Calibri" w:cs="Arial"/>
        </w:rPr>
      </w:pPr>
      <w:r>
        <w:rPr>
          <w:rFonts w:ascii="Arial" w:hAnsi="Arial" w:cs="Arial"/>
          <w:color w:val="002060"/>
        </w:rPr>
        <w:t>We are ensuring the committee structure receives sufficient data quality assurance</w:t>
      </w:r>
    </w:p>
    <w:p w:rsidR="004425E9" w:rsidRPr="004425E9" w:rsidRDefault="004425E9" w:rsidP="004425E9">
      <w:pPr>
        <w:numPr>
          <w:ilvl w:val="0"/>
          <w:numId w:val="12"/>
        </w:numPr>
        <w:autoSpaceDE w:val="0"/>
        <w:autoSpaceDN w:val="0"/>
        <w:adjustRightInd w:val="0"/>
        <w:rPr>
          <w:rFonts w:ascii="Calibri" w:hAnsi="Calibri" w:cs="Arial"/>
        </w:rPr>
      </w:pPr>
      <w:r>
        <w:rPr>
          <w:rFonts w:ascii="Calibri" w:hAnsi="Calibri" w:cs="Arial"/>
        </w:rPr>
        <w:t>T</w:t>
      </w:r>
      <w:r w:rsidRPr="004425E9">
        <w:rPr>
          <w:rFonts w:ascii="Calibri" w:hAnsi="Calibri" w:cs="Arial"/>
        </w:rPr>
        <w:t xml:space="preserve">he Completeness and Validity report </w:t>
      </w:r>
      <w:r>
        <w:rPr>
          <w:rFonts w:ascii="Calibri" w:hAnsi="Calibri" w:cs="Arial"/>
        </w:rPr>
        <w:t xml:space="preserve">is now generated </w:t>
      </w:r>
      <w:r w:rsidRPr="004425E9">
        <w:rPr>
          <w:rFonts w:ascii="Calibri" w:hAnsi="Calibri" w:cs="Arial"/>
        </w:rPr>
        <w:t>quarterly</w:t>
      </w:r>
    </w:p>
    <w:p w:rsidR="0023741E" w:rsidRPr="004425E9" w:rsidRDefault="004425E9" w:rsidP="004425E9">
      <w:pPr>
        <w:numPr>
          <w:ilvl w:val="0"/>
          <w:numId w:val="12"/>
        </w:numPr>
        <w:autoSpaceDE w:val="0"/>
        <w:autoSpaceDN w:val="0"/>
        <w:adjustRightInd w:val="0"/>
        <w:rPr>
          <w:rFonts w:ascii="Calibri" w:hAnsi="Calibri" w:cs="Arial"/>
        </w:rPr>
      </w:pPr>
      <w:r>
        <w:rPr>
          <w:rFonts w:ascii="Calibri" w:hAnsi="Calibri" w:cs="Arial"/>
        </w:rPr>
        <w:t>I</w:t>
      </w:r>
      <w:r w:rsidRPr="004425E9">
        <w:rPr>
          <w:rFonts w:ascii="Calibri" w:hAnsi="Calibri" w:cs="Arial"/>
        </w:rPr>
        <w:t>mprov</w:t>
      </w:r>
      <w:r>
        <w:rPr>
          <w:rFonts w:ascii="Calibri" w:hAnsi="Calibri" w:cs="Arial"/>
        </w:rPr>
        <w:t>ing the</w:t>
      </w:r>
      <w:r w:rsidRPr="004425E9">
        <w:rPr>
          <w:rFonts w:ascii="Calibri" w:hAnsi="Calibri" w:cs="Arial"/>
        </w:rPr>
        <w:t xml:space="preserve"> clinical coding </w:t>
      </w:r>
      <w:r>
        <w:rPr>
          <w:rFonts w:ascii="Calibri" w:hAnsi="Calibri" w:cs="Arial"/>
        </w:rPr>
        <w:t>by ensuring</w:t>
      </w:r>
      <w:r w:rsidRPr="004425E9">
        <w:rPr>
          <w:rFonts w:ascii="Calibri" w:hAnsi="Calibri" w:cs="Arial"/>
        </w:rPr>
        <w:t xml:space="preserve"> staff underta</w:t>
      </w:r>
      <w:r>
        <w:rPr>
          <w:rFonts w:ascii="Calibri" w:hAnsi="Calibri" w:cs="Arial"/>
        </w:rPr>
        <w:t>ke</w:t>
      </w:r>
      <w:r w:rsidRPr="004425E9">
        <w:rPr>
          <w:rFonts w:ascii="Calibri" w:hAnsi="Calibri" w:cs="Arial"/>
        </w:rPr>
        <w:t xml:space="preserve"> the National Clinical Coding Qualification</w:t>
      </w:r>
    </w:p>
    <w:p w:rsidR="00B211F9" w:rsidRPr="00185C19" w:rsidRDefault="00B211F9" w:rsidP="00B211F9">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B211F9" w:rsidTr="00B211F9">
        <w:tc>
          <w:tcPr>
            <w:tcW w:w="9689" w:type="dxa"/>
            <w:shd w:val="clear" w:color="auto" w:fill="0070C0"/>
          </w:tcPr>
          <w:p w:rsidR="00B211F9" w:rsidRPr="004A026F" w:rsidRDefault="00B211F9" w:rsidP="00B211F9">
            <w:pPr>
              <w:pStyle w:val="Heading2"/>
            </w:pPr>
            <w:bookmarkStart w:id="16" w:name="_Toc323283996"/>
            <w:r>
              <w:t>Payment by results clinical coding audit</w:t>
            </w:r>
            <w:bookmarkEnd w:id="16"/>
          </w:p>
        </w:tc>
      </w:tr>
    </w:tbl>
    <w:p w:rsidR="00B211F9" w:rsidRDefault="00B211F9" w:rsidP="00B211F9">
      <w:pPr>
        <w:rPr>
          <w:rFonts w:ascii="Calibri" w:hAnsi="Calibri" w:cs="Arial"/>
          <w:b/>
          <w:sz w:val="22"/>
          <w:szCs w:val="22"/>
          <w:u w:val="single"/>
        </w:rPr>
      </w:pPr>
    </w:p>
    <w:p w:rsidR="0023741E" w:rsidRPr="00544356" w:rsidRDefault="0023741E" w:rsidP="0001725E">
      <w:pPr>
        <w:rPr>
          <w:rFonts w:ascii="Calibri" w:hAnsi="Calibri" w:cs="Arial"/>
        </w:rPr>
      </w:pPr>
      <w:r w:rsidRPr="00544356">
        <w:rPr>
          <w:rFonts w:ascii="Calibri" w:hAnsi="Calibri" w:cs="Arial"/>
        </w:rPr>
        <w:t xml:space="preserve">Oxford Health NHS Foundation Trust was not subject to the Payment by Results clinical coding audit during </w:t>
      </w:r>
      <w:r w:rsidR="008E6382" w:rsidRPr="00544356">
        <w:rPr>
          <w:rFonts w:ascii="Calibri" w:hAnsi="Calibri" w:cs="Arial"/>
        </w:rPr>
        <w:t>the reporting period</w:t>
      </w:r>
      <w:r w:rsidRPr="00544356">
        <w:rPr>
          <w:rFonts w:ascii="Calibri" w:hAnsi="Calibri" w:cs="Arial"/>
        </w:rPr>
        <w:t xml:space="preserve"> by the Audit Commission.</w:t>
      </w:r>
    </w:p>
    <w:p w:rsidR="0023741E" w:rsidRPr="00544356" w:rsidRDefault="0023741E" w:rsidP="0001725E">
      <w:pPr>
        <w:jc w:val="center"/>
        <w:rPr>
          <w:rFonts w:ascii="Arial" w:hAnsi="Arial" w:cs="Arial"/>
          <w:b/>
          <w:bCs/>
          <w:color w:val="0070C0"/>
        </w:rPr>
      </w:pPr>
    </w:p>
    <w:p w:rsidR="0023741E" w:rsidRPr="00544356" w:rsidRDefault="0023741E" w:rsidP="0059544C">
      <w:pPr>
        <w:rPr>
          <w:color w:val="0070C0"/>
        </w:rPr>
      </w:pPr>
    </w:p>
    <w:p w:rsidR="0023741E" w:rsidRPr="00544356" w:rsidRDefault="0023741E">
      <w:pPr>
        <w:rPr>
          <w:rFonts w:ascii="Calibri" w:hAnsi="Calibri"/>
          <w:b/>
          <w:bCs/>
          <w:color w:val="0070C0"/>
        </w:rPr>
      </w:pPr>
      <w:r w:rsidRPr="00544356">
        <w:rPr>
          <w:rFonts w:ascii="Calibri" w:hAnsi="Calibri"/>
          <w:color w:val="0070C0"/>
        </w:rPr>
        <w:br w:type="page"/>
      </w:r>
    </w:p>
    <w:p w:rsidR="00B211F9" w:rsidRPr="00FA2D48" w:rsidRDefault="00B211F9" w:rsidP="00B211F9">
      <w:pPr>
        <w:pStyle w:val="Heading1"/>
      </w:pPr>
    </w:p>
    <w:tbl>
      <w:tblPr>
        <w:tblStyle w:val="TableGrid"/>
        <w:tblW w:w="0" w:type="auto"/>
        <w:tblBorders>
          <w:top w:val="single" w:sz="4" w:space="0" w:color="0070C0"/>
          <w:left w:val="none" w:sz="0" w:space="0" w:color="auto"/>
          <w:bottom w:val="double" w:sz="4" w:space="0" w:color="0070C0"/>
          <w:right w:val="none" w:sz="0" w:space="0" w:color="auto"/>
          <w:insideH w:val="none" w:sz="0" w:space="0" w:color="auto"/>
          <w:insideV w:val="none" w:sz="0" w:space="0" w:color="auto"/>
        </w:tblBorders>
        <w:tblLook w:val="04A0"/>
      </w:tblPr>
      <w:tblGrid>
        <w:gridCol w:w="9689"/>
      </w:tblGrid>
      <w:tr w:rsidR="00B211F9" w:rsidTr="00B211F9">
        <w:tc>
          <w:tcPr>
            <w:tcW w:w="9689" w:type="dxa"/>
          </w:tcPr>
          <w:p w:rsidR="00B211F9" w:rsidRPr="004A026F" w:rsidRDefault="00B211F9" w:rsidP="000C0B91">
            <w:pPr>
              <w:pStyle w:val="Heading1"/>
              <w:rPr>
                <w:rFonts w:ascii="Calibri" w:hAnsi="Calibri"/>
                <w:u w:val="single"/>
              </w:rPr>
            </w:pPr>
            <w:bookmarkStart w:id="17" w:name="_Toc323283997"/>
            <w:proofErr w:type="gramStart"/>
            <w:r w:rsidRPr="004A026F">
              <w:t xml:space="preserve">Part </w:t>
            </w:r>
            <w:r w:rsidR="000C0B91">
              <w:t>3</w:t>
            </w:r>
            <w:r w:rsidRPr="004A026F">
              <w:t>.</w:t>
            </w:r>
            <w:proofErr w:type="gramEnd"/>
            <w:r w:rsidRPr="004A026F">
              <w:tab/>
            </w:r>
            <w:r w:rsidR="000C0B91" w:rsidRPr="00544356">
              <w:t>Looking Back – Priorities for Improvement 2011/1</w:t>
            </w:r>
            <w:r w:rsidR="000C0B91">
              <w:t>2</w:t>
            </w:r>
            <w:bookmarkEnd w:id="17"/>
          </w:p>
        </w:tc>
      </w:tr>
    </w:tbl>
    <w:p w:rsidR="00B211F9" w:rsidRDefault="00B211F9" w:rsidP="00B211F9">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B211F9" w:rsidTr="00B211F9">
        <w:tc>
          <w:tcPr>
            <w:tcW w:w="9689" w:type="dxa"/>
            <w:shd w:val="clear" w:color="auto" w:fill="0070C0"/>
          </w:tcPr>
          <w:p w:rsidR="00B211F9" w:rsidRPr="0026092C" w:rsidRDefault="000C0B91" w:rsidP="000C0B91">
            <w:pPr>
              <w:pStyle w:val="Heading2"/>
            </w:pPr>
            <w:bookmarkStart w:id="18" w:name="_Toc323283998"/>
            <w:r>
              <w:t>Introduction</w:t>
            </w:r>
            <w:bookmarkEnd w:id="18"/>
          </w:p>
        </w:tc>
      </w:tr>
    </w:tbl>
    <w:p w:rsidR="0023741E" w:rsidRPr="00544356" w:rsidRDefault="0023741E" w:rsidP="0017777C">
      <w:pPr>
        <w:rPr>
          <w:rFonts w:ascii="Calibri" w:hAnsi="Calibri" w:cs="Arial"/>
          <w:b/>
          <w:u w:val="single"/>
        </w:rPr>
      </w:pPr>
    </w:p>
    <w:p w:rsidR="0023741E" w:rsidRDefault="0023741E" w:rsidP="009057D9">
      <w:pPr>
        <w:rPr>
          <w:rFonts w:ascii="Calibri" w:hAnsi="Calibri" w:cs="Arial"/>
        </w:rPr>
      </w:pPr>
      <w:r w:rsidRPr="00544356">
        <w:rPr>
          <w:rFonts w:ascii="Calibri" w:hAnsi="Calibri" w:cs="Arial"/>
        </w:rPr>
        <w:t>Last year 201</w:t>
      </w:r>
      <w:r w:rsidR="00886136" w:rsidRPr="00544356">
        <w:rPr>
          <w:rFonts w:ascii="Calibri" w:hAnsi="Calibri" w:cs="Arial"/>
        </w:rPr>
        <w:t>1</w:t>
      </w:r>
      <w:r w:rsidR="008E6382" w:rsidRPr="00544356">
        <w:rPr>
          <w:rFonts w:ascii="Calibri" w:hAnsi="Calibri" w:cs="Arial"/>
        </w:rPr>
        <w:t>/</w:t>
      </w:r>
      <w:r w:rsidRPr="00544356">
        <w:rPr>
          <w:rFonts w:ascii="Calibri" w:hAnsi="Calibri" w:cs="Arial"/>
        </w:rPr>
        <w:t>1</w:t>
      </w:r>
      <w:r w:rsidR="00886136" w:rsidRPr="00544356">
        <w:rPr>
          <w:rFonts w:ascii="Calibri" w:hAnsi="Calibri" w:cs="Arial"/>
        </w:rPr>
        <w:t>2</w:t>
      </w:r>
      <w:r w:rsidRPr="00544356">
        <w:rPr>
          <w:rFonts w:ascii="Calibri" w:hAnsi="Calibri" w:cs="Arial"/>
        </w:rPr>
        <w:t xml:space="preserve"> our Quality Account for Oxford Health NHS Foundation Trust set out ambitious targets in the areas of safety, patient experience and outcomes, some of which were to be achieved over the following two to four years. </w:t>
      </w:r>
      <w:r w:rsidR="00241C29">
        <w:rPr>
          <w:rFonts w:ascii="Calibri" w:hAnsi="Calibri" w:cs="Arial"/>
        </w:rPr>
        <w:t>We linked the quality measures into five broad areas which matched the NHS’ own key quality initiatives</w:t>
      </w:r>
      <w:r w:rsidR="009256F0">
        <w:rPr>
          <w:rFonts w:ascii="Calibri" w:hAnsi="Calibri" w:cs="Arial"/>
        </w:rPr>
        <w:t xml:space="preserve"> and defined them so that they would accurately cover the important and immediate areas of quality improvement.</w:t>
      </w:r>
      <w:r w:rsidR="00241C29">
        <w:rPr>
          <w:rFonts w:ascii="Calibri" w:hAnsi="Calibri" w:cs="Arial"/>
        </w:rPr>
        <w:t xml:space="preserve"> </w:t>
      </w:r>
      <w:r w:rsidRPr="00544356">
        <w:rPr>
          <w:rFonts w:ascii="Calibri" w:hAnsi="Calibri" w:cs="Arial"/>
        </w:rPr>
        <w:t>Details of these priorities and the progress we have made within the first year are outlined below</w:t>
      </w:r>
      <w:r w:rsidR="009256F0">
        <w:rPr>
          <w:rFonts w:ascii="Calibri" w:hAnsi="Calibri" w:cs="Arial"/>
        </w:rPr>
        <w:t>.</w:t>
      </w:r>
    </w:p>
    <w:p w:rsidR="00195B6D" w:rsidRPr="00544356" w:rsidRDefault="00195B6D" w:rsidP="009057D9">
      <w:pPr>
        <w:rPr>
          <w:rFonts w:ascii="Calibri" w:hAnsi="Calibri" w:cs="Arial"/>
        </w:rPr>
      </w:pPr>
    </w:p>
    <w:tbl>
      <w:tblPr>
        <w:tblStyle w:val="TableGrid"/>
        <w:tblW w:w="0" w:type="auto"/>
        <w:tblBorders>
          <w:top w:val="single" w:sz="4" w:space="0" w:color="0070C0"/>
          <w:left w:val="none" w:sz="0" w:space="0" w:color="auto"/>
          <w:bottom w:val="single" w:sz="4" w:space="0" w:color="0070C0"/>
          <w:right w:val="none" w:sz="0" w:space="0" w:color="auto"/>
          <w:insideH w:val="none" w:sz="0" w:space="0" w:color="auto"/>
          <w:insideV w:val="none" w:sz="0" w:space="0" w:color="auto"/>
        </w:tblBorders>
        <w:tblLook w:val="04A0"/>
      </w:tblPr>
      <w:tblGrid>
        <w:gridCol w:w="9242"/>
      </w:tblGrid>
      <w:tr w:rsidR="00923DB1" w:rsidTr="00923DB1">
        <w:tc>
          <w:tcPr>
            <w:tcW w:w="9242" w:type="dxa"/>
          </w:tcPr>
          <w:p w:rsidR="00923DB1" w:rsidRPr="00ED3BBA" w:rsidRDefault="00923DB1" w:rsidP="00923DB1">
            <w:pPr>
              <w:jc w:val="both"/>
              <w:rPr>
                <w:rFonts w:ascii="Arial" w:hAnsi="Arial" w:cs="Arial"/>
                <w:color w:val="0070C0"/>
                <w:sz w:val="32"/>
                <w:szCs w:val="32"/>
              </w:rPr>
            </w:pPr>
            <w:r>
              <w:rPr>
                <w:rFonts w:ascii="Arial" w:hAnsi="Arial" w:cs="Arial"/>
                <w:color w:val="0070C0"/>
                <w:sz w:val="32"/>
                <w:szCs w:val="32"/>
              </w:rPr>
              <w:t>Patient Safety</w:t>
            </w:r>
          </w:p>
        </w:tc>
      </w:tr>
    </w:tbl>
    <w:p w:rsidR="00923DB1" w:rsidRPr="00544356" w:rsidRDefault="00923DB1" w:rsidP="00923DB1">
      <w:pPr>
        <w:ind w:right="260"/>
        <w:jc w:val="both"/>
        <w:rPr>
          <w:rFonts w:ascii="Calibri" w:hAnsi="Calibri" w:cs="Arial"/>
          <w:color w:val="0070C0"/>
        </w:rPr>
      </w:pPr>
    </w:p>
    <w:p w:rsidR="00923DB1" w:rsidRPr="0084016F" w:rsidRDefault="00923DB1" w:rsidP="00923DB1">
      <w:pPr>
        <w:pStyle w:val="Heading3"/>
      </w:pPr>
      <w:r>
        <w:t xml:space="preserve">Domain </w:t>
      </w:r>
      <w:r w:rsidRPr="0084016F">
        <w:t>1</w:t>
      </w:r>
      <w:r w:rsidR="002C3649">
        <w:t xml:space="preserve">: </w:t>
      </w:r>
      <w:r w:rsidRPr="0084016F">
        <w:t>Preventing People from Dying Prematurely</w:t>
      </w:r>
    </w:p>
    <w:p w:rsidR="004B5477" w:rsidRDefault="004B5477" w:rsidP="004B5477">
      <w:pPr>
        <w:jc w:val="both"/>
        <w:rPr>
          <w:rFonts w:ascii="Calibri" w:hAnsi="Calibri" w:cs="Arial"/>
          <w:color w:val="0070C0"/>
        </w:rPr>
      </w:pPr>
    </w:p>
    <w:p w:rsidR="004B5477" w:rsidRDefault="004B5477" w:rsidP="004B5477">
      <w:pPr>
        <w:jc w:val="both"/>
        <w:rPr>
          <w:rFonts w:ascii="Calibri" w:hAnsi="Calibri" w:cs="Arial"/>
        </w:rPr>
      </w:pPr>
      <w:r w:rsidRPr="00511635">
        <w:rPr>
          <w:rFonts w:ascii="Calibri" w:hAnsi="Calibri" w:cs="Arial"/>
        </w:rPr>
        <w:t xml:space="preserve">Last year, as this year, we based our key patient/service user priorities principally upon our ongoing Leading Improvements in Patient Safety (LIPS) programme, </w:t>
      </w:r>
      <w:r w:rsidR="00CB3466" w:rsidRPr="00511635">
        <w:rPr>
          <w:rFonts w:ascii="Calibri" w:hAnsi="Calibri" w:cs="Arial"/>
        </w:rPr>
        <w:t>following</w:t>
      </w:r>
      <w:r w:rsidRPr="00511635">
        <w:rPr>
          <w:rFonts w:ascii="Calibri" w:hAnsi="Calibri" w:cs="Arial"/>
        </w:rPr>
        <w:t xml:space="preserve"> a long term commitment to participate in the LIPS programme and a continued focus on reducing avoidable suicide whilst increasing low or minimum harm incident reporting. </w:t>
      </w:r>
      <w:r w:rsidR="005E7C47">
        <w:rPr>
          <w:rFonts w:ascii="Calibri" w:hAnsi="Calibri" w:cs="Arial"/>
        </w:rPr>
        <w:t xml:space="preserve"> Although we shall not know how many people suicides there were last year until all the inquests have been heard by the Coroner, it appears that we were able to achieve</w:t>
      </w:r>
      <w:r w:rsidR="00C1227C">
        <w:rPr>
          <w:rFonts w:ascii="Calibri" w:hAnsi="Calibri" w:cs="Arial"/>
        </w:rPr>
        <w:t xml:space="preserve"> our targets and complete, or make good progress on, achieving the initiatives we set ourselves</w:t>
      </w:r>
    </w:p>
    <w:p w:rsidR="009256F0" w:rsidRDefault="009256F0" w:rsidP="004B5477">
      <w:pPr>
        <w:jc w:val="both"/>
        <w:rPr>
          <w:rFonts w:ascii="Calibri" w:hAnsi="Calibri" w:cs="Arial"/>
        </w:rPr>
      </w:pPr>
    </w:p>
    <w:p w:rsidR="009256F0" w:rsidRPr="009256F0" w:rsidRDefault="009256F0" w:rsidP="00B038C0">
      <w:pPr>
        <w:pStyle w:val="Heading4"/>
      </w:pPr>
      <w:r w:rsidRPr="009256F0">
        <w:t>Identified Initiatives</w:t>
      </w:r>
    </w:p>
    <w:p w:rsidR="007720AB" w:rsidRDefault="007720AB" w:rsidP="00853D1C">
      <w:pPr>
        <w:rPr>
          <w:rFonts w:ascii="Calibri" w:hAnsi="Calibri" w:cs="Arial"/>
        </w:rPr>
      </w:pPr>
    </w:p>
    <w:p w:rsidR="009256F0" w:rsidRPr="007720AB" w:rsidRDefault="00853D1C" w:rsidP="00853D1C">
      <w:pPr>
        <w:rPr>
          <w:rFonts w:ascii="Calibri" w:hAnsi="Calibri" w:cs="Arial"/>
        </w:rPr>
      </w:pPr>
      <w:r w:rsidRPr="007720AB">
        <w:rPr>
          <w:rFonts w:ascii="Calibri" w:hAnsi="Calibri" w:cs="Arial"/>
        </w:rPr>
        <w:t>The following is a summary of progress on our actions last year:</w:t>
      </w:r>
    </w:p>
    <w:p w:rsidR="00853D1C" w:rsidRPr="00853D1C" w:rsidRDefault="00853D1C" w:rsidP="00853D1C">
      <w:pPr>
        <w:rPr>
          <w:rFonts w:ascii="Calibri" w:hAnsi="Calibri" w:cs="Arial"/>
          <w:color w:val="0070C0"/>
        </w:rPr>
      </w:pPr>
    </w:p>
    <w:p w:rsidR="007720AB" w:rsidRPr="007720AB" w:rsidRDefault="007720AB" w:rsidP="007720AB">
      <w:pPr>
        <w:pStyle w:val="ListParagraph"/>
        <w:numPr>
          <w:ilvl w:val="0"/>
          <w:numId w:val="3"/>
        </w:numPr>
        <w:rPr>
          <w:rFonts w:ascii="Calibri" w:hAnsi="Calibri" w:cs="Arial"/>
        </w:rPr>
      </w:pPr>
      <w:r w:rsidRPr="007720AB">
        <w:rPr>
          <w:rFonts w:ascii="Calibri" w:hAnsi="Calibri" w:cs="Arial"/>
        </w:rPr>
        <w:t>Senior Managers and clinicians have received</w:t>
      </w:r>
      <w:r>
        <w:rPr>
          <w:rFonts w:ascii="Calibri" w:hAnsi="Calibri" w:cs="Arial"/>
        </w:rPr>
        <w:t xml:space="preserve"> in-depth and bespoke</w:t>
      </w:r>
      <w:r w:rsidRPr="007720AB">
        <w:rPr>
          <w:rFonts w:ascii="Calibri" w:hAnsi="Calibri" w:cs="Arial"/>
        </w:rPr>
        <w:t xml:space="preserve"> training in the LIPS programme with a view to helping deliver and implement the programmes in the specific clinical areas </w:t>
      </w:r>
    </w:p>
    <w:p w:rsidR="009256F0" w:rsidRPr="007720AB" w:rsidRDefault="00853D1C" w:rsidP="009256F0">
      <w:pPr>
        <w:pStyle w:val="ListParagraph"/>
        <w:numPr>
          <w:ilvl w:val="0"/>
          <w:numId w:val="3"/>
        </w:numPr>
        <w:rPr>
          <w:rFonts w:ascii="Calibri" w:hAnsi="Calibri" w:cs="Arial"/>
        </w:rPr>
      </w:pPr>
      <w:r w:rsidRPr="007720AB">
        <w:rPr>
          <w:rFonts w:ascii="Calibri" w:hAnsi="Calibri" w:cs="Arial"/>
        </w:rPr>
        <w:t>We had planned to i</w:t>
      </w:r>
      <w:r w:rsidR="009256F0" w:rsidRPr="007720AB">
        <w:rPr>
          <w:rFonts w:ascii="Calibri" w:hAnsi="Calibri" w:cs="Arial"/>
        </w:rPr>
        <w:t>ncrease the number of staff who ha</w:t>
      </w:r>
      <w:r w:rsidRPr="007720AB">
        <w:rPr>
          <w:rFonts w:ascii="Calibri" w:hAnsi="Calibri" w:cs="Arial"/>
        </w:rPr>
        <w:t>d</w:t>
      </w:r>
      <w:r w:rsidR="009256F0" w:rsidRPr="007720AB">
        <w:rPr>
          <w:rFonts w:ascii="Calibri" w:hAnsi="Calibri" w:cs="Arial"/>
        </w:rPr>
        <w:t xml:space="preserve"> completed the Trust’s clinical risk assessment training from 79% to a minimum of 85% by August 2011</w:t>
      </w:r>
      <w:r w:rsidRPr="007720AB">
        <w:rPr>
          <w:rFonts w:ascii="Calibri" w:hAnsi="Calibri" w:cs="Arial"/>
        </w:rPr>
        <w:t xml:space="preserve">.  This had </w:t>
      </w:r>
      <w:r w:rsidR="00D6254A">
        <w:rPr>
          <w:rFonts w:ascii="Calibri" w:hAnsi="Calibri" w:cs="Arial"/>
        </w:rPr>
        <w:t xml:space="preserve">a </w:t>
      </w:r>
      <w:r w:rsidRPr="007720AB">
        <w:rPr>
          <w:rFonts w:ascii="Calibri" w:hAnsi="Calibri" w:cs="Arial"/>
        </w:rPr>
        <w:t xml:space="preserve">setback in the second quarter when we redefined how the attendance was being measured.  At the end of the year, </w:t>
      </w:r>
      <w:r w:rsidR="007720AB" w:rsidRPr="007720AB">
        <w:rPr>
          <w:rFonts w:ascii="Calibri" w:hAnsi="Calibri" w:cs="Arial"/>
        </w:rPr>
        <w:t>the figure</w:t>
      </w:r>
      <w:r w:rsidRPr="007720AB">
        <w:rPr>
          <w:rFonts w:ascii="Calibri" w:hAnsi="Calibri" w:cs="Arial"/>
        </w:rPr>
        <w:t xml:space="preserve"> stood at </w:t>
      </w:r>
      <w:r w:rsidR="007720AB" w:rsidRPr="007720AB">
        <w:rPr>
          <w:rFonts w:ascii="Calibri" w:hAnsi="Calibri" w:cs="Arial"/>
        </w:rPr>
        <w:t xml:space="preserve">65% and urgent remedial action is being taken to </w:t>
      </w:r>
      <w:r w:rsidR="001A68CE">
        <w:rPr>
          <w:rFonts w:ascii="Calibri" w:hAnsi="Calibri" w:cs="Arial"/>
        </w:rPr>
        <w:t>reach the 85</w:t>
      </w:r>
      <w:r w:rsidR="00D6254A">
        <w:rPr>
          <w:rFonts w:ascii="Calibri" w:hAnsi="Calibri" w:cs="Arial"/>
        </w:rPr>
        <w:t>%</w:t>
      </w:r>
      <w:r w:rsidR="001A68CE">
        <w:rPr>
          <w:rFonts w:ascii="Calibri" w:hAnsi="Calibri" w:cs="Arial"/>
        </w:rPr>
        <w:t xml:space="preserve"> targe</w:t>
      </w:r>
      <w:r w:rsidR="00C2424D">
        <w:rPr>
          <w:rFonts w:ascii="Calibri" w:hAnsi="Calibri" w:cs="Arial"/>
        </w:rPr>
        <w:t>t</w:t>
      </w:r>
      <w:r w:rsidR="001A68CE">
        <w:rPr>
          <w:rFonts w:ascii="Calibri" w:hAnsi="Calibri" w:cs="Arial"/>
        </w:rPr>
        <w:t>.</w:t>
      </w:r>
    </w:p>
    <w:p w:rsidR="00603EAC" w:rsidRPr="00603EAC" w:rsidRDefault="00603EAC" w:rsidP="009256F0">
      <w:pPr>
        <w:pStyle w:val="ListParagraph"/>
        <w:numPr>
          <w:ilvl w:val="0"/>
          <w:numId w:val="3"/>
        </w:numPr>
        <w:rPr>
          <w:rFonts w:ascii="Calibri" w:hAnsi="Calibri" w:cs="Arial"/>
        </w:rPr>
      </w:pPr>
      <w:r w:rsidRPr="00603EAC">
        <w:rPr>
          <w:rFonts w:ascii="Calibri" w:hAnsi="Calibri" w:cs="Arial"/>
        </w:rPr>
        <w:t>We have made good progress in introducing</w:t>
      </w:r>
      <w:r w:rsidR="009256F0" w:rsidRPr="00603EAC">
        <w:rPr>
          <w:rFonts w:ascii="Calibri" w:hAnsi="Calibri" w:cs="Arial"/>
        </w:rPr>
        <w:t xml:space="preserve"> </w:t>
      </w:r>
      <w:r w:rsidRPr="00603EAC">
        <w:rPr>
          <w:rFonts w:ascii="Calibri" w:hAnsi="Calibri" w:cs="Arial"/>
        </w:rPr>
        <w:t xml:space="preserve">the </w:t>
      </w:r>
      <w:r w:rsidR="009256F0" w:rsidRPr="00603EAC">
        <w:rPr>
          <w:rFonts w:ascii="Calibri" w:hAnsi="Calibri" w:cs="Arial"/>
        </w:rPr>
        <w:t>SBARD</w:t>
      </w:r>
      <w:r w:rsidRPr="00603EAC">
        <w:rPr>
          <w:rFonts w:ascii="Calibri" w:hAnsi="Calibri" w:cs="Arial"/>
        </w:rPr>
        <w:t xml:space="preserve"> tool</w:t>
      </w:r>
      <w:r w:rsidR="009256F0" w:rsidRPr="00603EAC">
        <w:rPr>
          <w:rFonts w:ascii="Calibri" w:hAnsi="Calibri" w:cs="Arial"/>
        </w:rPr>
        <w:t xml:space="preserve"> (Situation, Background, Assessment, Recommendation, and Decision) in clinical teams. </w:t>
      </w:r>
      <w:r w:rsidRPr="00603EAC">
        <w:rPr>
          <w:rFonts w:ascii="Calibri" w:hAnsi="Calibri" w:cs="Arial"/>
        </w:rPr>
        <w:t xml:space="preserve"> Training has taken place and we have now implemented it in Oxfordshire older adult teams.  Other teams are to follow</w:t>
      </w:r>
      <w:r>
        <w:rPr>
          <w:rFonts w:ascii="Calibri" w:hAnsi="Calibri" w:cs="Arial"/>
        </w:rPr>
        <w:t xml:space="preserve"> in the 9 month programme</w:t>
      </w:r>
      <w:r w:rsidRPr="00603EAC">
        <w:rPr>
          <w:rFonts w:ascii="Calibri" w:hAnsi="Calibri" w:cs="Arial"/>
        </w:rPr>
        <w:t>.</w:t>
      </w:r>
    </w:p>
    <w:p w:rsidR="009256F0" w:rsidRPr="00603EAC" w:rsidRDefault="00603EAC" w:rsidP="009256F0">
      <w:pPr>
        <w:pStyle w:val="ListParagraph"/>
        <w:numPr>
          <w:ilvl w:val="0"/>
          <w:numId w:val="3"/>
        </w:numPr>
        <w:rPr>
          <w:rFonts w:ascii="Calibri" w:hAnsi="Calibri" w:cs="Arial"/>
        </w:rPr>
      </w:pPr>
      <w:r w:rsidRPr="00603EAC">
        <w:rPr>
          <w:rFonts w:ascii="Calibri" w:hAnsi="Calibri" w:cs="Arial"/>
        </w:rPr>
        <w:t xml:space="preserve">New </w:t>
      </w:r>
      <w:r>
        <w:rPr>
          <w:rFonts w:ascii="Calibri" w:hAnsi="Calibri" w:cs="Arial"/>
        </w:rPr>
        <w:t xml:space="preserve">Absent without Leave </w:t>
      </w:r>
      <w:r w:rsidRPr="00603EAC">
        <w:rPr>
          <w:rFonts w:ascii="Calibri" w:hAnsi="Calibri" w:cs="Arial"/>
        </w:rPr>
        <w:t>guidelines have been drawn up</w:t>
      </w:r>
      <w:r w:rsidR="001A68CE">
        <w:rPr>
          <w:rFonts w:ascii="Calibri" w:hAnsi="Calibri" w:cs="Arial"/>
        </w:rPr>
        <w:t xml:space="preserve"> along with environmental improvements to gardens </w:t>
      </w:r>
      <w:r w:rsidRPr="00603EAC">
        <w:rPr>
          <w:rFonts w:ascii="Calibri" w:hAnsi="Calibri" w:cs="Arial"/>
        </w:rPr>
        <w:t>and are being i</w:t>
      </w:r>
      <w:r w:rsidR="009256F0" w:rsidRPr="00603EAC">
        <w:rPr>
          <w:rFonts w:ascii="Calibri" w:hAnsi="Calibri" w:cs="Arial"/>
        </w:rPr>
        <w:t>mplement</w:t>
      </w:r>
      <w:r w:rsidRPr="00603EAC">
        <w:rPr>
          <w:rFonts w:ascii="Calibri" w:hAnsi="Calibri" w:cs="Arial"/>
        </w:rPr>
        <w:t>ed</w:t>
      </w:r>
      <w:r w:rsidR="009256F0" w:rsidRPr="00603EAC">
        <w:rPr>
          <w:rFonts w:ascii="Calibri" w:hAnsi="Calibri" w:cs="Arial"/>
        </w:rPr>
        <w:t xml:space="preserve"> to prevent absconding from inpatient mental health wards</w:t>
      </w:r>
      <w:r w:rsidR="001A68CE">
        <w:rPr>
          <w:rFonts w:ascii="Calibri" w:hAnsi="Calibri" w:cs="Arial"/>
        </w:rPr>
        <w:t xml:space="preserve">. </w:t>
      </w:r>
      <w:r w:rsidR="00875D9F">
        <w:rPr>
          <w:rFonts w:ascii="Calibri" w:hAnsi="Calibri" w:cs="Arial"/>
        </w:rPr>
        <w:t>The p</w:t>
      </w:r>
      <w:r w:rsidR="001A68CE">
        <w:rPr>
          <w:rFonts w:ascii="Calibri" w:hAnsi="Calibri" w:cs="Arial"/>
        </w:rPr>
        <w:t>ilot ward</w:t>
      </w:r>
      <w:r w:rsidR="00E201BF">
        <w:rPr>
          <w:rFonts w:ascii="Calibri" w:hAnsi="Calibri" w:cs="Arial"/>
        </w:rPr>
        <w:t>,</w:t>
      </w:r>
      <w:r w:rsidR="001A68CE">
        <w:rPr>
          <w:rFonts w:ascii="Calibri" w:hAnsi="Calibri" w:cs="Arial"/>
        </w:rPr>
        <w:t xml:space="preserve"> Marl</w:t>
      </w:r>
      <w:r w:rsidR="00C2424D">
        <w:rPr>
          <w:rFonts w:ascii="Calibri" w:hAnsi="Calibri" w:cs="Arial"/>
        </w:rPr>
        <w:t>b</w:t>
      </w:r>
      <w:r w:rsidR="001A68CE">
        <w:rPr>
          <w:rFonts w:ascii="Calibri" w:hAnsi="Calibri" w:cs="Arial"/>
        </w:rPr>
        <w:t>orough House Swindon</w:t>
      </w:r>
      <w:r w:rsidR="00E201BF">
        <w:rPr>
          <w:rFonts w:ascii="Calibri" w:hAnsi="Calibri" w:cs="Arial"/>
        </w:rPr>
        <w:t>,</w:t>
      </w:r>
      <w:r w:rsidR="001A68CE">
        <w:rPr>
          <w:rFonts w:ascii="Calibri" w:hAnsi="Calibri" w:cs="Arial"/>
        </w:rPr>
        <w:t xml:space="preserve"> has demonstrated significant improvements reducing AWOL to Zero.</w:t>
      </w:r>
    </w:p>
    <w:p w:rsidR="009256F0" w:rsidRPr="00DE6E2C" w:rsidRDefault="001A68CE" w:rsidP="009256F0">
      <w:pPr>
        <w:pStyle w:val="ListParagraph"/>
        <w:numPr>
          <w:ilvl w:val="0"/>
          <w:numId w:val="3"/>
        </w:numPr>
        <w:rPr>
          <w:rFonts w:ascii="Calibri" w:hAnsi="Calibri" w:cs="Arial"/>
        </w:rPr>
      </w:pPr>
      <w:r>
        <w:rPr>
          <w:rFonts w:ascii="Calibri" w:hAnsi="Calibri" w:cs="Arial"/>
        </w:rPr>
        <w:lastRenderedPageBreak/>
        <w:t>Reduce a</w:t>
      </w:r>
      <w:r w:rsidR="00603EAC" w:rsidRPr="00DE6E2C">
        <w:rPr>
          <w:rFonts w:ascii="Calibri" w:hAnsi="Calibri" w:cs="Arial"/>
        </w:rPr>
        <w:t xml:space="preserve">ll </w:t>
      </w:r>
      <w:r w:rsidR="009256F0" w:rsidRPr="00DE6E2C">
        <w:rPr>
          <w:rFonts w:ascii="Calibri" w:hAnsi="Calibri" w:cs="Arial"/>
        </w:rPr>
        <w:t>Community Mental Health Team</w:t>
      </w:r>
      <w:r w:rsidR="008442FF" w:rsidRPr="00DE6E2C">
        <w:rPr>
          <w:rFonts w:ascii="Calibri" w:hAnsi="Calibri" w:cs="Arial"/>
        </w:rPr>
        <w:t>s have identified their specific initiatives</w:t>
      </w:r>
      <w:r w:rsidR="009256F0" w:rsidRPr="00DE6E2C">
        <w:rPr>
          <w:rFonts w:ascii="Calibri" w:hAnsi="Calibri" w:cs="Arial"/>
        </w:rPr>
        <w:t xml:space="preserve"> to prevent suicide</w:t>
      </w:r>
      <w:r w:rsidR="008442FF" w:rsidRPr="00DE6E2C">
        <w:rPr>
          <w:rFonts w:ascii="Calibri" w:hAnsi="Calibri" w:cs="Arial"/>
        </w:rPr>
        <w:t xml:space="preserve">, with the Buckinghamshire teams focusing their attention collectively and have undertaken </w:t>
      </w:r>
      <w:r w:rsidR="00DE6E2C">
        <w:rPr>
          <w:rFonts w:ascii="Calibri" w:hAnsi="Calibri" w:cs="Arial"/>
        </w:rPr>
        <w:t>advanced assessment skills training</w:t>
      </w:r>
      <w:r w:rsidR="008442FF" w:rsidRPr="00DE6E2C">
        <w:rPr>
          <w:rFonts w:ascii="Calibri" w:hAnsi="Calibri" w:cs="Arial"/>
        </w:rPr>
        <w:t xml:space="preserve">. </w:t>
      </w:r>
      <w:r w:rsidR="00DE6E2C">
        <w:rPr>
          <w:rFonts w:ascii="Calibri" w:hAnsi="Calibri" w:cs="Arial"/>
        </w:rPr>
        <w:t xml:space="preserve"> It is the intention that </w:t>
      </w:r>
    </w:p>
    <w:p w:rsidR="009256F0" w:rsidRPr="00FC303D" w:rsidRDefault="00FC303D" w:rsidP="009256F0">
      <w:pPr>
        <w:pStyle w:val="ListParagraph"/>
        <w:numPr>
          <w:ilvl w:val="0"/>
          <w:numId w:val="3"/>
        </w:numPr>
        <w:rPr>
          <w:rFonts w:ascii="Calibri" w:hAnsi="Calibri" w:cs="Arial"/>
        </w:rPr>
      </w:pPr>
      <w:r w:rsidRPr="00FC303D">
        <w:rPr>
          <w:rFonts w:ascii="Calibri" w:hAnsi="Calibri" w:cs="Arial"/>
        </w:rPr>
        <w:t xml:space="preserve">Audits were carried out last year in both Oxfordshire and Buckinghamshire </w:t>
      </w:r>
      <w:r w:rsidR="009256F0" w:rsidRPr="00FC303D">
        <w:rPr>
          <w:rFonts w:ascii="Calibri" w:hAnsi="Calibri" w:cs="Arial"/>
        </w:rPr>
        <w:t>against NICE guidelines</w:t>
      </w:r>
      <w:r w:rsidRPr="00FC303D">
        <w:rPr>
          <w:rFonts w:ascii="Calibri" w:hAnsi="Calibri" w:cs="Arial"/>
        </w:rPr>
        <w:t xml:space="preserve"> on</w:t>
      </w:r>
      <w:r w:rsidR="009256F0" w:rsidRPr="00FC303D">
        <w:rPr>
          <w:rFonts w:ascii="Calibri" w:hAnsi="Calibri" w:cs="Arial"/>
        </w:rPr>
        <w:t xml:space="preserve"> the care of patients who present to A&amp;E after self harming</w:t>
      </w:r>
      <w:r w:rsidRPr="00FC303D">
        <w:rPr>
          <w:rFonts w:ascii="Calibri" w:hAnsi="Calibri" w:cs="Arial"/>
        </w:rPr>
        <w:t>.  Action plans were produced as a result, which are being implemented</w:t>
      </w:r>
    </w:p>
    <w:p w:rsidR="009256F0" w:rsidRPr="00F47825" w:rsidRDefault="00F47825" w:rsidP="009256F0">
      <w:pPr>
        <w:pStyle w:val="ListParagraph"/>
        <w:numPr>
          <w:ilvl w:val="0"/>
          <w:numId w:val="3"/>
        </w:numPr>
        <w:rPr>
          <w:rFonts w:ascii="Calibri" w:hAnsi="Calibri" w:cs="Arial"/>
        </w:rPr>
      </w:pPr>
      <w:r w:rsidRPr="00F47825">
        <w:rPr>
          <w:rFonts w:ascii="Calibri" w:hAnsi="Calibri" w:cs="Arial"/>
        </w:rPr>
        <w:t>An examination into i</w:t>
      </w:r>
      <w:r w:rsidR="009256F0" w:rsidRPr="00F47825">
        <w:rPr>
          <w:rFonts w:ascii="Calibri" w:hAnsi="Calibri" w:cs="Arial"/>
        </w:rPr>
        <w:t>ntegrat</w:t>
      </w:r>
      <w:r w:rsidRPr="00F47825">
        <w:rPr>
          <w:rFonts w:ascii="Calibri" w:hAnsi="Calibri" w:cs="Arial"/>
        </w:rPr>
        <w:t>ing the</w:t>
      </w:r>
      <w:r w:rsidR="009256F0" w:rsidRPr="00F47825">
        <w:rPr>
          <w:rFonts w:ascii="Calibri" w:hAnsi="Calibri" w:cs="Arial"/>
        </w:rPr>
        <w:t xml:space="preserve"> LIPS programme</w:t>
      </w:r>
      <w:r w:rsidRPr="00F47825">
        <w:rPr>
          <w:rFonts w:ascii="Calibri" w:hAnsi="Calibri" w:cs="Arial"/>
        </w:rPr>
        <w:t xml:space="preserve"> with other areas such as care clusters and Productive Wards was carried out last year to identify areas of overlap and co-ordinate activities better</w:t>
      </w:r>
    </w:p>
    <w:p w:rsidR="009256F0" w:rsidRPr="00F47825" w:rsidRDefault="009256F0" w:rsidP="009256F0">
      <w:pPr>
        <w:pStyle w:val="ListParagraph"/>
        <w:numPr>
          <w:ilvl w:val="0"/>
          <w:numId w:val="3"/>
        </w:numPr>
        <w:rPr>
          <w:rFonts w:ascii="Calibri" w:hAnsi="Calibri" w:cs="Arial"/>
        </w:rPr>
      </w:pPr>
      <w:r w:rsidRPr="00F47825">
        <w:rPr>
          <w:rFonts w:ascii="Calibri" w:hAnsi="Calibri" w:cs="Arial"/>
        </w:rPr>
        <w:t>Executive</w:t>
      </w:r>
      <w:r w:rsidR="00F47825" w:rsidRPr="00F47825">
        <w:rPr>
          <w:rFonts w:ascii="Calibri" w:hAnsi="Calibri" w:cs="Arial"/>
        </w:rPr>
        <w:t>s began a programme of</w:t>
      </w:r>
      <w:r w:rsidRPr="00F47825">
        <w:rPr>
          <w:rFonts w:ascii="Calibri" w:hAnsi="Calibri" w:cs="Arial"/>
        </w:rPr>
        <w:t xml:space="preserve"> Safety Walkabouts</w:t>
      </w:r>
      <w:r w:rsidR="00F47825">
        <w:rPr>
          <w:rFonts w:ascii="Calibri" w:hAnsi="Calibri" w:cs="Arial"/>
        </w:rPr>
        <w:t xml:space="preserve"> so that they can see patient care in action from a different perspective.</w:t>
      </w:r>
      <w:r w:rsidR="00F47825" w:rsidRPr="00F47825">
        <w:rPr>
          <w:rFonts w:ascii="Calibri" w:hAnsi="Calibri" w:cs="Arial"/>
        </w:rPr>
        <w:t xml:space="preserve"> </w:t>
      </w:r>
      <w:r w:rsidR="00DD308A">
        <w:rPr>
          <w:rFonts w:ascii="Calibri" w:hAnsi="Calibri" w:cs="Arial"/>
        </w:rPr>
        <w:t>E</w:t>
      </w:r>
      <w:r w:rsidR="00F47825" w:rsidRPr="00F47825">
        <w:rPr>
          <w:rFonts w:ascii="Calibri" w:hAnsi="Calibri" w:cs="Arial"/>
        </w:rPr>
        <w:t xml:space="preserve">ach executive </w:t>
      </w:r>
      <w:r w:rsidR="00DD308A">
        <w:rPr>
          <w:rFonts w:ascii="Calibri" w:hAnsi="Calibri" w:cs="Arial"/>
        </w:rPr>
        <w:t>has</w:t>
      </w:r>
      <w:r w:rsidR="00F47825" w:rsidRPr="00F47825">
        <w:rPr>
          <w:rFonts w:ascii="Calibri" w:hAnsi="Calibri" w:cs="Arial"/>
        </w:rPr>
        <w:t xml:space="preserve"> a schedule of sites to visit</w:t>
      </w:r>
      <w:r w:rsidR="00DD308A">
        <w:rPr>
          <w:rFonts w:ascii="Calibri" w:hAnsi="Calibri" w:cs="Arial"/>
        </w:rPr>
        <w:t xml:space="preserve"> and</w:t>
      </w:r>
      <w:r w:rsidR="00F47825" w:rsidRPr="00F47825">
        <w:rPr>
          <w:rFonts w:ascii="Calibri" w:hAnsi="Calibri" w:cs="Arial"/>
        </w:rPr>
        <w:t xml:space="preserve"> feedback from these meetings </w:t>
      </w:r>
      <w:r w:rsidR="00DD308A">
        <w:rPr>
          <w:rFonts w:ascii="Calibri" w:hAnsi="Calibri" w:cs="Arial"/>
        </w:rPr>
        <w:t>is</w:t>
      </w:r>
      <w:r w:rsidR="00F47825" w:rsidRPr="00F47825">
        <w:rPr>
          <w:rFonts w:ascii="Calibri" w:hAnsi="Calibri" w:cs="Arial"/>
        </w:rPr>
        <w:t xml:space="preserve"> fed back to</w:t>
      </w:r>
      <w:r w:rsidR="00DD308A">
        <w:rPr>
          <w:rFonts w:ascii="Calibri" w:hAnsi="Calibri" w:cs="Arial"/>
        </w:rPr>
        <w:t xml:space="preserve"> </w:t>
      </w:r>
      <w:r w:rsidR="00F47825" w:rsidRPr="00F47825">
        <w:rPr>
          <w:rFonts w:ascii="Calibri" w:hAnsi="Calibri" w:cs="Arial"/>
        </w:rPr>
        <w:t>the Executive Board meetings.</w:t>
      </w:r>
    </w:p>
    <w:p w:rsidR="009256F0" w:rsidRPr="00DD308A" w:rsidRDefault="00DD308A" w:rsidP="009256F0">
      <w:pPr>
        <w:pStyle w:val="ListParagraph"/>
        <w:numPr>
          <w:ilvl w:val="0"/>
          <w:numId w:val="3"/>
        </w:numPr>
        <w:rPr>
          <w:rFonts w:ascii="Calibri" w:hAnsi="Calibri" w:cs="Arial"/>
        </w:rPr>
      </w:pPr>
      <w:r w:rsidRPr="00DD308A">
        <w:rPr>
          <w:rFonts w:ascii="Calibri" w:hAnsi="Calibri" w:cs="Arial"/>
        </w:rPr>
        <w:t>Following the Carer Survey the previous year, the resultant action plan to improve carer engagement was implemented last year and a 6-monthly report is now prepared for the Board of Directors on this.</w:t>
      </w:r>
    </w:p>
    <w:p w:rsidR="00DD308A" w:rsidRDefault="00DD308A" w:rsidP="0017777C">
      <w:pPr>
        <w:rPr>
          <w:rFonts w:ascii="Calibri" w:hAnsi="Calibri" w:cs="Arial"/>
        </w:rPr>
      </w:pPr>
    </w:p>
    <w:p w:rsidR="009256F0" w:rsidRPr="00DD308A" w:rsidRDefault="00DD308A" w:rsidP="00B038C0">
      <w:pPr>
        <w:pStyle w:val="Heading4"/>
        <w:rPr>
          <w:rFonts w:ascii="Calibri" w:hAnsi="Calibri" w:cs="Arial"/>
          <w:b w:val="0"/>
        </w:rPr>
      </w:pPr>
      <w:r w:rsidRPr="00B038C0">
        <w:t>Aims</w:t>
      </w:r>
    </w:p>
    <w:p w:rsidR="00DD308A" w:rsidRDefault="00DD308A" w:rsidP="0017777C">
      <w:pPr>
        <w:rPr>
          <w:rFonts w:ascii="Calibri" w:hAnsi="Calibri" w:cs="Arial"/>
        </w:rPr>
      </w:pPr>
    </w:p>
    <w:p w:rsidR="00CB3466" w:rsidRPr="000B415C" w:rsidRDefault="004B5477" w:rsidP="000B415C">
      <w:pPr>
        <w:ind w:left="360"/>
        <w:rPr>
          <w:rFonts w:ascii="Calibri" w:hAnsi="Calibri" w:cs="Arial"/>
          <w:b/>
        </w:rPr>
      </w:pPr>
      <w:r w:rsidRPr="000B415C">
        <w:rPr>
          <w:rFonts w:ascii="Calibri" w:hAnsi="Calibri" w:cs="Arial"/>
          <w:b/>
        </w:rPr>
        <w:t>To reduce towards zero the number of inpatient deaths from suicide by 2012</w:t>
      </w:r>
    </w:p>
    <w:p w:rsidR="00CB3466" w:rsidRPr="00B038C0" w:rsidRDefault="00B038C0" w:rsidP="00CB3466">
      <w:pPr>
        <w:pStyle w:val="ListParagraph"/>
        <w:rPr>
          <w:rFonts w:ascii="Calibri" w:hAnsi="Calibri" w:cs="Arial"/>
          <w:i/>
          <w:color w:val="0070C0"/>
          <w:u w:val="single"/>
        </w:rPr>
      </w:pPr>
      <w:r w:rsidRPr="00B038C0">
        <w:rPr>
          <w:rFonts w:ascii="Calibri" w:hAnsi="Calibri" w:cs="Arial"/>
          <w:i/>
          <w:color w:val="0070C0"/>
          <w:u w:val="single"/>
        </w:rPr>
        <w:t>Chart 1</w:t>
      </w:r>
    </w:p>
    <w:p w:rsidR="00CB3466" w:rsidRPr="00CB3466" w:rsidRDefault="00CB3466" w:rsidP="00FF12D8">
      <w:pPr>
        <w:pStyle w:val="ListParagraph"/>
        <w:rPr>
          <w:rFonts w:ascii="Calibri" w:hAnsi="Calibri" w:cs="Arial"/>
          <w:color w:val="0070C0"/>
        </w:rPr>
      </w:pPr>
      <w:r w:rsidRPr="00CB3466">
        <w:rPr>
          <w:rFonts w:ascii="Calibri" w:hAnsi="Calibri" w:cs="Arial"/>
          <w:noProof/>
          <w:color w:val="0070C0"/>
        </w:rPr>
        <w:drawing>
          <wp:inline distT="0" distB="0" distL="0" distR="0">
            <wp:extent cx="2978150" cy="1914525"/>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B3466" w:rsidRPr="00511635" w:rsidRDefault="00CB3466" w:rsidP="00CB3466">
      <w:pPr>
        <w:pStyle w:val="ListParagraph"/>
        <w:rPr>
          <w:rFonts w:ascii="Calibri" w:hAnsi="Calibri" w:cs="Arial"/>
        </w:rPr>
      </w:pPr>
    </w:p>
    <w:p w:rsidR="00B74A9E" w:rsidRPr="000B415C" w:rsidRDefault="00CB3466" w:rsidP="000B415C">
      <w:pPr>
        <w:ind w:left="360"/>
        <w:rPr>
          <w:rFonts w:ascii="Calibri" w:hAnsi="Calibri" w:cs="Arial"/>
          <w:b/>
        </w:rPr>
      </w:pPr>
      <w:r w:rsidRPr="000B415C">
        <w:rPr>
          <w:rFonts w:ascii="Calibri" w:hAnsi="Calibri" w:cs="Arial"/>
          <w:b/>
        </w:rPr>
        <w:t>To reduce towards zero preventable community suicides by 2014</w:t>
      </w:r>
    </w:p>
    <w:p w:rsidR="001B2428" w:rsidRPr="00B74A9E" w:rsidRDefault="00B038C0" w:rsidP="001B2428">
      <w:pPr>
        <w:pStyle w:val="ListParagraph"/>
        <w:rPr>
          <w:rFonts w:ascii="Calibri" w:hAnsi="Calibri" w:cs="Arial"/>
          <w:b/>
        </w:rPr>
      </w:pPr>
      <w:r w:rsidRPr="00B038C0">
        <w:rPr>
          <w:rFonts w:ascii="Calibri" w:hAnsi="Calibri" w:cs="Arial"/>
          <w:i/>
          <w:color w:val="0070C0"/>
          <w:u w:val="single"/>
        </w:rPr>
        <w:t xml:space="preserve">Chart </w:t>
      </w:r>
      <w:r>
        <w:rPr>
          <w:rFonts w:ascii="Calibri" w:hAnsi="Calibri" w:cs="Arial"/>
          <w:i/>
          <w:color w:val="0070C0"/>
          <w:u w:val="single"/>
        </w:rPr>
        <w:t>2</w:t>
      </w:r>
    </w:p>
    <w:p w:rsidR="00511635" w:rsidRPr="004B5477" w:rsidRDefault="001B2428" w:rsidP="00511635">
      <w:pPr>
        <w:pStyle w:val="ListParagraph"/>
        <w:rPr>
          <w:rFonts w:ascii="Calibri" w:hAnsi="Calibri" w:cs="Arial"/>
          <w:color w:val="0070C0"/>
        </w:rPr>
      </w:pPr>
      <w:r w:rsidRPr="001B2428">
        <w:rPr>
          <w:rFonts w:ascii="Calibri" w:hAnsi="Calibri" w:cs="Arial"/>
          <w:noProof/>
          <w:color w:val="0070C0"/>
        </w:rPr>
        <w:drawing>
          <wp:inline distT="0" distB="0" distL="0" distR="0">
            <wp:extent cx="3800104" cy="2113808"/>
            <wp:effectExtent l="0" t="0" r="0" b="0"/>
            <wp:docPr id="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B2428" w:rsidRDefault="001B2428" w:rsidP="00511635">
      <w:pPr>
        <w:pStyle w:val="ListParagraph"/>
        <w:rPr>
          <w:rFonts w:ascii="Calibri" w:hAnsi="Calibri" w:cs="Arial"/>
        </w:rPr>
      </w:pPr>
    </w:p>
    <w:p w:rsidR="00511635" w:rsidRPr="00B74A9E" w:rsidRDefault="00511635" w:rsidP="00511635">
      <w:pPr>
        <w:pStyle w:val="ListParagraph"/>
        <w:rPr>
          <w:rFonts w:ascii="Calibri" w:hAnsi="Calibri" w:cs="Arial"/>
        </w:rPr>
      </w:pPr>
      <w:r w:rsidRPr="00B74A9E">
        <w:rPr>
          <w:rFonts w:ascii="Calibri" w:hAnsi="Calibri" w:cs="Arial"/>
        </w:rPr>
        <w:lastRenderedPageBreak/>
        <w:t xml:space="preserve">There is always an unfortunate and unavoidable delay between a fatality and the coroner’s verdict, sometimes many years, hence the high number of “pending” verdicts. This means that sometimes we have to wait </w:t>
      </w:r>
      <w:r w:rsidR="00B74A9E" w:rsidRPr="00B74A9E">
        <w:rPr>
          <w:rFonts w:ascii="Calibri" w:hAnsi="Calibri" w:cs="Arial"/>
        </w:rPr>
        <w:t>for some time before the exact position becomes clear.  However, as it is highly unlikely that all the pending fatalities will be open, narrative or judged as a suicide, the overall trend is positive and there are grounds for qualified optimism.</w:t>
      </w:r>
    </w:p>
    <w:p w:rsidR="00B74A9E" w:rsidRDefault="00B74A9E" w:rsidP="00511635">
      <w:pPr>
        <w:pStyle w:val="ListParagraph"/>
        <w:rPr>
          <w:rFonts w:ascii="Calibri" w:hAnsi="Calibri" w:cs="Arial"/>
          <w:color w:val="0070C0"/>
        </w:rPr>
      </w:pPr>
    </w:p>
    <w:p w:rsidR="00CB3466" w:rsidRPr="000B415C" w:rsidRDefault="00CB3466" w:rsidP="000B415C">
      <w:pPr>
        <w:ind w:left="360"/>
        <w:rPr>
          <w:rFonts w:ascii="Calibri" w:hAnsi="Calibri" w:cs="Arial"/>
          <w:b/>
        </w:rPr>
      </w:pPr>
      <w:r w:rsidRPr="000B415C">
        <w:rPr>
          <w:rFonts w:ascii="Calibri" w:hAnsi="Calibri" w:cs="Arial"/>
          <w:b/>
        </w:rPr>
        <w:t>Increase reporting of no or minimal harm incidents by 50% by March 2012</w:t>
      </w:r>
    </w:p>
    <w:p w:rsidR="00CB3466" w:rsidRPr="000251CB" w:rsidRDefault="000251CB" w:rsidP="000251CB">
      <w:pPr>
        <w:pStyle w:val="ListParagraph"/>
        <w:rPr>
          <w:rFonts w:ascii="Calibri" w:hAnsi="Calibri" w:cs="Arial"/>
          <w:i/>
          <w:color w:val="0070C0"/>
          <w:u w:val="single"/>
        </w:rPr>
      </w:pPr>
      <w:r w:rsidRPr="00B038C0">
        <w:rPr>
          <w:rFonts w:ascii="Calibri" w:hAnsi="Calibri" w:cs="Arial"/>
          <w:i/>
          <w:color w:val="0070C0"/>
          <w:u w:val="single"/>
        </w:rPr>
        <w:t xml:space="preserve">Chart </w:t>
      </w:r>
      <w:r>
        <w:rPr>
          <w:rFonts w:ascii="Calibri" w:hAnsi="Calibri" w:cs="Arial"/>
          <w:i/>
          <w:color w:val="0070C0"/>
          <w:u w:val="single"/>
        </w:rPr>
        <w:t>3</w:t>
      </w:r>
    </w:p>
    <w:p w:rsidR="00B74A9E" w:rsidRDefault="006742FA" w:rsidP="00B17934">
      <w:pPr>
        <w:pStyle w:val="ListParagraph"/>
        <w:rPr>
          <w:rFonts w:ascii="Calibri" w:hAnsi="Calibri" w:cs="Arial"/>
          <w:color w:val="0070C0"/>
          <w:highlight w:val="yellow"/>
        </w:rPr>
      </w:pPr>
      <w:r>
        <w:rPr>
          <w:rFonts w:ascii="Calibri" w:hAnsi="Calibri" w:cs="Arial"/>
          <w:noProof/>
          <w:color w:val="0070C0"/>
        </w:rPr>
        <w:drawing>
          <wp:inline distT="0" distB="0" distL="0" distR="0">
            <wp:extent cx="5092699" cy="3124200"/>
            <wp:effectExtent l="19050" t="0" r="0" b="0"/>
            <wp:docPr id="3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B4C1B" w:rsidRDefault="009B4C1B" w:rsidP="00DD308A">
      <w:pPr>
        <w:pStyle w:val="ListParagraph"/>
        <w:jc w:val="both"/>
        <w:rPr>
          <w:rFonts w:ascii="Calibri" w:hAnsi="Calibri" w:cs="Arial"/>
        </w:rPr>
      </w:pPr>
    </w:p>
    <w:p w:rsidR="004B5477" w:rsidRPr="00DD308A" w:rsidRDefault="004F630E" w:rsidP="00DD308A">
      <w:pPr>
        <w:pStyle w:val="ListParagraph"/>
        <w:jc w:val="both"/>
        <w:rPr>
          <w:rFonts w:ascii="Calibri" w:hAnsi="Calibri" w:cs="Arial"/>
          <w:highlight w:val="yellow"/>
        </w:rPr>
      </w:pPr>
      <w:r>
        <w:rPr>
          <w:rFonts w:ascii="Calibri" w:hAnsi="Calibri" w:cs="Arial"/>
        </w:rPr>
        <w:t>Frequently</w:t>
      </w:r>
      <w:r w:rsidR="00FF12D8" w:rsidRPr="0019038F">
        <w:rPr>
          <w:rFonts w:ascii="Calibri" w:hAnsi="Calibri" w:cs="Arial"/>
        </w:rPr>
        <w:t xml:space="preserve"> </w:t>
      </w:r>
      <w:r>
        <w:rPr>
          <w:rFonts w:ascii="Calibri" w:hAnsi="Calibri" w:cs="Arial"/>
        </w:rPr>
        <w:t xml:space="preserve">it </w:t>
      </w:r>
      <w:r w:rsidR="00FF12D8" w:rsidRPr="0019038F">
        <w:rPr>
          <w:rFonts w:ascii="Calibri" w:hAnsi="Calibri" w:cs="Arial"/>
        </w:rPr>
        <w:t>takes some time for an initiative to have an effect and this</w:t>
      </w:r>
      <w:r>
        <w:rPr>
          <w:rFonts w:ascii="Calibri" w:hAnsi="Calibri" w:cs="Arial"/>
        </w:rPr>
        <w:t xml:space="preserve"> particular</w:t>
      </w:r>
      <w:r w:rsidR="00FF12D8" w:rsidRPr="0019038F">
        <w:rPr>
          <w:rFonts w:ascii="Calibri" w:hAnsi="Calibri" w:cs="Arial"/>
        </w:rPr>
        <w:t xml:space="preserve"> aim of increasing the number of incidents repor</w:t>
      </w:r>
      <w:r w:rsidR="009B4C1B">
        <w:rPr>
          <w:rFonts w:ascii="Calibri" w:hAnsi="Calibri" w:cs="Arial"/>
        </w:rPr>
        <w:t>ted is a good example of this.</w:t>
      </w:r>
      <w:r w:rsidR="00FF12D8" w:rsidRPr="0019038F">
        <w:rPr>
          <w:rFonts w:ascii="Calibri" w:hAnsi="Calibri" w:cs="Arial"/>
        </w:rPr>
        <w:t xml:space="preserve"> </w:t>
      </w:r>
      <w:r w:rsidR="009B4C1B">
        <w:rPr>
          <w:rFonts w:ascii="Calibri" w:hAnsi="Calibri" w:cs="Arial"/>
        </w:rPr>
        <w:t>There was an overall increase of 43% in</w:t>
      </w:r>
      <w:r w:rsidR="009B4C1B" w:rsidRPr="009B4C1B">
        <w:rPr>
          <w:rFonts w:ascii="Calibri" w:hAnsi="Calibri" w:cs="Arial"/>
        </w:rPr>
        <w:t xml:space="preserve"> </w:t>
      </w:r>
      <w:r w:rsidR="009B4C1B" w:rsidRPr="0019038F">
        <w:rPr>
          <w:rFonts w:ascii="Calibri" w:hAnsi="Calibri" w:cs="Arial"/>
        </w:rPr>
        <w:t>the number of less serious incidents reported</w:t>
      </w:r>
      <w:r w:rsidR="009B4C1B">
        <w:rPr>
          <w:rFonts w:ascii="Calibri" w:hAnsi="Calibri" w:cs="Arial"/>
        </w:rPr>
        <w:t>, but in each of the latter quarters there was a marked increase so that by the</w:t>
      </w:r>
      <w:r w:rsidR="00FF12D8" w:rsidRPr="0019038F">
        <w:rPr>
          <w:rFonts w:ascii="Calibri" w:hAnsi="Calibri" w:cs="Arial"/>
        </w:rPr>
        <w:t xml:space="preserve"> last quarter of the year </w:t>
      </w:r>
      <w:r w:rsidR="00B836BA">
        <w:rPr>
          <w:rFonts w:ascii="Calibri" w:hAnsi="Calibri" w:cs="Arial"/>
        </w:rPr>
        <w:t>1,935</w:t>
      </w:r>
      <w:r w:rsidR="00FF12D8" w:rsidRPr="0019038F">
        <w:rPr>
          <w:rFonts w:ascii="Calibri" w:hAnsi="Calibri" w:cs="Arial"/>
        </w:rPr>
        <w:t xml:space="preserve"> we</w:t>
      </w:r>
      <w:r w:rsidR="0019038F">
        <w:rPr>
          <w:rFonts w:ascii="Calibri" w:hAnsi="Calibri" w:cs="Arial"/>
        </w:rPr>
        <w:t xml:space="preserve">re reported compared with </w:t>
      </w:r>
      <w:r w:rsidR="00B836BA">
        <w:rPr>
          <w:rFonts w:ascii="Calibri" w:hAnsi="Calibri" w:cs="Arial"/>
        </w:rPr>
        <w:t>968</w:t>
      </w:r>
      <w:r w:rsidR="0019038F">
        <w:rPr>
          <w:rFonts w:ascii="Calibri" w:hAnsi="Calibri" w:cs="Arial"/>
        </w:rPr>
        <w:t xml:space="preserve"> for quarter 4 of the previous year, an increase of </w:t>
      </w:r>
      <w:r w:rsidR="00B836BA" w:rsidRPr="00B836BA">
        <w:rPr>
          <w:rFonts w:ascii="Calibri" w:hAnsi="Calibri" w:cs="Arial"/>
        </w:rPr>
        <w:t>over 90%</w:t>
      </w:r>
      <w:r w:rsidR="00B836BA">
        <w:rPr>
          <w:rFonts w:ascii="Calibri" w:hAnsi="Calibri" w:cs="Arial"/>
        </w:rPr>
        <w:t>.</w:t>
      </w:r>
    </w:p>
    <w:p w:rsidR="004B5477" w:rsidRPr="004B5477" w:rsidRDefault="004B5477" w:rsidP="004B5477">
      <w:pPr>
        <w:pStyle w:val="ListParagraph"/>
        <w:rPr>
          <w:rFonts w:ascii="Calibri" w:hAnsi="Calibri" w:cs="Arial"/>
          <w:color w:val="0070C0"/>
        </w:rPr>
      </w:pPr>
    </w:p>
    <w:p w:rsidR="00AD61F9" w:rsidRPr="00544356" w:rsidRDefault="00AD61F9" w:rsidP="00AD61F9">
      <w:pPr>
        <w:pStyle w:val="Heading3"/>
      </w:pPr>
      <w:r>
        <w:t xml:space="preserve">Domain </w:t>
      </w:r>
      <w:r w:rsidRPr="00544356">
        <w:t>2</w:t>
      </w:r>
      <w:r w:rsidR="002C3649">
        <w:t xml:space="preserve">: </w:t>
      </w:r>
      <w:r w:rsidRPr="00544356">
        <w:t>Treating and caring for people in a safe environment and protecting them from avoidable harm</w:t>
      </w:r>
    </w:p>
    <w:p w:rsidR="00DD308A" w:rsidRPr="002F0314" w:rsidRDefault="00DD308A" w:rsidP="004B5477">
      <w:pPr>
        <w:jc w:val="both"/>
        <w:rPr>
          <w:rFonts w:ascii="Calibri" w:hAnsi="Calibri" w:cs="Arial"/>
        </w:rPr>
      </w:pPr>
    </w:p>
    <w:p w:rsidR="004B5477" w:rsidRDefault="00C1227C" w:rsidP="004B5477">
      <w:pPr>
        <w:jc w:val="both"/>
        <w:rPr>
          <w:rFonts w:ascii="Calibri" w:hAnsi="Calibri" w:cs="Arial"/>
        </w:rPr>
      </w:pPr>
      <w:r>
        <w:rPr>
          <w:rFonts w:ascii="Calibri" w:hAnsi="Calibri" w:cs="Arial"/>
        </w:rPr>
        <w:t>L</w:t>
      </w:r>
      <w:r w:rsidR="004B5477" w:rsidRPr="002F0314">
        <w:rPr>
          <w:rFonts w:ascii="Calibri" w:hAnsi="Calibri" w:cs="Arial"/>
        </w:rPr>
        <w:t>inked to the above</w:t>
      </w:r>
      <w:r w:rsidR="002F0314" w:rsidRPr="002F0314">
        <w:rPr>
          <w:rFonts w:ascii="Calibri" w:hAnsi="Calibri" w:cs="Arial"/>
        </w:rPr>
        <w:t xml:space="preserve"> criterion</w:t>
      </w:r>
      <w:r w:rsidR="004B5477" w:rsidRPr="002F0314">
        <w:rPr>
          <w:rFonts w:ascii="Calibri" w:hAnsi="Calibri" w:cs="Arial"/>
        </w:rPr>
        <w:t xml:space="preserve">, </w:t>
      </w:r>
      <w:r>
        <w:rPr>
          <w:rFonts w:ascii="Calibri" w:hAnsi="Calibri" w:cs="Arial"/>
        </w:rPr>
        <w:t>last year we saw a sharp rise in incidents reported but a proportionate decrease in the number of serious incidents due in part to the measures we took to produce a safer environment for our patients and service users.</w:t>
      </w:r>
      <w:r w:rsidR="004B5477" w:rsidRPr="002F0314">
        <w:rPr>
          <w:rFonts w:ascii="Calibri" w:hAnsi="Calibri" w:cs="Arial"/>
        </w:rPr>
        <w:t xml:space="preserve"> These aims </w:t>
      </w:r>
      <w:r>
        <w:rPr>
          <w:rFonts w:ascii="Calibri" w:hAnsi="Calibri" w:cs="Arial"/>
        </w:rPr>
        <w:t>in line</w:t>
      </w:r>
      <w:r w:rsidR="004B5477" w:rsidRPr="002F0314">
        <w:rPr>
          <w:rFonts w:ascii="Calibri" w:hAnsi="Calibri" w:cs="Arial"/>
        </w:rPr>
        <w:t xml:space="preserve"> with the NHS Outcomes Framework 2011-2012 (DoH, Dec 2010)</w:t>
      </w:r>
    </w:p>
    <w:p w:rsidR="002F0314" w:rsidRPr="002F0314" w:rsidRDefault="002F0314" w:rsidP="004B5477">
      <w:pPr>
        <w:jc w:val="both"/>
        <w:rPr>
          <w:rFonts w:ascii="Calibri" w:hAnsi="Calibri" w:cs="Arial"/>
        </w:rPr>
      </w:pPr>
    </w:p>
    <w:p w:rsidR="00DD308A" w:rsidRPr="002F0314" w:rsidRDefault="002F0314" w:rsidP="00B038C0">
      <w:pPr>
        <w:pStyle w:val="Heading4"/>
        <w:rPr>
          <w:rFonts w:ascii="Calibri" w:hAnsi="Calibri" w:cs="Arial"/>
          <w:b w:val="0"/>
        </w:rPr>
      </w:pPr>
      <w:r w:rsidRPr="00B038C0">
        <w:t>Identified</w:t>
      </w:r>
      <w:r w:rsidRPr="002F0314">
        <w:rPr>
          <w:rFonts w:ascii="Calibri" w:hAnsi="Calibri" w:cs="Arial"/>
          <w:b w:val="0"/>
        </w:rPr>
        <w:t xml:space="preserve"> </w:t>
      </w:r>
      <w:r w:rsidRPr="00B038C0">
        <w:t>Initiatives</w:t>
      </w:r>
    </w:p>
    <w:p w:rsidR="00DD308A" w:rsidRPr="00423885" w:rsidRDefault="00423885" w:rsidP="00DD308A">
      <w:pPr>
        <w:numPr>
          <w:ilvl w:val="0"/>
          <w:numId w:val="34"/>
        </w:numPr>
        <w:jc w:val="both"/>
        <w:rPr>
          <w:rFonts w:ascii="Calibri" w:hAnsi="Calibri" w:cs="Arial"/>
        </w:rPr>
      </w:pPr>
      <w:r w:rsidRPr="00423885">
        <w:rPr>
          <w:rFonts w:ascii="Calibri" w:hAnsi="Calibri" w:cs="Arial"/>
        </w:rPr>
        <w:t>We said that we would i</w:t>
      </w:r>
      <w:r w:rsidR="00DD308A" w:rsidRPr="00423885">
        <w:rPr>
          <w:rFonts w:ascii="Calibri" w:hAnsi="Calibri" w:cs="Arial"/>
        </w:rPr>
        <w:t>ntroduce ward based falls training programmes</w:t>
      </w:r>
      <w:r w:rsidRPr="00423885">
        <w:rPr>
          <w:rFonts w:ascii="Calibri" w:hAnsi="Calibri" w:cs="Arial"/>
        </w:rPr>
        <w:t>. This was delivered to all our four mental health wards during the last quarter of the year, having collated data from each site to assess their particular needs</w:t>
      </w:r>
    </w:p>
    <w:p w:rsidR="00362D64" w:rsidRDefault="00362D64" w:rsidP="00DD308A">
      <w:pPr>
        <w:numPr>
          <w:ilvl w:val="0"/>
          <w:numId w:val="34"/>
        </w:numPr>
        <w:jc w:val="both"/>
        <w:rPr>
          <w:rFonts w:ascii="Calibri" w:hAnsi="Calibri" w:cs="Arial"/>
        </w:rPr>
      </w:pPr>
      <w:r w:rsidRPr="00507944">
        <w:rPr>
          <w:rFonts w:ascii="Calibri" w:hAnsi="Calibri" w:cs="Arial"/>
        </w:rPr>
        <w:t xml:space="preserve">Prevention of </w:t>
      </w:r>
      <w:proofErr w:type="gramStart"/>
      <w:r w:rsidRPr="00507944">
        <w:rPr>
          <w:rFonts w:ascii="Calibri" w:hAnsi="Calibri" w:cs="Arial"/>
        </w:rPr>
        <w:t>Falls</w:t>
      </w:r>
      <w:proofErr w:type="gramEnd"/>
      <w:r w:rsidR="00507944">
        <w:rPr>
          <w:rFonts w:ascii="Calibri" w:hAnsi="Calibri" w:cs="Arial"/>
        </w:rPr>
        <w:t xml:space="preserve"> by patients</w:t>
      </w:r>
      <w:r w:rsidRPr="00507944">
        <w:rPr>
          <w:rFonts w:ascii="Calibri" w:hAnsi="Calibri" w:cs="Arial"/>
        </w:rPr>
        <w:t xml:space="preserve"> has been a priority last year in the Community Hospitals.  Monitoring showed that 95% of patients had a Falls Risk Assessment Tool in their records, </w:t>
      </w:r>
      <w:r w:rsidRPr="00507944">
        <w:rPr>
          <w:rFonts w:ascii="Calibri" w:hAnsi="Calibri" w:cs="Arial"/>
        </w:rPr>
        <w:lastRenderedPageBreak/>
        <w:t>a slight improvement on the previous year and one which is demanding further attention.</w:t>
      </w:r>
      <w:r w:rsidR="00507944" w:rsidRPr="00507944">
        <w:rPr>
          <w:rFonts w:ascii="Calibri" w:hAnsi="Calibri" w:cs="Arial"/>
        </w:rPr>
        <w:t xml:space="preserve">  However there has been a considerable increase in the number of falls communications sheets sent to the Falls Prevention Service, which is encouraging</w:t>
      </w:r>
      <w:r w:rsidR="00507944">
        <w:rPr>
          <w:rFonts w:ascii="Calibri" w:hAnsi="Calibri" w:cs="Arial"/>
        </w:rPr>
        <w:t>.</w:t>
      </w:r>
    </w:p>
    <w:p w:rsidR="00DD308A" w:rsidRPr="00127F10" w:rsidRDefault="00507944" w:rsidP="00507944">
      <w:pPr>
        <w:numPr>
          <w:ilvl w:val="0"/>
          <w:numId w:val="34"/>
        </w:numPr>
        <w:jc w:val="both"/>
        <w:rPr>
          <w:rFonts w:ascii="Calibri" w:hAnsi="Calibri" w:cs="Arial"/>
        </w:rPr>
      </w:pPr>
      <w:r w:rsidRPr="00127F10">
        <w:rPr>
          <w:rFonts w:ascii="Calibri" w:hAnsi="Calibri" w:cs="Arial"/>
        </w:rPr>
        <w:t xml:space="preserve">This was assisted by the </w:t>
      </w:r>
      <w:r w:rsidR="00127F10" w:rsidRPr="00127F10">
        <w:rPr>
          <w:rFonts w:ascii="Calibri" w:hAnsi="Calibri" w:cs="Arial"/>
        </w:rPr>
        <w:t>in</w:t>
      </w:r>
      <w:r w:rsidR="00DD308A" w:rsidRPr="00127F10">
        <w:rPr>
          <w:rFonts w:ascii="Calibri" w:hAnsi="Calibri" w:cs="Arial"/>
        </w:rPr>
        <w:t>troduc</w:t>
      </w:r>
      <w:r w:rsidR="00127F10" w:rsidRPr="00127F10">
        <w:rPr>
          <w:rFonts w:ascii="Calibri" w:hAnsi="Calibri" w:cs="Arial"/>
        </w:rPr>
        <w:t>tion of</w:t>
      </w:r>
      <w:r w:rsidR="00DD308A" w:rsidRPr="00127F10">
        <w:rPr>
          <w:rFonts w:ascii="Calibri" w:hAnsi="Calibri" w:cs="Arial"/>
        </w:rPr>
        <w:t xml:space="preserve"> an early warning observation tool (“track and trigger”) </w:t>
      </w:r>
      <w:r w:rsidR="00127F10" w:rsidRPr="00127F10">
        <w:rPr>
          <w:rFonts w:ascii="Calibri" w:hAnsi="Calibri" w:cs="Arial"/>
        </w:rPr>
        <w:t xml:space="preserve">the previous year </w:t>
      </w:r>
      <w:r w:rsidR="00DD308A" w:rsidRPr="00127F10">
        <w:rPr>
          <w:rFonts w:ascii="Calibri" w:hAnsi="Calibri" w:cs="Arial"/>
        </w:rPr>
        <w:t>to ensure effective monitoring of physical health in all inpatient areas</w:t>
      </w:r>
      <w:r w:rsidR="00127F10" w:rsidRPr="00127F10">
        <w:rPr>
          <w:rFonts w:ascii="Calibri" w:hAnsi="Calibri" w:cs="Arial"/>
        </w:rPr>
        <w:t>.  Monthly audits show that compliance is 93%</w:t>
      </w:r>
    </w:p>
    <w:p w:rsidR="00DD308A" w:rsidRPr="00127F10" w:rsidRDefault="00127F10" w:rsidP="00DD308A">
      <w:pPr>
        <w:numPr>
          <w:ilvl w:val="0"/>
          <w:numId w:val="34"/>
        </w:numPr>
        <w:jc w:val="both"/>
        <w:rPr>
          <w:rFonts w:ascii="Calibri" w:hAnsi="Calibri" w:cs="Arial"/>
        </w:rPr>
      </w:pPr>
      <w:r w:rsidRPr="00127F10">
        <w:rPr>
          <w:rFonts w:ascii="Calibri" w:hAnsi="Calibri" w:cs="Arial"/>
        </w:rPr>
        <w:t>Th</w:t>
      </w:r>
      <w:r w:rsidR="00DD308A" w:rsidRPr="00127F10">
        <w:rPr>
          <w:rFonts w:ascii="Calibri" w:hAnsi="Calibri" w:cs="Arial"/>
        </w:rPr>
        <w:t xml:space="preserve">e use of </w:t>
      </w:r>
      <w:r w:rsidRPr="00127F10">
        <w:rPr>
          <w:rFonts w:ascii="Calibri" w:hAnsi="Calibri" w:cs="Arial"/>
        </w:rPr>
        <w:t xml:space="preserve">the </w:t>
      </w:r>
      <w:r w:rsidR="00DD308A" w:rsidRPr="00127F10">
        <w:rPr>
          <w:rFonts w:ascii="Calibri" w:hAnsi="Calibri" w:cs="Arial"/>
        </w:rPr>
        <w:t xml:space="preserve">MUST </w:t>
      </w:r>
      <w:r w:rsidRPr="00127F10">
        <w:rPr>
          <w:rFonts w:ascii="Calibri" w:hAnsi="Calibri" w:cs="Arial"/>
        </w:rPr>
        <w:t xml:space="preserve">tool, which assesses </w:t>
      </w:r>
      <w:r w:rsidR="00DD308A" w:rsidRPr="00127F10">
        <w:rPr>
          <w:rFonts w:ascii="Calibri" w:hAnsi="Calibri" w:cs="Arial"/>
        </w:rPr>
        <w:t>nutrition</w:t>
      </w:r>
      <w:r w:rsidRPr="00127F10">
        <w:rPr>
          <w:rFonts w:ascii="Calibri" w:hAnsi="Calibri" w:cs="Arial"/>
        </w:rPr>
        <w:t xml:space="preserve"> requirement, </w:t>
      </w:r>
      <w:r w:rsidR="00DD308A" w:rsidRPr="00127F10">
        <w:rPr>
          <w:rFonts w:ascii="Calibri" w:hAnsi="Calibri" w:cs="Arial"/>
        </w:rPr>
        <w:t xml:space="preserve">and </w:t>
      </w:r>
      <w:r w:rsidRPr="00127F10">
        <w:rPr>
          <w:rFonts w:ascii="Calibri" w:hAnsi="Calibri" w:cs="Arial"/>
        </w:rPr>
        <w:t xml:space="preserve">the </w:t>
      </w:r>
      <w:r w:rsidR="00DD308A" w:rsidRPr="00127F10">
        <w:rPr>
          <w:rFonts w:ascii="Calibri" w:hAnsi="Calibri" w:cs="Arial"/>
        </w:rPr>
        <w:t xml:space="preserve">Falls assessments </w:t>
      </w:r>
      <w:r w:rsidRPr="00127F10">
        <w:rPr>
          <w:rFonts w:ascii="Calibri" w:hAnsi="Calibri" w:cs="Arial"/>
        </w:rPr>
        <w:t>are now being audited</w:t>
      </w:r>
      <w:r w:rsidR="00DD308A" w:rsidRPr="00127F10">
        <w:rPr>
          <w:rFonts w:ascii="Calibri" w:hAnsi="Calibri" w:cs="Arial"/>
        </w:rPr>
        <w:t xml:space="preserve"> </w:t>
      </w:r>
      <w:r w:rsidRPr="00127F10">
        <w:rPr>
          <w:rFonts w:ascii="Calibri" w:hAnsi="Calibri" w:cs="Arial"/>
        </w:rPr>
        <w:t xml:space="preserve">every 6-months </w:t>
      </w:r>
      <w:r w:rsidR="00DD308A" w:rsidRPr="00127F10">
        <w:rPr>
          <w:rFonts w:ascii="Calibri" w:hAnsi="Calibri" w:cs="Arial"/>
        </w:rPr>
        <w:t>and the Productive programme actively man</w:t>
      </w:r>
      <w:r w:rsidRPr="00127F10">
        <w:rPr>
          <w:rFonts w:ascii="Calibri" w:hAnsi="Calibri" w:cs="Arial"/>
        </w:rPr>
        <w:t>a</w:t>
      </w:r>
      <w:r w:rsidR="00DD308A" w:rsidRPr="00127F10">
        <w:rPr>
          <w:rFonts w:ascii="Calibri" w:hAnsi="Calibri" w:cs="Arial"/>
        </w:rPr>
        <w:t>ge</w:t>
      </w:r>
      <w:r w:rsidRPr="00127F10">
        <w:rPr>
          <w:rFonts w:ascii="Calibri" w:hAnsi="Calibri" w:cs="Arial"/>
        </w:rPr>
        <w:t>s any identified</w:t>
      </w:r>
      <w:r w:rsidR="00DD308A" w:rsidRPr="00127F10">
        <w:rPr>
          <w:rFonts w:ascii="Calibri" w:hAnsi="Calibri" w:cs="Arial"/>
        </w:rPr>
        <w:t xml:space="preserve"> shortfalls</w:t>
      </w:r>
    </w:p>
    <w:p w:rsidR="00DD308A" w:rsidRPr="00127F10" w:rsidRDefault="00127F10" w:rsidP="00DD308A">
      <w:pPr>
        <w:numPr>
          <w:ilvl w:val="0"/>
          <w:numId w:val="34"/>
        </w:numPr>
        <w:jc w:val="both"/>
        <w:rPr>
          <w:rFonts w:ascii="Calibri" w:hAnsi="Calibri" w:cs="Arial"/>
        </w:rPr>
      </w:pPr>
      <w:r w:rsidRPr="00127F10">
        <w:rPr>
          <w:rFonts w:ascii="Calibri" w:hAnsi="Calibri" w:cs="Arial"/>
        </w:rPr>
        <w:t>It is our aim t</w:t>
      </w:r>
      <w:r w:rsidR="00DD308A" w:rsidRPr="00127F10">
        <w:rPr>
          <w:rFonts w:ascii="Calibri" w:hAnsi="Calibri" w:cs="Arial"/>
        </w:rPr>
        <w:t>o ensure that each mental health ward has a minimum of two nurses trained in the detection and management of common physical health problems</w:t>
      </w:r>
      <w:r w:rsidRPr="00127F10">
        <w:rPr>
          <w:rFonts w:ascii="Calibri" w:hAnsi="Calibri" w:cs="Arial"/>
        </w:rPr>
        <w:t xml:space="preserve">.  This programme of training continues to be rolled out </w:t>
      </w:r>
    </w:p>
    <w:p w:rsidR="00DD308A" w:rsidRPr="00536B47" w:rsidRDefault="00536B47" w:rsidP="00DD308A">
      <w:pPr>
        <w:numPr>
          <w:ilvl w:val="0"/>
          <w:numId w:val="34"/>
        </w:numPr>
        <w:jc w:val="both"/>
        <w:rPr>
          <w:rFonts w:ascii="Calibri" w:hAnsi="Calibri" w:cs="Arial"/>
        </w:rPr>
      </w:pPr>
      <w:r w:rsidRPr="00536B47">
        <w:rPr>
          <w:rFonts w:ascii="Calibri" w:hAnsi="Calibri" w:cs="Arial"/>
        </w:rPr>
        <w:t>Similarly, training is continuing t</w:t>
      </w:r>
      <w:r w:rsidR="00DD308A" w:rsidRPr="00536B47">
        <w:rPr>
          <w:rFonts w:ascii="Calibri" w:hAnsi="Calibri" w:cs="Arial"/>
        </w:rPr>
        <w:t xml:space="preserve">o ensure </w:t>
      </w:r>
      <w:r w:rsidRPr="00536B47">
        <w:rPr>
          <w:rFonts w:ascii="Calibri" w:hAnsi="Calibri" w:cs="Arial"/>
        </w:rPr>
        <w:t xml:space="preserve">there is </w:t>
      </w:r>
      <w:r w:rsidR="00DD308A" w:rsidRPr="00536B47">
        <w:rPr>
          <w:rFonts w:ascii="Calibri" w:hAnsi="Calibri" w:cs="Arial"/>
        </w:rPr>
        <w:t>at least one nurse per ward in each of the 8 community hospitals in the detection of dementia and depression</w:t>
      </w:r>
      <w:r w:rsidRPr="00536B47">
        <w:rPr>
          <w:rFonts w:ascii="Calibri" w:hAnsi="Calibri" w:cs="Arial"/>
        </w:rPr>
        <w:t>, with some wards additionally employing dual trained nurses</w:t>
      </w:r>
    </w:p>
    <w:p w:rsidR="00DD308A" w:rsidRPr="00536B47" w:rsidRDefault="00DD308A" w:rsidP="004B5477">
      <w:pPr>
        <w:numPr>
          <w:ilvl w:val="0"/>
          <w:numId w:val="34"/>
        </w:numPr>
        <w:jc w:val="both"/>
        <w:rPr>
          <w:rFonts w:ascii="Calibri" w:hAnsi="Calibri" w:cs="Arial"/>
        </w:rPr>
      </w:pPr>
      <w:r w:rsidRPr="00536B47">
        <w:rPr>
          <w:rFonts w:ascii="Calibri" w:hAnsi="Calibri" w:cs="Arial"/>
        </w:rPr>
        <w:t xml:space="preserve">Staff competency assessments </w:t>
      </w:r>
      <w:r w:rsidR="00536B47" w:rsidRPr="00536B47">
        <w:rPr>
          <w:rFonts w:ascii="Calibri" w:hAnsi="Calibri" w:cs="Arial"/>
        </w:rPr>
        <w:t>have</w:t>
      </w:r>
      <w:r w:rsidRPr="00536B47">
        <w:rPr>
          <w:rFonts w:ascii="Calibri" w:hAnsi="Calibri" w:cs="Arial"/>
        </w:rPr>
        <w:t xml:space="preserve"> be</w:t>
      </w:r>
      <w:r w:rsidR="00536B47" w:rsidRPr="00536B47">
        <w:rPr>
          <w:rFonts w:ascii="Calibri" w:hAnsi="Calibri" w:cs="Arial"/>
        </w:rPr>
        <w:t>en</w:t>
      </w:r>
      <w:r w:rsidRPr="00536B47">
        <w:rPr>
          <w:rFonts w:ascii="Calibri" w:hAnsi="Calibri" w:cs="Arial"/>
        </w:rPr>
        <w:t xml:space="preserve"> developed and </w:t>
      </w:r>
      <w:r w:rsidR="00536B47" w:rsidRPr="00536B47">
        <w:rPr>
          <w:rFonts w:ascii="Calibri" w:hAnsi="Calibri" w:cs="Arial"/>
        </w:rPr>
        <w:t xml:space="preserve">are now being </w:t>
      </w:r>
      <w:r w:rsidRPr="00536B47">
        <w:rPr>
          <w:rFonts w:ascii="Calibri" w:hAnsi="Calibri" w:cs="Arial"/>
        </w:rPr>
        <w:t xml:space="preserve">introduced for nursing staff in Community Division </w:t>
      </w:r>
      <w:r w:rsidR="00536B47" w:rsidRPr="00536B47">
        <w:rPr>
          <w:rFonts w:ascii="Calibri" w:hAnsi="Calibri" w:cs="Arial"/>
        </w:rPr>
        <w:t xml:space="preserve">in </w:t>
      </w:r>
      <w:r w:rsidRPr="00536B47">
        <w:rPr>
          <w:rFonts w:ascii="Calibri" w:hAnsi="Calibri" w:cs="Arial"/>
        </w:rPr>
        <w:t xml:space="preserve">prescribing and/or administering medicines. </w:t>
      </w:r>
    </w:p>
    <w:p w:rsidR="004B5477" w:rsidRPr="00CF6AED" w:rsidRDefault="00536B47" w:rsidP="004B5477">
      <w:pPr>
        <w:numPr>
          <w:ilvl w:val="0"/>
          <w:numId w:val="34"/>
        </w:numPr>
        <w:jc w:val="both"/>
        <w:rPr>
          <w:rFonts w:ascii="Calibri" w:hAnsi="Calibri" w:cs="Arial"/>
          <w:b/>
          <w:u w:val="single"/>
        </w:rPr>
      </w:pPr>
      <w:r w:rsidRPr="00536B47">
        <w:rPr>
          <w:rFonts w:ascii="Calibri" w:hAnsi="Calibri" w:cs="Arial"/>
        </w:rPr>
        <w:t xml:space="preserve">All learning from </w:t>
      </w:r>
      <w:r w:rsidR="00DD308A" w:rsidRPr="00536B47">
        <w:rPr>
          <w:rFonts w:ascii="Calibri" w:hAnsi="Calibri" w:cs="Arial"/>
        </w:rPr>
        <w:t>investigation of identified grade 3 and 4 pressure sores</w:t>
      </w:r>
      <w:r w:rsidRPr="00536B47">
        <w:rPr>
          <w:rFonts w:ascii="Calibri" w:hAnsi="Calibri" w:cs="Arial"/>
        </w:rPr>
        <w:t xml:space="preserve"> is being regularly reviewed and the pressure ulcer action plan updated as necessary</w:t>
      </w:r>
    </w:p>
    <w:p w:rsidR="00CF6AED" w:rsidRPr="00536B47" w:rsidRDefault="00CF6AED" w:rsidP="00CF6AED">
      <w:pPr>
        <w:ind w:left="720"/>
        <w:jc w:val="both"/>
        <w:rPr>
          <w:rFonts w:ascii="Calibri" w:hAnsi="Calibri" w:cs="Arial"/>
          <w:b/>
          <w:u w:val="single"/>
        </w:rPr>
      </w:pPr>
    </w:p>
    <w:p w:rsidR="004B5477" w:rsidRPr="00423885" w:rsidRDefault="004B5477" w:rsidP="00B038C0">
      <w:pPr>
        <w:pStyle w:val="Heading4"/>
        <w:rPr>
          <w:rFonts w:ascii="Calibri" w:hAnsi="Calibri" w:cs="Arial"/>
          <w:b w:val="0"/>
        </w:rPr>
      </w:pPr>
      <w:r w:rsidRPr="00B038C0">
        <w:t>Aims</w:t>
      </w:r>
    </w:p>
    <w:p w:rsidR="000B415C" w:rsidRPr="000B415C" w:rsidRDefault="004B5477" w:rsidP="000B415C">
      <w:pPr>
        <w:ind w:left="360"/>
        <w:rPr>
          <w:rFonts w:ascii="Calibri" w:hAnsi="Calibri" w:cs="Arial"/>
          <w:b/>
          <w:bCs/>
        </w:rPr>
      </w:pPr>
      <w:r w:rsidRPr="000B415C">
        <w:rPr>
          <w:rFonts w:ascii="Calibri" w:hAnsi="Calibri" w:cs="Arial"/>
          <w:b/>
        </w:rPr>
        <w:t xml:space="preserve">85% of </w:t>
      </w:r>
      <w:r w:rsidRPr="000B415C">
        <w:rPr>
          <w:rFonts w:ascii="Calibri" w:hAnsi="Calibri" w:cs="Arial"/>
          <w:b/>
          <w:bCs/>
        </w:rPr>
        <w:t>patients will be assessed for pressure ulcer risk on first visit or within 6 hours of admission, and will have actions identified on the key risk factors and preventative measures implemented within 2 days</w:t>
      </w:r>
      <w:r w:rsidR="000B415C" w:rsidRPr="000B415C">
        <w:rPr>
          <w:rFonts w:ascii="Calibri" w:hAnsi="Calibri" w:cs="Arial"/>
          <w:b/>
          <w:bCs/>
        </w:rPr>
        <w:t>.</w:t>
      </w:r>
      <w:r w:rsidRPr="000B415C">
        <w:rPr>
          <w:rFonts w:ascii="Calibri" w:hAnsi="Calibri" w:cs="Arial"/>
          <w:b/>
          <w:bCs/>
        </w:rPr>
        <w:t xml:space="preserve"> </w:t>
      </w:r>
    </w:p>
    <w:p w:rsidR="002F0314" w:rsidRPr="000B415C" w:rsidRDefault="000B415C" w:rsidP="00FA7412">
      <w:pPr>
        <w:ind w:left="720"/>
        <w:jc w:val="both"/>
        <w:rPr>
          <w:rFonts w:ascii="Calibri" w:hAnsi="Calibri" w:cs="Arial"/>
          <w:bCs/>
        </w:rPr>
      </w:pPr>
      <w:r w:rsidRPr="000B415C">
        <w:rPr>
          <w:rFonts w:ascii="Calibri" w:hAnsi="Calibri" w:cs="Arial"/>
        </w:rPr>
        <w:t>Preventing avoidable skin breakdown which can lead to pressure ulcers</w:t>
      </w:r>
      <w:r>
        <w:rPr>
          <w:rFonts w:ascii="Calibri" w:hAnsi="Calibri" w:cs="Arial"/>
        </w:rPr>
        <w:t xml:space="preserve"> is an important aspect of patient/service user care</w:t>
      </w:r>
      <w:r w:rsidRPr="000B415C">
        <w:rPr>
          <w:rFonts w:ascii="Calibri" w:hAnsi="Calibri" w:cs="Arial"/>
        </w:rPr>
        <w:t xml:space="preserve">.  </w:t>
      </w:r>
      <w:r>
        <w:rPr>
          <w:rFonts w:ascii="Calibri" w:hAnsi="Calibri" w:cs="Arial"/>
        </w:rPr>
        <w:t xml:space="preserve">It is important therefore that we correctly assess patients/service users for pressure ulcers in line with our standards.  We set ourselves the target of 75%, which we </w:t>
      </w:r>
      <w:r w:rsidR="002C4158">
        <w:rPr>
          <w:rFonts w:ascii="Calibri" w:hAnsi="Calibri" w:cs="Arial"/>
        </w:rPr>
        <w:t xml:space="preserve">consistently </w:t>
      </w:r>
      <w:r>
        <w:rPr>
          <w:rFonts w:ascii="Calibri" w:hAnsi="Calibri" w:cs="Arial"/>
        </w:rPr>
        <w:t xml:space="preserve">achieved </w:t>
      </w:r>
      <w:r w:rsidR="002C4158">
        <w:rPr>
          <w:rFonts w:ascii="Calibri" w:hAnsi="Calibri" w:cs="Arial"/>
        </w:rPr>
        <w:t>each quarter</w:t>
      </w:r>
      <w:r>
        <w:rPr>
          <w:rFonts w:ascii="Calibri" w:hAnsi="Calibri" w:cs="Arial"/>
        </w:rPr>
        <w:t xml:space="preserve"> for Community Hospitals</w:t>
      </w:r>
      <w:r w:rsidR="002C4158">
        <w:rPr>
          <w:rFonts w:ascii="Calibri" w:hAnsi="Calibri" w:cs="Arial"/>
        </w:rPr>
        <w:t xml:space="preserve">. </w:t>
      </w:r>
      <w:r>
        <w:rPr>
          <w:rFonts w:ascii="Calibri" w:hAnsi="Calibri" w:cs="Arial"/>
        </w:rPr>
        <w:t xml:space="preserve"> </w:t>
      </w:r>
      <w:r w:rsidR="00303640" w:rsidRPr="00303640">
        <w:rPr>
          <w:rFonts w:ascii="Calibri" w:hAnsi="Calibri" w:cs="Arial"/>
          <w:highlight w:val="yellow"/>
        </w:rPr>
        <w:t xml:space="preserve">Community </w:t>
      </w:r>
      <w:proofErr w:type="gramStart"/>
      <w:r w:rsidR="00303640" w:rsidRPr="00303640">
        <w:rPr>
          <w:rFonts w:ascii="Calibri" w:hAnsi="Calibri" w:cs="Arial"/>
          <w:highlight w:val="yellow"/>
        </w:rPr>
        <w:t>Nursing</w:t>
      </w:r>
      <w:proofErr w:type="gramEnd"/>
      <w:r w:rsidR="00303640" w:rsidRPr="00303640">
        <w:rPr>
          <w:rFonts w:ascii="Calibri" w:hAnsi="Calibri" w:cs="Arial"/>
          <w:highlight w:val="yellow"/>
        </w:rPr>
        <w:t xml:space="preserve"> figures being </w:t>
      </w:r>
      <w:proofErr w:type="spellStart"/>
      <w:r w:rsidR="00303640" w:rsidRPr="00303640">
        <w:rPr>
          <w:rFonts w:ascii="Calibri" w:hAnsi="Calibri" w:cs="Arial"/>
          <w:highlight w:val="yellow"/>
        </w:rPr>
        <w:t>reaudited</w:t>
      </w:r>
      <w:proofErr w:type="spellEnd"/>
    </w:p>
    <w:p w:rsidR="000251CB" w:rsidRPr="00B038C0" w:rsidRDefault="000251CB" w:rsidP="000251CB">
      <w:pPr>
        <w:pStyle w:val="ListParagraph"/>
        <w:rPr>
          <w:rFonts w:ascii="Calibri" w:hAnsi="Calibri" w:cs="Arial"/>
          <w:i/>
          <w:color w:val="0070C0"/>
          <w:u w:val="single"/>
        </w:rPr>
      </w:pPr>
      <w:r w:rsidRPr="00B038C0">
        <w:rPr>
          <w:rFonts w:ascii="Calibri" w:hAnsi="Calibri" w:cs="Arial"/>
          <w:i/>
          <w:color w:val="0070C0"/>
          <w:u w:val="single"/>
        </w:rPr>
        <w:t xml:space="preserve">Chart </w:t>
      </w:r>
      <w:r>
        <w:rPr>
          <w:rFonts w:ascii="Calibri" w:hAnsi="Calibri" w:cs="Arial"/>
          <w:i/>
          <w:color w:val="0070C0"/>
          <w:u w:val="single"/>
        </w:rPr>
        <w:t>4</w:t>
      </w:r>
    </w:p>
    <w:p w:rsidR="000B415C" w:rsidRPr="004B5477" w:rsidRDefault="006742FA" w:rsidP="00B17934">
      <w:pPr>
        <w:autoSpaceDE w:val="0"/>
        <w:autoSpaceDN w:val="0"/>
        <w:adjustRightInd w:val="0"/>
        <w:ind w:left="720"/>
        <w:jc w:val="center"/>
        <w:rPr>
          <w:rFonts w:ascii="Calibri" w:hAnsi="Calibri" w:cs="Arial"/>
          <w:bCs/>
          <w:color w:val="0070C0"/>
        </w:rPr>
      </w:pPr>
      <w:r>
        <w:rPr>
          <w:rFonts w:ascii="Calibri" w:hAnsi="Calibri" w:cs="Arial"/>
          <w:bCs/>
          <w:noProof/>
          <w:color w:val="0070C0"/>
        </w:rPr>
        <w:drawing>
          <wp:inline distT="0" distB="0" distL="0" distR="0">
            <wp:extent cx="4370120" cy="2778826"/>
            <wp:effectExtent l="0" t="0" r="0" b="0"/>
            <wp:docPr id="2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415C" w:rsidRDefault="000B415C" w:rsidP="002F0314">
      <w:pPr>
        <w:ind w:left="720"/>
        <w:jc w:val="both"/>
        <w:rPr>
          <w:rFonts w:ascii="Calibri" w:hAnsi="Calibri" w:cs="Arial"/>
          <w:color w:val="0070C0"/>
        </w:rPr>
      </w:pPr>
    </w:p>
    <w:p w:rsidR="00710DAD" w:rsidRDefault="004B5477" w:rsidP="00710DAD">
      <w:pPr>
        <w:ind w:left="360"/>
        <w:rPr>
          <w:rFonts w:ascii="Calibri" w:hAnsi="Calibri" w:cs="Arial"/>
          <w:b/>
          <w:bCs/>
        </w:rPr>
      </w:pPr>
      <w:r w:rsidRPr="00710DAD">
        <w:rPr>
          <w:rFonts w:ascii="Calibri" w:hAnsi="Calibri" w:cs="Arial"/>
          <w:b/>
          <w:bCs/>
        </w:rPr>
        <w:lastRenderedPageBreak/>
        <w:t>Preventing avoidable serious drug errors in Community Health by 15% in 2010-11</w:t>
      </w:r>
    </w:p>
    <w:p w:rsidR="00710DAD" w:rsidRDefault="00710DAD" w:rsidP="00FA7412">
      <w:pPr>
        <w:ind w:left="720"/>
        <w:jc w:val="both"/>
        <w:rPr>
          <w:rFonts w:ascii="Calibri" w:hAnsi="Calibri" w:cs="Arial"/>
          <w:bCs/>
        </w:rPr>
      </w:pPr>
      <w:r>
        <w:rPr>
          <w:rFonts w:ascii="Calibri" w:hAnsi="Calibri" w:cs="Arial"/>
          <w:bCs/>
        </w:rPr>
        <w:t xml:space="preserve">There was a concern that the number of drug errors in Community Health had been steadily rising and so a </w:t>
      </w:r>
      <w:r w:rsidR="0052656C">
        <w:rPr>
          <w:rFonts w:ascii="Calibri" w:hAnsi="Calibri" w:cs="Arial"/>
          <w:bCs/>
        </w:rPr>
        <w:t>work programme</w:t>
      </w:r>
      <w:r>
        <w:rPr>
          <w:rFonts w:ascii="Calibri" w:hAnsi="Calibri" w:cs="Arial"/>
          <w:bCs/>
        </w:rPr>
        <w:t xml:space="preserve"> to reduce the</w:t>
      </w:r>
      <w:r w:rsidR="00B732C6">
        <w:rPr>
          <w:rFonts w:ascii="Calibri" w:hAnsi="Calibri" w:cs="Arial"/>
          <w:bCs/>
        </w:rPr>
        <w:t>m</w:t>
      </w:r>
      <w:r>
        <w:rPr>
          <w:rFonts w:ascii="Calibri" w:hAnsi="Calibri" w:cs="Arial"/>
          <w:bCs/>
        </w:rPr>
        <w:t xml:space="preserve"> was implemented.  The aim of reducing these by 15% in 2011/12 was achieved, with 11 being reported last year compared to 21 the previous year.</w:t>
      </w:r>
    </w:p>
    <w:p w:rsidR="000251CB" w:rsidRDefault="000251CB" w:rsidP="00FA7412">
      <w:pPr>
        <w:ind w:left="720"/>
        <w:jc w:val="both"/>
        <w:rPr>
          <w:rFonts w:ascii="Calibri" w:hAnsi="Calibri" w:cs="Arial"/>
          <w:bCs/>
        </w:rPr>
      </w:pPr>
    </w:p>
    <w:p w:rsidR="000251CB" w:rsidRPr="00B038C0" w:rsidRDefault="000251CB" w:rsidP="000251CB">
      <w:pPr>
        <w:pStyle w:val="ListParagraph"/>
        <w:rPr>
          <w:rFonts w:ascii="Calibri" w:hAnsi="Calibri" w:cs="Arial"/>
          <w:i/>
          <w:color w:val="0070C0"/>
          <w:u w:val="single"/>
        </w:rPr>
      </w:pPr>
      <w:r w:rsidRPr="00B038C0">
        <w:rPr>
          <w:rFonts w:ascii="Calibri" w:hAnsi="Calibri" w:cs="Arial"/>
          <w:i/>
          <w:color w:val="0070C0"/>
          <w:u w:val="single"/>
        </w:rPr>
        <w:t xml:space="preserve">Chart </w:t>
      </w:r>
      <w:r>
        <w:rPr>
          <w:rFonts w:ascii="Calibri" w:hAnsi="Calibri" w:cs="Arial"/>
          <w:i/>
          <w:color w:val="0070C0"/>
          <w:u w:val="single"/>
        </w:rPr>
        <w:t>5</w:t>
      </w:r>
    </w:p>
    <w:p w:rsidR="002F0314" w:rsidRPr="00710DAD" w:rsidRDefault="00F93257" w:rsidP="00710DAD">
      <w:pPr>
        <w:ind w:left="720"/>
        <w:jc w:val="both"/>
        <w:rPr>
          <w:rFonts w:ascii="Calibri" w:hAnsi="Calibri" w:cs="Arial"/>
          <w:color w:val="0070C0"/>
        </w:rPr>
      </w:pPr>
      <w:r>
        <w:rPr>
          <w:rFonts w:ascii="Calibri" w:hAnsi="Calibri" w:cs="Arial"/>
          <w:noProof/>
          <w:color w:val="0070C0"/>
        </w:rPr>
        <w:drawing>
          <wp:inline distT="0" distB="0" distL="0" distR="0">
            <wp:extent cx="4370120" cy="2232561"/>
            <wp:effectExtent l="0" t="0" r="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F0314" w:rsidRDefault="002F0314" w:rsidP="002F0314">
      <w:pPr>
        <w:ind w:left="720"/>
        <w:jc w:val="both"/>
        <w:rPr>
          <w:rFonts w:ascii="Calibri" w:hAnsi="Calibri" w:cs="Arial"/>
          <w:color w:val="0070C0"/>
        </w:rPr>
      </w:pPr>
    </w:p>
    <w:p w:rsidR="004B5477" w:rsidRDefault="004B5477" w:rsidP="006D5608">
      <w:pPr>
        <w:ind w:left="360"/>
        <w:rPr>
          <w:rFonts w:ascii="Calibri" w:hAnsi="Calibri" w:cs="Arial"/>
          <w:b/>
          <w:bCs/>
        </w:rPr>
      </w:pPr>
      <w:r w:rsidRPr="006D5608">
        <w:rPr>
          <w:rFonts w:ascii="Calibri" w:hAnsi="Calibri" w:cs="Arial"/>
          <w:b/>
          <w:bCs/>
        </w:rPr>
        <w:t>Reduce the number of falls in community hospitals and older people’s mental health wards by 10% by March 2013</w:t>
      </w:r>
    </w:p>
    <w:p w:rsidR="006D5608" w:rsidRDefault="006D5608" w:rsidP="006D5608">
      <w:pPr>
        <w:ind w:left="360"/>
        <w:rPr>
          <w:rFonts w:ascii="Calibri" w:hAnsi="Calibri" w:cs="Arial"/>
          <w:b/>
          <w:bCs/>
        </w:rPr>
      </w:pPr>
    </w:p>
    <w:p w:rsidR="00A66978" w:rsidRDefault="00A66978" w:rsidP="00A66978">
      <w:pPr>
        <w:ind w:left="720"/>
        <w:jc w:val="both"/>
        <w:rPr>
          <w:rFonts w:ascii="Calibri" w:hAnsi="Calibri" w:cs="Arial"/>
        </w:rPr>
      </w:pPr>
      <w:r>
        <w:rPr>
          <w:rFonts w:ascii="Calibri" w:hAnsi="Calibri" w:cs="Arial"/>
        </w:rPr>
        <w:t xml:space="preserve">Our target was to reduce the number of falls to below 999 in the year 2011/12.  By the end of the year, we had 1,107 falls reported compared with 1,100 in the previous year.  </w:t>
      </w:r>
    </w:p>
    <w:p w:rsidR="00A66978" w:rsidRDefault="00A66978" w:rsidP="00A66978">
      <w:pPr>
        <w:ind w:left="720"/>
        <w:jc w:val="both"/>
        <w:rPr>
          <w:rFonts w:ascii="Calibri" w:hAnsi="Calibri" w:cs="Arial"/>
        </w:rPr>
      </w:pPr>
      <w:r>
        <w:rPr>
          <w:rFonts w:ascii="Calibri" w:hAnsi="Calibri" w:cs="Arial"/>
        </w:rPr>
        <w:t>During the second quarter of the year, the two separate systems for reporting falls in Mental Health and Community were combined into a unified process.  This is shown in the first graph below.  The second graph smoothes out any seasonal variation by displaying the number of falls on a rolling annual basis (i.e. showing the total for the last 4 quarters each quarter).</w:t>
      </w:r>
    </w:p>
    <w:p w:rsidR="00FE5606" w:rsidRDefault="00FE5606" w:rsidP="006D5608">
      <w:pPr>
        <w:ind w:left="360"/>
        <w:rPr>
          <w:rFonts w:ascii="Calibri" w:hAnsi="Calibri" w:cs="Arial"/>
          <w:b/>
          <w:bCs/>
        </w:rPr>
      </w:pPr>
    </w:p>
    <w:p w:rsidR="000251CB" w:rsidRPr="00B038C0" w:rsidRDefault="000251CB" w:rsidP="000251CB">
      <w:pPr>
        <w:pStyle w:val="ListParagraph"/>
        <w:rPr>
          <w:rFonts w:ascii="Calibri" w:hAnsi="Calibri" w:cs="Arial"/>
          <w:i/>
          <w:color w:val="0070C0"/>
          <w:u w:val="single"/>
        </w:rPr>
      </w:pPr>
      <w:r w:rsidRPr="00B038C0">
        <w:rPr>
          <w:rFonts w:ascii="Calibri" w:hAnsi="Calibri" w:cs="Arial"/>
          <w:i/>
          <w:color w:val="0070C0"/>
          <w:u w:val="single"/>
        </w:rPr>
        <w:t xml:space="preserve">Chart </w:t>
      </w:r>
      <w:r>
        <w:rPr>
          <w:rFonts w:ascii="Calibri" w:hAnsi="Calibri" w:cs="Arial"/>
          <w:i/>
          <w:color w:val="0070C0"/>
          <w:u w:val="single"/>
        </w:rPr>
        <w:t>6</w:t>
      </w:r>
    </w:p>
    <w:p w:rsidR="00FE5606" w:rsidRPr="006D5608" w:rsidRDefault="00A66978" w:rsidP="00A66978">
      <w:pPr>
        <w:ind w:left="360"/>
        <w:jc w:val="center"/>
        <w:rPr>
          <w:rFonts w:ascii="Calibri" w:hAnsi="Calibri" w:cs="Arial"/>
          <w:b/>
          <w:bCs/>
        </w:rPr>
      </w:pPr>
      <w:r w:rsidRPr="00A66978">
        <w:rPr>
          <w:rFonts w:ascii="Calibri" w:hAnsi="Calibri" w:cs="Arial"/>
          <w:b/>
          <w:bCs/>
          <w:noProof/>
        </w:rPr>
        <w:drawing>
          <wp:inline distT="0" distB="0" distL="0" distR="0">
            <wp:extent cx="4500748" cy="2529444"/>
            <wp:effectExtent l="0" t="0" r="0" b="0"/>
            <wp:docPr id="2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251CB" w:rsidRDefault="000251CB" w:rsidP="000251CB">
      <w:pPr>
        <w:pStyle w:val="ListParagraph"/>
        <w:rPr>
          <w:rFonts w:ascii="Calibri" w:hAnsi="Calibri" w:cs="Arial"/>
          <w:i/>
          <w:color w:val="0070C0"/>
          <w:u w:val="single"/>
        </w:rPr>
      </w:pPr>
    </w:p>
    <w:p w:rsidR="000251CB" w:rsidRDefault="000251CB" w:rsidP="000251CB">
      <w:pPr>
        <w:pStyle w:val="ListParagraph"/>
        <w:rPr>
          <w:rFonts w:ascii="Calibri" w:hAnsi="Calibri" w:cs="Arial"/>
          <w:i/>
          <w:color w:val="0070C0"/>
          <w:u w:val="single"/>
        </w:rPr>
      </w:pPr>
    </w:p>
    <w:p w:rsidR="000251CB" w:rsidRPr="00B038C0" w:rsidRDefault="000251CB" w:rsidP="000251CB">
      <w:pPr>
        <w:pStyle w:val="ListParagraph"/>
        <w:rPr>
          <w:rFonts w:ascii="Calibri" w:hAnsi="Calibri" w:cs="Arial"/>
          <w:i/>
          <w:color w:val="0070C0"/>
          <w:u w:val="single"/>
        </w:rPr>
      </w:pPr>
      <w:r w:rsidRPr="00B038C0">
        <w:rPr>
          <w:rFonts w:ascii="Calibri" w:hAnsi="Calibri" w:cs="Arial"/>
          <w:i/>
          <w:color w:val="0070C0"/>
          <w:u w:val="single"/>
        </w:rPr>
        <w:lastRenderedPageBreak/>
        <w:t xml:space="preserve">Chart </w:t>
      </w:r>
      <w:r>
        <w:rPr>
          <w:rFonts w:ascii="Calibri" w:hAnsi="Calibri" w:cs="Arial"/>
          <w:i/>
          <w:color w:val="0070C0"/>
          <w:u w:val="single"/>
        </w:rPr>
        <w:t>7</w:t>
      </w:r>
    </w:p>
    <w:p w:rsidR="00710DAD" w:rsidRDefault="00A66978" w:rsidP="00FE5606">
      <w:pPr>
        <w:ind w:left="720"/>
        <w:jc w:val="center"/>
        <w:rPr>
          <w:rFonts w:ascii="Calibri" w:hAnsi="Calibri" w:cs="Arial"/>
          <w:color w:val="0070C0"/>
        </w:rPr>
      </w:pPr>
      <w:r w:rsidRPr="00A66978">
        <w:rPr>
          <w:rFonts w:ascii="Calibri" w:hAnsi="Calibri" w:cs="Arial"/>
          <w:noProof/>
          <w:color w:val="0070C0"/>
        </w:rPr>
        <w:drawing>
          <wp:inline distT="0" distB="0" distL="0" distR="0">
            <wp:extent cx="4263242" cy="2541319"/>
            <wp:effectExtent l="0" t="0" r="0" b="0"/>
            <wp:docPr id="2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D5608" w:rsidRDefault="006D5608" w:rsidP="00710DAD">
      <w:pPr>
        <w:ind w:left="720"/>
        <w:jc w:val="both"/>
        <w:rPr>
          <w:rFonts w:ascii="Calibri" w:hAnsi="Calibri" w:cs="Arial"/>
        </w:rPr>
      </w:pPr>
    </w:p>
    <w:p w:rsidR="00290753" w:rsidRPr="006D5608" w:rsidRDefault="00290753" w:rsidP="00710DAD">
      <w:pPr>
        <w:ind w:left="720"/>
        <w:jc w:val="both"/>
        <w:rPr>
          <w:rFonts w:ascii="Calibri" w:hAnsi="Calibri" w:cs="Arial"/>
        </w:rPr>
      </w:pPr>
    </w:p>
    <w:p w:rsidR="004B5477" w:rsidRPr="006D5608" w:rsidRDefault="004B5477" w:rsidP="006D5608">
      <w:pPr>
        <w:ind w:left="360"/>
        <w:rPr>
          <w:rFonts w:ascii="Calibri" w:hAnsi="Calibri" w:cs="Arial"/>
          <w:b/>
          <w:bCs/>
        </w:rPr>
      </w:pPr>
      <w:r w:rsidRPr="006D5608">
        <w:rPr>
          <w:rFonts w:ascii="Calibri" w:hAnsi="Calibri" w:cs="Arial"/>
          <w:b/>
          <w:bCs/>
        </w:rPr>
        <w:t>To achieve falls prevention that is better than the national comparison for falls – 8.6 falls per 1000 bed days by 2014</w:t>
      </w:r>
    </w:p>
    <w:p w:rsidR="006D5608" w:rsidRDefault="006D5608" w:rsidP="006D5608">
      <w:pPr>
        <w:ind w:left="720"/>
        <w:jc w:val="both"/>
        <w:rPr>
          <w:rFonts w:ascii="Calibri" w:hAnsi="Calibri" w:cs="Arial"/>
        </w:rPr>
      </w:pPr>
      <w:r w:rsidRPr="006D5608">
        <w:rPr>
          <w:rFonts w:ascii="Calibri" w:hAnsi="Calibri" w:cs="Arial"/>
          <w:highlight w:val="yellow"/>
        </w:rPr>
        <w:t>TBA</w:t>
      </w:r>
    </w:p>
    <w:p w:rsidR="006D5608" w:rsidRPr="006D5608" w:rsidRDefault="006D5608" w:rsidP="006D5608">
      <w:pPr>
        <w:ind w:left="720"/>
        <w:jc w:val="both"/>
        <w:rPr>
          <w:rFonts w:ascii="Calibri" w:hAnsi="Calibri" w:cs="Arial"/>
        </w:rPr>
      </w:pPr>
    </w:p>
    <w:p w:rsidR="004B5477" w:rsidRDefault="004B5477" w:rsidP="006D5608">
      <w:pPr>
        <w:ind w:left="360"/>
        <w:rPr>
          <w:rFonts w:ascii="Calibri" w:hAnsi="Calibri" w:cs="Arial"/>
          <w:b/>
          <w:bCs/>
        </w:rPr>
      </w:pPr>
      <w:r w:rsidRPr="006D5608">
        <w:rPr>
          <w:rFonts w:ascii="Calibri" w:hAnsi="Calibri" w:cs="Arial"/>
          <w:b/>
          <w:bCs/>
        </w:rPr>
        <w:t xml:space="preserve">At least 85% of all patients over 75 years of age are assessed for falls and nutrition risks in Community Hospitals and Older Adult Mental Health wards </w:t>
      </w:r>
    </w:p>
    <w:p w:rsidR="00D22BAB" w:rsidRDefault="00D22BAB" w:rsidP="00D22BAB">
      <w:pPr>
        <w:ind w:left="720"/>
        <w:jc w:val="both"/>
        <w:rPr>
          <w:rFonts w:ascii="Calibri" w:hAnsi="Calibri" w:cs="Arial"/>
        </w:rPr>
      </w:pPr>
      <w:r w:rsidRPr="006D5608">
        <w:rPr>
          <w:rFonts w:ascii="Calibri" w:hAnsi="Calibri" w:cs="Arial"/>
          <w:highlight w:val="yellow"/>
        </w:rPr>
        <w:t>TBA</w:t>
      </w:r>
      <w:r w:rsidR="001F4315">
        <w:rPr>
          <w:rFonts w:ascii="Calibri" w:hAnsi="Calibri" w:cs="Arial"/>
        </w:rPr>
        <w:t xml:space="preserve"> for Community Hospitals</w:t>
      </w:r>
    </w:p>
    <w:p w:rsidR="001F4315" w:rsidRDefault="001F4315" w:rsidP="00D22BAB">
      <w:pPr>
        <w:ind w:left="720"/>
        <w:jc w:val="both"/>
        <w:rPr>
          <w:rFonts w:ascii="Calibri" w:hAnsi="Calibri" w:cs="Arial"/>
        </w:rPr>
      </w:pPr>
      <w:r>
        <w:rPr>
          <w:rFonts w:ascii="Calibri" w:hAnsi="Calibri" w:cs="Arial"/>
        </w:rPr>
        <w:t>In Older Adult Mental Health wards, the figure assessed for nutrition risks was 65%.</w:t>
      </w:r>
    </w:p>
    <w:p w:rsidR="006D5608" w:rsidRPr="006D5608" w:rsidRDefault="006D5608" w:rsidP="006D5608">
      <w:pPr>
        <w:ind w:left="360"/>
        <w:rPr>
          <w:rFonts w:ascii="Calibri" w:hAnsi="Calibri" w:cs="Arial"/>
          <w:b/>
          <w:bCs/>
        </w:rPr>
      </w:pPr>
    </w:p>
    <w:p w:rsidR="004B5477" w:rsidRDefault="004B5477" w:rsidP="006D5608">
      <w:pPr>
        <w:ind w:left="360"/>
        <w:rPr>
          <w:rFonts w:ascii="Calibri" w:hAnsi="Calibri" w:cs="Arial"/>
          <w:b/>
          <w:bCs/>
        </w:rPr>
      </w:pPr>
      <w:r w:rsidRPr="006D5608">
        <w:rPr>
          <w:rFonts w:ascii="Calibri" w:hAnsi="Calibri" w:cs="Arial"/>
          <w:b/>
          <w:bCs/>
        </w:rPr>
        <w:t>At least 85% of patients over 75 years old in Community Hospitals have been assessed for dementia and depression</w:t>
      </w:r>
    </w:p>
    <w:p w:rsidR="006D5608" w:rsidRDefault="000A7643" w:rsidP="000A7643">
      <w:pPr>
        <w:ind w:left="709"/>
        <w:rPr>
          <w:rFonts w:ascii="Calibri" w:hAnsi="Calibri" w:cs="Arial"/>
          <w:bCs/>
        </w:rPr>
      </w:pPr>
      <w:r w:rsidRPr="000A7643">
        <w:rPr>
          <w:rFonts w:ascii="Calibri" w:hAnsi="Calibri" w:cs="Arial"/>
          <w:bCs/>
        </w:rPr>
        <w:t xml:space="preserve">The </w:t>
      </w:r>
      <w:r>
        <w:rPr>
          <w:rFonts w:ascii="Calibri" w:hAnsi="Calibri" w:cs="Arial"/>
          <w:bCs/>
        </w:rPr>
        <w:t xml:space="preserve">dementia </w:t>
      </w:r>
      <w:r w:rsidRPr="000A7643">
        <w:rPr>
          <w:rFonts w:ascii="Calibri" w:hAnsi="Calibri" w:cs="Arial"/>
          <w:bCs/>
        </w:rPr>
        <w:t xml:space="preserve">screening pathway to </w:t>
      </w:r>
      <w:r>
        <w:rPr>
          <w:rFonts w:ascii="Calibri" w:hAnsi="Calibri" w:cs="Arial"/>
          <w:bCs/>
        </w:rPr>
        <w:t xml:space="preserve">integrate with the existing </w:t>
      </w:r>
      <w:r w:rsidR="006910BB">
        <w:rPr>
          <w:rFonts w:ascii="Calibri" w:hAnsi="Calibri" w:cs="Arial"/>
          <w:bCs/>
        </w:rPr>
        <w:t>approaches</w:t>
      </w:r>
      <w:r>
        <w:rPr>
          <w:rFonts w:ascii="Calibri" w:hAnsi="Calibri" w:cs="Arial"/>
          <w:bCs/>
        </w:rPr>
        <w:t xml:space="preserve"> was developed during the year and fully implemented in the 4</w:t>
      </w:r>
      <w:r w:rsidRPr="000A7643">
        <w:rPr>
          <w:rFonts w:ascii="Calibri" w:hAnsi="Calibri" w:cs="Arial"/>
          <w:bCs/>
          <w:vertAlign w:val="superscript"/>
        </w:rPr>
        <w:t>th</w:t>
      </w:r>
      <w:r>
        <w:rPr>
          <w:rFonts w:ascii="Calibri" w:hAnsi="Calibri" w:cs="Arial"/>
          <w:bCs/>
        </w:rPr>
        <w:t xml:space="preserve"> quarter of 2011/12.  </w:t>
      </w:r>
      <w:r w:rsidR="006910BB">
        <w:rPr>
          <w:rFonts w:ascii="Calibri" w:hAnsi="Calibri" w:cs="Arial"/>
          <w:bCs/>
        </w:rPr>
        <w:t>The audit to determine the level of assessment now takes place as part of the monthly documentation audit, but no figures are available</w:t>
      </w:r>
      <w:r w:rsidR="006910BB" w:rsidRPr="006910BB">
        <w:rPr>
          <w:rFonts w:ascii="Calibri" w:hAnsi="Calibri" w:cs="Arial"/>
          <w:bCs/>
        </w:rPr>
        <w:t xml:space="preserve"> </w:t>
      </w:r>
      <w:r w:rsidR="006910BB">
        <w:rPr>
          <w:rFonts w:ascii="Calibri" w:hAnsi="Calibri" w:cs="Arial"/>
          <w:bCs/>
        </w:rPr>
        <w:t>yet.</w:t>
      </w:r>
    </w:p>
    <w:p w:rsidR="006910BB" w:rsidRPr="000A7643" w:rsidRDefault="006910BB" w:rsidP="000A7643">
      <w:pPr>
        <w:ind w:left="709"/>
        <w:rPr>
          <w:rFonts w:ascii="Calibri" w:hAnsi="Calibri" w:cs="Arial"/>
          <w:bCs/>
        </w:rPr>
      </w:pPr>
    </w:p>
    <w:p w:rsidR="004B5477" w:rsidRPr="006D5608" w:rsidRDefault="004B5477" w:rsidP="006D5608">
      <w:pPr>
        <w:ind w:left="360"/>
        <w:rPr>
          <w:rFonts w:ascii="Calibri" w:hAnsi="Calibri" w:cs="Arial"/>
          <w:b/>
          <w:bCs/>
        </w:rPr>
      </w:pPr>
      <w:r w:rsidRPr="006D5608">
        <w:rPr>
          <w:rFonts w:ascii="Calibri" w:hAnsi="Calibri" w:cs="Arial"/>
          <w:b/>
          <w:bCs/>
        </w:rPr>
        <w:t>PEAT (patient environment action team) scores to remain at good or excellent (national priority)</w:t>
      </w:r>
    </w:p>
    <w:p w:rsidR="006D5608" w:rsidRPr="00253ED4" w:rsidRDefault="00332BFF" w:rsidP="00FA7412">
      <w:pPr>
        <w:ind w:left="720"/>
        <w:jc w:val="both"/>
        <w:rPr>
          <w:rFonts w:ascii="Calibri" w:hAnsi="Calibri" w:cs="Arial"/>
        </w:rPr>
      </w:pPr>
      <w:r w:rsidRPr="00253ED4">
        <w:rPr>
          <w:rFonts w:ascii="Calibri" w:hAnsi="Calibri" w:cs="Arial"/>
        </w:rPr>
        <w:t xml:space="preserve">All </w:t>
      </w:r>
      <w:r w:rsidR="00253ED4" w:rsidRPr="00253ED4">
        <w:rPr>
          <w:rFonts w:ascii="Calibri" w:hAnsi="Calibri" w:cs="Arial"/>
        </w:rPr>
        <w:t xml:space="preserve">scores in 2011 </w:t>
      </w:r>
      <w:r w:rsidR="000A7643">
        <w:rPr>
          <w:rFonts w:ascii="Calibri" w:hAnsi="Calibri" w:cs="Arial"/>
        </w:rPr>
        <w:t>for</w:t>
      </w:r>
      <w:r w:rsidR="00253ED4" w:rsidRPr="00253ED4">
        <w:rPr>
          <w:rFonts w:ascii="Calibri" w:hAnsi="Calibri" w:cs="Arial"/>
        </w:rPr>
        <w:t xml:space="preserve"> the 11 main locations were judged as good or excellent </w:t>
      </w:r>
      <w:r w:rsidRPr="00253ED4">
        <w:rPr>
          <w:rFonts w:ascii="Calibri" w:hAnsi="Calibri" w:cs="Arial"/>
        </w:rPr>
        <w:t xml:space="preserve">– see </w:t>
      </w:r>
      <w:r w:rsidR="00253ED4" w:rsidRPr="00253ED4">
        <w:rPr>
          <w:rFonts w:ascii="Calibri" w:hAnsi="Calibri" w:cs="Arial"/>
        </w:rPr>
        <w:t>separate section later for details</w:t>
      </w:r>
    </w:p>
    <w:p w:rsidR="00332BFF" w:rsidRPr="00253ED4" w:rsidRDefault="00332BFF" w:rsidP="006D5608">
      <w:pPr>
        <w:ind w:left="720"/>
        <w:jc w:val="both"/>
        <w:rPr>
          <w:rFonts w:ascii="Calibri" w:hAnsi="Calibri" w:cs="Arial"/>
        </w:rPr>
      </w:pPr>
    </w:p>
    <w:p w:rsidR="004B5477" w:rsidRDefault="004B5477" w:rsidP="006D5608">
      <w:pPr>
        <w:ind w:left="360"/>
        <w:rPr>
          <w:rFonts w:ascii="Calibri" w:hAnsi="Calibri" w:cs="Arial"/>
          <w:b/>
          <w:bCs/>
        </w:rPr>
      </w:pPr>
      <w:r w:rsidRPr="006D5608">
        <w:rPr>
          <w:rFonts w:ascii="Calibri" w:hAnsi="Calibri" w:cs="Arial"/>
          <w:b/>
          <w:bCs/>
        </w:rPr>
        <w:t xml:space="preserve">Ensure 100% of patients admitted to psychiatric wards have a physical health examination within 24 hours of admission </w:t>
      </w:r>
    </w:p>
    <w:p w:rsidR="006D5608" w:rsidRDefault="004F2A62" w:rsidP="00FA7412">
      <w:pPr>
        <w:ind w:left="720"/>
        <w:jc w:val="both"/>
        <w:rPr>
          <w:rFonts w:ascii="Calibri" w:hAnsi="Calibri" w:cs="Arial"/>
          <w:bCs/>
        </w:rPr>
      </w:pPr>
      <w:r w:rsidRPr="004F2A62">
        <w:rPr>
          <w:rFonts w:ascii="Calibri" w:hAnsi="Calibri" w:cs="Arial"/>
          <w:bCs/>
        </w:rPr>
        <w:t xml:space="preserve">Although we did not reach the 100% target by the end of the year, there was substantial improvement, with the quarter 2 figure being 83%, quarter 3 at 88% and by the end of the year was </w:t>
      </w:r>
      <w:r>
        <w:rPr>
          <w:rFonts w:ascii="Calibri" w:hAnsi="Calibri" w:cs="Arial"/>
          <w:bCs/>
        </w:rPr>
        <w:t xml:space="preserve">standing at </w:t>
      </w:r>
      <w:r w:rsidRPr="004F2A62">
        <w:rPr>
          <w:rFonts w:ascii="Calibri" w:hAnsi="Calibri" w:cs="Arial"/>
          <w:bCs/>
        </w:rPr>
        <w:t>93%</w:t>
      </w:r>
      <w:r>
        <w:rPr>
          <w:rFonts w:ascii="Calibri" w:hAnsi="Calibri" w:cs="Arial"/>
          <w:bCs/>
        </w:rPr>
        <w:t>.</w:t>
      </w:r>
    </w:p>
    <w:p w:rsidR="004F2A62" w:rsidRPr="004F2A62" w:rsidRDefault="004F2A62" w:rsidP="006D5608">
      <w:pPr>
        <w:ind w:left="360"/>
        <w:rPr>
          <w:rFonts w:ascii="Calibri" w:hAnsi="Calibri" w:cs="Arial"/>
          <w:bCs/>
        </w:rPr>
      </w:pPr>
    </w:p>
    <w:p w:rsidR="004B5477" w:rsidRPr="006D5608" w:rsidRDefault="004B5477" w:rsidP="006D5608">
      <w:pPr>
        <w:ind w:left="360"/>
        <w:rPr>
          <w:rFonts w:ascii="Calibri" w:hAnsi="Calibri" w:cs="Arial"/>
          <w:b/>
          <w:bCs/>
        </w:rPr>
      </w:pPr>
      <w:r w:rsidRPr="006D5608">
        <w:rPr>
          <w:rFonts w:ascii="Calibri" w:hAnsi="Calibri" w:cs="Arial"/>
          <w:b/>
          <w:bCs/>
        </w:rPr>
        <w:t xml:space="preserve">All patients subject to CPA living in the community are monitored to ensure their physical healthcare needs are being met by primary care, and when this is not the case action is taken to address the need </w:t>
      </w:r>
    </w:p>
    <w:p w:rsidR="00D22BAB" w:rsidRDefault="00D22BAB" w:rsidP="00D22BAB">
      <w:pPr>
        <w:ind w:left="720"/>
        <w:jc w:val="both"/>
        <w:rPr>
          <w:rFonts w:ascii="Calibri" w:hAnsi="Calibri" w:cs="Arial"/>
        </w:rPr>
      </w:pPr>
      <w:r w:rsidRPr="006D5608">
        <w:rPr>
          <w:rFonts w:ascii="Calibri" w:hAnsi="Calibri" w:cs="Arial"/>
          <w:highlight w:val="yellow"/>
        </w:rPr>
        <w:lastRenderedPageBreak/>
        <w:t>TBA</w:t>
      </w:r>
      <w:r w:rsidR="00823E85">
        <w:rPr>
          <w:rFonts w:ascii="Calibri" w:hAnsi="Calibri" w:cs="Arial"/>
        </w:rPr>
        <w:t xml:space="preserve"> </w:t>
      </w:r>
    </w:p>
    <w:p w:rsidR="006D5608" w:rsidRPr="004B5477" w:rsidRDefault="006D5608" w:rsidP="006D5608">
      <w:pPr>
        <w:ind w:left="720"/>
        <w:jc w:val="both"/>
        <w:rPr>
          <w:rFonts w:ascii="Calibri" w:hAnsi="Calibri" w:cs="Arial"/>
          <w:color w:val="0070C0"/>
        </w:rPr>
      </w:pPr>
    </w:p>
    <w:p w:rsidR="004B5477" w:rsidRPr="006D5608" w:rsidRDefault="004B5477" w:rsidP="006D5608">
      <w:pPr>
        <w:ind w:left="360"/>
        <w:rPr>
          <w:rFonts w:ascii="Calibri" w:hAnsi="Calibri" w:cs="Arial"/>
          <w:b/>
          <w:bCs/>
        </w:rPr>
      </w:pPr>
      <w:r w:rsidRPr="006D5608">
        <w:rPr>
          <w:rFonts w:ascii="Calibri" w:hAnsi="Calibri" w:cs="Arial"/>
          <w:b/>
          <w:bCs/>
        </w:rPr>
        <w:t xml:space="preserve">Reduce to 30 from 34 (the previous target) the number of cases of Clostridium </w:t>
      </w:r>
      <w:proofErr w:type="spellStart"/>
      <w:r w:rsidRPr="006D5608">
        <w:rPr>
          <w:rFonts w:ascii="Calibri" w:hAnsi="Calibri" w:cs="Arial"/>
          <w:b/>
          <w:bCs/>
        </w:rPr>
        <w:t>Difficile</w:t>
      </w:r>
      <w:proofErr w:type="spellEnd"/>
      <w:r w:rsidRPr="006D5608">
        <w:rPr>
          <w:rFonts w:ascii="Calibri" w:hAnsi="Calibri" w:cs="Arial"/>
          <w:b/>
          <w:bCs/>
        </w:rPr>
        <w:t xml:space="preserve"> by March 2012 </w:t>
      </w:r>
    </w:p>
    <w:p w:rsidR="006D5608" w:rsidRDefault="004B11A4" w:rsidP="006D5608">
      <w:pPr>
        <w:ind w:left="720"/>
        <w:jc w:val="both"/>
        <w:rPr>
          <w:rFonts w:asciiTheme="minorHAnsi" w:hAnsiTheme="minorHAnsi" w:cs="Arial"/>
        </w:rPr>
      </w:pPr>
      <w:r w:rsidRPr="004B11A4">
        <w:rPr>
          <w:rFonts w:asciiTheme="minorHAnsi" w:hAnsiTheme="minorHAnsi" w:cs="Arial"/>
        </w:rPr>
        <w:t>In 2011/12, there were 1</w:t>
      </w:r>
      <w:r w:rsidR="0052656C">
        <w:rPr>
          <w:rFonts w:asciiTheme="minorHAnsi" w:hAnsiTheme="minorHAnsi" w:cs="Arial"/>
        </w:rPr>
        <w:t>5</w:t>
      </w:r>
      <w:r w:rsidRPr="004B11A4">
        <w:rPr>
          <w:rFonts w:asciiTheme="minorHAnsi" w:hAnsiTheme="minorHAnsi" w:cs="Arial"/>
        </w:rPr>
        <w:t xml:space="preserve"> cases of Clostridium </w:t>
      </w:r>
      <w:proofErr w:type="spellStart"/>
      <w:r w:rsidRPr="004B11A4">
        <w:rPr>
          <w:rFonts w:asciiTheme="minorHAnsi" w:hAnsiTheme="minorHAnsi" w:cs="Arial"/>
        </w:rPr>
        <w:t>difficile</w:t>
      </w:r>
      <w:proofErr w:type="spellEnd"/>
      <w:r w:rsidRPr="004B11A4">
        <w:rPr>
          <w:rFonts w:asciiTheme="minorHAnsi" w:hAnsiTheme="minorHAnsi" w:cs="Arial"/>
        </w:rPr>
        <w:t xml:space="preserve"> which is a</w:t>
      </w:r>
      <w:r w:rsidR="0052656C">
        <w:rPr>
          <w:rFonts w:asciiTheme="minorHAnsi" w:hAnsiTheme="minorHAnsi" w:cs="Arial"/>
        </w:rPr>
        <w:t>n</w:t>
      </w:r>
      <w:r w:rsidRPr="004B11A4">
        <w:rPr>
          <w:rFonts w:asciiTheme="minorHAnsi" w:hAnsiTheme="minorHAnsi" w:cs="Arial"/>
        </w:rPr>
        <w:t xml:space="preserve"> improvement on previous years.  </w:t>
      </w:r>
    </w:p>
    <w:p w:rsidR="004B11A4" w:rsidRPr="004B11A4" w:rsidRDefault="004B11A4" w:rsidP="006D5608">
      <w:pPr>
        <w:ind w:left="720"/>
        <w:jc w:val="both"/>
        <w:rPr>
          <w:rFonts w:asciiTheme="minorHAnsi" w:hAnsiTheme="minorHAnsi" w:cs="Arial"/>
          <w:color w:val="0070C0"/>
        </w:rPr>
      </w:pPr>
    </w:p>
    <w:p w:rsidR="004B5477" w:rsidRPr="006D5608" w:rsidRDefault="004B5477" w:rsidP="006D5608">
      <w:pPr>
        <w:ind w:left="360"/>
        <w:rPr>
          <w:rFonts w:ascii="Calibri" w:hAnsi="Calibri" w:cs="Arial"/>
          <w:b/>
          <w:bCs/>
        </w:rPr>
      </w:pPr>
      <w:r w:rsidRPr="006D5608">
        <w:rPr>
          <w:rFonts w:ascii="Calibri" w:hAnsi="Calibri" w:cs="Arial"/>
          <w:b/>
          <w:bCs/>
        </w:rPr>
        <w:t xml:space="preserve">Maintain no cases of MRSA across the Trust </w:t>
      </w:r>
    </w:p>
    <w:p w:rsidR="004B5477" w:rsidRDefault="0052656C" w:rsidP="00A21C13">
      <w:pPr>
        <w:ind w:left="720"/>
        <w:jc w:val="both"/>
        <w:rPr>
          <w:rFonts w:ascii="Calibri" w:hAnsi="Calibri" w:cs="Arial"/>
          <w:b/>
          <w:color w:val="0070C0"/>
          <w:u w:val="single"/>
        </w:rPr>
      </w:pPr>
      <w:r>
        <w:rPr>
          <w:rFonts w:asciiTheme="minorHAnsi" w:hAnsiTheme="minorHAnsi" w:cs="Arial"/>
        </w:rPr>
        <w:t>2</w:t>
      </w:r>
      <w:r w:rsidR="004B11A4" w:rsidRPr="004B11A4">
        <w:rPr>
          <w:rFonts w:asciiTheme="minorHAnsi" w:hAnsiTheme="minorHAnsi" w:cs="Arial"/>
        </w:rPr>
        <w:t xml:space="preserve"> cases of MRSA </w:t>
      </w:r>
      <w:proofErr w:type="spellStart"/>
      <w:r>
        <w:rPr>
          <w:rFonts w:asciiTheme="minorHAnsi" w:hAnsiTheme="minorHAnsi" w:cs="Arial"/>
        </w:rPr>
        <w:t>bacteraemias</w:t>
      </w:r>
      <w:proofErr w:type="spellEnd"/>
      <w:r>
        <w:rPr>
          <w:rFonts w:asciiTheme="minorHAnsi" w:hAnsiTheme="minorHAnsi" w:cs="Arial"/>
        </w:rPr>
        <w:t xml:space="preserve"> </w:t>
      </w:r>
      <w:r w:rsidR="004B11A4" w:rsidRPr="004B11A4">
        <w:rPr>
          <w:rFonts w:asciiTheme="minorHAnsi" w:hAnsiTheme="minorHAnsi" w:cs="Arial"/>
        </w:rPr>
        <w:t>were reported in the Trust’s hospitals during 2011/12</w:t>
      </w:r>
      <w:r w:rsidR="00A21C13">
        <w:rPr>
          <w:rFonts w:asciiTheme="minorHAnsi" w:hAnsiTheme="minorHAnsi" w:cs="Arial"/>
        </w:rPr>
        <w:t>. In all of these cases, Root Cause Analysis investigations have taken place.  This showed evidence of good practice in the majority of reviews.  There is no evidence of transmission between patients or concerns that infection rates are high in any one settling.</w:t>
      </w:r>
    </w:p>
    <w:p w:rsidR="00F02803" w:rsidRDefault="00F02803" w:rsidP="00AD61F9">
      <w:pPr>
        <w:jc w:val="both"/>
        <w:rPr>
          <w:rFonts w:ascii="Calibri" w:hAnsi="Calibri" w:cs="Arial"/>
          <w:color w:val="0070C0"/>
        </w:rPr>
      </w:pPr>
    </w:p>
    <w:p w:rsidR="00F02803" w:rsidRDefault="00F02803" w:rsidP="00AD61F9">
      <w:pPr>
        <w:jc w:val="both"/>
        <w:rPr>
          <w:rFonts w:ascii="Calibri" w:hAnsi="Calibri" w:cs="Arial"/>
          <w:color w:val="0070C0"/>
        </w:rPr>
      </w:pPr>
    </w:p>
    <w:tbl>
      <w:tblPr>
        <w:tblStyle w:val="TableGrid"/>
        <w:tblW w:w="0" w:type="auto"/>
        <w:tblBorders>
          <w:top w:val="single" w:sz="4" w:space="0" w:color="0070C0"/>
          <w:left w:val="none" w:sz="0" w:space="0" w:color="auto"/>
          <w:bottom w:val="single" w:sz="4" w:space="0" w:color="0070C0"/>
          <w:right w:val="none" w:sz="0" w:space="0" w:color="auto"/>
          <w:insideH w:val="none" w:sz="0" w:space="0" w:color="auto"/>
          <w:insideV w:val="none" w:sz="0" w:space="0" w:color="auto"/>
        </w:tblBorders>
        <w:tblLook w:val="04A0"/>
      </w:tblPr>
      <w:tblGrid>
        <w:gridCol w:w="9242"/>
      </w:tblGrid>
      <w:tr w:rsidR="00AD61F9" w:rsidTr="00AA0532">
        <w:tc>
          <w:tcPr>
            <w:tcW w:w="9242" w:type="dxa"/>
          </w:tcPr>
          <w:p w:rsidR="00AD61F9" w:rsidRPr="00ED3BBA" w:rsidRDefault="00AD61F9" w:rsidP="00AA0532">
            <w:pPr>
              <w:jc w:val="both"/>
              <w:rPr>
                <w:rFonts w:ascii="Arial" w:hAnsi="Arial" w:cs="Arial"/>
                <w:color w:val="0070C0"/>
                <w:sz w:val="32"/>
                <w:szCs w:val="32"/>
              </w:rPr>
            </w:pPr>
            <w:r w:rsidRPr="00ED3BBA">
              <w:rPr>
                <w:rFonts w:ascii="Arial" w:hAnsi="Arial" w:cs="Arial"/>
                <w:color w:val="0070C0"/>
                <w:sz w:val="32"/>
                <w:szCs w:val="32"/>
              </w:rPr>
              <w:t>Effectiveness</w:t>
            </w:r>
          </w:p>
        </w:tc>
      </w:tr>
    </w:tbl>
    <w:p w:rsidR="00AD61F9" w:rsidRPr="00544356" w:rsidRDefault="00AD61F9" w:rsidP="00AD61F9">
      <w:pPr>
        <w:jc w:val="both"/>
        <w:rPr>
          <w:rFonts w:ascii="Calibri" w:hAnsi="Calibri" w:cs="Arial"/>
          <w:color w:val="0070C0"/>
        </w:rPr>
      </w:pPr>
    </w:p>
    <w:p w:rsidR="00AD61F9" w:rsidRPr="00544356" w:rsidRDefault="00AD61F9" w:rsidP="00AD61F9">
      <w:pPr>
        <w:pStyle w:val="Heading3"/>
      </w:pPr>
      <w:r>
        <w:t>Domain 3</w:t>
      </w:r>
      <w:r w:rsidR="002C3649">
        <w:t xml:space="preserve">: </w:t>
      </w:r>
      <w:r w:rsidRPr="00544356">
        <w:t>Enhancing quality of life for people with long-term conditions</w:t>
      </w:r>
    </w:p>
    <w:p w:rsidR="00600D55" w:rsidRDefault="00600D55" w:rsidP="00600D55">
      <w:pPr>
        <w:jc w:val="both"/>
        <w:rPr>
          <w:rFonts w:ascii="Calibri" w:hAnsi="Calibri" w:cs="Arial"/>
          <w:b/>
        </w:rPr>
      </w:pPr>
    </w:p>
    <w:p w:rsidR="009F65D0" w:rsidRDefault="009F65D0" w:rsidP="00600D55">
      <w:pPr>
        <w:jc w:val="both"/>
        <w:rPr>
          <w:rFonts w:ascii="Calibri" w:hAnsi="Calibri" w:cs="Arial"/>
        </w:rPr>
      </w:pPr>
      <w:r>
        <w:rPr>
          <w:rFonts w:ascii="Calibri" w:hAnsi="Calibri" w:cs="Arial"/>
        </w:rPr>
        <w:t>Although the aims that we set ourselves had mixed results by the end of the year, the individual initiatives we took appear to have been successful and are paving the way for the major initiative P</w:t>
      </w:r>
      <w:r w:rsidR="008B4C0F">
        <w:rPr>
          <w:rFonts w:ascii="Calibri" w:hAnsi="Calibri" w:cs="Arial"/>
        </w:rPr>
        <w:t>atient Reported Outcome Measures (PROMs) that will be a major focus this year.</w:t>
      </w:r>
    </w:p>
    <w:p w:rsidR="008B4C0F" w:rsidRPr="009F65D0" w:rsidRDefault="008B4C0F" w:rsidP="00600D55">
      <w:pPr>
        <w:jc w:val="both"/>
        <w:rPr>
          <w:rFonts w:ascii="Calibri" w:hAnsi="Calibri" w:cs="Arial"/>
        </w:rPr>
      </w:pPr>
    </w:p>
    <w:p w:rsidR="00600D55" w:rsidRPr="002F0314" w:rsidRDefault="00600D55" w:rsidP="00B038C0">
      <w:pPr>
        <w:pStyle w:val="Heading4"/>
        <w:rPr>
          <w:rFonts w:ascii="Calibri" w:hAnsi="Calibri" w:cs="Arial"/>
          <w:b w:val="0"/>
        </w:rPr>
      </w:pPr>
      <w:r w:rsidRPr="00B038C0">
        <w:t>Identified</w:t>
      </w:r>
      <w:r w:rsidRPr="002F0314">
        <w:rPr>
          <w:rFonts w:ascii="Calibri" w:hAnsi="Calibri" w:cs="Arial"/>
          <w:b w:val="0"/>
        </w:rPr>
        <w:t xml:space="preserve"> </w:t>
      </w:r>
      <w:r w:rsidRPr="00B038C0">
        <w:t>Initiatives</w:t>
      </w:r>
    </w:p>
    <w:p w:rsidR="00280460" w:rsidRPr="00280460" w:rsidRDefault="006F0412" w:rsidP="00280460">
      <w:pPr>
        <w:numPr>
          <w:ilvl w:val="0"/>
          <w:numId w:val="4"/>
        </w:numPr>
        <w:jc w:val="both"/>
        <w:rPr>
          <w:rFonts w:ascii="Calibri" w:hAnsi="Calibri" w:cs="Arial"/>
        </w:rPr>
      </w:pPr>
      <w:r>
        <w:rPr>
          <w:rFonts w:ascii="Calibri" w:hAnsi="Calibri" w:cs="Arial"/>
        </w:rPr>
        <w:t xml:space="preserve">In 2011/12 we </w:t>
      </w:r>
      <w:r w:rsidR="00305A94">
        <w:rPr>
          <w:rFonts w:ascii="Calibri" w:hAnsi="Calibri" w:cs="Arial"/>
        </w:rPr>
        <w:t xml:space="preserve">began </w:t>
      </w:r>
      <w:r>
        <w:rPr>
          <w:rFonts w:ascii="Calibri" w:hAnsi="Calibri" w:cs="Arial"/>
        </w:rPr>
        <w:t>i</w:t>
      </w:r>
      <w:r w:rsidR="00280460" w:rsidRPr="00280460">
        <w:rPr>
          <w:rFonts w:ascii="Calibri" w:hAnsi="Calibri" w:cs="Arial"/>
        </w:rPr>
        <w:t>mplement</w:t>
      </w:r>
      <w:r w:rsidR="00305A94">
        <w:rPr>
          <w:rFonts w:ascii="Calibri" w:hAnsi="Calibri" w:cs="Arial"/>
        </w:rPr>
        <w:t>ing</w:t>
      </w:r>
      <w:r>
        <w:rPr>
          <w:rFonts w:ascii="Calibri" w:hAnsi="Calibri" w:cs="Arial"/>
        </w:rPr>
        <w:t xml:space="preserve"> the “East Kent” assessment model to enable us to</w:t>
      </w:r>
      <w:r w:rsidR="00280460" w:rsidRPr="00280460">
        <w:rPr>
          <w:rFonts w:ascii="Calibri" w:hAnsi="Calibri" w:cs="Arial"/>
        </w:rPr>
        <w:t xml:space="preserve"> use Patient Reported Outcome Measures as part of the stroke care pathway </w:t>
      </w:r>
    </w:p>
    <w:p w:rsidR="00A5136B" w:rsidRPr="00A5136B" w:rsidRDefault="006F0412" w:rsidP="00A5136B">
      <w:pPr>
        <w:numPr>
          <w:ilvl w:val="0"/>
          <w:numId w:val="4"/>
        </w:numPr>
        <w:jc w:val="both"/>
        <w:rPr>
          <w:rFonts w:ascii="Calibri" w:hAnsi="Calibri" w:cs="Arial"/>
        </w:rPr>
      </w:pPr>
      <w:r w:rsidRPr="006F0412">
        <w:rPr>
          <w:rFonts w:ascii="Calibri" w:hAnsi="Calibri" w:cs="Arial"/>
        </w:rPr>
        <w:t>We were successful in f</w:t>
      </w:r>
      <w:r w:rsidR="00280460" w:rsidRPr="006F0412">
        <w:rPr>
          <w:rFonts w:ascii="Calibri" w:hAnsi="Calibri" w:cs="Arial"/>
        </w:rPr>
        <w:t>urther reduc</w:t>
      </w:r>
      <w:r w:rsidRPr="006F0412">
        <w:rPr>
          <w:rFonts w:ascii="Calibri" w:hAnsi="Calibri" w:cs="Arial"/>
        </w:rPr>
        <w:t>ing</w:t>
      </w:r>
      <w:r w:rsidR="00280460" w:rsidRPr="006F0412">
        <w:rPr>
          <w:rFonts w:ascii="Calibri" w:hAnsi="Calibri" w:cs="Arial"/>
        </w:rPr>
        <w:t xml:space="preserve"> the incidence of emergency readmission in mental health within 28 days of discharge by careful discharge planning and assertive follow up</w:t>
      </w:r>
      <w:r w:rsidRPr="006F0412">
        <w:rPr>
          <w:rFonts w:ascii="Calibri" w:hAnsi="Calibri" w:cs="Arial"/>
        </w:rPr>
        <w:t xml:space="preserve">, achieving a rate of </w:t>
      </w:r>
      <w:r w:rsidR="00231356">
        <w:rPr>
          <w:rFonts w:ascii="Calibri" w:hAnsi="Calibri" w:cs="Arial"/>
        </w:rPr>
        <w:t>10.2</w:t>
      </w:r>
      <w:r w:rsidRPr="006F0412">
        <w:rPr>
          <w:rFonts w:ascii="Calibri" w:hAnsi="Calibri" w:cs="Arial"/>
        </w:rPr>
        <w:t>% against a target of 10.3%</w:t>
      </w:r>
      <w:r w:rsidR="00B257F4">
        <w:rPr>
          <w:rFonts w:ascii="Calibri" w:hAnsi="Calibri" w:cs="Arial"/>
        </w:rPr>
        <w:t xml:space="preserve"> for a</w:t>
      </w:r>
      <w:r w:rsidR="00A5136B" w:rsidRPr="00A5136B">
        <w:rPr>
          <w:rFonts w:ascii="Calibri" w:hAnsi="Calibri" w:cs="Arial"/>
        </w:rPr>
        <w:t xml:space="preserve">dult 28 day readmissions </w:t>
      </w:r>
      <w:r w:rsidR="00B257F4">
        <w:rPr>
          <w:rFonts w:ascii="Calibri" w:hAnsi="Calibri" w:cs="Arial"/>
        </w:rPr>
        <w:t xml:space="preserve">and </w:t>
      </w:r>
      <w:r w:rsidR="00B257F4" w:rsidRPr="00A5136B">
        <w:rPr>
          <w:rFonts w:ascii="Calibri" w:hAnsi="Calibri" w:cs="Arial"/>
        </w:rPr>
        <w:t>1.4% against a target of 5.3%</w:t>
      </w:r>
      <w:r w:rsidR="00B257F4">
        <w:rPr>
          <w:rFonts w:ascii="Calibri" w:hAnsi="Calibri" w:cs="Arial"/>
        </w:rPr>
        <w:t xml:space="preserve"> for Older Adult </w:t>
      </w:r>
      <w:r w:rsidR="00B257F4" w:rsidRPr="00A5136B">
        <w:rPr>
          <w:rFonts w:ascii="Calibri" w:hAnsi="Calibri" w:cs="Arial"/>
        </w:rPr>
        <w:t>28 day readmissions</w:t>
      </w:r>
    </w:p>
    <w:p w:rsidR="006F0412" w:rsidRPr="00D64E06" w:rsidRDefault="006F0412" w:rsidP="00280460">
      <w:pPr>
        <w:numPr>
          <w:ilvl w:val="0"/>
          <w:numId w:val="4"/>
        </w:numPr>
        <w:jc w:val="both"/>
        <w:rPr>
          <w:rFonts w:ascii="Calibri" w:hAnsi="Calibri" w:cs="Arial"/>
        </w:rPr>
      </w:pPr>
      <w:r w:rsidRPr="00D64E06">
        <w:rPr>
          <w:rFonts w:ascii="Calibri" w:hAnsi="Calibri" w:cs="Arial"/>
        </w:rPr>
        <w:t>In r</w:t>
      </w:r>
      <w:r w:rsidR="00280460" w:rsidRPr="00D64E06">
        <w:rPr>
          <w:rFonts w:ascii="Calibri" w:hAnsi="Calibri" w:cs="Arial"/>
        </w:rPr>
        <w:t>educ</w:t>
      </w:r>
      <w:r w:rsidRPr="00D64E06">
        <w:rPr>
          <w:rFonts w:ascii="Calibri" w:hAnsi="Calibri" w:cs="Arial"/>
        </w:rPr>
        <w:t>ing</w:t>
      </w:r>
      <w:r w:rsidR="00280460" w:rsidRPr="00D64E06">
        <w:rPr>
          <w:rFonts w:ascii="Calibri" w:hAnsi="Calibri" w:cs="Arial"/>
        </w:rPr>
        <w:t xml:space="preserve"> emergency admissions to acute hospitals</w:t>
      </w:r>
      <w:r w:rsidRPr="00D64E06">
        <w:rPr>
          <w:rFonts w:ascii="Calibri" w:hAnsi="Calibri" w:cs="Arial"/>
        </w:rPr>
        <w:t>, we estimate that during the year there</w:t>
      </w:r>
      <w:r w:rsidR="00280460" w:rsidRPr="00D64E06">
        <w:rPr>
          <w:rFonts w:ascii="Calibri" w:hAnsi="Calibri" w:cs="Arial"/>
        </w:rPr>
        <w:t xml:space="preserve"> </w:t>
      </w:r>
      <w:r w:rsidR="00D64E06" w:rsidRPr="00D64E06">
        <w:rPr>
          <w:rFonts w:ascii="Calibri" w:hAnsi="Calibri" w:cs="Arial"/>
        </w:rPr>
        <w:t xml:space="preserve">will have been 41,500 admissions, a reduction of over 1,900 compared to the target </w:t>
      </w:r>
      <w:r w:rsidR="00231356">
        <w:rPr>
          <w:rFonts w:ascii="Calibri" w:hAnsi="Calibri" w:cs="Arial"/>
        </w:rPr>
        <w:t>decrease</w:t>
      </w:r>
      <w:r w:rsidR="00D64E06" w:rsidRPr="00D64E06">
        <w:rPr>
          <w:rFonts w:ascii="Calibri" w:hAnsi="Calibri" w:cs="Arial"/>
        </w:rPr>
        <w:t xml:space="preserve"> of</w:t>
      </w:r>
      <w:r w:rsidR="00280460" w:rsidRPr="00D64E06">
        <w:rPr>
          <w:rFonts w:ascii="Calibri" w:hAnsi="Calibri" w:cs="Arial"/>
        </w:rPr>
        <w:t xml:space="preserve"> 800 </w:t>
      </w:r>
    </w:p>
    <w:p w:rsidR="00280460" w:rsidRPr="00D64E06" w:rsidRDefault="00D64E06" w:rsidP="00280460">
      <w:pPr>
        <w:numPr>
          <w:ilvl w:val="0"/>
          <w:numId w:val="4"/>
        </w:numPr>
        <w:jc w:val="both"/>
        <w:rPr>
          <w:rFonts w:ascii="Calibri" w:hAnsi="Calibri" w:cs="Arial"/>
        </w:rPr>
      </w:pPr>
      <w:r w:rsidRPr="00D64E06">
        <w:rPr>
          <w:rFonts w:ascii="Calibri" w:hAnsi="Calibri" w:cs="Arial"/>
        </w:rPr>
        <w:t xml:space="preserve">We have been actively </w:t>
      </w:r>
      <w:r w:rsidR="00280460" w:rsidRPr="00D64E06">
        <w:rPr>
          <w:rFonts w:ascii="Calibri" w:hAnsi="Calibri" w:cs="Arial"/>
        </w:rPr>
        <w:t>work</w:t>
      </w:r>
      <w:r w:rsidRPr="00D64E06">
        <w:rPr>
          <w:rFonts w:ascii="Calibri" w:hAnsi="Calibri" w:cs="Arial"/>
        </w:rPr>
        <w:t>ing</w:t>
      </w:r>
      <w:r w:rsidR="00280460" w:rsidRPr="00D64E06">
        <w:rPr>
          <w:rFonts w:ascii="Calibri" w:hAnsi="Calibri" w:cs="Arial"/>
        </w:rPr>
        <w:t xml:space="preserve"> with Commissioners to develop a multi agency mental health recovery strategy</w:t>
      </w:r>
      <w:r w:rsidRPr="00D64E06">
        <w:rPr>
          <w:rFonts w:ascii="Calibri" w:hAnsi="Calibri" w:cs="Arial"/>
        </w:rPr>
        <w:t xml:space="preserve"> by developing a joint recovery pathway through the Supporting People in Independent Living initiative and creating a recovery group attended by all disciplines.  </w:t>
      </w:r>
      <w:proofErr w:type="spellStart"/>
      <w:r w:rsidRPr="00D64E06">
        <w:rPr>
          <w:rFonts w:ascii="Calibri" w:hAnsi="Calibri" w:cs="Arial"/>
        </w:rPr>
        <w:t>Chaffron</w:t>
      </w:r>
      <w:proofErr w:type="spellEnd"/>
      <w:r w:rsidRPr="00D64E06">
        <w:rPr>
          <w:rFonts w:ascii="Calibri" w:hAnsi="Calibri" w:cs="Arial"/>
        </w:rPr>
        <w:t xml:space="preserve"> Ward has been asked to present the current recovery model at the Royal College of Psychiatry Quality Network conference.</w:t>
      </w:r>
    </w:p>
    <w:p w:rsidR="006A1008" w:rsidRPr="00280460" w:rsidRDefault="00600D55" w:rsidP="006A1008">
      <w:pPr>
        <w:numPr>
          <w:ilvl w:val="0"/>
          <w:numId w:val="4"/>
        </w:numPr>
        <w:jc w:val="both"/>
        <w:rPr>
          <w:rFonts w:ascii="Calibri" w:hAnsi="Calibri" w:cs="Arial"/>
        </w:rPr>
      </w:pPr>
      <w:r w:rsidRPr="00280460">
        <w:rPr>
          <w:rFonts w:ascii="Calibri" w:hAnsi="Calibri" w:cs="Arial"/>
        </w:rPr>
        <w:t>We wanted to increase</w:t>
      </w:r>
      <w:r w:rsidR="006A1008" w:rsidRPr="00280460">
        <w:rPr>
          <w:rFonts w:ascii="Calibri" w:hAnsi="Calibri" w:cs="Arial"/>
        </w:rPr>
        <w:t xml:space="preserve"> the number of mental health patients who ha</w:t>
      </w:r>
      <w:r w:rsidR="00DA1C83" w:rsidRPr="00280460">
        <w:rPr>
          <w:rFonts w:ascii="Calibri" w:hAnsi="Calibri" w:cs="Arial"/>
        </w:rPr>
        <w:t xml:space="preserve">ve Advanced Statements in place.  Although a lot of activity took place, such as revising the Advanced Statement leaflet and </w:t>
      </w:r>
      <w:r w:rsidR="00D64E06">
        <w:rPr>
          <w:rFonts w:ascii="Calibri" w:hAnsi="Calibri" w:cs="Arial"/>
        </w:rPr>
        <w:t xml:space="preserve">widely </w:t>
      </w:r>
      <w:r w:rsidR="00DA1C83" w:rsidRPr="00280460">
        <w:rPr>
          <w:rFonts w:ascii="Calibri" w:hAnsi="Calibri" w:cs="Arial"/>
        </w:rPr>
        <w:t>promoting its use, we ha</w:t>
      </w:r>
      <w:r w:rsidR="00280460" w:rsidRPr="00280460">
        <w:rPr>
          <w:rFonts w:ascii="Calibri" w:hAnsi="Calibri" w:cs="Arial"/>
        </w:rPr>
        <w:t>ve been hampered this year in actually measuring its effectiveness by a temporary problem caused by the introduction of RiO</w:t>
      </w:r>
    </w:p>
    <w:p w:rsidR="006A1008" w:rsidRPr="00C810C6" w:rsidRDefault="00C810C6" w:rsidP="006A1008">
      <w:pPr>
        <w:numPr>
          <w:ilvl w:val="0"/>
          <w:numId w:val="19"/>
        </w:numPr>
        <w:ind w:left="709" w:hanging="425"/>
        <w:jc w:val="both"/>
        <w:rPr>
          <w:rFonts w:ascii="Calibri" w:hAnsi="Calibri"/>
        </w:rPr>
      </w:pPr>
      <w:r w:rsidRPr="00C810C6">
        <w:rPr>
          <w:rFonts w:ascii="Calibri" w:hAnsi="Calibri"/>
        </w:rPr>
        <w:t>We have c</w:t>
      </w:r>
      <w:r w:rsidR="006A1008" w:rsidRPr="00C810C6">
        <w:rPr>
          <w:rFonts w:ascii="Calibri" w:hAnsi="Calibri"/>
        </w:rPr>
        <w:t>reate</w:t>
      </w:r>
      <w:r w:rsidRPr="00C810C6">
        <w:rPr>
          <w:rFonts w:ascii="Calibri" w:hAnsi="Calibri"/>
        </w:rPr>
        <w:t>d</w:t>
      </w:r>
      <w:r w:rsidR="006A1008" w:rsidRPr="00C810C6">
        <w:rPr>
          <w:rFonts w:ascii="Calibri" w:hAnsi="Calibri"/>
        </w:rPr>
        <w:t xml:space="preserve"> a</w:t>
      </w:r>
      <w:r w:rsidRPr="00C810C6">
        <w:rPr>
          <w:rFonts w:ascii="Calibri" w:hAnsi="Calibri"/>
        </w:rPr>
        <w:t xml:space="preserve"> more</w:t>
      </w:r>
      <w:r w:rsidR="006A1008" w:rsidRPr="00C810C6">
        <w:rPr>
          <w:rFonts w:ascii="Calibri" w:hAnsi="Calibri"/>
        </w:rPr>
        <w:t xml:space="preserve"> seamless pathway for adults with Diabetes living in Oxfordshire </w:t>
      </w:r>
      <w:r w:rsidRPr="00C810C6">
        <w:rPr>
          <w:rFonts w:ascii="Calibri" w:hAnsi="Calibri"/>
        </w:rPr>
        <w:t>as Community Health Services has been contracted to provide education to assist patients in the management of their condition, as well as supplying education and support to primary care providers of diabetic care</w:t>
      </w:r>
    </w:p>
    <w:p w:rsidR="006A1008" w:rsidRPr="00887D3F" w:rsidRDefault="00887D3F" w:rsidP="006A1008">
      <w:pPr>
        <w:numPr>
          <w:ilvl w:val="0"/>
          <w:numId w:val="19"/>
        </w:numPr>
        <w:ind w:left="709" w:hanging="425"/>
        <w:jc w:val="both"/>
        <w:rPr>
          <w:rFonts w:ascii="Calibri" w:hAnsi="Calibri"/>
        </w:rPr>
      </w:pPr>
      <w:r w:rsidRPr="00887D3F">
        <w:rPr>
          <w:rFonts w:ascii="Calibri" w:hAnsi="Calibri"/>
        </w:rPr>
        <w:lastRenderedPageBreak/>
        <w:t xml:space="preserve">The Trust has been part of a successful national pilot implementation in the </w:t>
      </w:r>
      <w:r w:rsidR="006A1008" w:rsidRPr="00887D3F">
        <w:rPr>
          <w:rFonts w:ascii="Calibri" w:hAnsi="Calibri"/>
        </w:rPr>
        <w:t xml:space="preserve">full use of Personalised Care Planning </w:t>
      </w:r>
      <w:r w:rsidRPr="00887D3F">
        <w:rPr>
          <w:rFonts w:ascii="Calibri" w:hAnsi="Calibri"/>
        </w:rPr>
        <w:t>and this is now being rolled out across Oxfordshire</w:t>
      </w:r>
    </w:p>
    <w:p w:rsidR="006A1008" w:rsidRPr="00887D3F" w:rsidRDefault="00887D3F" w:rsidP="006A1008">
      <w:pPr>
        <w:numPr>
          <w:ilvl w:val="0"/>
          <w:numId w:val="19"/>
        </w:numPr>
        <w:ind w:left="709" w:hanging="425"/>
        <w:jc w:val="both"/>
        <w:rPr>
          <w:rFonts w:ascii="Calibri" w:hAnsi="Calibri"/>
        </w:rPr>
      </w:pPr>
      <w:r w:rsidRPr="00887D3F">
        <w:rPr>
          <w:rFonts w:ascii="Calibri" w:hAnsi="Calibri"/>
        </w:rPr>
        <w:t>L</w:t>
      </w:r>
      <w:r w:rsidR="006A1008" w:rsidRPr="00887D3F">
        <w:rPr>
          <w:rFonts w:ascii="Calibri" w:hAnsi="Calibri"/>
        </w:rPr>
        <w:t>ocal education programmes for people with Type 2 Diabetes</w:t>
      </w:r>
      <w:r w:rsidRPr="00887D3F">
        <w:rPr>
          <w:rFonts w:ascii="Calibri" w:hAnsi="Calibri"/>
        </w:rPr>
        <w:t xml:space="preserve"> have been provided</w:t>
      </w:r>
      <w:r w:rsidR="006A1008" w:rsidRPr="00887D3F">
        <w:rPr>
          <w:rFonts w:ascii="Calibri" w:hAnsi="Calibri"/>
        </w:rPr>
        <w:t>. T</w:t>
      </w:r>
      <w:r w:rsidRPr="00887D3F">
        <w:rPr>
          <w:rFonts w:ascii="Calibri" w:hAnsi="Calibri"/>
        </w:rPr>
        <w:t>hese have i</w:t>
      </w:r>
      <w:r w:rsidR="006A1008" w:rsidRPr="00887D3F">
        <w:rPr>
          <w:rFonts w:ascii="Calibri" w:hAnsi="Calibri"/>
        </w:rPr>
        <w:t>nclude</w:t>
      </w:r>
      <w:r w:rsidRPr="00887D3F">
        <w:rPr>
          <w:rFonts w:ascii="Calibri" w:hAnsi="Calibri"/>
        </w:rPr>
        <w:t>d</w:t>
      </w:r>
      <w:r w:rsidR="006A1008" w:rsidRPr="00887D3F">
        <w:rPr>
          <w:rFonts w:ascii="Calibri" w:hAnsi="Calibri"/>
        </w:rPr>
        <w:t xml:space="preserve"> an advanced insulin skills group course for people with Type 2 Diabetes treated with insulin</w:t>
      </w:r>
    </w:p>
    <w:p w:rsidR="006A1008" w:rsidRPr="00FD2E2A" w:rsidRDefault="00887D3F" w:rsidP="006A1008">
      <w:pPr>
        <w:numPr>
          <w:ilvl w:val="0"/>
          <w:numId w:val="19"/>
        </w:numPr>
        <w:ind w:left="709" w:hanging="425"/>
        <w:jc w:val="both"/>
        <w:rPr>
          <w:rFonts w:ascii="Calibri" w:hAnsi="Calibri"/>
        </w:rPr>
      </w:pPr>
      <w:r w:rsidRPr="00FD2E2A">
        <w:rPr>
          <w:rFonts w:ascii="Calibri" w:hAnsi="Calibri"/>
        </w:rPr>
        <w:t xml:space="preserve">Much </w:t>
      </w:r>
      <w:r w:rsidR="006A1008" w:rsidRPr="00FD2E2A">
        <w:rPr>
          <w:rFonts w:ascii="Calibri" w:hAnsi="Calibri"/>
        </w:rPr>
        <w:t xml:space="preserve">work </w:t>
      </w:r>
      <w:r w:rsidRPr="00FD2E2A">
        <w:rPr>
          <w:rFonts w:ascii="Calibri" w:hAnsi="Calibri"/>
        </w:rPr>
        <w:t xml:space="preserve">has been undertaken this year </w:t>
      </w:r>
      <w:r w:rsidR="006A1008" w:rsidRPr="00FD2E2A">
        <w:rPr>
          <w:rFonts w:ascii="Calibri" w:hAnsi="Calibri"/>
        </w:rPr>
        <w:t xml:space="preserve">with health advocates to develop and deliver education programmes for </w:t>
      </w:r>
      <w:r w:rsidRPr="00FD2E2A">
        <w:rPr>
          <w:rFonts w:ascii="Calibri" w:hAnsi="Calibri"/>
        </w:rPr>
        <w:t>black and ethnic minority</w:t>
      </w:r>
      <w:r w:rsidR="006A1008" w:rsidRPr="00FD2E2A">
        <w:rPr>
          <w:rFonts w:ascii="Calibri" w:hAnsi="Calibri"/>
        </w:rPr>
        <w:t xml:space="preserve"> groups with diabetes</w:t>
      </w:r>
    </w:p>
    <w:p w:rsidR="006A1008" w:rsidRPr="00FD2E2A" w:rsidRDefault="00FD2E2A" w:rsidP="006A1008">
      <w:pPr>
        <w:numPr>
          <w:ilvl w:val="0"/>
          <w:numId w:val="19"/>
        </w:numPr>
        <w:autoSpaceDE w:val="0"/>
        <w:autoSpaceDN w:val="0"/>
        <w:ind w:left="709" w:hanging="425"/>
        <w:jc w:val="both"/>
        <w:rPr>
          <w:rFonts w:ascii="Calibri" w:hAnsi="Calibri"/>
        </w:rPr>
      </w:pPr>
      <w:r w:rsidRPr="00FD2E2A">
        <w:rPr>
          <w:rFonts w:ascii="Calibri" w:hAnsi="Calibri"/>
        </w:rPr>
        <w:t xml:space="preserve">A county-wide service is in place </w:t>
      </w:r>
      <w:r>
        <w:rPr>
          <w:rFonts w:ascii="Calibri" w:hAnsi="Calibri"/>
        </w:rPr>
        <w:t xml:space="preserve">in collaboration with another provider </w:t>
      </w:r>
      <w:r w:rsidRPr="00FD2E2A">
        <w:rPr>
          <w:rFonts w:ascii="Calibri" w:hAnsi="Calibri"/>
        </w:rPr>
        <w:t>t</w:t>
      </w:r>
      <w:r w:rsidR="006A1008" w:rsidRPr="00FD2E2A">
        <w:rPr>
          <w:rFonts w:ascii="Calibri" w:hAnsi="Calibri"/>
        </w:rPr>
        <w:t xml:space="preserve">o support patients through case management by developing the role of the case managers to ensure access to all sources of care and support. </w:t>
      </w:r>
      <w:r w:rsidRPr="00FD2E2A">
        <w:rPr>
          <w:rFonts w:ascii="Calibri" w:hAnsi="Calibri"/>
        </w:rPr>
        <w:t xml:space="preserve">The service can now also take direct referrals for GPs and provide urgent care to ensure appropriate patients access the service as timely as possible. </w:t>
      </w:r>
      <w:r w:rsidR="006A1008" w:rsidRPr="00FD2E2A">
        <w:rPr>
          <w:rFonts w:ascii="Calibri" w:hAnsi="Calibri"/>
        </w:rPr>
        <w:t>This will improve quality of life for people with long term conditions and reduce disruption through hospital admission and also reduce demand for secondary care services by avoiding admissions and facilitating early discharge</w:t>
      </w:r>
    </w:p>
    <w:p w:rsidR="006A1008" w:rsidRPr="009F65D0" w:rsidRDefault="00FD2E2A" w:rsidP="006A1008">
      <w:pPr>
        <w:pStyle w:val="ListParagraph"/>
        <w:numPr>
          <w:ilvl w:val="0"/>
          <w:numId w:val="19"/>
        </w:numPr>
        <w:ind w:left="709" w:hanging="425"/>
        <w:contextualSpacing w:val="0"/>
      </w:pPr>
      <w:r w:rsidRPr="00F71C18">
        <w:rPr>
          <w:rFonts w:ascii="Calibri" w:hAnsi="Calibri"/>
        </w:rPr>
        <w:t>We have been progressing towards reducing</w:t>
      </w:r>
      <w:r w:rsidR="006A1008" w:rsidRPr="00F71C18">
        <w:rPr>
          <w:rFonts w:ascii="Calibri" w:hAnsi="Calibri"/>
        </w:rPr>
        <w:t xml:space="preserve"> admissions to acute hospital by development </w:t>
      </w:r>
      <w:r w:rsidR="00F71C18" w:rsidRPr="00F71C18">
        <w:rPr>
          <w:rFonts w:ascii="Calibri" w:hAnsi="Calibri"/>
        </w:rPr>
        <w:t>the Hospital at Home programme and providing short-term intervention using step-up beds within community hospitals</w:t>
      </w:r>
    </w:p>
    <w:p w:rsidR="009F65D0" w:rsidRPr="00F71C18" w:rsidRDefault="009F65D0" w:rsidP="009F65D0">
      <w:pPr>
        <w:pStyle w:val="ListParagraph"/>
        <w:ind w:left="709"/>
        <w:contextualSpacing w:val="0"/>
      </w:pPr>
    </w:p>
    <w:p w:rsidR="00280460" w:rsidRPr="0084187D" w:rsidRDefault="00280460" w:rsidP="00B038C0">
      <w:pPr>
        <w:pStyle w:val="Heading4"/>
        <w:rPr>
          <w:rFonts w:ascii="Calibri" w:hAnsi="Calibri" w:cs="Arial"/>
          <w:b w:val="0"/>
        </w:rPr>
      </w:pPr>
      <w:r w:rsidRPr="00B038C0">
        <w:t>Aims</w:t>
      </w:r>
    </w:p>
    <w:p w:rsidR="00C355FA" w:rsidRPr="0084187D" w:rsidRDefault="00C355FA" w:rsidP="00F71C18">
      <w:pPr>
        <w:jc w:val="both"/>
        <w:rPr>
          <w:rFonts w:ascii="Calibri" w:hAnsi="Calibri" w:cs="Arial"/>
          <w:b/>
        </w:rPr>
      </w:pPr>
    </w:p>
    <w:p w:rsidR="00F71C18" w:rsidRPr="00F71C18" w:rsidRDefault="00C355FA" w:rsidP="00C355FA">
      <w:pPr>
        <w:ind w:left="709" w:firstLine="11"/>
        <w:jc w:val="both"/>
        <w:rPr>
          <w:rFonts w:ascii="Calibri" w:hAnsi="Calibri" w:cs="Arial"/>
          <w:b/>
          <w:bCs/>
        </w:rPr>
      </w:pPr>
      <w:r>
        <w:rPr>
          <w:rFonts w:ascii="Calibri" w:hAnsi="Calibri" w:cs="Arial"/>
          <w:b/>
          <w:bCs/>
        </w:rPr>
        <w:t>I</w:t>
      </w:r>
      <w:r w:rsidR="00F71C18" w:rsidRPr="00F71C18">
        <w:rPr>
          <w:rFonts w:ascii="Calibri" w:hAnsi="Calibri" w:cs="Arial"/>
          <w:b/>
          <w:bCs/>
        </w:rPr>
        <w:t>ncrease by 10% the number of mental health patients who have Advanced Statements in</w:t>
      </w:r>
      <w:r>
        <w:rPr>
          <w:rFonts w:ascii="Calibri" w:hAnsi="Calibri" w:cs="Arial"/>
          <w:b/>
          <w:bCs/>
        </w:rPr>
        <w:t xml:space="preserve"> place</w:t>
      </w:r>
    </w:p>
    <w:p w:rsidR="00C355FA" w:rsidRDefault="00F71C18" w:rsidP="00C355FA">
      <w:pPr>
        <w:ind w:left="709" w:hanging="709"/>
        <w:jc w:val="both"/>
        <w:rPr>
          <w:rFonts w:ascii="Calibri" w:hAnsi="Calibri" w:cs="Arial"/>
        </w:rPr>
      </w:pPr>
      <w:r>
        <w:rPr>
          <w:rFonts w:ascii="Calibri" w:hAnsi="Calibri" w:cs="Arial"/>
          <w:color w:val="0070C0"/>
        </w:rPr>
        <w:tab/>
      </w:r>
    </w:p>
    <w:p w:rsidR="00901128" w:rsidRPr="00823E85" w:rsidRDefault="00C355FA" w:rsidP="00901128">
      <w:pPr>
        <w:ind w:left="709"/>
        <w:jc w:val="both"/>
        <w:rPr>
          <w:rFonts w:ascii="Calibri" w:hAnsi="Calibri" w:cs="Arial"/>
        </w:rPr>
      </w:pPr>
      <w:r>
        <w:rPr>
          <w:rFonts w:ascii="Calibri" w:hAnsi="Calibri" w:cs="Arial"/>
          <w:color w:val="0070C0"/>
        </w:rPr>
        <w:tab/>
      </w:r>
      <w:r w:rsidR="00CC55FD" w:rsidRPr="00823E85">
        <w:rPr>
          <w:rFonts w:ascii="Calibri" w:hAnsi="Calibri" w:cs="Arial"/>
          <w:highlight w:val="yellow"/>
        </w:rPr>
        <w:t>To be advised</w:t>
      </w:r>
    </w:p>
    <w:p w:rsidR="00C355FA" w:rsidRDefault="00C355FA" w:rsidP="00C355FA">
      <w:pPr>
        <w:ind w:left="1080"/>
        <w:jc w:val="both"/>
        <w:rPr>
          <w:rFonts w:ascii="Calibri" w:hAnsi="Calibri" w:cs="Arial"/>
          <w:color w:val="0070C0"/>
        </w:rPr>
      </w:pPr>
    </w:p>
    <w:p w:rsidR="00280460" w:rsidRPr="00216E83" w:rsidRDefault="00280460" w:rsidP="00C355FA">
      <w:pPr>
        <w:ind w:left="720"/>
        <w:jc w:val="both"/>
        <w:rPr>
          <w:rFonts w:ascii="Calibri" w:hAnsi="Calibri" w:cs="Arial"/>
          <w:b/>
        </w:rPr>
      </w:pPr>
      <w:r w:rsidRPr="00216E83">
        <w:rPr>
          <w:rFonts w:ascii="Calibri" w:hAnsi="Calibri" w:cs="Arial"/>
          <w:b/>
        </w:rPr>
        <w:t xml:space="preserve">100% of mental health patients on CPA have a current care plan, had care reviewed in the last 6 months; a care coordinator and a risk assessment which has been reviewed in the last 12 months </w:t>
      </w:r>
    </w:p>
    <w:p w:rsidR="0084187D" w:rsidRDefault="0084187D" w:rsidP="00C355FA">
      <w:pPr>
        <w:ind w:left="720"/>
        <w:jc w:val="both"/>
        <w:rPr>
          <w:rFonts w:ascii="Calibri" w:hAnsi="Calibri" w:cs="Arial"/>
        </w:rPr>
      </w:pPr>
      <w:r w:rsidRPr="0084187D">
        <w:rPr>
          <w:rFonts w:ascii="Calibri" w:hAnsi="Calibri" w:cs="Arial"/>
        </w:rPr>
        <w:t>Whilst we have not achieved our objective of 100% for all of these aspects of care, it is evident that considerable progress has been made towards this target</w:t>
      </w:r>
      <w:r w:rsidR="00753F93">
        <w:rPr>
          <w:rFonts w:ascii="Calibri" w:hAnsi="Calibri" w:cs="Arial"/>
        </w:rPr>
        <w:t xml:space="preserve"> in the last year</w:t>
      </w:r>
      <w:r w:rsidRPr="0084187D">
        <w:rPr>
          <w:rFonts w:ascii="Calibri" w:hAnsi="Calibri" w:cs="Arial"/>
        </w:rPr>
        <w:t>.</w:t>
      </w:r>
    </w:p>
    <w:p w:rsidR="000251CB" w:rsidRDefault="000251CB" w:rsidP="00C355FA">
      <w:pPr>
        <w:ind w:left="720"/>
        <w:jc w:val="both"/>
        <w:rPr>
          <w:rFonts w:ascii="Calibri" w:hAnsi="Calibri" w:cs="Arial"/>
        </w:rPr>
      </w:pPr>
    </w:p>
    <w:p w:rsidR="000251CB" w:rsidRDefault="000251CB">
      <w:pPr>
        <w:rPr>
          <w:rFonts w:ascii="Calibri" w:hAnsi="Calibri" w:cs="Arial"/>
        </w:rPr>
      </w:pPr>
      <w:r>
        <w:rPr>
          <w:rFonts w:ascii="Calibri" w:hAnsi="Calibri" w:cs="Arial"/>
        </w:rPr>
        <w:br w:type="page"/>
      </w:r>
    </w:p>
    <w:p w:rsidR="000251CB" w:rsidRPr="00B038C0" w:rsidRDefault="000251CB" w:rsidP="000251CB">
      <w:pPr>
        <w:pStyle w:val="ListParagraph"/>
        <w:rPr>
          <w:rFonts w:ascii="Calibri" w:hAnsi="Calibri" w:cs="Arial"/>
          <w:i/>
          <w:color w:val="0070C0"/>
          <w:u w:val="single"/>
        </w:rPr>
      </w:pPr>
      <w:r w:rsidRPr="00B038C0">
        <w:rPr>
          <w:rFonts w:ascii="Calibri" w:hAnsi="Calibri" w:cs="Arial"/>
          <w:i/>
          <w:color w:val="0070C0"/>
          <w:u w:val="single"/>
        </w:rPr>
        <w:lastRenderedPageBreak/>
        <w:t xml:space="preserve">Chart </w:t>
      </w:r>
      <w:r>
        <w:rPr>
          <w:rFonts w:ascii="Calibri" w:hAnsi="Calibri" w:cs="Arial"/>
          <w:i/>
          <w:color w:val="0070C0"/>
          <w:u w:val="single"/>
        </w:rPr>
        <w:t>8</w:t>
      </w:r>
    </w:p>
    <w:p w:rsidR="00C355FA" w:rsidRDefault="001F516A" w:rsidP="00C355FA">
      <w:pPr>
        <w:ind w:left="720"/>
        <w:jc w:val="both"/>
        <w:rPr>
          <w:rFonts w:ascii="Calibri" w:hAnsi="Calibri" w:cs="Arial"/>
          <w:b/>
          <w:color w:val="0070C0"/>
        </w:rPr>
      </w:pPr>
      <w:r w:rsidRPr="001F516A">
        <w:rPr>
          <w:rFonts w:ascii="Calibri" w:hAnsi="Calibri" w:cs="Arial"/>
          <w:b/>
          <w:noProof/>
          <w:color w:val="0070C0"/>
        </w:rPr>
        <w:drawing>
          <wp:inline distT="0" distB="0" distL="0" distR="0">
            <wp:extent cx="4521200" cy="2743200"/>
            <wp:effectExtent l="0" t="0" r="0" b="0"/>
            <wp:docPr id="2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355FA" w:rsidRPr="000251CB" w:rsidRDefault="00C355FA" w:rsidP="000251CB">
      <w:pPr>
        <w:pStyle w:val="ListParagraph"/>
        <w:rPr>
          <w:rFonts w:ascii="Calibri" w:hAnsi="Calibri" w:cs="Arial"/>
          <w:i/>
          <w:color w:val="0070C0"/>
          <w:u w:val="single"/>
        </w:rPr>
      </w:pPr>
    </w:p>
    <w:p w:rsidR="00280460" w:rsidRPr="00216E83" w:rsidRDefault="00280460" w:rsidP="00C355FA">
      <w:pPr>
        <w:ind w:left="720"/>
        <w:jc w:val="both"/>
        <w:rPr>
          <w:rFonts w:ascii="Calibri" w:hAnsi="Calibri" w:cs="Arial"/>
          <w:b/>
        </w:rPr>
      </w:pPr>
      <w:r w:rsidRPr="00216E83">
        <w:rPr>
          <w:rFonts w:ascii="Calibri" w:hAnsi="Calibri" w:cs="Arial"/>
          <w:b/>
        </w:rPr>
        <w:t xml:space="preserve">100% of mental health patients have a copy of their care plan and were engaged in its development </w:t>
      </w:r>
    </w:p>
    <w:p w:rsidR="00C355FA" w:rsidRDefault="0084187D" w:rsidP="00C355FA">
      <w:pPr>
        <w:ind w:left="720"/>
        <w:jc w:val="both"/>
        <w:rPr>
          <w:rFonts w:ascii="Calibri" w:hAnsi="Calibri" w:cs="Arial"/>
        </w:rPr>
      </w:pPr>
      <w:r w:rsidRPr="0084187D">
        <w:rPr>
          <w:rFonts w:ascii="Calibri" w:hAnsi="Calibri" w:cs="Arial"/>
        </w:rPr>
        <w:t>This information is not being currently captured.  RiO will be used to report on this at a later date</w:t>
      </w:r>
    </w:p>
    <w:p w:rsidR="00293200" w:rsidRDefault="00293200" w:rsidP="00293200">
      <w:pPr>
        <w:jc w:val="both"/>
        <w:rPr>
          <w:rFonts w:ascii="Calibri" w:hAnsi="Calibri" w:cs="Arial"/>
          <w:color w:val="0070C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rsidR="00293200" w:rsidTr="00293200">
        <w:trPr>
          <w:trHeight w:val="169"/>
        </w:trPr>
        <w:tc>
          <w:tcPr>
            <w:tcW w:w="9855" w:type="dxa"/>
          </w:tcPr>
          <w:p w:rsidR="00293200" w:rsidRPr="00F779AD" w:rsidRDefault="00293200" w:rsidP="00293200">
            <w:pPr>
              <w:jc w:val="both"/>
              <w:rPr>
                <w:rFonts w:ascii="Calibri" w:hAnsi="Calibri" w:cs="Arial"/>
                <w:color w:val="0070C0"/>
                <w:sz w:val="32"/>
                <w:szCs w:val="32"/>
              </w:rPr>
            </w:pPr>
            <w:r w:rsidRPr="00F779AD">
              <w:rPr>
                <w:rFonts w:ascii="Calibri" w:hAnsi="Calibri" w:cs="Arial"/>
                <w:color w:val="0070C0"/>
                <w:sz w:val="48"/>
                <w:szCs w:val="48"/>
              </w:rPr>
              <w:t>“</w:t>
            </w:r>
            <w:r w:rsidRPr="00F779AD">
              <w:rPr>
                <w:rFonts w:ascii="Calibri" w:hAnsi="Calibri" w:cs="Arial"/>
                <w:color w:val="0070C0"/>
                <w:sz w:val="32"/>
                <w:szCs w:val="32"/>
              </w:rPr>
              <w:t>We are writing to express our deep appreciation and gratitude for the excellent care ....it is that personal concern and ‘human touch’ that makes all the difference</w:t>
            </w:r>
            <w:r>
              <w:rPr>
                <w:rFonts w:ascii="Calibri" w:hAnsi="Calibri" w:cs="Arial"/>
                <w:color w:val="0070C0"/>
                <w:sz w:val="32"/>
                <w:szCs w:val="32"/>
              </w:rPr>
              <w:t>.</w:t>
            </w:r>
            <w:r w:rsidRPr="00F779AD">
              <w:rPr>
                <w:rFonts w:ascii="Calibri" w:hAnsi="Calibri" w:cs="Arial"/>
                <w:color w:val="0070C0"/>
                <w:sz w:val="48"/>
                <w:szCs w:val="48"/>
              </w:rPr>
              <w:t>”</w:t>
            </w:r>
          </w:p>
          <w:p w:rsidR="00293200" w:rsidRPr="00F779AD" w:rsidRDefault="00293200" w:rsidP="00293200">
            <w:pPr>
              <w:jc w:val="both"/>
              <w:rPr>
                <w:rFonts w:ascii="Calibri" w:hAnsi="Calibri" w:cs="Arial"/>
                <w:i/>
                <w:color w:val="0070C0"/>
              </w:rPr>
            </w:pPr>
            <w:r w:rsidRPr="00F779AD">
              <w:rPr>
                <w:rFonts w:ascii="Calibri" w:hAnsi="Calibri" w:cs="Arial"/>
                <w:i/>
                <w:color w:val="0070C0"/>
                <w:sz w:val="32"/>
                <w:szCs w:val="32"/>
              </w:rPr>
              <w:t>Family of Community Hospital patient</w:t>
            </w:r>
          </w:p>
        </w:tc>
      </w:tr>
    </w:tbl>
    <w:p w:rsidR="00293200" w:rsidRPr="0084187D" w:rsidRDefault="00293200" w:rsidP="00C355FA">
      <w:pPr>
        <w:ind w:left="720"/>
        <w:jc w:val="both"/>
        <w:rPr>
          <w:rFonts w:ascii="Calibri" w:hAnsi="Calibri" w:cs="Arial"/>
        </w:rPr>
      </w:pPr>
    </w:p>
    <w:p w:rsidR="0084187D" w:rsidRPr="00544356" w:rsidRDefault="0084187D" w:rsidP="00C355FA">
      <w:pPr>
        <w:ind w:left="720"/>
        <w:jc w:val="both"/>
        <w:rPr>
          <w:rFonts w:ascii="Calibri" w:hAnsi="Calibri" w:cs="Arial"/>
          <w:color w:val="0070C0"/>
        </w:rPr>
      </w:pPr>
    </w:p>
    <w:p w:rsidR="00AD61F9" w:rsidRPr="00544356" w:rsidRDefault="00AD61F9" w:rsidP="00AD61F9">
      <w:pPr>
        <w:pStyle w:val="ListParagraph"/>
        <w:jc w:val="both"/>
        <w:rPr>
          <w:rFonts w:ascii="Calibri" w:hAnsi="Calibri" w:cs="Arial"/>
          <w:color w:val="0070C0"/>
        </w:rPr>
      </w:pPr>
    </w:p>
    <w:p w:rsidR="00AD61F9" w:rsidRPr="00544356" w:rsidRDefault="00AD61F9" w:rsidP="00AD61F9">
      <w:pPr>
        <w:pStyle w:val="Heading3"/>
      </w:pPr>
      <w:r>
        <w:t>Domain 4</w:t>
      </w:r>
      <w:r w:rsidRPr="00544356">
        <w:t>: Helping people to recover from episodes of ill-health or following injury</w:t>
      </w:r>
    </w:p>
    <w:p w:rsidR="00AD61F9" w:rsidRDefault="00AD61F9" w:rsidP="00AD61F9">
      <w:pPr>
        <w:jc w:val="both"/>
        <w:rPr>
          <w:rFonts w:ascii="Calibri" w:hAnsi="Calibri" w:cs="Arial"/>
          <w:b/>
          <w:color w:val="0070C0"/>
          <w:u w:val="single"/>
        </w:rPr>
      </w:pPr>
    </w:p>
    <w:p w:rsidR="00A46784" w:rsidRPr="00293200" w:rsidRDefault="00825B25" w:rsidP="00AD61F9">
      <w:pPr>
        <w:jc w:val="both"/>
        <w:rPr>
          <w:rFonts w:ascii="Calibri" w:hAnsi="Calibri" w:cs="Arial"/>
        </w:rPr>
      </w:pPr>
      <w:r w:rsidRPr="00293200">
        <w:rPr>
          <w:rFonts w:ascii="Calibri" w:hAnsi="Calibri" w:cs="Arial"/>
        </w:rPr>
        <w:t xml:space="preserve">The Hospital at Home service continued to be rolled out across Oxfordshire last year with the express intention of </w:t>
      </w:r>
      <w:r w:rsidR="00A46784" w:rsidRPr="00293200">
        <w:rPr>
          <w:rFonts w:ascii="Calibri" w:hAnsi="Calibri" w:cs="Arial"/>
        </w:rPr>
        <w:t>avoiding the need for people to avoid spending extra time in hospital.  This has had a positive effect on people’s recovery and the associated advantages to society.</w:t>
      </w:r>
    </w:p>
    <w:p w:rsidR="006A1008" w:rsidRPr="00B038C0" w:rsidRDefault="00477894" w:rsidP="00B038C0">
      <w:pPr>
        <w:pStyle w:val="Heading4"/>
      </w:pPr>
      <w:r w:rsidRPr="00B038C0">
        <w:t>Identified Initiatives</w:t>
      </w:r>
    </w:p>
    <w:p w:rsidR="00BA2772" w:rsidRPr="00BA2772" w:rsidRDefault="00BA2772" w:rsidP="006A1008">
      <w:pPr>
        <w:pStyle w:val="ListParagraph"/>
        <w:numPr>
          <w:ilvl w:val="0"/>
          <w:numId w:val="10"/>
        </w:numPr>
        <w:jc w:val="both"/>
        <w:rPr>
          <w:rFonts w:ascii="Calibri" w:hAnsi="Calibri" w:cs="Arial"/>
        </w:rPr>
      </w:pPr>
      <w:r w:rsidRPr="00BA2772">
        <w:rPr>
          <w:rFonts w:ascii="Calibri" w:hAnsi="Calibri" w:cs="Arial"/>
        </w:rPr>
        <w:t>The Hospital at Home services is now in place in South Oxfordshire and is now to be implemented in the west and north of the county (in the north this is in conjunction with a third party)</w:t>
      </w:r>
    </w:p>
    <w:p w:rsidR="00BA2772" w:rsidRPr="00275513" w:rsidRDefault="00BA2772" w:rsidP="006A1008">
      <w:pPr>
        <w:pStyle w:val="ListParagraph"/>
        <w:numPr>
          <w:ilvl w:val="0"/>
          <w:numId w:val="10"/>
        </w:numPr>
        <w:jc w:val="both"/>
        <w:rPr>
          <w:rFonts w:ascii="Calibri" w:hAnsi="Calibri" w:cs="Arial"/>
        </w:rPr>
      </w:pPr>
      <w:r w:rsidRPr="00275513">
        <w:rPr>
          <w:rFonts w:ascii="Calibri" w:hAnsi="Calibri" w:cs="Arial"/>
        </w:rPr>
        <w:t xml:space="preserve">Much work on </w:t>
      </w:r>
      <w:r w:rsidR="00275513" w:rsidRPr="00275513">
        <w:rPr>
          <w:rFonts w:ascii="Calibri" w:hAnsi="Calibri" w:cs="Arial"/>
        </w:rPr>
        <w:t>c</w:t>
      </w:r>
      <w:r w:rsidRPr="00275513">
        <w:rPr>
          <w:rFonts w:ascii="Calibri" w:hAnsi="Calibri" w:cs="Arial"/>
        </w:rPr>
        <w:t xml:space="preserve">are packages work has </w:t>
      </w:r>
      <w:r w:rsidR="00275513" w:rsidRPr="00275513">
        <w:rPr>
          <w:rFonts w:ascii="Calibri" w:hAnsi="Calibri" w:cs="Arial"/>
        </w:rPr>
        <w:t>taken place and is now being firmly embedded in the Community Services Division.  A review of the work so far has led to the production of a second phase of delivery to take the programme further.</w:t>
      </w:r>
    </w:p>
    <w:p w:rsidR="006A1008" w:rsidRPr="00275513" w:rsidRDefault="00275513" w:rsidP="006A1008">
      <w:pPr>
        <w:pStyle w:val="ListParagraph"/>
        <w:numPr>
          <w:ilvl w:val="0"/>
          <w:numId w:val="10"/>
        </w:numPr>
        <w:jc w:val="both"/>
        <w:rPr>
          <w:rFonts w:ascii="Calibri" w:hAnsi="Calibri" w:cs="Arial"/>
        </w:rPr>
      </w:pPr>
      <w:r w:rsidRPr="00275513">
        <w:rPr>
          <w:rFonts w:ascii="Calibri" w:hAnsi="Calibri" w:cs="Arial"/>
        </w:rPr>
        <w:t>We were successful in our t</w:t>
      </w:r>
      <w:r w:rsidR="006A1008" w:rsidRPr="00275513">
        <w:rPr>
          <w:rFonts w:ascii="Calibri" w:hAnsi="Calibri" w:cs="Arial"/>
        </w:rPr>
        <w:t xml:space="preserve">ender for Hospital at Home </w:t>
      </w:r>
      <w:r w:rsidRPr="00275513">
        <w:rPr>
          <w:rFonts w:ascii="Calibri" w:hAnsi="Calibri" w:cs="Arial"/>
        </w:rPr>
        <w:t>provision for the rest of Oxford county and overnight support</w:t>
      </w:r>
    </w:p>
    <w:p w:rsidR="0084187D" w:rsidRPr="00477894" w:rsidRDefault="0084187D" w:rsidP="00B038C0">
      <w:pPr>
        <w:pStyle w:val="Heading4"/>
        <w:rPr>
          <w:rFonts w:ascii="Calibri" w:hAnsi="Calibri" w:cs="Arial"/>
          <w:i w:val="0"/>
          <w:color w:val="auto"/>
        </w:rPr>
      </w:pPr>
      <w:r w:rsidRPr="00B038C0">
        <w:lastRenderedPageBreak/>
        <w:t>Aims</w:t>
      </w:r>
    </w:p>
    <w:p w:rsidR="00D000FF" w:rsidRPr="00216E83" w:rsidRDefault="00D000FF" w:rsidP="00D000FF">
      <w:pPr>
        <w:ind w:left="720"/>
        <w:jc w:val="both"/>
        <w:rPr>
          <w:rFonts w:asciiTheme="minorHAnsi" w:hAnsiTheme="minorHAnsi" w:cs="Arial"/>
          <w:b/>
        </w:rPr>
      </w:pPr>
      <w:r w:rsidRPr="00216E83">
        <w:rPr>
          <w:rFonts w:asciiTheme="minorHAnsi" w:hAnsiTheme="minorHAnsi" w:cs="Arial"/>
          <w:b/>
          <w:bCs/>
        </w:rPr>
        <w:t>Increase by 5% the number of patients who report in the National Mental Health Community patients survey wanting and receiving help to return to work</w:t>
      </w:r>
    </w:p>
    <w:p w:rsidR="0084187D" w:rsidRPr="00216E83" w:rsidRDefault="00D000FF" w:rsidP="00D000FF">
      <w:pPr>
        <w:ind w:left="720"/>
        <w:jc w:val="both"/>
        <w:rPr>
          <w:rFonts w:ascii="Calibri" w:hAnsi="Calibri" w:cs="Arial"/>
        </w:rPr>
      </w:pPr>
      <w:r w:rsidRPr="00216E83">
        <w:rPr>
          <w:rFonts w:ascii="Calibri" w:hAnsi="Calibri" w:cs="Arial"/>
        </w:rPr>
        <w:t>The figures for this come from the CQC’s annual survey of patients, the last of which was published in August 2011.  This gave a value of 5.9 out of 10, which means the target we are looking for in 2011/12 when it is published in August 2012 would be 6.4</w:t>
      </w:r>
    </w:p>
    <w:p w:rsidR="00D000FF" w:rsidRPr="00216E83" w:rsidRDefault="00D000FF" w:rsidP="00D000FF">
      <w:pPr>
        <w:ind w:left="720"/>
        <w:jc w:val="both"/>
        <w:rPr>
          <w:rFonts w:ascii="Calibri" w:hAnsi="Calibri" w:cs="Arial"/>
        </w:rPr>
      </w:pPr>
    </w:p>
    <w:p w:rsidR="00D000FF" w:rsidRPr="00216E83" w:rsidRDefault="0084187D" w:rsidP="00D000FF">
      <w:pPr>
        <w:ind w:left="720"/>
        <w:jc w:val="both"/>
        <w:rPr>
          <w:rFonts w:asciiTheme="minorHAnsi" w:hAnsiTheme="minorHAnsi" w:cs="Arial"/>
          <w:b/>
          <w:bCs/>
        </w:rPr>
      </w:pPr>
      <w:r w:rsidRPr="00216E83">
        <w:rPr>
          <w:rFonts w:asciiTheme="minorHAnsi" w:hAnsiTheme="minorHAnsi" w:cs="Arial"/>
          <w:b/>
          <w:bCs/>
        </w:rPr>
        <w:t xml:space="preserve">75% of Adults receiving care under the CPA are in settled accommodation </w:t>
      </w:r>
    </w:p>
    <w:p w:rsidR="000251CB" w:rsidRPr="00B038C0" w:rsidRDefault="000251CB" w:rsidP="000251CB">
      <w:pPr>
        <w:pStyle w:val="ListParagraph"/>
        <w:rPr>
          <w:rFonts w:ascii="Calibri" w:hAnsi="Calibri" w:cs="Arial"/>
          <w:i/>
          <w:color w:val="0070C0"/>
          <w:u w:val="single"/>
        </w:rPr>
      </w:pPr>
      <w:r w:rsidRPr="00B038C0">
        <w:rPr>
          <w:rFonts w:ascii="Calibri" w:hAnsi="Calibri" w:cs="Arial"/>
          <w:i/>
          <w:color w:val="0070C0"/>
          <w:u w:val="single"/>
        </w:rPr>
        <w:t xml:space="preserve">Chart </w:t>
      </w:r>
      <w:r>
        <w:rPr>
          <w:rFonts w:ascii="Calibri" w:hAnsi="Calibri" w:cs="Arial"/>
          <w:i/>
          <w:color w:val="0070C0"/>
          <w:u w:val="single"/>
        </w:rPr>
        <w:t>9</w:t>
      </w:r>
    </w:p>
    <w:p w:rsidR="00D000FF" w:rsidRDefault="00D000FF" w:rsidP="00D000FF">
      <w:pPr>
        <w:ind w:left="720"/>
        <w:jc w:val="both"/>
        <w:rPr>
          <w:rFonts w:asciiTheme="minorHAnsi" w:hAnsiTheme="minorHAnsi" w:cs="Arial"/>
          <w:bCs/>
          <w:color w:val="002060"/>
        </w:rPr>
      </w:pPr>
      <w:r w:rsidRPr="00D000FF">
        <w:rPr>
          <w:rFonts w:asciiTheme="minorHAnsi" w:hAnsiTheme="minorHAnsi" w:cs="Arial"/>
          <w:bCs/>
          <w:noProof/>
          <w:color w:val="002060"/>
        </w:rPr>
        <w:drawing>
          <wp:inline distT="0" distB="0" distL="0" distR="0">
            <wp:extent cx="4152900" cy="2489200"/>
            <wp:effectExtent l="0" t="0" r="0" b="0"/>
            <wp:docPr id="2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000FF" w:rsidRDefault="00D000FF" w:rsidP="00D000FF">
      <w:pPr>
        <w:ind w:left="720"/>
        <w:jc w:val="both"/>
        <w:rPr>
          <w:rFonts w:asciiTheme="minorHAnsi" w:hAnsiTheme="minorHAnsi" w:cs="Arial"/>
          <w:bCs/>
          <w:color w:val="002060"/>
        </w:rPr>
      </w:pPr>
    </w:p>
    <w:p w:rsidR="008A58C4" w:rsidRPr="00497576" w:rsidRDefault="008A58C4" w:rsidP="00D000FF">
      <w:pPr>
        <w:ind w:left="720"/>
        <w:jc w:val="both"/>
        <w:rPr>
          <w:rFonts w:asciiTheme="minorHAnsi" w:hAnsiTheme="minorHAnsi" w:cs="Arial"/>
          <w:bCs/>
        </w:rPr>
      </w:pPr>
      <w:r w:rsidRPr="00497576">
        <w:rPr>
          <w:rFonts w:asciiTheme="minorHAnsi" w:hAnsiTheme="minorHAnsi" w:cs="Arial"/>
          <w:bCs/>
        </w:rPr>
        <w:t>Our actual achievement at the year end was 75% - exactly on target.</w:t>
      </w:r>
    </w:p>
    <w:p w:rsidR="008A58C4" w:rsidRPr="00216E83" w:rsidRDefault="008A58C4" w:rsidP="00D000FF">
      <w:pPr>
        <w:ind w:left="720"/>
        <w:jc w:val="both"/>
        <w:rPr>
          <w:rFonts w:asciiTheme="minorHAnsi" w:hAnsiTheme="minorHAnsi" w:cs="Arial"/>
          <w:bCs/>
        </w:rPr>
      </w:pPr>
    </w:p>
    <w:p w:rsidR="0084187D" w:rsidRPr="00216E83" w:rsidRDefault="0084187D" w:rsidP="00D000FF">
      <w:pPr>
        <w:ind w:left="720"/>
        <w:jc w:val="both"/>
        <w:rPr>
          <w:rFonts w:asciiTheme="minorHAnsi" w:hAnsiTheme="minorHAnsi" w:cs="Arial"/>
          <w:b/>
          <w:bCs/>
        </w:rPr>
      </w:pPr>
      <w:r w:rsidRPr="00216E83">
        <w:rPr>
          <w:rFonts w:asciiTheme="minorHAnsi" w:hAnsiTheme="minorHAnsi" w:cs="Arial"/>
          <w:b/>
          <w:bCs/>
        </w:rPr>
        <w:t xml:space="preserve">To increase to 72% by year end the number of patients who have been receiving care for 9 months or more, </w:t>
      </w:r>
      <w:r w:rsidR="008A58C4" w:rsidRPr="00216E83">
        <w:rPr>
          <w:rFonts w:asciiTheme="minorHAnsi" w:hAnsiTheme="minorHAnsi" w:cs="Arial"/>
          <w:b/>
          <w:bCs/>
        </w:rPr>
        <w:t>who</w:t>
      </w:r>
      <w:r w:rsidRPr="00216E83">
        <w:rPr>
          <w:rFonts w:asciiTheme="minorHAnsi" w:hAnsiTheme="minorHAnsi" w:cs="Arial"/>
          <w:b/>
          <w:bCs/>
        </w:rPr>
        <w:t xml:space="preserve"> have a basel</w:t>
      </w:r>
      <w:r w:rsidR="00D000FF" w:rsidRPr="00216E83">
        <w:rPr>
          <w:rFonts w:asciiTheme="minorHAnsi" w:hAnsiTheme="minorHAnsi" w:cs="Arial"/>
          <w:b/>
          <w:bCs/>
        </w:rPr>
        <w:t xml:space="preserve">ine and follow-up HoNOS rating </w:t>
      </w:r>
    </w:p>
    <w:p w:rsidR="000251CB" w:rsidRDefault="000251CB" w:rsidP="000251CB">
      <w:pPr>
        <w:pStyle w:val="ListParagraph"/>
        <w:rPr>
          <w:rFonts w:ascii="Calibri" w:hAnsi="Calibri" w:cs="Arial"/>
          <w:i/>
          <w:color w:val="0070C0"/>
          <w:u w:val="single"/>
        </w:rPr>
      </w:pPr>
    </w:p>
    <w:p w:rsidR="000251CB" w:rsidRPr="00B038C0" w:rsidRDefault="000251CB" w:rsidP="000251CB">
      <w:pPr>
        <w:pStyle w:val="ListParagraph"/>
        <w:rPr>
          <w:rFonts w:ascii="Calibri" w:hAnsi="Calibri" w:cs="Arial"/>
          <w:i/>
          <w:color w:val="0070C0"/>
          <w:u w:val="single"/>
        </w:rPr>
      </w:pPr>
      <w:r w:rsidRPr="00B038C0">
        <w:rPr>
          <w:rFonts w:ascii="Calibri" w:hAnsi="Calibri" w:cs="Arial"/>
          <w:i/>
          <w:color w:val="0070C0"/>
          <w:u w:val="single"/>
        </w:rPr>
        <w:t>Chart 1</w:t>
      </w:r>
      <w:r>
        <w:rPr>
          <w:rFonts w:ascii="Calibri" w:hAnsi="Calibri" w:cs="Arial"/>
          <w:i/>
          <w:color w:val="0070C0"/>
          <w:u w:val="single"/>
        </w:rPr>
        <w:t>0</w:t>
      </w:r>
    </w:p>
    <w:p w:rsidR="008A58C4" w:rsidRPr="00D000FF" w:rsidRDefault="0086338C" w:rsidP="00D000FF">
      <w:pPr>
        <w:ind w:left="720"/>
        <w:jc w:val="both"/>
        <w:rPr>
          <w:rFonts w:asciiTheme="minorHAnsi" w:hAnsiTheme="minorHAnsi" w:cs="Arial"/>
          <w:b/>
          <w:bCs/>
          <w:color w:val="002060"/>
        </w:rPr>
      </w:pPr>
      <w:r w:rsidRPr="0086338C">
        <w:rPr>
          <w:rFonts w:asciiTheme="minorHAnsi" w:hAnsiTheme="minorHAnsi" w:cs="Arial"/>
          <w:b/>
          <w:bCs/>
          <w:noProof/>
          <w:color w:val="002060"/>
        </w:rPr>
        <w:drawing>
          <wp:inline distT="0" distB="0" distL="0" distR="0">
            <wp:extent cx="4152900" cy="2489200"/>
            <wp:effectExtent l="0" t="0" r="0" b="0"/>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4187D" w:rsidRPr="008A58C4" w:rsidRDefault="0084187D" w:rsidP="008A58C4">
      <w:pPr>
        <w:ind w:left="720"/>
        <w:jc w:val="both"/>
        <w:rPr>
          <w:rFonts w:asciiTheme="minorHAnsi" w:hAnsiTheme="minorHAnsi" w:cs="Arial"/>
          <w:bCs/>
          <w:color w:val="002060"/>
        </w:rPr>
      </w:pPr>
    </w:p>
    <w:p w:rsidR="008A58C4" w:rsidRPr="00497576" w:rsidRDefault="008A58C4" w:rsidP="008A58C4">
      <w:pPr>
        <w:ind w:left="720"/>
        <w:jc w:val="both"/>
        <w:rPr>
          <w:rFonts w:asciiTheme="minorHAnsi" w:hAnsiTheme="minorHAnsi" w:cs="Arial"/>
          <w:bCs/>
        </w:rPr>
      </w:pPr>
      <w:r w:rsidRPr="00497576">
        <w:rPr>
          <w:rFonts w:asciiTheme="minorHAnsi" w:hAnsiTheme="minorHAnsi" w:cs="Arial"/>
          <w:bCs/>
        </w:rPr>
        <w:t>By the year end we were achieving 90% against the target of 72%.</w:t>
      </w:r>
    </w:p>
    <w:p w:rsidR="00293200" w:rsidRDefault="00293200" w:rsidP="00293200">
      <w:pPr>
        <w:jc w:val="both"/>
        <w:rPr>
          <w:rFonts w:ascii="Calibri" w:hAnsi="Calibri" w:cs="Arial"/>
          <w:color w:val="0070C0"/>
        </w:rPr>
      </w:pPr>
    </w:p>
    <w:p w:rsidR="00B17934" w:rsidRDefault="00B17934" w:rsidP="00293200">
      <w:pPr>
        <w:jc w:val="both"/>
        <w:rPr>
          <w:rFonts w:ascii="Calibri" w:hAnsi="Calibri" w:cs="Arial"/>
          <w:color w:val="0070C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rsidR="00293200" w:rsidTr="00293200">
        <w:trPr>
          <w:trHeight w:val="169"/>
        </w:trPr>
        <w:tc>
          <w:tcPr>
            <w:tcW w:w="9855" w:type="dxa"/>
          </w:tcPr>
          <w:p w:rsidR="00293200" w:rsidRPr="00F779AD" w:rsidRDefault="00293200" w:rsidP="00293200">
            <w:pPr>
              <w:jc w:val="both"/>
              <w:rPr>
                <w:rFonts w:ascii="Calibri" w:hAnsi="Calibri" w:cs="Arial"/>
                <w:color w:val="0070C0"/>
                <w:sz w:val="32"/>
                <w:szCs w:val="32"/>
              </w:rPr>
            </w:pPr>
            <w:r w:rsidRPr="00F779AD">
              <w:rPr>
                <w:rFonts w:ascii="Calibri" w:hAnsi="Calibri" w:cs="Arial"/>
                <w:color w:val="0070C0"/>
                <w:sz w:val="48"/>
                <w:szCs w:val="48"/>
              </w:rPr>
              <w:lastRenderedPageBreak/>
              <w:t>“</w:t>
            </w:r>
            <w:r>
              <w:rPr>
                <w:rFonts w:ascii="Calibri" w:hAnsi="Calibri" w:cs="Arial"/>
                <w:color w:val="0070C0"/>
                <w:sz w:val="32"/>
                <w:szCs w:val="32"/>
              </w:rPr>
              <w:t>I am just writing to you to let you know how much help you have been to me.... it’s just knowing that there is someone there to help you.</w:t>
            </w:r>
            <w:r w:rsidRPr="00F779AD">
              <w:rPr>
                <w:rFonts w:ascii="Calibri" w:hAnsi="Calibri" w:cs="Arial"/>
                <w:color w:val="0070C0"/>
                <w:sz w:val="48"/>
                <w:szCs w:val="48"/>
              </w:rPr>
              <w:t>”</w:t>
            </w:r>
          </w:p>
          <w:p w:rsidR="00293200" w:rsidRPr="00F779AD" w:rsidRDefault="00293200" w:rsidP="00293200">
            <w:pPr>
              <w:jc w:val="both"/>
              <w:rPr>
                <w:rFonts w:ascii="Calibri" w:hAnsi="Calibri" w:cs="Arial"/>
                <w:i/>
                <w:color w:val="0070C0"/>
              </w:rPr>
            </w:pPr>
            <w:r w:rsidRPr="00F779AD">
              <w:rPr>
                <w:rFonts w:ascii="Calibri" w:hAnsi="Calibri" w:cs="Arial"/>
                <w:i/>
                <w:color w:val="0070C0"/>
                <w:sz w:val="32"/>
                <w:szCs w:val="32"/>
              </w:rPr>
              <w:t xml:space="preserve">Community </w:t>
            </w:r>
            <w:r>
              <w:rPr>
                <w:rFonts w:ascii="Calibri" w:hAnsi="Calibri" w:cs="Arial"/>
                <w:i/>
                <w:color w:val="0070C0"/>
                <w:sz w:val="32"/>
                <w:szCs w:val="32"/>
              </w:rPr>
              <w:t>Mental Health Team Service User</w:t>
            </w:r>
          </w:p>
        </w:tc>
      </w:tr>
    </w:tbl>
    <w:p w:rsidR="008A58C4" w:rsidRPr="00497576" w:rsidRDefault="008A58C4" w:rsidP="008A58C4">
      <w:pPr>
        <w:ind w:left="720"/>
        <w:jc w:val="both"/>
        <w:rPr>
          <w:rFonts w:asciiTheme="minorHAnsi" w:hAnsiTheme="minorHAnsi" w:cs="Arial"/>
          <w:bCs/>
        </w:rPr>
      </w:pPr>
    </w:p>
    <w:p w:rsidR="006A1008" w:rsidRDefault="006A1008" w:rsidP="006A1008">
      <w:pPr>
        <w:jc w:val="both"/>
        <w:rPr>
          <w:rFonts w:ascii="Calibri" w:hAnsi="Calibri" w:cs="Arial"/>
          <w:color w:val="0070C0"/>
        </w:rPr>
      </w:pPr>
    </w:p>
    <w:tbl>
      <w:tblPr>
        <w:tblStyle w:val="TableGrid"/>
        <w:tblW w:w="0" w:type="auto"/>
        <w:tblBorders>
          <w:top w:val="single" w:sz="4" w:space="0" w:color="0070C0"/>
          <w:left w:val="none" w:sz="0" w:space="0" w:color="auto"/>
          <w:bottom w:val="single" w:sz="4" w:space="0" w:color="0070C0"/>
          <w:right w:val="none" w:sz="0" w:space="0" w:color="auto"/>
          <w:insideH w:val="none" w:sz="0" w:space="0" w:color="auto"/>
          <w:insideV w:val="none" w:sz="0" w:space="0" w:color="auto"/>
        </w:tblBorders>
        <w:tblLook w:val="04A0"/>
      </w:tblPr>
      <w:tblGrid>
        <w:gridCol w:w="9242"/>
      </w:tblGrid>
      <w:tr w:rsidR="006A1008" w:rsidTr="006A1008">
        <w:tc>
          <w:tcPr>
            <w:tcW w:w="9242" w:type="dxa"/>
          </w:tcPr>
          <w:p w:rsidR="006A1008" w:rsidRPr="00ED3BBA" w:rsidRDefault="006A1008" w:rsidP="006A1008">
            <w:pPr>
              <w:jc w:val="both"/>
              <w:rPr>
                <w:rFonts w:ascii="Arial" w:hAnsi="Arial" w:cs="Arial"/>
                <w:color w:val="0070C0"/>
                <w:sz w:val="32"/>
                <w:szCs w:val="32"/>
              </w:rPr>
            </w:pPr>
            <w:r>
              <w:rPr>
                <w:rFonts w:ascii="Arial" w:hAnsi="Arial" w:cs="Arial"/>
                <w:color w:val="0070C0"/>
                <w:sz w:val="32"/>
                <w:szCs w:val="32"/>
              </w:rPr>
              <w:t>User Experience</w:t>
            </w:r>
          </w:p>
        </w:tc>
      </w:tr>
    </w:tbl>
    <w:p w:rsidR="006A1008" w:rsidRDefault="006A1008" w:rsidP="006A1008">
      <w:pPr>
        <w:jc w:val="both"/>
        <w:rPr>
          <w:rFonts w:ascii="Calibri" w:hAnsi="Calibri" w:cs="Arial"/>
          <w:color w:val="0070C0"/>
        </w:rPr>
      </w:pPr>
    </w:p>
    <w:p w:rsidR="006A1008" w:rsidRPr="00544356" w:rsidRDefault="006A1008" w:rsidP="006A1008">
      <w:pPr>
        <w:pStyle w:val="Heading3"/>
      </w:pPr>
      <w:r>
        <w:t>Domain 5</w:t>
      </w:r>
      <w:r w:rsidRPr="00544356">
        <w:t>: Ensuring people have a positive experience of care</w:t>
      </w:r>
    </w:p>
    <w:p w:rsidR="006A1008" w:rsidRPr="00544356" w:rsidRDefault="006A1008" w:rsidP="006A1008">
      <w:pPr>
        <w:jc w:val="both"/>
        <w:rPr>
          <w:rFonts w:ascii="Calibri" w:hAnsi="Calibri" w:cs="Arial"/>
          <w:color w:val="0070C0"/>
        </w:rPr>
      </w:pPr>
    </w:p>
    <w:p w:rsidR="006A1008" w:rsidRPr="00A46784" w:rsidRDefault="006A1008" w:rsidP="006A1008">
      <w:pPr>
        <w:autoSpaceDE w:val="0"/>
        <w:autoSpaceDN w:val="0"/>
        <w:adjustRightInd w:val="0"/>
        <w:jc w:val="both"/>
        <w:rPr>
          <w:rFonts w:ascii="Calibri" w:hAnsi="Calibri"/>
        </w:rPr>
      </w:pPr>
      <w:r w:rsidRPr="00A46784">
        <w:rPr>
          <w:rFonts w:ascii="Calibri" w:hAnsi="Calibri"/>
        </w:rPr>
        <w:t>Patient experience is an important indicator of the quality of services and can often pick up issues that would not be picked up by audit, national or local targets or general monitoring of services. Gathering patient experiences picks up some of the interpersonal and personal aspects of care.</w:t>
      </w:r>
    </w:p>
    <w:p w:rsidR="006A1008" w:rsidRPr="00A46784" w:rsidRDefault="006A1008" w:rsidP="006A1008">
      <w:pPr>
        <w:jc w:val="both"/>
        <w:rPr>
          <w:rFonts w:ascii="Calibri" w:hAnsi="Calibri" w:cs="Arial"/>
        </w:rPr>
      </w:pPr>
    </w:p>
    <w:p w:rsidR="006A1008" w:rsidRPr="00B038C0" w:rsidRDefault="00D26CE4" w:rsidP="00B038C0">
      <w:pPr>
        <w:pStyle w:val="Heading4"/>
      </w:pPr>
      <w:r w:rsidRPr="00B038C0">
        <w:t>Identified Initiatives</w:t>
      </w:r>
    </w:p>
    <w:p w:rsidR="006A1008" w:rsidRPr="00A677F1" w:rsidRDefault="0092476F" w:rsidP="006A1008">
      <w:pPr>
        <w:pStyle w:val="ListParagraph"/>
        <w:numPr>
          <w:ilvl w:val="0"/>
          <w:numId w:val="11"/>
        </w:numPr>
        <w:jc w:val="both"/>
        <w:rPr>
          <w:rFonts w:ascii="Calibri" w:hAnsi="Calibri" w:cs="Arial"/>
        </w:rPr>
      </w:pPr>
      <w:r w:rsidRPr="00A677F1">
        <w:rPr>
          <w:rFonts w:ascii="Calibri" w:hAnsi="Calibri" w:cs="Arial"/>
        </w:rPr>
        <w:t>The previous year (2010/11) we p</w:t>
      </w:r>
      <w:r w:rsidR="006A1008" w:rsidRPr="00A677F1">
        <w:rPr>
          <w:rFonts w:ascii="Calibri" w:hAnsi="Calibri" w:cs="Arial"/>
        </w:rPr>
        <w:t>articipate</w:t>
      </w:r>
      <w:r w:rsidRPr="00A677F1">
        <w:rPr>
          <w:rFonts w:ascii="Calibri" w:hAnsi="Calibri" w:cs="Arial"/>
        </w:rPr>
        <w:t>d</w:t>
      </w:r>
      <w:r w:rsidR="006A1008" w:rsidRPr="00A677F1">
        <w:rPr>
          <w:rFonts w:ascii="Calibri" w:hAnsi="Calibri" w:cs="Arial"/>
        </w:rPr>
        <w:t xml:space="preserve"> in the National </w:t>
      </w:r>
      <w:r w:rsidRPr="00A677F1">
        <w:rPr>
          <w:rFonts w:ascii="Calibri" w:hAnsi="Calibri" w:cs="Arial"/>
        </w:rPr>
        <w:t>Patient S</w:t>
      </w:r>
      <w:r w:rsidR="006A1008" w:rsidRPr="00A677F1">
        <w:rPr>
          <w:rFonts w:ascii="Calibri" w:hAnsi="Calibri" w:cs="Arial"/>
        </w:rPr>
        <w:t>urvey (Community Mental Health)</w:t>
      </w:r>
      <w:r w:rsidRPr="00A677F1">
        <w:rPr>
          <w:rFonts w:ascii="Calibri" w:hAnsi="Calibri" w:cs="Arial"/>
        </w:rPr>
        <w:t>, receiving the results in May 20</w:t>
      </w:r>
      <w:r w:rsidR="00DB6617">
        <w:rPr>
          <w:rFonts w:ascii="Calibri" w:hAnsi="Calibri" w:cs="Arial"/>
        </w:rPr>
        <w:t>1</w:t>
      </w:r>
      <w:r w:rsidRPr="00A677F1">
        <w:rPr>
          <w:rFonts w:ascii="Calibri" w:hAnsi="Calibri" w:cs="Arial"/>
        </w:rPr>
        <w:t xml:space="preserve">1, which resulted in </w:t>
      </w:r>
      <w:r w:rsidR="00A677F1" w:rsidRPr="00A677F1">
        <w:rPr>
          <w:rFonts w:ascii="Calibri" w:hAnsi="Calibri" w:cs="Arial"/>
        </w:rPr>
        <w:t xml:space="preserve">an action plan that was presented to the Board in September.  The Inpatient National Survey was repeated internally and the subsequent results producing a revised action plan. </w:t>
      </w:r>
    </w:p>
    <w:p w:rsidR="006A1008" w:rsidRPr="00A677F1" w:rsidRDefault="00A677F1" w:rsidP="006A1008">
      <w:pPr>
        <w:pStyle w:val="ListParagraph"/>
        <w:numPr>
          <w:ilvl w:val="0"/>
          <w:numId w:val="11"/>
        </w:numPr>
        <w:jc w:val="both"/>
        <w:rPr>
          <w:rFonts w:ascii="Calibri" w:hAnsi="Calibri" w:cs="Arial"/>
        </w:rPr>
      </w:pPr>
      <w:r w:rsidRPr="00A677F1">
        <w:rPr>
          <w:rFonts w:ascii="Calibri" w:hAnsi="Calibri" w:cs="Arial"/>
        </w:rPr>
        <w:t xml:space="preserve">There is an on-going programme of patient/service users’ surveys across the mental health and children’s divisions with action plans developed from them.  Forensic Services use patients’ councils as the main vehicle to identify and feedback changes on an ongoing basis.  In OCS, quarterly divisional reports have been produced from the patient surveys. </w:t>
      </w:r>
      <w:r w:rsidR="006A1008" w:rsidRPr="00A677F1">
        <w:rPr>
          <w:rFonts w:ascii="Calibri" w:hAnsi="Calibri" w:cs="Arial"/>
        </w:rPr>
        <w:t>Enhance management of caseload supervision and ensure monthly monitoring takes place</w:t>
      </w:r>
    </w:p>
    <w:p w:rsidR="00DB6617" w:rsidRDefault="00DB6617" w:rsidP="006A1008">
      <w:pPr>
        <w:pStyle w:val="ListParagraph"/>
        <w:numPr>
          <w:ilvl w:val="0"/>
          <w:numId w:val="11"/>
        </w:numPr>
        <w:jc w:val="both"/>
        <w:rPr>
          <w:rFonts w:ascii="Calibri" w:hAnsi="Calibri" w:cs="Arial"/>
        </w:rPr>
      </w:pPr>
      <w:r w:rsidRPr="00DB6617">
        <w:rPr>
          <w:rFonts w:ascii="Calibri" w:hAnsi="Calibri" w:cs="Arial"/>
        </w:rPr>
        <w:t>We have i</w:t>
      </w:r>
      <w:r w:rsidR="006A1008" w:rsidRPr="00DB6617">
        <w:rPr>
          <w:rFonts w:ascii="Calibri" w:hAnsi="Calibri" w:cs="Arial"/>
        </w:rPr>
        <w:t>mplement</w:t>
      </w:r>
      <w:r w:rsidRPr="00DB6617">
        <w:rPr>
          <w:rFonts w:ascii="Calibri" w:hAnsi="Calibri" w:cs="Arial"/>
        </w:rPr>
        <w:t>ed</w:t>
      </w:r>
      <w:r w:rsidR="006A1008" w:rsidRPr="00DB6617">
        <w:rPr>
          <w:rFonts w:ascii="Calibri" w:hAnsi="Calibri" w:cs="Arial"/>
        </w:rPr>
        <w:t xml:space="preserve"> </w:t>
      </w:r>
      <w:r>
        <w:rPr>
          <w:rFonts w:ascii="Calibri" w:hAnsi="Calibri" w:cs="Arial"/>
        </w:rPr>
        <w:t xml:space="preserve">all the </w:t>
      </w:r>
      <w:r w:rsidR="006A1008" w:rsidRPr="00DB6617">
        <w:rPr>
          <w:rFonts w:ascii="Calibri" w:hAnsi="Calibri" w:cs="Arial"/>
        </w:rPr>
        <w:t xml:space="preserve">previous </w:t>
      </w:r>
      <w:r>
        <w:rPr>
          <w:rFonts w:ascii="Calibri" w:hAnsi="Calibri" w:cs="Arial"/>
        </w:rPr>
        <w:t xml:space="preserve">identified </w:t>
      </w:r>
      <w:r w:rsidR="006A1008" w:rsidRPr="00DB6617">
        <w:rPr>
          <w:rFonts w:ascii="Calibri" w:hAnsi="Calibri" w:cs="Arial"/>
        </w:rPr>
        <w:t>actions relating to CPA and physical health care</w:t>
      </w:r>
    </w:p>
    <w:p w:rsidR="00DB6617" w:rsidRPr="00DB6617" w:rsidRDefault="00DB6617" w:rsidP="006A1008">
      <w:pPr>
        <w:pStyle w:val="ListParagraph"/>
        <w:numPr>
          <w:ilvl w:val="0"/>
          <w:numId w:val="11"/>
        </w:numPr>
        <w:jc w:val="both"/>
        <w:rPr>
          <w:rFonts w:ascii="Calibri" w:hAnsi="Calibri" w:cs="Arial"/>
        </w:rPr>
      </w:pPr>
      <w:r>
        <w:rPr>
          <w:rFonts w:ascii="Calibri" w:hAnsi="Calibri" w:cs="Arial"/>
        </w:rPr>
        <w:t>A</w:t>
      </w:r>
      <w:r w:rsidRPr="00DB6617">
        <w:rPr>
          <w:rFonts w:ascii="Calibri" w:hAnsi="Calibri" w:cs="Arial"/>
        </w:rPr>
        <w:t xml:space="preserve">ctivity planners for </w:t>
      </w:r>
      <w:r>
        <w:rPr>
          <w:rFonts w:ascii="Calibri" w:hAnsi="Calibri" w:cs="Arial"/>
        </w:rPr>
        <w:t>Forensic service users have been introduced to provide structure throughout the week</w:t>
      </w:r>
    </w:p>
    <w:p w:rsidR="006A1008" w:rsidRPr="003F6D15" w:rsidRDefault="003F6D15" w:rsidP="006A1008">
      <w:pPr>
        <w:numPr>
          <w:ilvl w:val="0"/>
          <w:numId w:val="11"/>
        </w:numPr>
        <w:jc w:val="both"/>
        <w:rPr>
          <w:rFonts w:ascii="Calibri" w:hAnsi="Calibri" w:cs="Arial"/>
        </w:rPr>
      </w:pPr>
      <w:r w:rsidRPr="003F6D15">
        <w:rPr>
          <w:rFonts w:ascii="Calibri" w:hAnsi="Calibri" w:cs="Arial"/>
        </w:rPr>
        <w:t xml:space="preserve">All services within OCS Division have </w:t>
      </w:r>
      <w:r w:rsidR="00FC52F5">
        <w:rPr>
          <w:rFonts w:ascii="Calibri" w:hAnsi="Calibri" w:cs="Arial"/>
        </w:rPr>
        <w:t xml:space="preserve">carried out </w:t>
      </w:r>
      <w:r w:rsidRPr="003F6D15">
        <w:rPr>
          <w:rFonts w:ascii="Calibri" w:hAnsi="Calibri" w:cs="Arial"/>
        </w:rPr>
        <w:t xml:space="preserve">a survey </w:t>
      </w:r>
      <w:r w:rsidR="00FC52F5">
        <w:rPr>
          <w:rFonts w:ascii="Calibri" w:hAnsi="Calibri" w:cs="Arial"/>
        </w:rPr>
        <w:t>in</w:t>
      </w:r>
      <w:r w:rsidRPr="003F6D15">
        <w:rPr>
          <w:rFonts w:ascii="Calibri" w:hAnsi="Calibri" w:cs="Arial"/>
        </w:rPr>
        <w:t xml:space="preserve"> 2011/12 </w:t>
      </w:r>
      <w:r w:rsidR="00FC52F5" w:rsidRPr="003F6D15">
        <w:rPr>
          <w:rFonts w:ascii="Calibri" w:hAnsi="Calibri" w:cs="Arial"/>
        </w:rPr>
        <w:t>t</w:t>
      </w:r>
      <w:r w:rsidR="00FC52F5">
        <w:rPr>
          <w:rFonts w:ascii="Calibri" w:hAnsi="Calibri" w:cs="Arial"/>
        </w:rPr>
        <w:t>hat</w:t>
      </w:r>
      <w:r w:rsidR="00FC52F5" w:rsidRPr="003F6D15">
        <w:rPr>
          <w:rFonts w:ascii="Calibri" w:hAnsi="Calibri" w:cs="Arial"/>
        </w:rPr>
        <w:t xml:space="preserve"> </w:t>
      </w:r>
      <w:r w:rsidRPr="003F6D15">
        <w:rPr>
          <w:rFonts w:ascii="Calibri" w:hAnsi="Calibri" w:cs="Arial"/>
        </w:rPr>
        <w:t>include</w:t>
      </w:r>
      <w:r w:rsidR="00FC52F5">
        <w:rPr>
          <w:rFonts w:ascii="Calibri" w:hAnsi="Calibri" w:cs="Arial"/>
        </w:rPr>
        <w:t>d</w:t>
      </w:r>
      <w:r w:rsidRPr="003F6D15">
        <w:rPr>
          <w:rFonts w:ascii="Calibri" w:hAnsi="Calibri" w:cs="Arial"/>
        </w:rPr>
        <w:t xml:space="preserve"> all community general health services not included in the national survey</w:t>
      </w:r>
    </w:p>
    <w:p w:rsidR="00C07871" w:rsidRDefault="003F6D15" w:rsidP="003F6D15">
      <w:pPr>
        <w:numPr>
          <w:ilvl w:val="0"/>
          <w:numId w:val="11"/>
        </w:numPr>
        <w:jc w:val="both"/>
        <w:rPr>
          <w:rFonts w:ascii="Calibri" w:hAnsi="Calibri" w:cs="Arial"/>
        </w:rPr>
      </w:pPr>
      <w:r w:rsidRPr="00C07871">
        <w:rPr>
          <w:rFonts w:ascii="Calibri" w:hAnsi="Calibri" w:cs="Arial"/>
        </w:rPr>
        <w:t>All services that did</w:t>
      </w:r>
      <w:r w:rsidR="006A1008" w:rsidRPr="00C07871">
        <w:rPr>
          <w:rFonts w:ascii="Calibri" w:hAnsi="Calibri" w:cs="Arial"/>
        </w:rPr>
        <w:t xml:space="preserve"> not achiev</w:t>
      </w:r>
      <w:r w:rsidRPr="00C07871">
        <w:rPr>
          <w:rFonts w:ascii="Calibri" w:hAnsi="Calibri" w:cs="Arial"/>
        </w:rPr>
        <w:t>e</w:t>
      </w:r>
      <w:r w:rsidR="006A1008" w:rsidRPr="00C07871">
        <w:rPr>
          <w:rFonts w:ascii="Calibri" w:hAnsi="Calibri" w:cs="Arial"/>
        </w:rPr>
        <w:t xml:space="preserve"> 90% satisfaction </w:t>
      </w:r>
      <w:r w:rsidRPr="00C07871">
        <w:rPr>
          <w:rFonts w:ascii="Calibri" w:hAnsi="Calibri" w:cs="Arial"/>
        </w:rPr>
        <w:t>in the 2010-11 survey have been implementing action plans produced as a result</w:t>
      </w:r>
      <w:r w:rsidR="00A47937" w:rsidRPr="00C07871">
        <w:rPr>
          <w:rFonts w:ascii="Calibri" w:hAnsi="Calibri" w:cs="Arial"/>
        </w:rPr>
        <w:t xml:space="preserve">.  </w:t>
      </w:r>
      <w:r w:rsidR="00C07871" w:rsidRPr="00C07871">
        <w:rPr>
          <w:rFonts w:ascii="Calibri" w:hAnsi="Calibri" w:cs="Arial"/>
        </w:rPr>
        <w:t xml:space="preserve">Of the 20 services only Heart Failure, </w:t>
      </w:r>
      <w:proofErr w:type="spellStart"/>
      <w:r w:rsidR="00C07871" w:rsidRPr="00C07871">
        <w:rPr>
          <w:rFonts w:ascii="Calibri" w:hAnsi="Calibri" w:cs="Arial"/>
        </w:rPr>
        <w:t>Parkinsons</w:t>
      </w:r>
      <w:proofErr w:type="spellEnd"/>
      <w:r w:rsidR="00C07871" w:rsidRPr="00C07871">
        <w:rPr>
          <w:rFonts w:ascii="Calibri" w:hAnsi="Calibri" w:cs="Arial"/>
        </w:rPr>
        <w:t xml:space="preserve"> and </w:t>
      </w:r>
      <w:proofErr w:type="spellStart"/>
      <w:r w:rsidR="00C07871" w:rsidRPr="00C07871">
        <w:rPr>
          <w:rFonts w:ascii="Calibri" w:hAnsi="Calibri" w:cs="Arial"/>
        </w:rPr>
        <w:t>Bullingdon</w:t>
      </w:r>
      <w:proofErr w:type="spellEnd"/>
      <w:r w:rsidR="00C07871" w:rsidRPr="00C07871">
        <w:rPr>
          <w:rFonts w:ascii="Calibri" w:hAnsi="Calibri" w:cs="Arial"/>
        </w:rPr>
        <w:t xml:space="preserve"> Prison have yet to achieve their satisfaction scores </w:t>
      </w:r>
    </w:p>
    <w:p w:rsidR="003F6D15" w:rsidRPr="00C07871" w:rsidRDefault="003F6D15" w:rsidP="003F6D15">
      <w:pPr>
        <w:numPr>
          <w:ilvl w:val="0"/>
          <w:numId w:val="11"/>
        </w:numPr>
        <w:jc w:val="both"/>
        <w:rPr>
          <w:rFonts w:ascii="Calibri" w:hAnsi="Calibri" w:cs="Arial"/>
        </w:rPr>
      </w:pPr>
      <w:r w:rsidRPr="00C07871">
        <w:rPr>
          <w:rFonts w:ascii="Calibri" w:hAnsi="Calibri" w:cs="Arial"/>
        </w:rPr>
        <w:t>A range of patient information has been produced with regards to the role of the case manager. Patient information leaflets are used from a variety of sources including those advocated by the NHS.</w:t>
      </w:r>
    </w:p>
    <w:p w:rsidR="006A1008" w:rsidRPr="00F30ED4" w:rsidRDefault="00F30ED4" w:rsidP="006A1008">
      <w:pPr>
        <w:numPr>
          <w:ilvl w:val="0"/>
          <w:numId w:val="11"/>
        </w:numPr>
        <w:jc w:val="both"/>
        <w:rPr>
          <w:rFonts w:ascii="Calibri" w:hAnsi="Calibri" w:cs="Arial"/>
        </w:rPr>
      </w:pPr>
      <w:r w:rsidRPr="00F30ED4">
        <w:rPr>
          <w:rFonts w:ascii="Calibri" w:hAnsi="Calibri" w:cs="Arial"/>
        </w:rPr>
        <w:t>P</w:t>
      </w:r>
      <w:r w:rsidR="006A1008" w:rsidRPr="00F30ED4">
        <w:rPr>
          <w:rFonts w:ascii="Calibri" w:hAnsi="Calibri" w:cs="Arial"/>
        </w:rPr>
        <w:t xml:space="preserve">atient education programmes for patients with </w:t>
      </w:r>
      <w:r w:rsidRPr="00F30ED4">
        <w:rPr>
          <w:rFonts w:ascii="Calibri" w:hAnsi="Calibri" w:cs="Arial"/>
        </w:rPr>
        <w:t>d</w:t>
      </w:r>
      <w:r w:rsidR="006A1008" w:rsidRPr="00F30ED4">
        <w:rPr>
          <w:rFonts w:ascii="Calibri" w:hAnsi="Calibri" w:cs="Arial"/>
        </w:rPr>
        <w:t>iabetes</w:t>
      </w:r>
      <w:r w:rsidRPr="00F30ED4">
        <w:rPr>
          <w:rFonts w:ascii="Calibri" w:hAnsi="Calibri" w:cs="Arial"/>
        </w:rPr>
        <w:t xml:space="preserve"> have been devised and are being delivered, including an advanced insulin course.  They have all been well received and well attended.</w:t>
      </w:r>
    </w:p>
    <w:p w:rsidR="006A1008" w:rsidRPr="00F30ED4" w:rsidRDefault="00F30ED4" w:rsidP="006A1008">
      <w:pPr>
        <w:numPr>
          <w:ilvl w:val="0"/>
          <w:numId w:val="11"/>
        </w:numPr>
        <w:jc w:val="both"/>
        <w:rPr>
          <w:rFonts w:ascii="Calibri" w:hAnsi="Calibri" w:cs="Arial"/>
        </w:rPr>
      </w:pPr>
      <w:r w:rsidRPr="00F30ED4">
        <w:rPr>
          <w:rFonts w:ascii="Calibri" w:hAnsi="Calibri" w:cs="Arial"/>
        </w:rPr>
        <w:t>A r</w:t>
      </w:r>
      <w:r w:rsidR="006A1008" w:rsidRPr="00F30ED4">
        <w:rPr>
          <w:rFonts w:ascii="Calibri" w:hAnsi="Calibri" w:cs="Arial"/>
        </w:rPr>
        <w:t xml:space="preserve">eview </w:t>
      </w:r>
      <w:r w:rsidRPr="00F30ED4">
        <w:rPr>
          <w:rFonts w:ascii="Calibri" w:hAnsi="Calibri" w:cs="Arial"/>
        </w:rPr>
        <w:t xml:space="preserve">of the provision of community equipment was undertaken last year </w:t>
      </w:r>
      <w:r w:rsidR="006A1008" w:rsidRPr="00F30ED4">
        <w:rPr>
          <w:rFonts w:ascii="Calibri" w:hAnsi="Calibri" w:cs="Arial"/>
        </w:rPr>
        <w:t xml:space="preserve">to ensure it is provided in a timely manner to meet changing patient needs </w:t>
      </w:r>
      <w:r w:rsidRPr="00F30ED4">
        <w:rPr>
          <w:rFonts w:ascii="Calibri" w:hAnsi="Calibri" w:cs="Arial"/>
        </w:rPr>
        <w:t>and</w:t>
      </w:r>
      <w:r w:rsidR="006A1008" w:rsidRPr="00F30ED4">
        <w:rPr>
          <w:rFonts w:ascii="Calibri" w:hAnsi="Calibri" w:cs="Arial"/>
        </w:rPr>
        <w:t xml:space="preserve"> to facilitate timely discharge from Community Hospitals</w:t>
      </w:r>
      <w:r w:rsidRPr="00F30ED4">
        <w:rPr>
          <w:rFonts w:ascii="Calibri" w:hAnsi="Calibri" w:cs="Arial"/>
        </w:rPr>
        <w:t>.  Actions were identified as a result and are being implemented</w:t>
      </w:r>
    </w:p>
    <w:p w:rsidR="006A1008" w:rsidRPr="009C4155" w:rsidRDefault="00F30ED4" w:rsidP="006A1008">
      <w:pPr>
        <w:numPr>
          <w:ilvl w:val="0"/>
          <w:numId w:val="11"/>
        </w:numPr>
        <w:jc w:val="both"/>
        <w:rPr>
          <w:rFonts w:ascii="Calibri" w:hAnsi="Calibri" w:cs="Arial"/>
        </w:rPr>
      </w:pPr>
      <w:r w:rsidRPr="009C4155">
        <w:rPr>
          <w:rFonts w:ascii="Calibri" w:hAnsi="Calibri" w:cs="Arial"/>
        </w:rPr>
        <w:lastRenderedPageBreak/>
        <w:t>D</w:t>
      </w:r>
      <w:r w:rsidR="006A1008" w:rsidRPr="009C4155">
        <w:rPr>
          <w:rFonts w:ascii="Calibri" w:hAnsi="Calibri" w:cs="Arial"/>
        </w:rPr>
        <w:t>ischarge planning arrangements with partner agencies in the Oxfordshire Community Division</w:t>
      </w:r>
      <w:r w:rsidRPr="009C4155">
        <w:rPr>
          <w:rFonts w:ascii="Calibri" w:hAnsi="Calibri" w:cs="Arial"/>
        </w:rPr>
        <w:t xml:space="preserve"> have been reviewed, with the Single Point of Access operational from 1</w:t>
      </w:r>
      <w:r w:rsidRPr="009C4155">
        <w:rPr>
          <w:rFonts w:ascii="Calibri" w:hAnsi="Calibri" w:cs="Arial"/>
          <w:vertAlign w:val="superscript"/>
        </w:rPr>
        <w:t>st</w:t>
      </w:r>
      <w:r w:rsidRPr="009C4155">
        <w:rPr>
          <w:rFonts w:ascii="Calibri" w:hAnsi="Calibri" w:cs="Arial"/>
        </w:rPr>
        <w:t xml:space="preserve"> April 2012 </w:t>
      </w:r>
      <w:r w:rsidR="009C4155" w:rsidRPr="009C4155">
        <w:rPr>
          <w:rFonts w:ascii="Calibri" w:hAnsi="Calibri" w:cs="Arial"/>
        </w:rPr>
        <w:t>which aims to significantly enhance the discharge procedure</w:t>
      </w:r>
    </w:p>
    <w:p w:rsidR="006A1008" w:rsidRPr="009C4155" w:rsidRDefault="009C4155" w:rsidP="006A1008">
      <w:pPr>
        <w:numPr>
          <w:ilvl w:val="0"/>
          <w:numId w:val="11"/>
        </w:numPr>
        <w:jc w:val="both"/>
        <w:rPr>
          <w:rFonts w:ascii="Calibri" w:hAnsi="Calibri" w:cs="Arial"/>
        </w:rPr>
      </w:pPr>
      <w:r w:rsidRPr="009C4155">
        <w:rPr>
          <w:rFonts w:ascii="Calibri" w:hAnsi="Calibri" w:cs="Arial"/>
        </w:rPr>
        <w:t>S</w:t>
      </w:r>
      <w:r w:rsidR="006A1008" w:rsidRPr="009C4155">
        <w:rPr>
          <w:rFonts w:ascii="Calibri" w:hAnsi="Calibri" w:cs="Arial"/>
        </w:rPr>
        <w:t>taff attendance at ‘customer care’ training</w:t>
      </w:r>
      <w:r w:rsidRPr="009C4155">
        <w:rPr>
          <w:rFonts w:ascii="Calibri" w:hAnsi="Calibri" w:cs="Arial"/>
        </w:rPr>
        <w:t xml:space="preserve"> was actively promoted last year,</w:t>
      </w:r>
      <w:r w:rsidR="006A1008" w:rsidRPr="009C4155">
        <w:rPr>
          <w:rFonts w:ascii="Calibri" w:hAnsi="Calibri" w:cs="Arial"/>
        </w:rPr>
        <w:t xml:space="preserve"> focussing on those services where staff attitude has been identified as not meeting patient expectation</w:t>
      </w:r>
      <w:r w:rsidRPr="009C4155">
        <w:rPr>
          <w:rFonts w:ascii="Calibri" w:hAnsi="Calibri" w:cs="Arial"/>
        </w:rPr>
        <w:t>.  This work continues and bespoke training is being produced for particular services.</w:t>
      </w:r>
    </w:p>
    <w:p w:rsidR="006A1008" w:rsidRPr="009C4155" w:rsidRDefault="009C4155" w:rsidP="006A1008">
      <w:pPr>
        <w:numPr>
          <w:ilvl w:val="0"/>
          <w:numId w:val="11"/>
        </w:numPr>
        <w:jc w:val="both"/>
        <w:rPr>
          <w:rFonts w:ascii="Calibri" w:hAnsi="Calibri" w:cs="Arial"/>
        </w:rPr>
      </w:pPr>
      <w:r w:rsidRPr="009C4155">
        <w:rPr>
          <w:rFonts w:ascii="Calibri" w:hAnsi="Calibri" w:cs="Arial"/>
        </w:rPr>
        <w:t>We c</w:t>
      </w:r>
      <w:r w:rsidR="006A1008" w:rsidRPr="009C4155">
        <w:rPr>
          <w:rFonts w:ascii="Calibri" w:hAnsi="Calibri" w:cs="Arial"/>
        </w:rPr>
        <w:t>ontinue to demonstrate learning as a result of feedback from complaints and compliments</w:t>
      </w:r>
      <w:r w:rsidRPr="009C4155">
        <w:rPr>
          <w:rFonts w:ascii="Calibri" w:hAnsi="Calibri" w:cs="Arial"/>
        </w:rPr>
        <w:t xml:space="preserve"> with a weekly report to the Clinical Governance Meeting and a quarterly report to the Services and Estates Quality Improvement Committee and the Trust Board.</w:t>
      </w:r>
    </w:p>
    <w:p w:rsidR="00D26CE4" w:rsidRPr="00544356" w:rsidRDefault="00D26CE4" w:rsidP="00B038C0">
      <w:pPr>
        <w:pStyle w:val="Heading4"/>
        <w:rPr>
          <w:color w:val="0070C0"/>
        </w:rPr>
      </w:pPr>
      <w:r w:rsidRPr="00B038C0">
        <w:t>Aims</w:t>
      </w:r>
    </w:p>
    <w:p w:rsidR="00A47937" w:rsidRDefault="00A47937" w:rsidP="00A47937">
      <w:pPr>
        <w:jc w:val="both"/>
        <w:rPr>
          <w:rFonts w:ascii="Calibri" w:hAnsi="Calibri" w:cs="Arial"/>
          <w:b/>
        </w:rPr>
      </w:pPr>
    </w:p>
    <w:p w:rsidR="00D26CE4" w:rsidRPr="00A47937" w:rsidRDefault="00D26CE4" w:rsidP="00A47937">
      <w:pPr>
        <w:jc w:val="both"/>
        <w:rPr>
          <w:rFonts w:ascii="Calibri" w:hAnsi="Calibri" w:cs="Arial"/>
          <w:b/>
        </w:rPr>
      </w:pPr>
      <w:r w:rsidRPr="00A47937">
        <w:rPr>
          <w:rFonts w:ascii="Calibri" w:hAnsi="Calibri" w:cs="Arial"/>
          <w:b/>
        </w:rPr>
        <w:t>Improve the % of mental health patients who positively respond to the question “Overall how do you rate the care you are receiving from Mental Health Services?” by reporting it is good or excellent (service user priority). Within two years achieve a score which is equal to or above the average of other Trusts, and within five years to be within the top 20% of mental health trusts.</w:t>
      </w:r>
    </w:p>
    <w:p w:rsidR="001C7154" w:rsidRDefault="001C7154" w:rsidP="001C7154">
      <w:pPr>
        <w:pStyle w:val="ListParagraph"/>
        <w:ind w:left="1027"/>
        <w:rPr>
          <w:rFonts w:cs="Arial"/>
          <w:b/>
          <w:bCs/>
        </w:rPr>
      </w:pPr>
    </w:p>
    <w:p w:rsidR="000251CB" w:rsidRPr="00B038C0" w:rsidRDefault="000251CB" w:rsidP="000251CB">
      <w:pPr>
        <w:pStyle w:val="ListParagraph"/>
        <w:rPr>
          <w:rFonts w:ascii="Calibri" w:hAnsi="Calibri" w:cs="Arial"/>
          <w:i/>
          <w:color w:val="0070C0"/>
          <w:u w:val="single"/>
        </w:rPr>
      </w:pPr>
      <w:r w:rsidRPr="00B038C0">
        <w:rPr>
          <w:rFonts w:ascii="Calibri" w:hAnsi="Calibri" w:cs="Arial"/>
          <w:i/>
          <w:color w:val="0070C0"/>
          <w:u w:val="single"/>
        </w:rPr>
        <w:t>Chart 1</w:t>
      </w:r>
      <w:r>
        <w:rPr>
          <w:rFonts w:ascii="Calibri" w:hAnsi="Calibri" w:cs="Arial"/>
          <w:i/>
          <w:color w:val="0070C0"/>
          <w:u w:val="single"/>
        </w:rPr>
        <w:t>1</w:t>
      </w:r>
    </w:p>
    <w:p w:rsidR="001C7154" w:rsidRDefault="006742FA" w:rsidP="001C7154">
      <w:pPr>
        <w:pStyle w:val="ListParagraph"/>
        <w:ind w:left="1027"/>
        <w:rPr>
          <w:rFonts w:cs="Arial"/>
          <w:b/>
          <w:bCs/>
        </w:rPr>
      </w:pPr>
      <w:r>
        <w:rPr>
          <w:rFonts w:cs="Arial"/>
          <w:b/>
          <w:bCs/>
          <w:noProof/>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C7154" w:rsidRDefault="001C7154" w:rsidP="001C7154">
      <w:pPr>
        <w:pStyle w:val="ListParagraph"/>
        <w:ind w:left="1027"/>
        <w:rPr>
          <w:rFonts w:cs="Arial"/>
          <w:b/>
          <w:bCs/>
        </w:rPr>
      </w:pPr>
    </w:p>
    <w:p w:rsidR="001C7154" w:rsidRPr="001C7154" w:rsidRDefault="001C7154" w:rsidP="001C7154">
      <w:pPr>
        <w:jc w:val="both"/>
        <w:rPr>
          <w:rFonts w:ascii="Calibri" w:hAnsi="Calibri" w:cs="Arial"/>
        </w:rPr>
      </w:pPr>
      <w:r w:rsidRPr="001C7154">
        <w:rPr>
          <w:rFonts w:ascii="Calibri" w:hAnsi="Calibri" w:cs="Arial"/>
        </w:rPr>
        <w:t>The figures above are from our own Mental Health Services Real Time Feedback Surveys.</w:t>
      </w:r>
    </w:p>
    <w:p w:rsidR="001C7154" w:rsidRPr="001C7154" w:rsidRDefault="001C7154" w:rsidP="001C7154">
      <w:pPr>
        <w:jc w:val="both"/>
        <w:rPr>
          <w:rFonts w:ascii="Calibri" w:hAnsi="Calibri" w:cs="Arial"/>
        </w:rPr>
      </w:pPr>
    </w:p>
    <w:p w:rsidR="00A47937" w:rsidRPr="00A47937" w:rsidRDefault="00A47937" w:rsidP="001C7154">
      <w:pPr>
        <w:pStyle w:val="ListParagraph"/>
        <w:jc w:val="both"/>
        <w:rPr>
          <w:rFonts w:ascii="Calibri" w:hAnsi="Calibri" w:cs="Arial"/>
        </w:rPr>
      </w:pPr>
      <w:r w:rsidRPr="00A47937">
        <w:rPr>
          <w:rFonts w:ascii="Calibri" w:hAnsi="Calibri" w:cs="Arial"/>
          <w:highlight w:val="yellow"/>
        </w:rPr>
        <w:t>Figures not yet available</w:t>
      </w:r>
    </w:p>
    <w:p w:rsidR="00A47937" w:rsidRPr="00A47937" w:rsidRDefault="00A47937" w:rsidP="00A47937">
      <w:pPr>
        <w:pStyle w:val="ListParagraph"/>
        <w:jc w:val="both"/>
        <w:rPr>
          <w:rFonts w:ascii="Arial" w:hAnsi="Arial" w:cs="Arial"/>
          <w:color w:val="0070C0"/>
        </w:rPr>
      </w:pPr>
    </w:p>
    <w:p w:rsidR="00D97900" w:rsidRDefault="00D97900">
      <w:pPr>
        <w:rPr>
          <w:rFonts w:ascii="Calibri" w:hAnsi="Calibri" w:cs="Arial"/>
          <w:b/>
        </w:rPr>
      </w:pPr>
      <w:r>
        <w:rPr>
          <w:rFonts w:ascii="Calibri" w:hAnsi="Calibri" w:cs="Arial"/>
          <w:b/>
        </w:rPr>
        <w:br w:type="page"/>
      </w:r>
    </w:p>
    <w:p w:rsidR="00D26CE4" w:rsidRDefault="00D26CE4" w:rsidP="00A47937">
      <w:pPr>
        <w:jc w:val="both"/>
        <w:rPr>
          <w:rFonts w:ascii="Calibri" w:hAnsi="Calibri" w:cs="Arial"/>
        </w:rPr>
      </w:pPr>
      <w:r w:rsidRPr="00A47937">
        <w:rPr>
          <w:rFonts w:ascii="Calibri" w:hAnsi="Calibri" w:cs="Arial"/>
          <w:b/>
        </w:rPr>
        <w:lastRenderedPageBreak/>
        <w:t>The Trust aims to score better than the average of other organisations in the National Survey (Community) in the following areas</w:t>
      </w:r>
      <w:r w:rsidR="00A47937" w:rsidRPr="00A47937">
        <w:rPr>
          <w:rFonts w:ascii="Calibri" w:hAnsi="Calibri" w:cs="Arial"/>
        </w:rPr>
        <w:t>:</w:t>
      </w:r>
      <w:r w:rsidRPr="00A47937">
        <w:rPr>
          <w:rFonts w:ascii="Calibri" w:hAnsi="Calibri" w:cs="Arial"/>
        </w:rPr>
        <w:t xml:space="preserve"> </w:t>
      </w:r>
    </w:p>
    <w:p w:rsidR="00D97900" w:rsidRPr="00A47937" w:rsidRDefault="00D97900" w:rsidP="00A47937">
      <w:pPr>
        <w:jc w:val="both"/>
        <w:rPr>
          <w:rFonts w:ascii="Calibri" w:hAnsi="Calibri" w:cs="Arial"/>
        </w:rPr>
      </w:pPr>
    </w:p>
    <w:p w:rsidR="00D97900" w:rsidRPr="00544356" w:rsidRDefault="00D97900" w:rsidP="00D97900">
      <w:pPr>
        <w:ind w:firstLine="720"/>
        <w:rPr>
          <w:rFonts w:ascii="Calibri" w:hAnsi="Calibri" w:cs="Arial"/>
          <w:b/>
          <w:bCs/>
          <w:i/>
          <w:color w:val="0070C0"/>
          <w:u w:val="single"/>
        </w:rPr>
      </w:pPr>
      <w:r w:rsidRPr="00544356">
        <w:rPr>
          <w:rFonts w:ascii="Calibri" w:hAnsi="Calibri" w:cs="Arial"/>
          <w:b/>
          <w:bCs/>
          <w:i/>
          <w:color w:val="0070C0"/>
          <w:u w:val="single"/>
        </w:rPr>
        <w:t xml:space="preserve">Table </w:t>
      </w:r>
      <w:r>
        <w:rPr>
          <w:rFonts w:ascii="Calibri" w:hAnsi="Calibri" w:cs="Arial"/>
          <w:b/>
          <w:bCs/>
          <w:i/>
          <w:color w:val="0070C0"/>
          <w:u w:val="single"/>
        </w:rPr>
        <w:t>4</w:t>
      </w:r>
    </w:p>
    <w:tbl>
      <w:tblPr>
        <w:tblStyle w:val="TableGrid"/>
        <w:tblW w:w="0" w:type="auto"/>
        <w:tblInd w:w="1169" w:type="dxa"/>
        <w:shd w:val="clear" w:color="auto" w:fill="FFFFFF" w:themeFill="background1"/>
        <w:tblLayout w:type="fixed"/>
        <w:tblLook w:val="04A0"/>
      </w:tblPr>
      <w:tblGrid>
        <w:gridCol w:w="5523"/>
        <w:gridCol w:w="1276"/>
        <w:gridCol w:w="526"/>
      </w:tblGrid>
      <w:tr w:rsidR="00A47937" w:rsidRPr="00A47937" w:rsidTr="00A46784">
        <w:tc>
          <w:tcPr>
            <w:tcW w:w="5523" w:type="dxa"/>
            <w:tcBorders>
              <w:top w:val="nil"/>
              <w:left w:val="nil"/>
              <w:bottom w:val="nil"/>
              <w:right w:val="nil"/>
            </w:tcBorders>
            <w:shd w:val="clear" w:color="auto" w:fill="DBE5F1" w:themeFill="accent1" w:themeFillTint="33"/>
          </w:tcPr>
          <w:p w:rsidR="00A47937" w:rsidRPr="00A47937" w:rsidRDefault="00A47937" w:rsidP="00A47937">
            <w:pPr>
              <w:pStyle w:val="ListParagraph"/>
              <w:numPr>
                <w:ilvl w:val="0"/>
                <w:numId w:val="48"/>
              </w:numPr>
              <w:ind w:left="595" w:hanging="425"/>
              <w:rPr>
                <w:rFonts w:asciiTheme="minorHAnsi" w:hAnsiTheme="minorHAnsi" w:cs="Arial"/>
                <w:bCs/>
                <w:color w:val="002060"/>
              </w:rPr>
            </w:pPr>
            <w:r w:rsidRPr="00A47937">
              <w:rPr>
                <w:rFonts w:asciiTheme="minorHAnsi" w:hAnsiTheme="minorHAnsi" w:cs="Calibri"/>
                <w:bCs/>
                <w:color w:val="002060"/>
              </w:rPr>
              <w:t xml:space="preserve">Service users knowing who their care coordinator was </w:t>
            </w:r>
          </w:p>
        </w:tc>
        <w:tc>
          <w:tcPr>
            <w:tcW w:w="1276" w:type="dxa"/>
            <w:tcBorders>
              <w:top w:val="nil"/>
              <w:left w:val="nil"/>
              <w:bottom w:val="nil"/>
              <w:right w:val="nil"/>
            </w:tcBorders>
            <w:shd w:val="clear" w:color="auto" w:fill="DBE5F1" w:themeFill="accent1" w:themeFillTint="33"/>
          </w:tcPr>
          <w:p w:rsidR="00A47937" w:rsidRPr="00A47937" w:rsidRDefault="00A47937" w:rsidP="00A47937">
            <w:pPr>
              <w:pStyle w:val="ListParagraph"/>
              <w:ind w:left="0"/>
              <w:rPr>
                <w:rFonts w:asciiTheme="minorHAnsi" w:hAnsiTheme="minorHAnsi" w:cs="Arial"/>
                <w:bCs/>
                <w:color w:val="002060"/>
              </w:rPr>
            </w:pPr>
            <w:r w:rsidRPr="00A47937">
              <w:rPr>
                <w:rFonts w:asciiTheme="minorHAnsi" w:hAnsiTheme="minorHAnsi" w:cs="Arial"/>
                <w:bCs/>
                <w:color w:val="002060"/>
              </w:rPr>
              <w:t>Worse</w:t>
            </w:r>
          </w:p>
        </w:tc>
        <w:tc>
          <w:tcPr>
            <w:tcW w:w="526" w:type="dxa"/>
            <w:tcBorders>
              <w:top w:val="nil"/>
              <w:left w:val="nil"/>
              <w:bottom w:val="nil"/>
              <w:right w:val="nil"/>
            </w:tcBorders>
            <w:shd w:val="clear" w:color="auto" w:fill="FF0000"/>
          </w:tcPr>
          <w:p w:rsidR="00A47937" w:rsidRPr="00A47937" w:rsidRDefault="00A47937" w:rsidP="00A47937">
            <w:pPr>
              <w:pStyle w:val="ListParagraph"/>
              <w:ind w:left="0"/>
              <w:rPr>
                <w:rFonts w:asciiTheme="minorHAnsi" w:hAnsiTheme="minorHAnsi" w:cs="Arial"/>
                <w:bCs/>
                <w:color w:val="002060"/>
              </w:rPr>
            </w:pPr>
          </w:p>
        </w:tc>
      </w:tr>
      <w:tr w:rsidR="00A47937" w:rsidRPr="00A47937" w:rsidTr="00A46784">
        <w:tc>
          <w:tcPr>
            <w:tcW w:w="5523" w:type="dxa"/>
            <w:tcBorders>
              <w:top w:val="nil"/>
              <w:left w:val="nil"/>
              <w:bottom w:val="nil"/>
              <w:right w:val="nil"/>
            </w:tcBorders>
            <w:shd w:val="clear" w:color="auto" w:fill="auto"/>
          </w:tcPr>
          <w:p w:rsidR="00A47937" w:rsidRPr="00A47937" w:rsidRDefault="00A47937" w:rsidP="00A47937">
            <w:pPr>
              <w:pStyle w:val="ListParagraph"/>
              <w:numPr>
                <w:ilvl w:val="0"/>
                <w:numId w:val="48"/>
              </w:numPr>
              <w:ind w:left="595" w:hanging="425"/>
              <w:rPr>
                <w:rFonts w:asciiTheme="minorHAnsi" w:hAnsiTheme="minorHAnsi" w:cs="Arial"/>
                <w:bCs/>
                <w:color w:val="002060"/>
              </w:rPr>
            </w:pPr>
            <w:r w:rsidRPr="00A47937">
              <w:rPr>
                <w:rFonts w:asciiTheme="minorHAnsi" w:hAnsiTheme="minorHAnsi" w:cs="Calibri"/>
                <w:bCs/>
                <w:color w:val="002060"/>
              </w:rPr>
              <w:t xml:space="preserve">Service users being offered a copy of the care plan </w:t>
            </w:r>
          </w:p>
        </w:tc>
        <w:tc>
          <w:tcPr>
            <w:tcW w:w="1276" w:type="dxa"/>
            <w:tcBorders>
              <w:top w:val="nil"/>
              <w:left w:val="nil"/>
              <w:bottom w:val="nil"/>
              <w:right w:val="nil"/>
            </w:tcBorders>
            <w:shd w:val="clear" w:color="auto" w:fill="auto"/>
          </w:tcPr>
          <w:p w:rsidR="00A47937" w:rsidRPr="00A47937" w:rsidRDefault="00A47937" w:rsidP="00A47937">
            <w:pPr>
              <w:pStyle w:val="ListParagraph"/>
              <w:ind w:left="0"/>
              <w:rPr>
                <w:rFonts w:asciiTheme="minorHAnsi" w:hAnsiTheme="minorHAnsi" w:cs="Arial"/>
                <w:bCs/>
                <w:color w:val="002060"/>
              </w:rPr>
            </w:pPr>
            <w:r w:rsidRPr="00A47937">
              <w:rPr>
                <w:rFonts w:asciiTheme="minorHAnsi" w:hAnsiTheme="minorHAnsi" w:cs="Arial"/>
                <w:bCs/>
                <w:color w:val="002060"/>
              </w:rPr>
              <w:t>Same</w:t>
            </w:r>
          </w:p>
        </w:tc>
        <w:tc>
          <w:tcPr>
            <w:tcW w:w="526" w:type="dxa"/>
            <w:tcBorders>
              <w:top w:val="nil"/>
              <w:left w:val="nil"/>
              <w:bottom w:val="nil"/>
              <w:right w:val="nil"/>
            </w:tcBorders>
            <w:shd w:val="clear" w:color="auto" w:fill="FFC000"/>
          </w:tcPr>
          <w:p w:rsidR="00A47937" w:rsidRPr="00A47937" w:rsidRDefault="00A47937" w:rsidP="00A47937">
            <w:pPr>
              <w:pStyle w:val="ListParagraph"/>
              <w:ind w:left="0"/>
              <w:rPr>
                <w:rFonts w:asciiTheme="minorHAnsi" w:hAnsiTheme="minorHAnsi" w:cs="Arial"/>
                <w:bCs/>
                <w:color w:val="002060"/>
              </w:rPr>
            </w:pPr>
          </w:p>
        </w:tc>
      </w:tr>
      <w:tr w:rsidR="00A47937" w:rsidRPr="00A47937" w:rsidTr="00A46784">
        <w:tc>
          <w:tcPr>
            <w:tcW w:w="5523" w:type="dxa"/>
            <w:tcBorders>
              <w:top w:val="nil"/>
              <w:left w:val="nil"/>
              <w:bottom w:val="nil"/>
              <w:right w:val="nil"/>
            </w:tcBorders>
            <w:shd w:val="clear" w:color="auto" w:fill="DBE5F1" w:themeFill="accent1" w:themeFillTint="33"/>
          </w:tcPr>
          <w:p w:rsidR="00A47937" w:rsidRPr="00A47937" w:rsidRDefault="00A47937" w:rsidP="00A47937">
            <w:pPr>
              <w:pStyle w:val="ListParagraph"/>
              <w:numPr>
                <w:ilvl w:val="0"/>
                <w:numId w:val="48"/>
              </w:numPr>
              <w:ind w:left="595" w:hanging="425"/>
              <w:rPr>
                <w:rFonts w:asciiTheme="minorHAnsi" w:hAnsiTheme="minorHAnsi" w:cs="Arial"/>
                <w:bCs/>
                <w:color w:val="002060"/>
              </w:rPr>
            </w:pPr>
            <w:r w:rsidRPr="00A47937">
              <w:rPr>
                <w:rFonts w:asciiTheme="minorHAnsi" w:hAnsiTheme="minorHAnsi" w:cs="Calibri"/>
                <w:bCs/>
                <w:color w:val="002060"/>
              </w:rPr>
              <w:t>Service users had had a care plan review meeting in the past 12 months</w:t>
            </w:r>
          </w:p>
        </w:tc>
        <w:tc>
          <w:tcPr>
            <w:tcW w:w="1276" w:type="dxa"/>
            <w:tcBorders>
              <w:top w:val="nil"/>
              <w:left w:val="nil"/>
              <w:bottom w:val="nil"/>
              <w:right w:val="nil"/>
            </w:tcBorders>
            <w:shd w:val="clear" w:color="auto" w:fill="DBE5F1" w:themeFill="accent1" w:themeFillTint="33"/>
          </w:tcPr>
          <w:p w:rsidR="00A47937" w:rsidRPr="00A47937" w:rsidRDefault="00A47937" w:rsidP="00A47937">
            <w:pPr>
              <w:pStyle w:val="ListParagraph"/>
              <w:ind w:left="0"/>
              <w:rPr>
                <w:rFonts w:asciiTheme="minorHAnsi" w:hAnsiTheme="minorHAnsi" w:cs="Arial"/>
                <w:bCs/>
                <w:color w:val="002060"/>
              </w:rPr>
            </w:pPr>
            <w:r w:rsidRPr="00A47937">
              <w:rPr>
                <w:rFonts w:asciiTheme="minorHAnsi" w:hAnsiTheme="minorHAnsi" w:cs="Arial"/>
                <w:bCs/>
                <w:color w:val="002060"/>
              </w:rPr>
              <w:t>Same</w:t>
            </w:r>
          </w:p>
        </w:tc>
        <w:tc>
          <w:tcPr>
            <w:tcW w:w="526" w:type="dxa"/>
            <w:tcBorders>
              <w:top w:val="nil"/>
              <w:left w:val="nil"/>
              <w:bottom w:val="nil"/>
              <w:right w:val="nil"/>
            </w:tcBorders>
            <w:shd w:val="clear" w:color="auto" w:fill="FFC000"/>
          </w:tcPr>
          <w:p w:rsidR="00A47937" w:rsidRPr="00A47937" w:rsidRDefault="00A47937" w:rsidP="00A47937">
            <w:pPr>
              <w:pStyle w:val="ListParagraph"/>
              <w:ind w:left="0"/>
              <w:rPr>
                <w:rFonts w:asciiTheme="minorHAnsi" w:hAnsiTheme="minorHAnsi" w:cs="Arial"/>
                <w:bCs/>
                <w:color w:val="002060"/>
              </w:rPr>
            </w:pPr>
          </w:p>
        </w:tc>
      </w:tr>
      <w:tr w:rsidR="00A47937" w:rsidRPr="00A47937" w:rsidTr="00A46784">
        <w:tc>
          <w:tcPr>
            <w:tcW w:w="5523" w:type="dxa"/>
            <w:tcBorders>
              <w:top w:val="nil"/>
              <w:left w:val="nil"/>
              <w:bottom w:val="nil"/>
              <w:right w:val="nil"/>
            </w:tcBorders>
            <w:shd w:val="clear" w:color="auto" w:fill="auto"/>
          </w:tcPr>
          <w:p w:rsidR="00A47937" w:rsidRPr="00A47937" w:rsidRDefault="00A47937" w:rsidP="00A47937">
            <w:pPr>
              <w:pStyle w:val="ListParagraph"/>
              <w:numPr>
                <w:ilvl w:val="0"/>
                <w:numId w:val="48"/>
              </w:numPr>
              <w:ind w:left="595" w:hanging="425"/>
              <w:rPr>
                <w:rFonts w:asciiTheme="minorHAnsi" w:hAnsiTheme="minorHAnsi" w:cs="Calibri"/>
                <w:bCs/>
                <w:color w:val="002060"/>
              </w:rPr>
            </w:pPr>
            <w:r w:rsidRPr="00A47937">
              <w:rPr>
                <w:rFonts w:asciiTheme="minorHAnsi" w:hAnsiTheme="minorHAnsi" w:cs="Calibri"/>
                <w:bCs/>
                <w:color w:val="002060"/>
              </w:rPr>
              <w:t xml:space="preserve">Physical health of service users checked  </w:t>
            </w:r>
          </w:p>
          <w:p w:rsidR="00A47937" w:rsidRPr="00A47937" w:rsidRDefault="00A47937" w:rsidP="00A47937">
            <w:pPr>
              <w:pStyle w:val="ListParagraph"/>
              <w:ind w:left="595" w:hanging="425"/>
              <w:rPr>
                <w:rFonts w:asciiTheme="minorHAnsi" w:hAnsiTheme="minorHAnsi" w:cs="Arial"/>
                <w:bCs/>
                <w:color w:val="002060"/>
              </w:rPr>
            </w:pPr>
          </w:p>
        </w:tc>
        <w:tc>
          <w:tcPr>
            <w:tcW w:w="1276" w:type="dxa"/>
            <w:tcBorders>
              <w:top w:val="nil"/>
              <w:left w:val="nil"/>
              <w:bottom w:val="nil"/>
              <w:right w:val="nil"/>
            </w:tcBorders>
            <w:shd w:val="clear" w:color="auto" w:fill="auto"/>
          </w:tcPr>
          <w:p w:rsidR="00A47937" w:rsidRPr="00A47937" w:rsidRDefault="00A47937" w:rsidP="00A47937">
            <w:pPr>
              <w:pStyle w:val="ListParagraph"/>
              <w:ind w:left="0"/>
              <w:rPr>
                <w:rFonts w:asciiTheme="minorHAnsi" w:hAnsiTheme="minorHAnsi" w:cs="Arial"/>
                <w:bCs/>
                <w:color w:val="002060"/>
              </w:rPr>
            </w:pPr>
            <w:r w:rsidRPr="00A47937">
              <w:rPr>
                <w:rFonts w:asciiTheme="minorHAnsi" w:hAnsiTheme="minorHAnsi" w:cs="Arial"/>
                <w:bCs/>
                <w:color w:val="002060"/>
              </w:rPr>
              <w:t>Not asked</w:t>
            </w:r>
            <w:r>
              <w:rPr>
                <w:rFonts w:asciiTheme="minorHAnsi" w:hAnsiTheme="minorHAnsi" w:cs="Arial"/>
                <w:bCs/>
                <w:color w:val="002060"/>
              </w:rPr>
              <w:t xml:space="preserve"> in survey</w:t>
            </w:r>
          </w:p>
        </w:tc>
        <w:tc>
          <w:tcPr>
            <w:tcW w:w="526" w:type="dxa"/>
            <w:tcBorders>
              <w:top w:val="nil"/>
              <w:left w:val="nil"/>
              <w:bottom w:val="nil"/>
              <w:right w:val="nil"/>
            </w:tcBorders>
            <w:shd w:val="clear" w:color="auto" w:fill="000000" w:themeFill="text1"/>
          </w:tcPr>
          <w:p w:rsidR="00A47937" w:rsidRPr="00A47937" w:rsidRDefault="00A47937" w:rsidP="00A47937">
            <w:pPr>
              <w:pStyle w:val="ListParagraph"/>
              <w:ind w:left="0"/>
              <w:rPr>
                <w:rFonts w:asciiTheme="minorHAnsi" w:hAnsiTheme="minorHAnsi" w:cs="Arial"/>
                <w:bCs/>
                <w:color w:val="002060"/>
              </w:rPr>
            </w:pPr>
          </w:p>
        </w:tc>
      </w:tr>
      <w:tr w:rsidR="00A47937" w:rsidRPr="00A47937" w:rsidTr="00A46784">
        <w:tc>
          <w:tcPr>
            <w:tcW w:w="5523" w:type="dxa"/>
            <w:tcBorders>
              <w:top w:val="nil"/>
              <w:left w:val="nil"/>
              <w:bottom w:val="nil"/>
              <w:right w:val="nil"/>
            </w:tcBorders>
            <w:shd w:val="clear" w:color="auto" w:fill="DBE5F1" w:themeFill="accent1" w:themeFillTint="33"/>
          </w:tcPr>
          <w:p w:rsidR="00A47937" w:rsidRPr="00A47937" w:rsidRDefault="00A47937" w:rsidP="00A47937">
            <w:pPr>
              <w:pStyle w:val="ListParagraph"/>
              <w:numPr>
                <w:ilvl w:val="0"/>
                <w:numId w:val="48"/>
              </w:numPr>
              <w:ind w:left="595" w:hanging="425"/>
              <w:rPr>
                <w:rFonts w:asciiTheme="minorHAnsi" w:hAnsiTheme="minorHAnsi" w:cs="Arial"/>
                <w:bCs/>
                <w:color w:val="002060"/>
              </w:rPr>
            </w:pPr>
            <w:r w:rsidRPr="00A47937">
              <w:rPr>
                <w:rFonts w:asciiTheme="minorHAnsi" w:hAnsiTheme="minorHAnsi" w:cs="Calibri"/>
                <w:bCs/>
                <w:color w:val="002060"/>
              </w:rPr>
              <w:t>Having a contact number out of hour</w:t>
            </w:r>
            <w:r w:rsidRPr="00A47937">
              <w:rPr>
                <w:rFonts w:asciiTheme="minorHAnsi" w:hAnsiTheme="minorHAnsi" w:cs="Arial"/>
                <w:bCs/>
                <w:color w:val="002060"/>
              </w:rPr>
              <w:t>s</w:t>
            </w:r>
          </w:p>
          <w:p w:rsidR="00A47937" w:rsidRPr="00A47937" w:rsidRDefault="00A47937" w:rsidP="00A47937">
            <w:pPr>
              <w:pStyle w:val="ListParagraph"/>
              <w:ind w:left="595" w:hanging="425"/>
              <w:rPr>
                <w:rFonts w:asciiTheme="minorHAnsi" w:hAnsiTheme="minorHAnsi" w:cs="Arial"/>
                <w:bCs/>
                <w:color w:val="002060"/>
              </w:rPr>
            </w:pPr>
          </w:p>
        </w:tc>
        <w:tc>
          <w:tcPr>
            <w:tcW w:w="1276" w:type="dxa"/>
            <w:tcBorders>
              <w:top w:val="nil"/>
              <w:left w:val="nil"/>
              <w:bottom w:val="nil"/>
              <w:right w:val="nil"/>
            </w:tcBorders>
            <w:shd w:val="clear" w:color="auto" w:fill="DBE5F1" w:themeFill="accent1" w:themeFillTint="33"/>
          </w:tcPr>
          <w:p w:rsidR="00A47937" w:rsidRPr="00A47937" w:rsidRDefault="00A47937" w:rsidP="00A47937">
            <w:pPr>
              <w:pStyle w:val="ListParagraph"/>
              <w:ind w:left="0"/>
              <w:rPr>
                <w:rFonts w:asciiTheme="minorHAnsi" w:hAnsiTheme="minorHAnsi" w:cs="Arial"/>
                <w:bCs/>
                <w:color w:val="002060"/>
              </w:rPr>
            </w:pPr>
            <w:r w:rsidRPr="00A47937">
              <w:rPr>
                <w:rFonts w:asciiTheme="minorHAnsi" w:hAnsiTheme="minorHAnsi" w:cs="Arial"/>
                <w:bCs/>
                <w:color w:val="002060"/>
              </w:rPr>
              <w:t xml:space="preserve">Same </w:t>
            </w:r>
          </w:p>
        </w:tc>
        <w:tc>
          <w:tcPr>
            <w:tcW w:w="526" w:type="dxa"/>
            <w:tcBorders>
              <w:top w:val="nil"/>
              <w:left w:val="nil"/>
              <w:bottom w:val="nil"/>
              <w:right w:val="nil"/>
            </w:tcBorders>
            <w:shd w:val="clear" w:color="auto" w:fill="FFC000"/>
          </w:tcPr>
          <w:p w:rsidR="00A47937" w:rsidRPr="00A47937" w:rsidRDefault="00A47937" w:rsidP="00A47937">
            <w:pPr>
              <w:pStyle w:val="ListParagraph"/>
              <w:ind w:left="0"/>
              <w:rPr>
                <w:rFonts w:asciiTheme="minorHAnsi" w:hAnsiTheme="minorHAnsi" w:cs="Arial"/>
                <w:bCs/>
                <w:color w:val="002060"/>
              </w:rPr>
            </w:pPr>
          </w:p>
        </w:tc>
      </w:tr>
    </w:tbl>
    <w:p w:rsidR="00A47937" w:rsidRPr="00A47937" w:rsidRDefault="00A47937" w:rsidP="00A47937">
      <w:pPr>
        <w:pStyle w:val="ListParagraph"/>
        <w:ind w:left="1169"/>
        <w:rPr>
          <w:rFonts w:asciiTheme="minorHAnsi" w:hAnsiTheme="minorHAnsi" w:cs="Arial"/>
          <w:bCs/>
          <w:color w:val="002060"/>
        </w:rPr>
      </w:pPr>
    </w:p>
    <w:p w:rsidR="00A47937" w:rsidRDefault="00A47937" w:rsidP="00A47937">
      <w:pPr>
        <w:ind w:left="851"/>
        <w:rPr>
          <w:rFonts w:asciiTheme="minorHAnsi" w:hAnsiTheme="minorHAnsi" w:cs="Arial"/>
          <w:bCs/>
          <w:color w:val="002060"/>
        </w:rPr>
      </w:pPr>
      <w:r w:rsidRPr="00A47937">
        <w:rPr>
          <w:rFonts w:asciiTheme="minorHAnsi" w:hAnsiTheme="minorHAnsi" w:cs="Arial"/>
          <w:bCs/>
          <w:color w:val="002060"/>
        </w:rPr>
        <w:t xml:space="preserve">The results above are from the 2011 CQC Community Mental Health Service User Survey.  It is not possible to tell whether we are “above average”, only “Better”, “About the </w:t>
      </w:r>
      <w:proofErr w:type="gramStart"/>
      <w:r w:rsidRPr="00A47937">
        <w:rPr>
          <w:rFonts w:asciiTheme="minorHAnsi" w:hAnsiTheme="minorHAnsi" w:cs="Arial"/>
          <w:bCs/>
          <w:color w:val="002060"/>
        </w:rPr>
        <w:t>Same</w:t>
      </w:r>
      <w:proofErr w:type="gramEnd"/>
      <w:r w:rsidRPr="00A47937">
        <w:rPr>
          <w:rFonts w:asciiTheme="minorHAnsi" w:hAnsiTheme="minorHAnsi" w:cs="Arial"/>
          <w:bCs/>
          <w:color w:val="002060"/>
        </w:rPr>
        <w:t>” or “Worse” compared with other comparable organisations</w:t>
      </w:r>
      <w:r>
        <w:rPr>
          <w:rFonts w:asciiTheme="minorHAnsi" w:hAnsiTheme="minorHAnsi" w:cs="Arial"/>
          <w:bCs/>
          <w:color w:val="002060"/>
        </w:rPr>
        <w:t>.</w:t>
      </w:r>
    </w:p>
    <w:p w:rsidR="00A47937" w:rsidRPr="00A47937" w:rsidRDefault="00A47937" w:rsidP="00A47937">
      <w:pPr>
        <w:ind w:left="851"/>
        <w:rPr>
          <w:rFonts w:asciiTheme="minorHAnsi" w:hAnsiTheme="minorHAnsi" w:cs="Arial"/>
          <w:bCs/>
          <w:color w:val="002060"/>
        </w:rPr>
      </w:pPr>
    </w:p>
    <w:p w:rsidR="00D26CE4" w:rsidRDefault="00D26CE4" w:rsidP="00A47937">
      <w:pPr>
        <w:jc w:val="both"/>
        <w:rPr>
          <w:rFonts w:ascii="Calibri" w:hAnsi="Calibri" w:cs="Arial"/>
          <w:b/>
        </w:rPr>
      </w:pPr>
      <w:r w:rsidRPr="00A47937">
        <w:rPr>
          <w:rFonts w:ascii="Calibri" w:hAnsi="Calibri" w:cs="Arial"/>
          <w:b/>
        </w:rPr>
        <w:t xml:space="preserve">Community Services aim to improve the percentage of patients who rate their care good, very good or excellent.  To achieve results comparable to the national top 20% of acute trusts satisfaction rating for both out-patients and in-patients as there is no comparable national survey for community services </w:t>
      </w:r>
    </w:p>
    <w:p w:rsidR="00A47937" w:rsidRDefault="00A47937" w:rsidP="00A47937">
      <w:pPr>
        <w:jc w:val="both"/>
        <w:rPr>
          <w:rFonts w:ascii="Calibri" w:hAnsi="Calibri" w:cs="Arial"/>
        </w:rPr>
      </w:pPr>
    </w:p>
    <w:p w:rsidR="000251CB" w:rsidRPr="00B038C0" w:rsidRDefault="000251CB" w:rsidP="000251CB">
      <w:pPr>
        <w:pStyle w:val="ListParagraph"/>
        <w:rPr>
          <w:rFonts w:ascii="Calibri" w:hAnsi="Calibri" w:cs="Arial"/>
          <w:i/>
          <w:color w:val="0070C0"/>
          <w:u w:val="single"/>
        </w:rPr>
      </w:pPr>
      <w:r w:rsidRPr="00B038C0">
        <w:rPr>
          <w:rFonts w:ascii="Calibri" w:hAnsi="Calibri" w:cs="Arial"/>
          <w:i/>
          <w:color w:val="0070C0"/>
          <w:u w:val="single"/>
        </w:rPr>
        <w:t>Chart 1</w:t>
      </w:r>
      <w:r>
        <w:rPr>
          <w:rFonts w:ascii="Calibri" w:hAnsi="Calibri" w:cs="Arial"/>
          <w:i/>
          <w:color w:val="0070C0"/>
          <w:u w:val="single"/>
        </w:rPr>
        <w:t>2</w:t>
      </w:r>
    </w:p>
    <w:p w:rsidR="00CB3E74" w:rsidRDefault="00277E7A" w:rsidP="0018134B">
      <w:pPr>
        <w:jc w:val="center"/>
        <w:rPr>
          <w:rFonts w:ascii="Calibri" w:hAnsi="Calibri" w:cs="Arial"/>
          <w:highlight w:val="yellow"/>
        </w:rPr>
      </w:pPr>
      <w:r w:rsidRPr="00277E7A">
        <w:rPr>
          <w:rFonts w:ascii="Calibri" w:hAnsi="Calibri" w:cs="Arial"/>
          <w:noProof/>
        </w:rPr>
        <w:drawing>
          <wp:inline distT="0" distB="0" distL="0" distR="0">
            <wp:extent cx="4943476" cy="27432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779AD" w:rsidRDefault="00F779AD" w:rsidP="00AD61F9">
      <w:pPr>
        <w:jc w:val="both"/>
        <w:rPr>
          <w:rFonts w:ascii="Calibri" w:hAnsi="Calibri" w:cs="Arial"/>
          <w:highlight w:val="yellow"/>
        </w:rPr>
      </w:pPr>
    </w:p>
    <w:p w:rsidR="00AE70C6" w:rsidRDefault="00AE70C6" w:rsidP="00AE70C6">
      <w:pPr>
        <w:jc w:val="both"/>
        <w:rPr>
          <w:rFonts w:ascii="Calibri" w:hAnsi="Calibri" w:cs="Arial"/>
          <w:color w:val="0070C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rsidR="00AE70C6" w:rsidTr="00AE70C6">
        <w:trPr>
          <w:trHeight w:val="169"/>
        </w:trPr>
        <w:tc>
          <w:tcPr>
            <w:tcW w:w="9855" w:type="dxa"/>
          </w:tcPr>
          <w:p w:rsidR="00AE70C6" w:rsidRPr="00F779AD" w:rsidRDefault="00AE70C6" w:rsidP="00AE70C6">
            <w:pPr>
              <w:jc w:val="both"/>
              <w:rPr>
                <w:rFonts w:ascii="Calibri" w:hAnsi="Calibri" w:cs="Arial"/>
                <w:color w:val="0070C0"/>
                <w:sz w:val="32"/>
                <w:szCs w:val="32"/>
              </w:rPr>
            </w:pPr>
            <w:r w:rsidRPr="00F779AD">
              <w:rPr>
                <w:rFonts w:ascii="Calibri" w:hAnsi="Calibri" w:cs="Arial"/>
                <w:color w:val="0070C0"/>
                <w:sz w:val="48"/>
                <w:szCs w:val="48"/>
              </w:rPr>
              <w:t>“</w:t>
            </w:r>
            <w:r>
              <w:rPr>
                <w:rFonts w:ascii="Calibri" w:hAnsi="Calibri" w:cs="Arial"/>
                <w:color w:val="0070C0"/>
                <w:sz w:val="32"/>
                <w:szCs w:val="32"/>
              </w:rPr>
              <w:t>With gratitude for all the splendid work you do and with our love.</w:t>
            </w:r>
            <w:r w:rsidRPr="00F779AD">
              <w:rPr>
                <w:rFonts w:ascii="Calibri" w:hAnsi="Calibri" w:cs="Arial"/>
                <w:color w:val="0070C0"/>
                <w:sz w:val="48"/>
                <w:szCs w:val="48"/>
              </w:rPr>
              <w:t>”</w:t>
            </w:r>
          </w:p>
          <w:p w:rsidR="00AE70C6" w:rsidRPr="00F779AD" w:rsidRDefault="00AE70C6" w:rsidP="00AE70C6">
            <w:pPr>
              <w:jc w:val="both"/>
              <w:rPr>
                <w:rFonts w:ascii="Calibri" w:hAnsi="Calibri" w:cs="Arial"/>
                <w:i/>
                <w:color w:val="0070C0"/>
              </w:rPr>
            </w:pPr>
            <w:r w:rsidRPr="00F779AD">
              <w:rPr>
                <w:rFonts w:ascii="Calibri" w:hAnsi="Calibri" w:cs="Arial"/>
                <w:i/>
                <w:color w:val="0070C0"/>
                <w:sz w:val="32"/>
                <w:szCs w:val="32"/>
              </w:rPr>
              <w:t xml:space="preserve">Family of </w:t>
            </w:r>
            <w:r>
              <w:rPr>
                <w:rFonts w:ascii="Calibri" w:hAnsi="Calibri" w:cs="Arial"/>
                <w:i/>
                <w:color w:val="0070C0"/>
                <w:sz w:val="32"/>
                <w:szCs w:val="32"/>
              </w:rPr>
              <w:t>Mental Health Service User in Warneford Hospital</w:t>
            </w:r>
          </w:p>
        </w:tc>
      </w:tr>
    </w:tbl>
    <w:p w:rsidR="006A1008" w:rsidRDefault="006A1008" w:rsidP="00AD61F9">
      <w:pPr>
        <w:jc w:val="both"/>
        <w:rPr>
          <w:rFonts w:ascii="Calibri" w:hAnsi="Calibri" w:cs="Arial"/>
        </w:rPr>
      </w:pPr>
    </w:p>
    <w:p w:rsidR="00F779AD" w:rsidRPr="00544356" w:rsidRDefault="00F779AD" w:rsidP="00AD61F9">
      <w:pPr>
        <w:jc w:val="both"/>
        <w:rPr>
          <w:rFonts w:ascii="Calibri" w:hAnsi="Calibri" w:cs="Arial"/>
          <w:b/>
          <w:color w:val="0070C0"/>
          <w:u w:val="single"/>
        </w:rPr>
      </w:pPr>
    </w:p>
    <w:tbl>
      <w:tblPr>
        <w:tblStyle w:val="TableGrid"/>
        <w:tblW w:w="0" w:type="auto"/>
        <w:tblBorders>
          <w:top w:val="single" w:sz="4" w:space="0" w:color="0070C0"/>
          <w:left w:val="none" w:sz="0" w:space="0" w:color="auto"/>
          <w:bottom w:val="single" w:sz="4" w:space="0" w:color="0070C0"/>
          <w:right w:val="none" w:sz="0" w:space="0" w:color="auto"/>
          <w:insideH w:val="none" w:sz="0" w:space="0" w:color="auto"/>
          <w:insideV w:val="none" w:sz="0" w:space="0" w:color="auto"/>
        </w:tblBorders>
        <w:tblLook w:val="04A0"/>
      </w:tblPr>
      <w:tblGrid>
        <w:gridCol w:w="9242"/>
      </w:tblGrid>
      <w:tr w:rsidR="007C047B" w:rsidTr="007C047B">
        <w:tc>
          <w:tcPr>
            <w:tcW w:w="9242" w:type="dxa"/>
          </w:tcPr>
          <w:p w:rsidR="007C047B" w:rsidRPr="00ED3BBA" w:rsidRDefault="007C047B" w:rsidP="007C047B">
            <w:pPr>
              <w:jc w:val="both"/>
              <w:rPr>
                <w:rFonts w:ascii="Arial" w:hAnsi="Arial" w:cs="Arial"/>
                <w:color w:val="0070C0"/>
                <w:sz w:val="32"/>
                <w:szCs w:val="32"/>
              </w:rPr>
            </w:pPr>
            <w:r>
              <w:rPr>
                <w:rFonts w:ascii="Arial" w:hAnsi="Arial" w:cs="Arial"/>
                <w:color w:val="0070C0"/>
                <w:sz w:val="32"/>
                <w:szCs w:val="32"/>
              </w:rPr>
              <w:lastRenderedPageBreak/>
              <w:t>Staff</w:t>
            </w:r>
          </w:p>
        </w:tc>
      </w:tr>
    </w:tbl>
    <w:p w:rsidR="007C047B" w:rsidRDefault="007C047B" w:rsidP="007C047B">
      <w:pPr>
        <w:jc w:val="both"/>
        <w:rPr>
          <w:rFonts w:ascii="Calibri" w:hAnsi="Calibri" w:cs="Arial"/>
          <w:color w:val="0070C0"/>
        </w:rPr>
      </w:pPr>
    </w:p>
    <w:p w:rsidR="007C047B" w:rsidRPr="00544356" w:rsidRDefault="007C047B" w:rsidP="007C047B">
      <w:pPr>
        <w:pStyle w:val="Heading3"/>
      </w:pPr>
      <w:r>
        <w:t>Staff Experience</w:t>
      </w:r>
    </w:p>
    <w:p w:rsidR="007C047B" w:rsidRDefault="007C047B" w:rsidP="007C047B">
      <w:pPr>
        <w:jc w:val="both"/>
        <w:rPr>
          <w:rFonts w:ascii="Calibri" w:hAnsi="Calibri" w:cs="Arial"/>
          <w:color w:val="0070C0"/>
        </w:rPr>
      </w:pPr>
    </w:p>
    <w:p w:rsidR="004901E0" w:rsidRDefault="007C047B" w:rsidP="007C047B">
      <w:pPr>
        <w:jc w:val="both"/>
        <w:rPr>
          <w:rFonts w:ascii="Calibri" w:hAnsi="Calibri" w:cs="Arial"/>
        </w:rPr>
      </w:pPr>
      <w:r w:rsidRPr="004901E0">
        <w:rPr>
          <w:rFonts w:ascii="Calibri" w:hAnsi="Calibri" w:cs="Arial"/>
        </w:rPr>
        <w:t>Every year the CQC conducts a national NHS staff survey to gauge how effective the NHS pledges given in the NHS Constitution of January 2009 towards the treatment and good management of the NHS staff are. We use the data from this survey to assess our own effectiveness and last year we set ourselves the target that within two years</w:t>
      </w:r>
      <w:r w:rsidR="004901E0" w:rsidRPr="004901E0">
        <w:rPr>
          <w:rFonts w:ascii="Calibri" w:hAnsi="Calibri" w:cs="Arial"/>
        </w:rPr>
        <w:t>, we would</w:t>
      </w:r>
      <w:r w:rsidRPr="004901E0">
        <w:rPr>
          <w:rFonts w:ascii="Calibri" w:hAnsi="Calibri" w:cs="Arial"/>
        </w:rPr>
        <w:t xml:space="preserve"> achieve a score in the annual staff survey that is at least the average of other Trusts, and within five years to achieve a score within the top 20% of Trusts, with particular emphasis on the lowest 3 elements</w:t>
      </w:r>
      <w:r w:rsidR="004901E0">
        <w:rPr>
          <w:rFonts w:ascii="Calibri" w:hAnsi="Calibri" w:cs="Arial"/>
        </w:rPr>
        <w:t>:</w:t>
      </w:r>
    </w:p>
    <w:p w:rsidR="004901E0" w:rsidRDefault="004901E0" w:rsidP="007C047B">
      <w:pPr>
        <w:jc w:val="both"/>
        <w:rPr>
          <w:rFonts w:ascii="Calibri" w:hAnsi="Calibri" w:cs="Arial"/>
        </w:rPr>
      </w:pPr>
    </w:p>
    <w:p w:rsidR="004901E0" w:rsidRPr="004901E0" w:rsidRDefault="004901E0" w:rsidP="00AE6CD0">
      <w:pPr>
        <w:pStyle w:val="ListParagraph"/>
        <w:numPr>
          <w:ilvl w:val="0"/>
          <w:numId w:val="27"/>
        </w:numPr>
        <w:jc w:val="both"/>
        <w:rPr>
          <w:rFonts w:asciiTheme="minorHAnsi" w:hAnsiTheme="minorHAnsi" w:cs="Arial"/>
        </w:rPr>
      </w:pPr>
      <w:r w:rsidRPr="004901E0">
        <w:rPr>
          <w:rFonts w:asciiTheme="minorHAnsi" w:hAnsiTheme="minorHAnsi" w:cs="Arial"/>
          <w:bCs/>
        </w:rPr>
        <w:t xml:space="preserve">Staff suffering work-related stress in last 12 months </w:t>
      </w:r>
    </w:p>
    <w:p w:rsidR="004901E0" w:rsidRPr="004901E0" w:rsidRDefault="004901E0" w:rsidP="00AE6CD0">
      <w:pPr>
        <w:pStyle w:val="ListParagraph"/>
        <w:numPr>
          <w:ilvl w:val="0"/>
          <w:numId w:val="27"/>
        </w:numPr>
        <w:jc w:val="both"/>
        <w:rPr>
          <w:rFonts w:asciiTheme="minorHAnsi" w:hAnsiTheme="minorHAnsi" w:cs="Arial"/>
        </w:rPr>
      </w:pPr>
      <w:r w:rsidRPr="004901E0">
        <w:rPr>
          <w:rFonts w:asciiTheme="minorHAnsi" w:hAnsiTheme="minorHAnsi" w:cs="Arial"/>
          <w:bCs/>
        </w:rPr>
        <w:t>Staff experiencing harassment, bullying or abuse from patients, relatives or the public in last 12 months</w:t>
      </w:r>
    </w:p>
    <w:p w:rsidR="004901E0" w:rsidRPr="004901E0" w:rsidRDefault="004901E0" w:rsidP="00AE6CD0">
      <w:pPr>
        <w:pStyle w:val="ListParagraph"/>
        <w:numPr>
          <w:ilvl w:val="0"/>
          <w:numId w:val="27"/>
        </w:numPr>
        <w:jc w:val="both"/>
        <w:rPr>
          <w:rFonts w:asciiTheme="minorHAnsi" w:hAnsiTheme="minorHAnsi" w:cs="Arial"/>
        </w:rPr>
      </w:pPr>
      <w:r w:rsidRPr="004901E0">
        <w:rPr>
          <w:rFonts w:asciiTheme="minorHAnsi" w:hAnsiTheme="minorHAnsi" w:cs="Arial"/>
          <w:bCs/>
        </w:rPr>
        <w:t xml:space="preserve">Support from immediate managers </w:t>
      </w:r>
    </w:p>
    <w:p w:rsidR="004901E0" w:rsidRPr="004901E0" w:rsidRDefault="004901E0" w:rsidP="004901E0">
      <w:pPr>
        <w:pStyle w:val="ListParagraph"/>
        <w:jc w:val="both"/>
        <w:rPr>
          <w:rFonts w:ascii="Arial" w:hAnsi="Arial" w:cs="Arial"/>
        </w:rPr>
      </w:pPr>
    </w:p>
    <w:p w:rsidR="007C047B" w:rsidRPr="004901E0" w:rsidRDefault="004901E0" w:rsidP="007C047B">
      <w:pPr>
        <w:jc w:val="both"/>
        <w:rPr>
          <w:rFonts w:ascii="Calibri" w:hAnsi="Calibri" w:cs="Arial"/>
        </w:rPr>
      </w:pPr>
      <w:proofErr w:type="gramStart"/>
      <w:r>
        <w:rPr>
          <w:rFonts w:ascii="Calibri" w:hAnsi="Calibri" w:cs="Arial"/>
        </w:rPr>
        <w:t>The latest survey, taken in 2011 and published in March 2012, shows that we have already achieved the first objective by being better than average in all three categories.</w:t>
      </w:r>
      <w:proofErr w:type="gramEnd"/>
    </w:p>
    <w:p w:rsidR="004901E0" w:rsidRDefault="004901E0" w:rsidP="007C047B">
      <w:pPr>
        <w:jc w:val="both"/>
        <w:rPr>
          <w:rFonts w:ascii="Calibri" w:hAnsi="Calibri" w:cs="Arial"/>
          <w:color w:val="0070C0"/>
        </w:rPr>
      </w:pPr>
    </w:p>
    <w:p w:rsidR="000251CB" w:rsidRPr="00544356" w:rsidRDefault="000251CB" w:rsidP="000251CB">
      <w:pPr>
        <w:pStyle w:val="ListParagraph"/>
        <w:rPr>
          <w:rFonts w:ascii="Calibri" w:hAnsi="Calibri" w:cs="Arial"/>
          <w:color w:val="0070C0"/>
        </w:rPr>
      </w:pPr>
      <w:r w:rsidRPr="00B038C0">
        <w:rPr>
          <w:rFonts w:ascii="Calibri" w:hAnsi="Calibri" w:cs="Arial"/>
          <w:i/>
          <w:color w:val="0070C0"/>
          <w:u w:val="single"/>
        </w:rPr>
        <w:t>Chart 1</w:t>
      </w:r>
      <w:r>
        <w:rPr>
          <w:rFonts w:ascii="Calibri" w:hAnsi="Calibri" w:cs="Arial"/>
          <w:i/>
          <w:color w:val="0070C0"/>
          <w:u w:val="single"/>
        </w:rPr>
        <w:t>3</w:t>
      </w:r>
    </w:p>
    <w:p w:rsidR="00D97900" w:rsidRDefault="006742FA" w:rsidP="00D97900">
      <w:pPr>
        <w:pStyle w:val="ListParagraph"/>
        <w:ind w:left="0"/>
        <w:jc w:val="center"/>
        <w:rPr>
          <w:rFonts w:ascii="Calibri" w:hAnsi="Calibri" w:cs="Arial"/>
          <w:i/>
          <w:color w:val="0070C0"/>
          <w:u w:val="single"/>
        </w:rPr>
      </w:pPr>
      <w:r>
        <w:rPr>
          <w:rFonts w:ascii="Calibri" w:hAnsi="Calibri" w:cs="Arial"/>
          <w:i/>
          <w:noProof/>
          <w:color w:val="0070C0"/>
          <w:u w:val="single"/>
        </w:rPr>
        <w:drawing>
          <wp:inline distT="0" distB="0" distL="0" distR="0">
            <wp:extent cx="5165766" cy="3443844"/>
            <wp:effectExtent l="0" t="0" r="0" b="0"/>
            <wp:docPr id="3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97900" w:rsidRDefault="00D97900">
      <w:pPr>
        <w:rPr>
          <w:rFonts w:ascii="Calibri" w:hAnsi="Calibri" w:cs="Arial"/>
          <w:i/>
          <w:color w:val="0070C0"/>
          <w:u w:val="single"/>
        </w:rPr>
      </w:pPr>
      <w:r>
        <w:rPr>
          <w:rFonts w:ascii="Calibri" w:hAnsi="Calibri" w:cs="Arial"/>
          <w:i/>
          <w:color w:val="0070C0"/>
          <w:u w:val="single"/>
        </w:rPr>
        <w:br w:type="page"/>
      </w:r>
    </w:p>
    <w:p w:rsidR="00B038C0" w:rsidRDefault="000251CB" w:rsidP="000251CB">
      <w:pPr>
        <w:pStyle w:val="ListParagraph"/>
        <w:rPr>
          <w:rFonts w:ascii="Calibri" w:hAnsi="Calibri" w:cs="Arial"/>
          <w:color w:val="0070C0"/>
        </w:rPr>
      </w:pPr>
      <w:r w:rsidRPr="00B038C0">
        <w:rPr>
          <w:rFonts w:ascii="Calibri" w:hAnsi="Calibri" w:cs="Arial"/>
          <w:i/>
          <w:color w:val="0070C0"/>
          <w:u w:val="single"/>
        </w:rPr>
        <w:lastRenderedPageBreak/>
        <w:t>Chart 1</w:t>
      </w:r>
      <w:r>
        <w:rPr>
          <w:rFonts w:ascii="Calibri" w:hAnsi="Calibri" w:cs="Arial"/>
          <w:i/>
          <w:color w:val="0070C0"/>
          <w:u w:val="single"/>
        </w:rPr>
        <w:t>4</w:t>
      </w:r>
    </w:p>
    <w:p w:rsidR="00BB1508" w:rsidRDefault="0018134B" w:rsidP="00D97900">
      <w:pPr>
        <w:pStyle w:val="ListParagraph"/>
        <w:ind w:left="0"/>
        <w:jc w:val="center"/>
        <w:rPr>
          <w:rFonts w:ascii="Calibri" w:hAnsi="Calibri" w:cs="Arial"/>
          <w:i/>
          <w:color w:val="0070C0"/>
          <w:u w:val="single"/>
        </w:rPr>
      </w:pPr>
      <w:r w:rsidRPr="0018134B">
        <w:rPr>
          <w:rFonts w:ascii="Calibri" w:hAnsi="Calibri" w:cs="Arial"/>
          <w:b/>
          <w:bCs/>
          <w:noProof/>
          <w:color w:val="0070C0"/>
        </w:rPr>
        <w:drawing>
          <wp:inline distT="0" distB="0" distL="0" distR="0">
            <wp:extent cx="5391397" cy="2850078"/>
            <wp:effectExtent l="0" t="0" r="0" b="0"/>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038C0" w:rsidRDefault="00BB1508" w:rsidP="00BB1508">
      <w:pPr>
        <w:pStyle w:val="ListParagraph"/>
        <w:rPr>
          <w:rFonts w:ascii="Calibri" w:hAnsi="Calibri" w:cs="Arial"/>
          <w:color w:val="0070C0"/>
        </w:rPr>
      </w:pPr>
      <w:r w:rsidRPr="00B038C0">
        <w:rPr>
          <w:rFonts w:ascii="Calibri" w:hAnsi="Calibri" w:cs="Arial"/>
          <w:i/>
          <w:color w:val="0070C0"/>
          <w:u w:val="single"/>
        </w:rPr>
        <w:t>Chart 1</w:t>
      </w:r>
      <w:r>
        <w:rPr>
          <w:rFonts w:ascii="Calibri" w:hAnsi="Calibri" w:cs="Arial"/>
          <w:i/>
          <w:color w:val="0070C0"/>
          <w:u w:val="single"/>
        </w:rPr>
        <w:t>5</w:t>
      </w:r>
    </w:p>
    <w:p w:rsidR="004B02F2" w:rsidRDefault="00D71751" w:rsidP="00BB1508">
      <w:pPr>
        <w:jc w:val="center"/>
        <w:rPr>
          <w:rFonts w:ascii="Calibri" w:hAnsi="Calibri" w:cs="Arial"/>
          <w:color w:val="0070C0"/>
        </w:rPr>
      </w:pPr>
      <w:r w:rsidRPr="00D71751">
        <w:rPr>
          <w:rFonts w:ascii="Calibri" w:hAnsi="Calibri" w:cs="Arial"/>
          <w:b/>
          <w:bCs/>
          <w:noProof/>
          <w:color w:val="0070C0"/>
        </w:rPr>
        <w:drawing>
          <wp:inline distT="0" distB="0" distL="0" distR="0">
            <wp:extent cx="5391397" cy="239881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4B02F2">
        <w:rPr>
          <w:rFonts w:ascii="Calibri" w:hAnsi="Calibri" w:cs="Arial"/>
          <w:color w:val="0070C0"/>
        </w:rPr>
        <w:br w:type="page"/>
      </w:r>
    </w:p>
    <w:p w:rsidR="004901E0" w:rsidRDefault="004901E0" w:rsidP="004901E0">
      <w:pPr>
        <w:pStyle w:val="ListParagraph"/>
        <w:ind w:left="0"/>
        <w:rPr>
          <w:rFonts w:ascii="Calibri" w:hAnsi="Calibri" w:cs="Arial"/>
          <w:color w:val="0070C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4901E0" w:rsidTr="004901E0">
        <w:tc>
          <w:tcPr>
            <w:tcW w:w="9689" w:type="dxa"/>
            <w:shd w:val="clear" w:color="auto" w:fill="0070C0"/>
          </w:tcPr>
          <w:p w:rsidR="004901E0" w:rsidRPr="0026092C" w:rsidRDefault="004901E0" w:rsidP="004901E0">
            <w:pPr>
              <w:pStyle w:val="Heading2"/>
            </w:pPr>
            <w:bookmarkStart w:id="19" w:name="_Toc323283999"/>
            <w:r>
              <w:t>Department of Health and Monitor targets</w:t>
            </w:r>
            <w:bookmarkEnd w:id="19"/>
          </w:p>
        </w:tc>
      </w:tr>
    </w:tbl>
    <w:p w:rsidR="004901E0" w:rsidRPr="00500751" w:rsidRDefault="004901E0" w:rsidP="004901E0">
      <w:pPr>
        <w:rPr>
          <w:rFonts w:ascii="Calibri" w:hAnsi="Calibri" w:cs="Arial"/>
          <w:b/>
          <w:u w:val="single"/>
        </w:rPr>
      </w:pPr>
    </w:p>
    <w:p w:rsidR="004901E0" w:rsidRDefault="004901E0" w:rsidP="004901E0">
      <w:pPr>
        <w:rPr>
          <w:rFonts w:ascii="Calibri" w:hAnsi="Calibri" w:cs="Arial"/>
          <w:bCs/>
        </w:rPr>
      </w:pPr>
      <w:r w:rsidRPr="00216E83">
        <w:rPr>
          <w:rFonts w:ascii="Calibri" w:hAnsi="Calibri" w:cs="Arial"/>
          <w:bCs/>
        </w:rPr>
        <w:t xml:space="preserve">Table </w:t>
      </w:r>
      <w:r w:rsidR="00D97900">
        <w:rPr>
          <w:rFonts w:ascii="Calibri" w:hAnsi="Calibri" w:cs="Arial"/>
          <w:bCs/>
        </w:rPr>
        <w:t>5</w:t>
      </w:r>
      <w:r w:rsidRPr="00216E83">
        <w:rPr>
          <w:rFonts w:ascii="Calibri" w:hAnsi="Calibri" w:cs="Arial"/>
          <w:bCs/>
        </w:rPr>
        <w:t xml:space="preserve"> below identifies our levels of attainment against the targets set by the Department of Health and Monitor.</w:t>
      </w:r>
    </w:p>
    <w:p w:rsidR="004901E0" w:rsidRPr="00216E83" w:rsidRDefault="004901E0" w:rsidP="004901E0">
      <w:pPr>
        <w:jc w:val="both"/>
        <w:rPr>
          <w:rFonts w:ascii="Calibri" w:hAnsi="Calibri" w:cs="Arial"/>
        </w:rPr>
      </w:pPr>
    </w:p>
    <w:p w:rsidR="0023741E" w:rsidRPr="00544356" w:rsidRDefault="0023741E" w:rsidP="00DE56CB">
      <w:pPr>
        <w:rPr>
          <w:rFonts w:ascii="Calibri" w:hAnsi="Calibri" w:cs="Arial"/>
          <w:b/>
          <w:bCs/>
          <w:i/>
          <w:color w:val="0070C0"/>
          <w:u w:val="single"/>
        </w:rPr>
      </w:pPr>
      <w:r w:rsidRPr="00544356">
        <w:rPr>
          <w:rFonts w:ascii="Calibri" w:hAnsi="Calibri" w:cs="Arial"/>
          <w:b/>
          <w:bCs/>
          <w:i/>
          <w:color w:val="0070C0"/>
          <w:u w:val="single"/>
        </w:rPr>
        <w:t xml:space="preserve">Table </w:t>
      </w:r>
      <w:r w:rsidR="00D97900">
        <w:rPr>
          <w:rFonts w:ascii="Calibri" w:hAnsi="Calibri" w:cs="Arial"/>
          <w:b/>
          <w:bCs/>
          <w:i/>
          <w:color w:val="0070C0"/>
          <w:u w:val="single"/>
        </w:rPr>
        <w:t>5</w:t>
      </w:r>
    </w:p>
    <w:tbl>
      <w:tblPr>
        <w:tblW w:w="9181" w:type="dxa"/>
        <w:tblLayout w:type="fixed"/>
        <w:tblLook w:val="01E0"/>
      </w:tblPr>
      <w:tblGrid>
        <w:gridCol w:w="4219"/>
        <w:gridCol w:w="1843"/>
        <w:gridCol w:w="1134"/>
        <w:gridCol w:w="1134"/>
        <w:gridCol w:w="851"/>
      </w:tblGrid>
      <w:tr w:rsidR="00500751" w:rsidRPr="00544356" w:rsidTr="004425E9">
        <w:tc>
          <w:tcPr>
            <w:tcW w:w="4219" w:type="dxa"/>
            <w:shd w:val="clear" w:color="auto" w:fill="0070C0"/>
          </w:tcPr>
          <w:p w:rsidR="00500751" w:rsidRPr="006331EE" w:rsidRDefault="00500751" w:rsidP="005946E2">
            <w:pPr>
              <w:rPr>
                <w:rFonts w:ascii="Calibri" w:hAnsi="Calibri" w:cs="Arial"/>
                <w:b/>
                <w:bCs/>
                <w:color w:val="FFFFFF" w:themeColor="background1"/>
              </w:rPr>
            </w:pPr>
            <w:r w:rsidRPr="006331EE">
              <w:rPr>
                <w:rFonts w:ascii="Calibri" w:hAnsi="Calibri" w:cs="Arial"/>
                <w:b/>
                <w:bCs/>
                <w:color w:val="FFFFFF" w:themeColor="background1"/>
              </w:rPr>
              <w:t>Indicator</w:t>
            </w:r>
          </w:p>
        </w:tc>
        <w:tc>
          <w:tcPr>
            <w:tcW w:w="1843" w:type="dxa"/>
            <w:shd w:val="clear" w:color="auto" w:fill="0070C0"/>
          </w:tcPr>
          <w:p w:rsidR="00500751" w:rsidRPr="006331EE" w:rsidRDefault="00500751" w:rsidP="00DE56CB">
            <w:pPr>
              <w:jc w:val="center"/>
              <w:rPr>
                <w:rFonts w:ascii="Calibri" w:hAnsi="Calibri" w:cs="Arial"/>
                <w:b/>
                <w:bCs/>
                <w:color w:val="FFFFFF" w:themeColor="background1"/>
              </w:rPr>
            </w:pPr>
            <w:r w:rsidRPr="006331EE">
              <w:rPr>
                <w:rFonts w:ascii="Calibri" w:hAnsi="Calibri" w:cs="Arial"/>
                <w:b/>
                <w:bCs/>
                <w:color w:val="FFFFFF" w:themeColor="background1"/>
              </w:rPr>
              <w:t>Target</w:t>
            </w:r>
          </w:p>
        </w:tc>
        <w:tc>
          <w:tcPr>
            <w:tcW w:w="1134" w:type="dxa"/>
            <w:shd w:val="clear" w:color="auto" w:fill="0070C0"/>
          </w:tcPr>
          <w:p w:rsidR="00500751" w:rsidRPr="006331EE" w:rsidRDefault="00500751" w:rsidP="00500751">
            <w:pPr>
              <w:jc w:val="center"/>
              <w:rPr>
                <w:rFonts w:ascii="Calibri" w:hAnsi="Calibri" w:cs="Arial"/>
                <w:b/>
                <w:bCs/>
                <w:color w:val="FFFFFF" w:themeColor="background1"/>
              </w:rPr>
            </w:pPr>
            <w:r w:rsidRPr="006331EE">
              <w:rPr>
                <w:rFonts w:ascii="Calibri" w:hAnsi="Calibri" w:cs="Arial"/>
                <w:b/>
                <w:bCs/>
                <w:color w:val="FFFFFF" w:themeColor="background1"/>
              </w:rPr>
              <w:t>2010/11</w:t>
            </w:r>
            <w:r>
              <w:rPr>
                <w:rFonts w:ascii="Calibri" w:hAnsi="Calibri" w:cs="Arial"/>
                <w:b/>
                <w:bCs/>
                <w:color w:val="FFFFFF" w:themeColor="background1"/>
              </w:rPr>
              <w:t xml:space="preserve"> </w:t>
            </w:r>
            <w:r w:rsidRPr="006331EE">
              <w:rPr>
                <w:rFonts w:ascii="Calibri" w:hAnsi="Calibri" w:cs="Arial"/>
                <w:b/>
                <w:bCs/>
                <w:color w:val="FFFFFF" w:themeColor="background1"/>
              </w:rPr>
              <w:t>position</w:t>
            </w:r>
          </w:p>
        </w:tc>
        <w:tc>
          <w:tcPr>
            <w:tcW w:w="1134" w:type="dxa"/>
            <w:shd w:val="clear" w:color="auto" w:fill="0070C0"/>
          </w:tcPr>
          <w:p w:rsidR="00500751" w:rsidRPr="006331EE" w:rsidRDefault="00500751" w:rsidP="005946E2">
            <w:pPr>
              <w:jc w:val="center"/>
              <w:rPr>
                <w:rFonts w:ascii="Calibri" w:hAnsi="Calibri" w:cs="Arial"/>
                <w:b/>
                <w:bCs/>
                <w:color w:val="FFFFFF" w:themeColor="background1"/>
              </w:rPr>
            </w:pPr>
            <w:r>
              <w:rPr>
                <w:rFonts w:ascii="Calibri" w:hAnsi="Calibri" w:cs="Arial"/>
                <w:b/>
                <w:bCs/>
                <w:color w:val="FFFFFF" w:themeColor="background1"/>
              </w:rPr>
              <w:t>2011/12 position</w:t>
            </w:r>
          </w:p>
        </w:tc>
        <w:tc>
          <w:tcPr>
            <w:tcW w:w="851" w:type="dxa"/>
            <w:shd w:val="clear" w:color="auto" w:fill="0070C0"/>
          </w:tcPr>
          <w:p w:rsidR="00500751" w:rsidRPr="006331EE" w:rsidRDefault="00500751" w:rsidP="005946E2">
            <w:pPr>
              <w:jc w:val="center"/>
              <w:rPr>
                <w:rFonts w:ascii="Calibri" w:hAnsi="Calibri" w:cs="Arial"/>
                <w:b/>
                <w:bCs/>
                <w:color w:val="FFFFFF" w:themeColor="background1"/>
              </w:rPr>
            </w:pPr>
            <w:r w:rsidRPr="006331EE">
              <w:rPr>
                <w:rFonts w:ascii="Calibri" w:hAnsi="Calibri" w:cs="Arial"/>
                <w:b/>
                <w:bCs/>
                <w:color w:val="FFFFFF" w:themeColor="background1"/>
              </w:rPr>
              <w:t>RAG Status</w:t>
            </w:r>
          </w:p>
        </w:tc>
      </w:tr>
      <w:tr w:rsidR="00500751" w:rsidRPr="00544356" w:rsidTr="004425E9">
        <w:tc>
          <w:tcPr>
            <w:tcW w:w="4219" w:type="dxa"/>
          </w:tcPr>
          <w:p w:rsidR="00500751" w:rsidRPr="0068076C" w:rsidRDefault="00500751" w:rsidP="00DE56CB">
            <w:pPr>
              <w:rPr>
                <w:rFonts w:ascii="Calibri" w:hAnsi="Calibri" w:cs="Arial"/>
                <w:b/>
                <w:bCs/>
              </w:rPr>
            </w:pPr>
            <w:r w:rsidRPr="0068076C">
              <w:rPr>
                <w:rFonts w:ascii="Calibri" w:hAnsi="Calibri" w:cs="Arial"/>
              </w:rPr>
              <w:t xml:space="preserve">Patients receiving follow-up contact within seven days of discharge  </w:t>
            </w:r>
          </w:p>
        </w:tc>
        <w:tc>
          <w:tcPr>
            <w:tcW w:w="1843" w:type="dxa"/>
          </w:tcPr>
          <w:p w:rsidR="00500751" w:rsidRPr="00052DB7" w:rsidRDefault="00500751" w:rsidP="00DE56CB">
            <w:pPr>
              <w:pStyle w:val="ListParagraph"/>
              <w:autoSpaceDE w:val="0"/>
              <w:autoSpaceDN w:val="0"/>
              <w:adjustRightInd w:val="0"/>
              <w:ind w:left="360"/>
              <w:jc w:val="center"/>
              <w:rPr>
                <w:rFonts w:ascii="Calibri" w:hAnsi="Calibri" w:cs="Arial"/>
              </w:rPr>
            </w:pPr>
            <w:r w:rsidRPr="00052DB7">
              <w:rPr>
                <w:rFonts w:ascii="Calibri" w:hAnsi="Calibri" w:cs="Arial"/>
              </w:rPr>
              <w:t>95%</w:t>
            </w:r>
          </w:p>
          <w:p w:rsidR="00500751" w:rsidRPr="00052DB7" w:rsidRDefault="00500751" w:rsidP="00DE56CB">
            <w:pPr>
              <w:jc w:val="center"/>
              <w:rPr>
                <w:rFonts w:ascii="Calibri" w:hAnsi="Calibri" w:cs="Arial"/>
                <w:b/>
                <w:bCs/>
              </w:rPr>
            </w:pPr>
          </w:p>
        </w:tc>
        <w:tc>
          <w:tcPr>
            <w:tcW w:w="1134" w:type="dxa"/>
          </w:tcPr>
          <w:p w:rsidR="00500751" w:rsidRPr="0068076C" w:rsidRDefault="00500751" w:rsidP="00DE56CB">
            <w:pPr>
              <w:jc w:val="center"/>
              <w:rPr>
                <w:rFonts w:ascii="Calibri" w:hAnsi="Calibri" w:cs="Arial"/>
                <w:b/>
                <w:bCs/>
              </w:rPr>
            </w:pPr>
            <w:r w:rsidRPr="0068076C">
              <w:rPr>
                <w:rFonts w:ascii="Calibri" w:hAnsi="Calibri" w:cs="Arial"/>
              </w:rPr>
              <w:t>95.5%</w:t>
            </w:r>
          </w:p>
        </w:tc>
        <w:tc>
          <w:tcPr>
            <w:tcW w:w="1134" w:type="dxa"/>
          </w:tcPr>
          <w:p w:rsidR="00500751" w:rsidRPr="00441B4B" w:rsidRDefault="001B3B56" w:rsidP="00DE56CB">
            <w:pPr>
              <w:jc w:val="center"/>
              <w:rPr>
                <w:rFonts w:ascii="Calibri" w:hAnsi="Calibri" w:cs="Arial"/>
              </w:rPr>
            </w:pPr>
            <w:r w:rsidRPr="00441B4B">
              <w:rPr>
                <w:rFonts w:ascii="Calibri" w:hAnsi="Calibri" w:cs="Arial"/>
              </w:rPr>
              <w:t>97.7%</w:t>
            </w:r>
          </w:p>
        </w:tc>
        <w:tc>
          <w:tcPr>
            <w:tcW w:w="851" w:type="dxa"/>
          </w:tcPr>
          <w:p w:rsidR="00500751" w:rsidRPr="00544356" w:rsidRDefault="00500751" w:rsidP="00DE56CB">
            <w:pPr>
              <w:jc w:val="center"/>
              <w:rPr>
                <w:rFonts w:ascii="Calibri" w:hAnsi="Calibri" w:cs="Arial"/>
                <w:color w:val="0070C0"/>
              </w:rPr>
            </w:pPr>
          </w:p>
          <w:p w:rsidR="00500751" w:rsidRPr="0068076C" w:rsidRDefault="00500751" w:rsidP="00DE56CB">
            <w:pPr>
              <w:jc w:val="center"/>
              <w:rPr>
                <w:rFonts w:ascii="Wingdings" w:hAnsi="Wingdings" w:cs="Arial"/>
                <w:color w:val="00B050"/>
              </w:rPr>
            </w:pPr>
            <w:r w:rsidRPr="0068076C">
              <w:rPr>
                <w:rFonts w:ascii="Wingdings" w:hAnsi="Wingdings" w:cs="Calibri"/>
                <w:color w:val="00B050"/>
              </w:rPr>
              <w:t></w:t>
            </w:r>
          </w:p>
        </w:tc>
      </w:tr>
      <w:tr w:rsidR="00500751" w:rsidRPr="00544356" w:rsidTr="004425E9">
        <w:tc>
          <w:tcPr>
            <w:tcW w:w="4219" w:type="dxa"/>
            <w:shd w:val="clear" w:color="auto" w:fill="DAEEF3" w:themeFill="accent5" w:themeFillTint="33"/>
          </w:tcPr>
          <w:p w:rsidR="00500751" w:rsidRPr="0068076C" w:rsidRDefault="00500751" w:rsidP="00DE56CB">
            <w:pPr>
              <w:rPr>
                <w:rFonts w:ascii="Calibri" w:hAnsi="Calibri" w:cs="Arial"/>
                <w:b/>
                <w:bCs/>
              </w:rPr>
            </w:pPr>
            <w:r w:rsidRPr="0068076C">
              <w:rPr>
                <w:rFonts w:ascii="Calibri" w:hAnsi="Calibri" w:cs="Arial"/>
              </w:rPr>
              <w:t xml:space="preserve">Patients having formal review within 12 months  </w:t>
            </w:r>
          </w:p>
        </w:tc>
        <w:tc>
          <w:tcPr>
            <w:tcW w:w="1843" w:type="dxa"/>
            <w:shd w:val="clear" w:color="auto" w:fill="DAEEF3" w:themeFill="accent5" w:themeFillTint="33"/>
          </w:tcPr>
          <w:p w:rsidR="00500751" w:rsidRPr="00052DB7" w:rsidRDefault="00500751" w:rsidP="00DE56CB">
            <w:pPr>
              <w:pStyle w:val="ListParagraph"/>
              <w:autoSpaceDE w:val="0"/>
              <w:autoSpaceDN w:val="0"/>
              <w:adjustRightInd w:val="0"/>
              <w:ind w:left="360"/>
              <w:jc w:val="center"/>
              <w:rPr>
                <w:rFonts w:ascii="Calibri" w:hAnsi="Calibri" w:cs="Arial"/>
              </w:rPr>
            </w:pPr>
            <w:r w:rsidRPr="00052DB7">
              <w:rPr>
                <w:rFonts w:ascii="Calibri" w:hAnsi="Calibri" w:cs="Arial"/>
              </w:rPr>
              <w:t>95%</w:t>
            </w:r>
          </w:p>
          <w:p w:rsidR="00500751" w:rsidRPr="00052DB7" w:rsidRDefault="00500751" w:rsidP="00DE56CB">
            <w:pPr>
              <w:rPr>
                <w:rFonts w:ascii="Calibri" w:hAnsi="Calibri" w:cs="Arial"/>
                <w:b/>
                <w:bCs/>
              </w:rPr>
            </w:pPr>
          </w:p>
        </w:tc>
        <w:tc>
          <w:tcPr>
            <w:tcW w:w="1134" w:type="dxa"/>
            <w:shd w:val="clear" w:color="auto" w:fill="DAEEF3" w:themeFill="accent5" w:themeFillTint="33"/>
          </w:tcPr>
          <w:p w:rsidR="00500751" w:rsidRPr="0068076C" w:rsidRDefault="00500751" w:rsidP="00DE56CB">
            <w:pPr>
              <w:jc w:val="center"/>
              <w:rPr>
                <w:rFonts w:ascii="Calibri" w:hAnsi="Calibri" w:cs="Arial"/>
                <w:b/>
                <w:bCs/>
              </w:rPr>
            </w:pPr>
            <w:r w:rsidRPr="0068076C">
              <w:rPr>
                <w:rFonts w:ascii="Calibri" w:hAnsi="Calibri" w:cs="Arial"/>
              </w:rPr>
              <w:t>84.6%</w:t>
            </w:r>
          </w:p>
        </w:tc>
        <w:tc>
          <w:tcPr>
            <w:tcW w:w="1134" w:type="dxa"/>
            <w:shd w:val="clear" w:color="auto" w:fill="DAEEF3" w:themeFill="accent5" w:themeFillTint="33"/>
          </w:tcPr>
          <w:p w:rsidR="00500751" w:rsidRPr="0068076C" w:rsidRDefault="001B3B56" w:rsidP="00DE56CB">
            <w:pPr>
              <w:jc w:val="center"/>
              <w:rPr>
                <w:rFonts w:ascii="Calibri" w:hAnsi="Calibri" w:cs="Arial"/>
              </w:rPr>
            </w:pPr>
            <w:r w:rsidRPr="0068076C">
              <w:rPr>
                <w:rFonts w:ascii="Calibri" w:hAnsi="Calibri" w:cs="Arial"/>
              </w:rPr>
              <w:t>97.7%</w:t>
            </w:r>
          </w:p>
        </w:tc>
        <w:tc>
          <w:tcPr>
            <w:tcW w:w="851" w:type="dxa"/>
            <w:shd w:val="clear" w:color="auto" w:fill="DAEEF3" w:themeFill="accent5" w:themeFillTint="33"/>
          </w:tcPr>
          <w:p w:rsidR="00500751" w:rsidRPr="0068076C" w:rsidRDefault="00500751" w:rsidP="00DE56CB">
            <w:pPr>
              <w:jc w:val="center"/>
              <w:rPr>
                <w:rFonts w:ascii="Calibri" w:hAnsi="Calibri" w:cs="Arial"/>
                <w:color w:val="00B050"/>
              </w:rPr>
            </w:pPr>
          </w:p>
          <w:p w:rsidR="00500751" w:rsidRPr="0068076C" w:rsidRDefault="00500751" w:rsidP="00DE56CB">
            <w:pPr>
              <w:jc w:val="center"/>
              <w:rPr>
                <w:rFonts w:ascii="Calibri" w:hAnsi="Calibri" w:cs="Arial"/>
                <w:color w:val="00B050"/>
              </w:rPr>
            </w:pPr>
            <w:r w:rsidRPr="0068076C">
              <w:rPr>
                <w:rFonts w:ascii="Wingdings" w:hAnsi="Wingdings" w:cs="Calibri"/>
                <w:color w:val="00B050"/>
              </w:rPr>
              <w:t></w:t>
            </w:r>
          </w:p>
        </w:tc>
      </w:tr>
      <w:tr w:rsidR="00500751" w:rsidRPr="00544356" w:rsidTr="004425E9">
        <w:trPr>
          <w:trHeight w:val="537"/>
        </w:trPr>
        <w:tc>
          <w:tcPr>
            <w:tcW w:w="4219" w:type="dxa"/>
          </w:tcPr>
          <w:p w:rsidR="00500751" w:rsidRPr="0068076C" w:rsidRDefault="00500751" w:rsidP="00DE56CB">
            <w:pPr>
              <w:rPr>
                <w:rFonts w:ascii="Calibri" w:hAnsi="Calibri" w:cs="Arial"/>
                <w:b/>
                <w:bCs/>
              </w:rPr>
            </w:pPr>
            <w:r w:rsidRPr="0068076C">
              <w:rPr>
                <w:rFonts w:ascii="Calibri" w:hAnsi="Calibri" w:cs="Arial"/>
              </w:rPr>
              <w:t xml:space="preserve">Minimising mental health delayed transfers of care  </w:t>
            </w:r>
          </w:p>
        </w:tc>
        <w:tc>
          <w:tcPr>
            <w:tcW w:w="1843" w:type="dxa"/>
          </w:tcPr>
          <w:p w:rsidR="00500751" w:rsidRPr="00052DB7" w:rsidRDefault="00500751" w:rsidP="00DE56CB">
            <w:pPr>
              <w:jc w:val="center"/>
              <w:rPr>
                <w:rFonts w:ascii="Calibri" w:hAnsi="Calibri" w:cs="Arial"/>
                <w:b/>
                <w:bCs/>
              </w:rPr>
            </w:pPr>
            <w:r w:rsidRPr="00052DB7">
              <w:rPr>
                <w:rFonts w:ascii="Calibri" w:hAnsi="Calibri" w:cs="Arial"/>
              </w:rPr>
              <w:t>≤7.5</w:t>
            </w:r>
            <w:r w:rsidR="00A51A33">
              <w:rPr>
                <w:rFonts w:ascii="Calibri" w:hAnsi="Calibri" w:cs="Arial"/>
              </w:rPr>
              <w:t>%</w:t>
            </w:r>
          </w:p>
        </w:tc>
        <w:tc>
          <w:tcPr>
            <w:tcW w:w="1134" w:type="dxa"/>
          </w:tcPr>
          <w:p w:rsidR="00500751" w:rsidRPr="0068076C" w:rsidRDefault="00500751" w:rsidP="00DE56CB">
            <w:pPr>
              <w:jc w:val="center"/>
              <w:rPr>
                <w:rFonts w:ascii="Calibri" w:hAnsi="Calibri" w:cs="Arial"/>
                <w:b/>
                <w:bCs/>
              </w:rPr>
            </w:pPr>
            <w:r w:rsidRPr="0068076C">
              <w:rPr>
                <w:rFonts w:ascii="Calibri" w:hAnsi="Calibri" w:cs="Arial"/>
              </w:rPr>
              <w:t>2.5%</w:t>
            </w:r>
          </w:p>
        </w:tc>
        <w:tc>
          <w:tcPr>
            <w:tcW w:w="1134" w:type="dxa"/>
          </w:tcPr>
          <w:p w:rsidR="00500751" w:rsidRPr="0068076C" w:rsidRDefault="001B3B56" w:rsidP="00772169">
            <w:pPr>
              <w:jc w:val="center"/>
              <w:rPr>
                <w:rFonts w:ascii="Calibri" w:hAnsi="Calibri" w:cs="Arial"/>
              </w:rPr>
            </w:pPr>
            <w:r w:rsidRPr="0068076C">
              <w:rPr>
                <w:rFonts w:ascii="Calibri" w:hAnsi="Calibri" w:cs="Arial"/>
              </w:rPr>
              <w:t>4.6</w:t>
            </w:r>
            <w:r w:rsidR="00A51A33">
              <w:rPr>
                <w:rFonts w:ascii="Calibri" w:hAnsi="Calibri" w:cs="Arial"/>
              </w:rPr>
              <w:t>%</w:t>
            </w:r>
          </w:p>
        </w:tc>
        <w:tc>
          <w:tcPr>
            <w:tcW w:w="851" w:type="dxa"/>
          </w:tcPr>
          <w:p w:rsidR="00500751" w:rsidRPr="0068076C" w:rsidRDefault="00500751" w:rsidP="00173500">
            <w:pPr>
              <w:jc w:val="center"/>
              <w:rPr>
                <w:rFonts w:ascii="Wingdings" w:hAnsi="Wingdings" w:cs="Calibri"/>
                <w:color w:val="00B050"/>
              </w:rPr>
            </w:pPr>
          </w:p>
          <w:p w:rsidR="00500751" w:rsidRPr="0068076C" w:rsidRDefault="00500751" w:rsidP="00173500">
            <w:pPr>
              <w:jc w:val="center"/>
              <w:rPr>
                <w:color w:val="00B050"/>
              </w:rPr>
            </w:pPr>
            <w:r w:rsidRPr="0068076C">
              <w:rPr>
                <w:rFonts w:ascii="Wingdings" w:hAnsi="Wingdings" w:cs="Calibri"/>
                <w:color w:val="00B050"/>
              </w:rPr>
              <w:t></w:t>
            </w:r>
          </w:p>
        </w:tc>
      </w:tr>
      <w:tr w:rsidR="00500751" w:rsidRPr="00544356" w:rsidTr="004425E9">
        <w:tc>
          <w:tcPr>
            <w:tcW w:w="4219" w:type="dxa"/>
            <w:shd w:val="clear" w:color="auto" w:fill="DAEEF3" w:themeFill="accent5" w:themeFillTint="33"/>
          </w:tcPr>
          <w:p w:rsidR="00500751" w:rsidRPr="0068076C" w:rsidRDefault="00500751" w:rsidP="00DE56CB">
            <w:pPr>
              <w:rPr>
                <w:rFonts w:ascii="Calibri" w:hAnsi="Calibri" w:cs="Arial"/>
                <w:b/>
                <w:bCs/>
              </w:rPr>
            </w:pPr>
            <w:r w:rsidRPr="0068076C">
              <w:rPr>
                <w:rFonts w:ascii="Calibri" w:hAnsi="Calibri" w:cs="Arial"/>
              </w:rPr>
              <w:t>Admissions to inpatients services had access to crisis resolution home treatment teams</w:t>
            </w:r>
          </w:p>
        </w:tc>
        <w:tc>
          <w:tcPr>
            <w:tcW w:w="1843" w:type="dxa"/>
            <w:shd w:val="clear" w:color="auto" w:fill="DAEEF3" w:themeFill="accent5" w:themeFillTint="33"/>
          </w:tcPr>
          <w:p w:rsidR="00500751" w:rsidRPr="00052DB7" w:rsidRDefault="00500751" w:rsidP="00DE56CB">
            <w:pPr>
              <w:jc w:val="center"/>
              <w:rPr>
                <w:rFonts w:ascii="Calibri" w:hAnsi="Calibri" w:cs="Arial"/>
                <w:b/>
                <w:bCs/>
              </w:rPr>
            </w:pPr>
            <w:r w:rsidRPr="00052DB7">
              <w:rPr>
                <w:rFonts w:ascii="Calibri" w:hAnsi="Calibri" w:cs="Arial"/>
              </w:rPr>
              <w:t>90%</w:t>
            </w:r>
          </w:p>
        </w:tc>
        <w:tc>
          <w:tcPr>
            <w:tcW w:w="1134" w:type="dxa"/>
            <w:shd w:val="clear" w:color="auto" w:fill="DAEEF3" w:themeFill="accent5" w:themeFillTint="33"/>
          </w:tcPr>
          <w:p w:rsidR="00500751" w:rsidRPr="0068076C" w:rsidRDefault="00500751" w:rsidP="00DE56CB">
            <w:pPr>
              <w:jc w:val="center"/>
              <w:rPr>
                <w:rFonts w:ascii="Calibri" w:hAnsi="Calibri" w:cs="Arial"/>
                <w:b/>
                <w:bCs/>
              </w:rPr>
            </w:pPr>
            <w:r w:rsidRPr="0068076C">
              <w:rPr>
                <w:rFonts w:ascii="Calibri" w:hAnsi="Calibri" w:cs="Arial"/>
              </w:rPr>
              <w:t>98.2%</w:t>
            </w:r>
          </w:p>
        </w:tc>
        <w:tc>
          <w:tcPr>
            <w:tcW w:w="1134" w:type="dxa"/>
            <w:shd w:val="clear" w:color="auto" w:fill="DAEEF3" w:themeFill="accent5" w:themeFillTint="33"/>
          </w:tcPr>
          <w:p w:rsidR="00500751" w:rsidRPr="0068076C" w:rsidRDefault="001B3B56" w:rsidP="00173500">
            <w:pPr>
              <w:jc w:val="center"/>
              <w:rPr>
                <w:rFonts w:ascii="Calibri" w:hAnsi="Calibri" w:cs="Arial"/>
              </w:rPr>
            </w:pPr>
            <w:r w:rsidRPr="0068076C">
              <w:rPr>
                <w:rFonts w:ascii="Calibri" w:hAnsi="Calibri" w:cs="Arial"/>
              </w:rPr>
              <w:t>98.7%</w:t>
            </w:r>
          </w:p>
        </w:tc>
        <w:tc>
          <w:tcPr>
            <w:tcW w:w="851" w:type="dxa"/>
            <w:shd w:val="clear" w:color="auto" w:fill="DAEEF3" w:themeFill="accent5" w:themeFillTint="33"/>
          </w:tcPr>
          <w:p w:rsidR="00500751" w:rsidRPr="0068076C" w:rsidRDefault="00500751" w:rsidP="00173500">
            <w:pPr>
              <w:jc w:val="center"/>
              <w:rPr>
                <w:rFonts w:ascii="Wingdings" w:hAnsi="Wingdings" w:cs="Calibri"/>
                <w:color w:val="00B050"/>
              </w:rPr>
            </w:pPr>
          </w:p>
          <w:p w:rsidR="00500751" w:rsidRPr="0068076C" w:rsidRDefault="00500751" w:rsidP="00173500">
            <w:pPr>
              <w:jc w:val="center"/>
              <w:rPr>
                <w:color w:val="00B050"/>
              </w:rPr>
            </w:pPr>
            <w:r w:rsidRPr="0068076C">
              <w:rPr>
                <w:rFonts w:ascii="Wingdings" w:hAnsi="Wingdings" w:cs="Calibri"/>
                <w:color w:val="00B050"/>
              </w:rPr>
              <w:t></w:t>
            </w:r>
          </w:p>
        </w:tc>
      </w:tr>
      <w:tr w:rsidR="00500751" w:rsidRPr="00544356" w:rsidTr="004425E9">
        <w:tc>
          <w:tcPr>
            <w:tcW w:w="4219" w:type="dxa"/>
          </w:tcPr>
          <w:p w:rsidR="00500751" w:rsidRPr="0068076C" w:rsidRDefault="00500751" w:rsidP="00DE56CB">
            <w:pPr>
              <w:rPr>
                <w:rFonts w:ascii="Calibri" w:hAnsi="Calibri" w:cs="Arial"/>
              </w:rPr>
            </w:pPr>
            <w:r w:rsidRPr="0068076C">
              <w:rPr>
                <w:rFonts w:ascii="Calibri" w:hAnsi="Calibri" w:cs="Arial"/>
              </w:rPr>
              <w:t>New psychosis cases  seen by early intervention teams (13)</w:t>
            </w:r>
          </w:p>
        </w:tc>
        <w:tc>
          <w:tcPr>
            <w:tcW w:w="1843" w:type="dxa"/>
          </w:tcPr>
          <w:p w:rsidR="00500751" w:rsidRPr="00052DB7" w:rsidRDefault="00500751" w:rsidP="00DE56CB">
            <w:pPr>
              <w:jc w:val="center"/>
              <w:rPr>
                <w:rFonts w:ascii="Calibri" w:hAnsi="Calibri" w:cs="Arial"/>
              </w:rPr>
            </w:pPr>
            <w:r w:rsidRPr="00052DB7">
              <w:rPr>
                <w:rFonts w:ascii="Calibri" w:hAnsi="Calibri" w:cs="Arial"/>
              </w:rPr>
              <w:t xml:space="preserve">95% </w:t>
            </w:r>
          </w:p>
          <w:p w:rsidR="00500751" w:rsidRPr="00052DB7" w:rsidRDefault="00500751" w:rsidP="00DE56CB">
            <w:pPr>
              <w:jc w:val="center"/>
              <w:rPr>
                <w:rFonts w:ascii="Calibri" w:hAnsi="Calibri" w:cs="Arial"/>
              </w:rPr>
            </w:pPr>
          </w:p>
        </w:tc>
        <w:tc>
          <w:tcPr>
            <w:tcW w:w="1134" w:type="dxa"/>
          </w:tcPr>
          <w:p w:rsidR="00500751" w:rsidRPr="0068076C" w:rsidRDefault="00500751" w:rsidP="00DE56CB">
            <w:pPr>
              <w:jc w:val="center"/>
              <w:rPr>
                <w:rFonts w:ascii="Calibri" w:hAnsi="Calibri" w:cs="Arial"/>
                <w:b/>
                <w:bCs/>
              </w:rPr>
            </w:pPr>
            <w:r w:rsidRPr="0068076C">
              <w:rPr>
                <w:rFonts w:ascii="Calibri" w:hAnsi="Calibri" w:cs="Arial"/>
              </w:rPr>
              <w:t>111.0%</w:t>
            </w:r>
          </w:p>
        </w:tc>
        <w:tc>
          <w:tcPr>
            <w:tcW w:w="1134" w:type="dxa"/>
          </w:tcPr>
          <w:p w:rsidR="00500751" w:rsidRPr="0068076C" w:rsidRDefault="001B3B56" w:rsidP="00173500">
            <w:pPr>
              <w:jc w:val="center"/>
              <w:rPr>
                <w:rFonts w:ascii="Calibri" w:hAnsi="Calibri" w:cs="Arial"/>
              </w:rPr>
            </w:pPr>
            <w:r w:rsidRPr="0068076C">
              <w:rPr>
                <w:rFonts w:ascii="Calibri" w:hAnsi="Calibri" w:cs="Arial"/>
              </w:rPr>
              <w:t>100%</w:t>
            </w:r>
          </w:p>
        </w:tc>
        <w:tc>
          <w:tcPr>
            <w:tcW w:w="851" w:type="dxa"/>
          </w:tcPr>
          <w:p w:rsidR="00500751" w:rsidRPr="0068076C" w:rsidRDefault="00500751" w:rsidP="00173500">
            <w:pPr>
              <w:jc w:val="center"/>
              <w:rPr>
                <w:rFonts w:ascii="Wingdings" w:hAnsi="Wingdings" w:cs="Calibri"/>
                <w:color w:val="00B050"/>
              </w:rPr>
            </w:pPr>
          </w:p>
          <w:p w:rsidR="00500751" w:rsidRPr="0068076C" w:rsidRDefault="00500751" w:rsidP="00173500">
            <w:pPr>
              <w:jc w:val="center"/>
              <w:rPr>
                <w:color w:val="00B050"/>
              </w:rPr>
            </w:pPr>
            <w:r w:rsidRPr="0068076C">
              <w:rPr>
                <w:rFonts w:ascii="Wingdings" w:hAnsi="Wingdings" w:cs="Calibri"/>
                <w:color w:val="00B050"/>
              </w:rPr>
              <w:t></w:t>
            </w:r>
          </w:p>
        </w:tc>
      </w:tr>
      <w:tr w:rsidR="00500751" w:rsidRPr="00544356" w:rsidTr="004425E9">
        <w:tc>
          <w:tcPr>
            <w:tcW w:w="4219" w:type="dxa"/>
            <w:shd w:val="clear" w:color="auto" w:fill="DAEEF3" w:themeFill="accent5" w:themeFillTint="33"/>
          </w:tcPr>
          <w:p w:rsidR="00500751" w:rsidRPr="0068076C" w:rsidRDefault="00500751" w:rsidP="00DE56CB">
            <w:pPr>
              <w:rPr>
                <w:rFonts w:ascii="Calibri" w:hAnsi="Calibri" w:cs="Arial"/>
              </w:rPr>
            </w:pPr>
            <w:r w:rsidRPr="0068076C">
              <w:rPr>
                <w:rFonts w:ascii="Calibri" w:hAnsi="Calibri" w:cs="Arial"/>
              </w:rPr>
              <w:t>Data completeness: identifier information for patients</w:t>
            </w:r>
          </w:p>
        </w:tc>
        <w:tc>
          <w:tcPr>
            <w:tcW w:w="1843" w:type="dxa"/>
            <w:shd w:val="clear" w:color="auto" w:fill="DAEEF3" w:themeFill="accent5" w:themeFillTint="33"/>
          </w:tcPr>
          <w:p w:rsidR="00500751" w:rsidRPr="00052DB7" w:rsidRDefault="00500751" w:rsidP="00DE56CB">
            <w:pPr>
              <w:jc w:val="center"/>
              <w:rPr>
                <w:rFonts w:ascii="Calibri" w:hAnsi="Calibri" w:cs="Arial"/>
              </w:rPr>
            </w:pPr>
            <w:r w:rsidRPr="00052DB7">
              <w:rPr>
                <w:rFonts w:ascii="Calibri" w:hAnsi="Calibri" w:cs="Arial"/>
              </w:rPr>
              <w:t>99%</w:t>
            </w:r>
          </w:p>
        </w:tc>
        <w:tc>
          <w:tcPr>
            <w:tcW w:w="1134" w:type="dxa"/>
            <w:shd w:val="clear" w:color="auto" w:fill="DAEEF3" w:themeFill="accent5" w:themeFillTint="33"/>
          </w:tcPr>
          <w:p w:rsidR="00500751" w:rsidRPr="0068076C" w:rsidRDefault="00500751" w:rsidP="00DE56CB">
            <w:pPr>
              <w:jc w:val="center"/>
              <w:rPr>
                <w:rFonts w:ascii="Calibri" w:hAnsi="Calibri" w:cs="Arial"/>
                <w:b/>
                <w:bCs/>
              </w:rPr>
            </w:pPr>
            <w:r w:rsidRPr="0068076C">
              <w:rPr>
                <w:rFonts w:ascii="Calibri" w:hAnsi="Calibri" w:cs="Arial"/>
              </w:rPr>
              <w:t>99.1%</w:t>
            </w:r>
          </w:p>
        </w:tc>
        <w:tc>
          <w:tcPr>
            <w:tcW w:w="1134" w:type="dxa"/>
            <w:shd w:val="clear" w:color="auto" w:fill="DAEEF3" w:themeFill="accent5" w:themeFillTint="33"/>
          </w:tcPr>
          <w:p w:rsidR="00500751" w:rsidRPr="0068076C" w:rsidRDefault="001B3B56" w:rsidP="00173500">
            <w:pPr>
              <w:jc w:val="center"/>
              <w:rPr>
                <w:rFonts w:ascii="Calibri" w:hAnsi="Calibri" w:cs="Arial"/>
              </w:rPr>
            </w:pPr>
            <w:r w:rsidRPr="0068076C">
              <w:rPr>
                <w:rFonts w:ascii="Calibri" w:hAnsi="Calibri" w:cs="Arial"/>
              </w:rPr>
              <w:t>99.5%</w:t>
            </w:r>
          </w:p>
        </w:tc>
        <w:tc>
          <w:tcPr>
            <w:tcW w:w="851" w:type="dxa"/>
            <w:shd w:val="clear" w:color="auto" w:fill="DAEEF3" w:themeFill="accent5" w:themeFillTint="33"/>
          </w:tcPr>
          <w:p w:rsidR="00500751" w:rsidRPr="0068076C" w:rsidRDefault="00500751" w:rsidP="00173500">
            <w:pPr>
              <w:jc w:val="center"/>
              <w:rPr>
                <w:rFonts w:ascii="Wingdings" w:hAnsi="Wingdings" w:cs="Calibri"/>
                <w:color w:val="00B050"/>
              </w:rPr>
            </w:pPr>
          </w:p>
          <w:p w:rsidR="00500751" w:rsidRPr="0068076C" w:rsidRDefault="00500751" w:rsidP="00173500">
            <w:pPr>
              <w:jc w:val="center"/>
              <w:rPr>
                <w:color w:val="00B050"/>
              </w:rPr>
            </w:pPr>
            <w:r w:rsidRPr="0068076C">
              <w:rPr>
                <w:rFonts w:ascii="Wingdings" w:hAnsi="Wingdings" w:cs="Calibri"/>
                <w:color w:val="00B050"/>
              </w:rPr>
              <w:t></w:t>
            </w:r>
          </w:p>
        </w:tc>
      </w:tr>
      <w:tr w:rsidR="00500751" w:rsidRPr="00544356" w:rsidTr="004425E9">
        <w:tc>
          <w:tcPr>
            <w:tcW w:w="4219" w:type="dxa"/>
          </w:tcPr>
          <w:p w:rsidR="00500751" w:rsidRPr="0068076C" w:rsidRDefault="00500751" w:rsidP="00F436C8">
            <w:pPr>
              <w:rPr>
                <w:rFonts w:ascii="Calibri" w:hAnsi="Calibri" w:cs="Arial"/>
              </w:rPr>
            </w:pPr>
            <w:r w:rsidRPr="0068076C">
              <w:rPr>
                <w:rFonts w:ascii="Calibri" w:hAnsi="Calibri" w:cs="Arial"/>
              </w:rPr>
              <w:t>Data completeness: outcomes for patients</w:t>
            </w:r>
          </w:p>
        </w:tc>
        <w:tc>
          <w:tcPr>
            <w:tcW w:w="1843" w:type="dxa"/>
          </w:tcPr>
          <w:p w:rsidR="00500751" w:rsidRPr="00052DB7" w:rsidRDefault="00500751" w:rsidP="00D94F0C">
            <w:pPr>
              <w:jc w:val="center"/>
              <w:rPr>
                <w:rFonts w:ascii="Calibri" w:hAnsi="Calibri" w:cs="Arial"/>
              </w:rPr>
            </w:pPr>
            <w:r w:rsidRPr="00052DB7">
              <w:rPr>
                <w:rFonts w:ascii="Calibri" w:hAnsi="Calibri" w:cs="Arial"/>
              </w:rPr>
              <w:t xml:space="preserve">50% </w:t>
            </w:r>
          </w:p>
        </w:tc>
        <w:tc>
          <w:tcPr>
            <w:tcW w:w="1134" w:type="dxa"/>
          </w:tcPr>
          <w:p w:rsidR="00500751" w:rsidRPr="0068076C" w:rsidRDefault="00500751" w:rsidP="00DE56CB">
            <w:pPr>
              <w:jc w:val="center"/>
              <w:rPr>
                <w:rFonts w:ascii="Calibri" w:hAnsi="Calibri" w:cs="Arial"/>
                <w:b/>
                <w:bCs/>
              </w:rPr>
            </w:pPr>
            <w:r w:rsidRPr="0068076C">
              <w:rPr>
                <w:rFonts w:ascii="Calibri" w:hAnsi="Calibri" w:cs="Arial"/>
              </w:rPr>
              <w:t>67.6%</w:t>
            </w:r>
          </w:p>
        </w:tc>
        <w:tc>
          <w:tcPr>
            <w:tcW w:w="1134" w:type="dxa"/>
          </w:tcPr>
          <w:p w:rsidR="00500751" w:rsidRPr="0068076C" w:rsidRDefault="00465932" w:rsidP="00173500">
            <w:pPr>
              <w:jc w:val="center"/>
              <w:rPr>
                <w:rFonts w:ascii="Calibri" w:hAnsi="Calibri" w:cs="Arial"/>
              </w:rPr>
            </w:pPr>
            <w:r>
              <w:rPr>
                <w:rFonts w:ascii="Calibri" w:hAnsi="Calibri" w:cs="Arial"/>
              </w:rPr>
              <w:t>83.1%</w:t>
            </w:r>
          </w:p>
        </w:tc>
        <w:tc>
          <w:tcPr>
            <w:tcW w:w="851" w:type="dxa"/>
          </w:tcPr>
          <w:p w:rsidR="00500751" w:rsidRPr="0068076C" w:rsidRDefault="00500751" w:rsidP="00173500">
            <w:pPr>
              <w:jc w:val="center"/>
              <w:rPr>
                <w:rFonts w:ascii="Wingdings" w:hAnsi="Wingdings" w:cs="Calibri"/>
                <w:color w:val="00B050"/>
              </w:rPr>
            </w:pPr>
          </w:p>
          <w:p w:rsidR="00500751" w:rsidRPr="0068076C" w:rsidRDefault="00500751" w:rsidP="00173500">
            <w:pPr>
              <w:jc w:val="center"/>
              <w:rPr>
                <w:color w:val="00B050"/>
              </w:rPr>
            </w:pPr>
            <w:r w:rsidRPr="0068076C">
              <w:rPr>
                <w:rFonts w:ascii="Wingdings" w:hAnsi="Wingdings" w:cs="Calibri"/>
                <w:color w:val="00B050"/>
              </w:rPr>
              <w:t></w:t>
            </w:r>
          </w:p>
        </w:tc>
      </w:tr>
      <w:tr w:rsidR="00500751" w:rsidRPr="00544356" w:rsidTr="004425E9">
        <w:trPr>
          <w:trHeight w:val="1105"/>
        </w:trPr>
        <w:tc>
          <w:tcPr>
            <w:tcW w:w="4219" w:type="dxa"/>
            <w:shd w:val="clear" w:color="auto" w:fill="DAEEF3" w:themeFill="accent5" w:themeFillTint="33"/>
          </w:tcPr>
          <w:p w:rsidR="00500751" w:rsidRPr="00F92E57" w:rsidRDefault="00500751" w:rsidP="00F436C8">
            <w:pPr>
              <w:autoSpaceDE w:val="0"/>
              <w:autoSpaceDN w:val="0"/>
              <w:adjustRightInd w:val="0"/>
              <w:rPr>
                <w:rFonts w:ascii="Calibri" w:hAnsi="Calibri" w:cs="Arial"/>
              </w:rPr>
            </w:pPr>
            <w:r w:rsidRPr="00F92E57">
              <w:rPr>
                <w:rFonts w:ascii="Calibri" w:hAnsi="Calibri" w:cs="Arial"/>
              </w:rPr>
              <w:t>Access to healthcare for people with a learning disability</w:t>
            </w:r>
          </w:p>
        </w:tc>
        <w:tc>
          <w:tcPr>
            <w:tcW w:w="1843" w:type="dxa"/>
            <w:shd w:val="clear" w:color="auto" w:fill="DAEEF3" w:themeFill="accent5" w:themeFillTint="33"/>
          </w:tcPr>
          <w:p w:rsidR="00500751" w:rsidRPr="00052DB7" w:rsidRDefault="00500751" w:rsidP="00772169">
            <w:pPr>
              <w:autoSpaceDE w:val="0"/>
              <w:autoSpaceDN w:val="0"/>
              <w:adjustRightInd w:val="0"/>
              <w:ind w:left="-108" w:right="-249"/>
              <w:jc w:val="center"/>
              <w:rPr>
                <w:rFonts w:ascii="Calibri" w:hAnsi="Calibri" w:cs="Arial"/>
              </w:rPr>
            </w:pPr>
            <w:r w:rsidRPr="00052DB7">
              <w:rPr>
                <w:rFonts w:ascii="Calibri" w:hAnsi="Calibri" w:cs="Arial"/>
              </w:rPr>
              <w:t>6 standards</w:t>
            </w:r>
            <w:r w:rsidR="00772169">
              <w:rPr>
                <w:rFonts w:ascii="Calibri" w:hAnsi="Calibri" w:cs="Arial"/>
              </w:rPr>
              <w:t>:</w:t>
            </w:r>
          </w:p>
          <w:p w:rsidR="00500751" w:rsidRPr="00052DB7" w:rsidRDefault="00500751" w:rsidP="00772169">
            <w:pPr>
              <w:autoSpaceDE w:val="0"/>
              <w:autoSpaceDN w:val="0"/>
              <w:adjustRightInd w:val="0"/>
              <w:ind w:left="-108" w:right="-249"/>
              <w:jc w:val="center"/>
              <w:rPr>
                <w:rFonts w:ascii="Calibri" w:hAnsi="Calibri" w:cs="Arial"/>
              </w:rPr>
            </w:pPr>
            <w:r w:rsidRPr="00052DB7">
              <w:rPr>
                <w:rFonts w:ascii="Calibri" w:hAnsi="Calibri" w:cs="Arial"/>
              </w:rPr>
              <w:t>Rated 1-4</w:t>
            </w:r>
          </w:p>
          <w:p w:rsidR="00500751" w:rsidRPr="00052DB7" w:rsidRDefault="00500751" w:rsidP="00772169">
            <w:pPr>
              <w:autoSpaceDE w:val="0"/>
              <w:autoSpaceDN w:val="0"/>
              <w:adjustRightInd w:val="0"/>
              <w:ind w:left="-108" w:right="-249"/>
              <w:jc w:val="center"/>
              <w:rPr>
                <w:rFonts w:ascii="Calibri" w:hAnsi="Calibri" w:cs="Arial"/>
              </w:rPr>
            </w:pPr>
            <w:r w:rsidRPr="00052DB7">
              <w:rPr>
                <w:rFonts w:ascii="Calibri" w:hAnsi="Calibri" w:cs="Arial"/>
              </w:rPr>
              <w:t>Max score</w:t>
            </w:r>
            <w:r w:rsidR="00F92E57" w:rsidRPr="00052DB7">
              <w:rPr>
                <w:rFonts w:ascii="Calibri" w:hAnsi="Calibri" w:cs="Arial"/>
              </w:rPr>
              <w:t>:</w:t>
            </w:r>
            <w:r w:rsidRPr="00052DB7">
              <w:rPr>
                <w:rFonts w:ascii="Calibri" w:hAnsi="Calibri" w:cs="Arial"/>
              </w:rPr>
              <w:t xml:space="preserve"> 24</w:t>
            </w:r>
          </w:p>
        </w:tc>
        <w:tc>
          <w:tcPr>
            <w:tcW w:w="1134" w:type="dxa"/>
            <w:shd w:val="clear" w:color="auto" w:fill="DAEEF3" w:themeFill="accent5" w:themeFillTint="33"/>
          </w:tcPr>
          <w:p w:rsidR="00500751" w:rsidRPr="007A7F15" w:rsidRDefault="00500751" w:rsidP="00D94F0C">
            <w:pPr>
              <w:autoSpaceDE w:val="0"/>
              <w:autoSpaceDN w:val="0"/>
              <w:adjustRightInd w:val="0"/>
              <w:jc w:val="center"/>
              <w:rPr>
                <w:rFonts w:ascii="Calibri" w:hAnsi="Calibri" w:cs="Arial"/>
              </w:rPr>
            </w:pPr>
            <w:r w:rsidRPr="007A7F15">
              <w:rPr>
                <w:rFonts w:ascii="Calibri" w:hAnsi="Calibri" w:cs="Arial"/>
              </w:rPr>
              <w:t>19</w:t>
            </w:r>
          </w:p>
        </w:tc>
        <w:tc>
          <w:tcPr>
            <w:tcW w:w="1134" w:type="dxa"/>
            <w:shd w:val="clear" w:color="auto" w:fill="DAEEF3" w:themeFill="accent5" w:themeFillTint="33"/>
          </w:tcPr>
          <w:p w:rsidR="00500751" w:rsidRPr="00F92E57" w:rsidRDefault="00F92E57" w:rsidP="00D94F0C">
            <w:pPr>
              <w:autoSpaceDE w:val="0"/>
              <w:autoSpaceDN w:val="0"/>
              <w:adjustRightInd w:val="0"/>
              <w:jc w:val="center"/>
              <w:rPr>
                <w:rFonts w:ascii="Calibri" w:hAnsi="Calibri" w:cs="Arial"/>
              </w:rPr>
            </w:pPr>
            <w:r w:rsidRPr="00F92E57">
              <w:rPr>
                <w:rFonts w:ascii="Calibri" w:hAnsi="Calibri" w:cs="Arial"/>
                <w:highlight w:val="yellow"/>
              </w:rPr>
              <w:t>TBA</w:t>
            </w:r>
          </w:p>
        </w:tc>
        <w:tc>
          <w:tcPr>
            <w:tcW w:w="851" w:type="dxa"/>
            <w:shd w:val="clear" w:color="auto" w:fill="DAEEF3" w:themeFill="accent5" w:themeFillTint="33"/>
          </w:tcPr>
          <w:p w:rsidR="00500751" w:rsidRPr="0068076C" w:rsidRDefault="00500751" w:rsidP="00D94F0C">
            <w:pPr>
              <w:autoSpaceDE w:val="0"/>
              <w:autoSpaceDN w:val="0"/>
              <w:adjustRightInd w:val="0"/>
              <w:jc w:val="center"/>
              <w:rPr>
                <w:rFonts w:ascii="Calibri" w:hAnsi="Calibri" w:cs="Arial"/>
              </w:rPr>
            </w:pPr>
            <w:r w:rsidRPr="0068076C">
              <w:rPr>
                <w:rFonts w:ascii="Calibri" w:hAnsi="Calibri" w:cs="Arial"/>
              </w:rPr>
              <w:t>n/a</w:t>
            </w:r>
          </w:p>
        </w:tc>
      </w:tr>
    </w:tbl>
    <w:p w:rsidR="00102A57" w:rsidRDefault="00102A57" w:rsidP="00102A57">
      <w:pPr>
        <w:rPr>
          <w:rFonts w:ascii="Calibri" w:hAnsi="Calibri" w:cs="Arial"/>
          <w:b/>
          <w:bCs/>
          <w:color w:val="0070C0"/>
        </w:rPr>
      </w:pPr>
    </w:p>
    <w:p w:rsidR="00846919" w:rsidRDefault="00846919" w:rsidP="00102A57">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102A57" w:rsidTr="00102A57">
        <w:tc>
          <w:tcPr>
            <w:tcW w:w="9689" w:type="dxa"/>
            <w:shd w:val="clear" w:color="auto" w:fill="0070C0"/>
          </w:tcPr>
          <w:p w:rsidR="00102A57" w:rsidRPr="0026092C" w:rsidRDefault="00102A57" w:rsidP="00102A57">
            <w:pPr>
              <w:pStyle w:val="Heading2"/>
            </w:pPr>
            <w:bookmarkStart w:id="20" w:name="_Toc323284000"/>
            <w:r>
              <w:t>Quality Risk Profile</w:t>
            </w:r>
            <w:bookmarkEnd w:id="20"/>
          </w:p>
        </w:tc>
      </w:tr>
    </w:tbl>
    <w:p w:rsidR="0055289C" w:rsidRPr="00B57559" w:rsidRDefault="0055289C" w:rsidP="0055289C">
      <w:pPr>
        <w:rPr>
          <w:rFonts w:ascii="Calibri" w:hAnsi="Calibri" w:cs="Arial"/>
          <w:b/>
          <w:bCs/>
        </w:rPr>
      </w:pPr>
    </w:p>
    <w:p w:rsidR="0055289C" w:rsidRPr="00B57559" w:rsidRDefault="0055289C" w:rsidP="0055289C">
      <w:pPr>
        <w:autoSpaceDE w:val="0"/>
        <w:autoSpaceDN w:val="0"/>
        <w:adjustRightInd w:val="0"/>
        <w:rPr>
          <w:rFonts w:ascii="Arial" w:hAnsi="Arial" w:cs="Arial"/>
          <w:noProof/>
        </w:rPr>
      </w:pPr>
      <w:r w:rsidRPr="00B57559">
        <w:rPr>
          <w:rFonts w:ascii="Calibri" w:hAnsi="Calibri" w:cs="ArialMT"/>
        </w:rPr>
        <w:t xml:space="preserve">The CQC produces a Quality Risk Profile (QRP) for all organisations who are registered with the CQC. It is seen as an essential tool for gathering key information about organisations, and assists the CQC to monitor how we are complying with the essential standards by identifying any risks. The CQC’s risk rating scale detailed below goes from reducing risk of non-compliance (green) </w:t>
      </w:r>
      <w:r w:rsidRPr="00B57559">
        <w:rPr>
          <w:rFonts w:ascii="Calibri" w:hAnsi="Calibri" w:cs="Arial"/>
        </w:rPr>
        <w:t>to increasing risk of non-compliance (red).</w:t>
      </w:r>
      <w:r w:rsidRPr="00B57559">
        <w:rPr>
          <w:rFonts w:ascii="Arial" w:hAnsi="Arial" w:cs="Arial"/>
          <w:noProof/>
        </w:rPr>
        <w:t xml:space="preserve"> </w:t>
      </w:r>
    </w:p>
    <w:p w:rsidR="0055289C" w:rsidRPr="00544356" w:rsidRDefault="0055289C" w:rsidP="0055289C">
      <w:pPr>
        <w:autoSpaceDE w:val="0"/>
        <w:autoSpaceDN w:val="0"/>
        <w:adjustRightInd w:val="0"/>
        <w:rPr>
          <w:rFonts w:ascii="Calibri" w:hAnsi="Calibri" w:cs="ArialMT"/>
          <w:color w:val="0070C0"/>
        </w:rPr>
      </w:pPr>
    </w:p>
    <w:p w:rsidR="0055289C" w:rsidRPr="00B57559" w:rsidRDefault="0055289C" w:rsidP="0055289C">
      <w:pPr>
        <w:autoSpaceDE w:val="0"/>
        <w:autoSpaceDN w:val="0"/>
        <w:adjustRightInd w:val="0"/>
        <w:rPr>
          <w:rFonts w:ascii="Calibri" w:hAnsi="Calibri" w:cs="ArialMT"/>
        </w:rPr>
      </w:pPr>
      <w:r w:rsidRPr="00B57559">
        <w:rPr>
          <w:rFonts w:ascii="Calibri" w:hAnsi="Calibri" w:cs="ArialMT"/>
        </w:rPr>
        <w:t xml:space="preserve">The QRP also assists us as an organisation to identify where our performance may be lower than average. This enables us to focus on these issues and to take relevant actions in these key areas. </w:t>
      </w:r>
    </w:p>
    <w:p w:rsidR="0055289C" w:rsidRPr="00B57559" w:rsidRDefault="0055289C" w:rsidP="0055289C">
      <w:pPr>
        <w:autoSpaceDE w:val="0"/>
        <w:autoSpaceDN w:val="0"/>
        <w:adjustRightInd w:val="0"/>
        <w:rPr>
          <w:rFonts w:ascii="Calibri" w:hAnsi="Calibri" w:cs="ArialMT"/>
        </w:rPr>
      </w:pPr>
    </w:p>
    <w:p w:rsidR="0055289C" w:rsidRDefault="0055289C" w:rsidP="0055289C">
      <w:pPr>
        <w:rPr>
          <w:rFonts w:ascii="Calibri" w:hAnsi="Calibri" w:cs="Arial"/>
          <w:bCs/>
        </w:rPr>
      </w:pPr>
      <w:r w:rsidRPr="00B57559">
        <w:rPr>
          <w:rFonts w:ascii="Calibri" w:hAnsi="Calibri" w:cs="Arial"/>
          <w:bCs/>
        </w:rPr>
        <w:t>The most recent QRP (March 201</w:t>
      </w:r>
      <w:r w:rsidR="00B57559">
        <w:rPr>
          <w:rFonts w:ascii="Calibri" w:hAnsi="Calibri" w:cs="Arial"/>
          <w:bCs/>
        </w:rPr>
        <w:t>2</w:t>
      </w:r>
      <w:r w:rsidR="00B43400">
        <w:rPr>
          <w:rFonts w:ascii="Calibri" w:hAnsi="Calibri" w:cs="Arial"/>
          <w:bCs/>
        </w:rPr>
        <w:t>)</w:t>
      </w:r>
      <w:r w:rsidRPr="00B57559">
        <w:rPr>
          <w:rFonts w:ascii="Calibri" w:hAnsi="Calibri" w:cs="Arial"/>
          <w:bCs/>
        </w:rPr>
        <w:t xml:space="preserve"> </w:t>
      </w:r>
      <w:r w:rsidR="00B43400">
        <w:rPr>
          <w:rFonts w:ascii="Calibri" w:hAnsi="Calibri" w:cs="Arial"/>
          <w:bCs/>
        </w:rPr>
        <w:t xml:space="preserve">showed that the position has shifted to one </w:t>
      </w:r>
      <w:r w:rsidR="00A3444F">
        <w:rPr>
          <w:rFonts w:ascii="Calibri" w:hAnsi="Calibri" w:cs="Arial"/>
          <w:bCs/>
        </w:rPr>
        <w:t xml:space="preserve">where a lot of the information that CQC were using to evaluate us has “expired” and no equivalent data has replaced it.  This means that </w:t>
      </w:r>
      <w:r w:rsidR="00097DA9">
        <w:rPr>
          <w:rFonts w:ascii="Calibri" w:hAnsi="Calibri" w:cs="Arial"/>
          <w:bCs/>
        </w:rPr>
        <w:t>10</w:t>
      </w:r>
      <w:r w:rsidR="00A3444F">
        <w:rPr>
          <w:rFonts w:ascii="Calibri" w:hAnsi="Calibri" w:cs="Arial"/>
          <w:bCs/>
        </w:rPr>
        <w:t xml:space="preserve"> of the outcomes are rated </w:t>
      </w:r>
      <w:r w:rsidR="00097DA9">
        <w:rPr>
          <w:rFonts w:ascii="Calibri" w:hAnsi="Calibri" w:cs="Arial"/>
          <w:bCs/>
        </w:rPr>
        <w:t xml:space="preserve">as </w:t>
      </w:r>
      <w:r w:rsidR="00A3444F">
        <w:rPr>
          <w:rFonts w:ascii="Calibri" w:hAnsi="Calibri" w:cs="Arial"/>
          <w:bCs/>
        </w:rPr>
        <w:t xml:space="preserve">No Data or </w:t>
      </w:r>
      <w:r w:rsidR="00097DA9">
        <w:rPr>
          <w:rFonts w:ascii="Calibri" w:hAnsi="Calibri" w:cs="Arial"/>
          <w:bCs/>
        </w:rPr>
        <w:t>Insufficient Data.  The remaining 6 are judged as low green or low neutral risk.</w:t>
      </w:r>
    </w:p>
    <w:p w:rsidR="00097DA9" w:rsidRDefault="00097DA9" w:rsidP="0055289C">
      <w:pPr>
        <w:rPr>
          <w:rFonts w:ascii="Calibri" w:hAnsi="Calibri" w:cs="Arial"/>
          <w:bCs/>
        </w:rPr>
      </w:pPr>
    </w:p>
    <w:p w:rsidR="00097DA9" w:rsidRDefault="00097DA9" w:rsidP="0055289C">
      <w:pPr>
        <w:rPr>
          <w:rFonts w:ascii="Calibri" w:hAnsi="Calibri" w:cs="Arial"/>
          <w:bCs/>
        </w:rPr>
      </w:pPr>
      <w:r>
        <w:rPr>
          <w:rFonts w:ascii="Calibri" w:hAnsi="Calibri" w:cs="Arial"/>
          <w:bCs/>
        </w:rPr>
        <w:lastRenderedPageBreak/>
        <w:t>The marked leaps into the red risk categories for Outcomes 6 and 7 in January and February 2012 are believed to be an anomaly produced by the CQC assessment mechanism.  This appears to have been amended by March.</w:t>
      </w:r>
    </w:p>
    <w:p w:rsidR="008A1AC5" w:rsidRDefault="008A1AC5" w:rsidP="0055289C">
      <w:pPr>
        <w:rPr>
          <w:rFonts w:ascii="Calibri" w:hAnsi="Calibri" w:cs="Arial"/>
          <w:bCs/>
        </w:rPr>
      </w:pPr>
    </w:p>
    <w:p w:rsidR="00BB1508" w:rsidRDefault="00BB1508" w:rsidP="00BB1508">
      <w:pPr>
        <w:pStyle w:val="ListParagraph"/>
        <w:rPr>
          <w:rFonts w:ascii="Calibri" w:hAnsi="Calibri" w:cs="Arial"/>
          <w:bCs/>
        </w:rPr>
      </w:pPr>
      <w:r w:rsidRPr="00B038C0">
        <w:rPr>
          <w:rFonts w:ascii="Calibri" w:hAnsi="Calibri" w:cs="Arial"/>
          <w:i/>
          <w:color w:val="0070C0"/>
          <w:u w:val="single"/>
        </w:rPr>
        <w:t>Chart 1</w:t>
      </w:r>
      <w:r>
        <w:rPr>
          <w:rFonts w:ascii="Calibri" w:hAnsi="Calibri" w:cs="Arial"/>
          <w:i/>
          <w:color w:val="0070C0"/>
          <w:u w:val="single"/>
        </w:rPr>
        <w:t>6</w:t>
      </w:r>
    </w:p>
    <w:tbl>
      <w:tblPr>
        <w:tblW w:w="9903" w:type="dxa"/>
        <w:tblInd w:w="103" w:type="dxa"/>
        <w:tblLook w:val="00A0"/>
      </w:tblPr>
      <w:tblGrid>
        <w:gridCol w:w="9903"/>
      </w:tblGrid>
      <w:tr w:rsidR="008A1AC5" w:rsidRPr="00190767" w:rsidTr="005147C2">
        <w:trPr>
          <w:trHeight w:val="6555"/>
        </w:trPr>
        <w:tc>
          <w:tcPr>
            <w:tcW w:w="9885" w:type="dxa"/>
          </w:tcPr>
          <w:p w:rsidR="008A1AC5" w:rsidRDefault="008A1AC5" w:rsidP="008A1AC5">
            <w:pPr>
              <w:rPr>
                <w:rFonts w:cs="Arial"/>
                <w:color w:val="002060"/>
                <w:sz w:val="20"/>
                <w:szCs w:val="20"/>
              </w:rPr>
            </w:pPr>
          </w:p>
          <w:p w:rsidR="008A1AC5" w:rsidRPr="00190767" w:rsidRDefault="008A1AC5" w:rsidP="008A1AC5">
            <w:pPr>
              <w:rPr>
                <w:rFonts w:cs="Arial"/>
                <w:color w:val="002060"/>
                <w:sz w:val="20"/>
                <w:szCs w:val="20"/>
              </w:rPr>
            </w:pPr>
            <w:r>
              <w:rPr>
                <w:rFonts w:cs="Arial"/>
                <w:noProof/>
                <w:color w:val="002060"/>
                <w:sz w:val="20"/>
                <w:szCs w:val="20"/>
              </w:rPr>
              <w:drawing>
                <wp:inline distT="0" distB="0" distL="0" distR="0">
                  <wp:extent cx="6115050" cy="31527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6115050" cy="3152775"/>
                          </a:xfrm>
                          <a:prstGeom prst="rect">
                            <a:avLst/>
                          </a:prstGeom>
                          <a:noFill/>
                          <a:ln w="9525">
                            <a:noFill/>
                            <a:miter lim="800000"/>
                            <a:headEnd/>
                            <a:tailEnd/>
                          </a:ln>
                        </pic:spPr>
                      </pic:pic>
                    </a:graphicData>
                  </a:graphic>
                </wp:inline>
              </w:drawing>
            </w:r>
          </w:p>
          <w:p w:rsidR="008A1AC5" w:rsidRPr="00190767" w:rsidRDefault="008A1AC5" w:rsidP="008A1AC5">
            <w:pPr>
              <w:rPr>
                <w:rFonts w:cs="Arial"/>
                <w:color w:val="002060"/>
                <w:sz w:val="20"/>
                <w:szCs w:val="20"/>
              </w:rPr>
            </w:pPr>
          </w:p>
          <w:p w:rsidR="008A1AC5" w:rsidRPr="005147C2" w:rsidRDefault="008A1AC5" w:rsidP="008A1AC5">
            <w:pPr>
              <w:autoSpaceDE w:val="0"/>
              <w:autoSpaceDN w:val="0"/>
              <w:adjustRightInd w:val="0"/>
              <w:rPr>
                <w:rFonts w:ascii="Arial" w:hAnsi="Arial" w:cs="Arial"/>
                <w:color w:val="002060"/>
                <w:sz w:val="20"/>
                <w:szCs w:val="20"/>
              </w:rPr>
            </w:pPr>
            <w:r w:rsidRPr="005147C2">
              <w:rPr>
                <w:rFonts w:ascii="Arial" w:hAnsi="Arial" w:cs="Arial"/>
                <w:color w:val="002060"/>
                <w:sz w:val="20"/>
                <w:szCs w:val="20"/>
              </w:rPr>
              <w:t>Outcome 1: Respecting and involving people who use services</w:t>
            </w:r>
          </w:p>
          <w:p w:rsidR="008A1AC5" w:rsidRPr="005147C2" w:rsidRDefault="008A1AC5" w:rsidP="008A1AC5">
            <w:pPr>
              <w:autoSpaceDE w:val="0"/>
              <w:autoSpaceDN w:val="0"/>
              <w:adjustRightInd w:val="0"/>
              <w:rPr>
                <w:rFonts w:ascii="Arial" w:hAnsi="Arial" w:cs="Arial"/>
                <w:color w:val="002060"/>
                <w:sz w:val="20"/>
                <w:szCs w:val="20"/>
              </w:rPr>
            </w:pPr>
            <w:r w:rsidRPr="005147C2">
              <w:rPr>
                <w:rFonts w:ascii="Arial" w:hAnsi="Arial" w:cs="Arial"/>
                <w:color w:val="002060"/>
                <w:sz w:val="20"/>
                <w:szCs w:val="20"/>
              </w:rPr>
              <w:t>Outcome 2: Consent to care and treatment</w:t>
            </w:r>
          </w:p>
          <w:p w:rsidR="008A1AC5" w:rsidRPr="00097DA9" w:rsidRDefault="008A1AC5" w:rsidP="00097DA9">
            <w:pPr>
              <w:autoSpaceDE w:val="0"/>
              <w:autoSpaceDN w:val="0"/>
              <w:adjustRightInd w:val="0"/>
              <w:rPr>
                <w:rFonts w:cs="Arial"/>
                <w:color w:val="002060"/>
              </w:rPr>
            </w:pPr>
          </w:p>
        </w:tc>
      </w:tr>
      <w:tr w:rsidR="008A1AC5" w:rsidRPr="00190767" w:rsidTr="005147C2">
        <w:trPr>
          <w:trHeight w:val="902"/>
        </w:trPr>
        <w:tc>
          <w:tcPr>
            <w:tcW w:w="9885" w:type="dxa"/>
          </w:tcPr>
          <w:p w:rsidR="008A1AC5" w:rsidRPr="00190767" w:rsidRDefault="008A1AC5" w:rsidP="008A1AC5">
            <w:pPr>
              <w:rPr>
                <w:rFonts w:cs="Arial"/>
                <w:color w:val="002060"/>
                <w:sz w:val="20"/>
                <w:szCs w:val="20"/>
              </w:rPr>
            </w:pPr>
            <w:r>
              <w:rPr>
                <w:rFonts w:cs="Arial"/>
                <w:noProof/>
                <w:color w:val="002060"/>
                <w:sz w:val="20"/>
                <w:szCs w:val="20"/>
              </w:rPr>
              <w:drawing>
                <wp:inline distT="0" distB="0" distL="0" distR="0">
                  <wp:extent cx="6115050" cy="330517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6115050" cy="3305175"/>
                          </a:xfrm>
                          <a:prstGeom prst="rect">
                            <a:avLst/>
                          </a:prstGeom>
                          <a:noFill/>
                          <a:ln w="9525">
                            <a:noFill/>
                            <a:miter lim="800000"/>
                            <a:headEnd/>
                            <a:tailEnd/>
                          </a:ln>
                        </pic:spPr>
                      </pic:pic>
                    </a:graphicData>
                  </a:graphic>
                </wp:inline>
              </w:drawing>
            </w:r>
          </w:p>
          <w:p w:rsidR="008A1AC5" w:rsidRPr="00190767" w:rsidRDefault="008A1AC5" w:rsidP="008A1AC5">
            <w:pPr>
              <w:rPr>
                <w:rFonts w:cs="Arial"/>
                <w:color w:val="002060"/>
                <w:sz w:val="20"/>
                <w:szCs w:val="20"/>
              </w:rPr>
            </w:pPr>
          </w:p>
          <w:p w:rsidR="008A1AC5" w:rsidRPr="005147C2" w:rsidRDefault="008A1AC5" w:rsidP="008A1AC5">
            <w:pPr>
              <w:autoSpaceDE w:val="0"/>
              <w:autoSpaceDN w:val="0"/>
              <w:adjustRightInd w:val="0"/>
              <w:rPr>
                <w:rFonts w:ascii="Arial" w:hAnsi="Arial" w:cs="Arial"/>
                <w:color w:val="002060"/>
                <w:sz w:val="20"/>
                <w:szCs w:val="20"/>
              </w:rPr>
            </w:pPr>
            <w:r w:rsidRPr="005147C2">
              <w:rPr>
                <w:rFonts w:ascii="Arial" w:hAnsi="Arial" w:cs="Arial"/>
                <w:color w:val="002060"/>
                <w:sz w:val="20"/>
                <w:szCs w:val="20"/>
              </w:rPr>
              <w:t xml:space="preserve">Outcome 4: Care and welfare of people who use services </w:t>
            </w:r>
          </w:p>
          <w:p w:rsidR="008A1AC5" w:rsidRPr="005147C2" w:rsidRDefault="008A1AC5" w:rsidP="008A1AC5">
            <w:pPr>
              <w:autoSpaceDE w:val="0"/>
              <w:autoSpaceDN w:val="0"/>
              <w:adjustRightInd w:val="0"/>
              <w:rPr>
                <w:rFonts w:ascii="Arial" w:hAnsi="Arial" w:cs="Arial"/>
                <w:color w:val="002060"/>
                <w:sz w:val="20"/>
                <w:szCs w:val="20"/>
              </w:rPr>
            </w:pPr>
            <w:r w:rsidRPr="005147C2">
              <w:rPr>
                <w:rFonts w:ascii="Arial" w:hAnsi="Arial" w:cs="Arial"/>
                <w:color w:val="002060"/>
                <w:sz w:val="20"/>
                <w:szCs w:val="20"/>
              </w:rPr>
              <w:t xml:space="preserve">Outcome 5: Meeting nutritional needs </w:t>
            </w:r>
          </w:p>
          <w:p w:rsidR="008A1AC5" w:rsidRDefault="008A1AC5" w:rsidP="005147C2">
            <w:pPr>
              <w:autoSpaceDE w:val="0"/>
              <w:autoSpaceDN w:val="0"/>
              <w:adjustRightInd w:val="0"/>
              <w:rPr>
                <w:rFonts w:ascii="Arial" w:hAnsi="Arial" w:cs="Arial"/>
                <w:color w:val="002060"/>
                <w:sz w:val="20"/>
                <w:szCs w:val="20"/>
              </w:rPr>
            </w:pPr>
            <w:r w:rsidRPr="005147C2">
              <w:rPr>
                <w:rFonts w:ascii="Arial" w:hAnsi="Arial" w:cs="Arial"/>
                <w:color w:val="002060"/>
                <w:sz w:val="20"/>
                <w:szCs w:val="20"/>
              </w:rPr>
              <w:lastRenderedPageBreak/>
              <w:t>Outcome 6: Cooperating with other providers</w:t>
            </w:r>
          </w:p>
          <w:p w:rsidR="005147C2" w:rsidRPr="005147C2" w:rsidRDefault="005147C2" w:rsidP="005147C2">
            <w:pPr>
              <w:autoSpaceDE w:val="0"/>
              <w:autoSpaceDN w:val="0"/>
              <w:adjustRightInd w:val="0"/>
              <w:rPr>
                <w:rFonts w:ascii="Arial" w:hAnsi="Arial" w:cs="Arial"/>
                <w:color w:val="002060"/>
                <w:sz w:val="20"/>
                <w:szCs w:val="20"/>
              </w:rPr>
            </w:pPr>
          </w:p>
        </w:tc>
      </w:tr>
      <w:tr w:rsidR="008A1AC5" w:rsidRPr="00190767" w:rsidTr="005147C2">
        <w:trPr>
          <w:trHeight w:val="902"/>
        </w:trPr>
        <w:tc>
          <w:tcPr>
            <w:tcW w:w="9885" w:type="dxa"/>
          </w:tcPr>
          <w:p w:rsidR="008A1AC5" w:rsidRPr="00190767" w:rsidRDefault="008A1AC5" w:rsidP="008A1AC5">
            <w:pPr>
              <w:rPr>
                <w:rFonts w:cs="Arial"/>
                <w:noProof/>
                <w:color w:val="002060"/>
                <w:sz w:val="20"/>
                <w:szCs w:val="20"/>
              </w:rPr>
            </w:pPr>
            <w:r>
              <w:rPr>
                <w:rFonts w:cs="Arial"/>
                <w:noProof/>
                <w:color w:val="002060"/>
                <w:sz w:val="20"/>
                <w:szCs w:val="20"/>
              </w:rPr>
              <w:lastRenderedPageBreak/>
              <w:drawing>
                <wp:inline distT="0" distB="0" distL="0" distR="0">
                  <wp:extent cx="6109335" cy="3567430"/>
                  <wp:effectExtent l="19050" t="0" r="5715"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6109335" cy="3567430"/>
                          </a:xfrm>
                          <a:prstGeom prst="rect">
                            <a:avLst/>
                          </a:prstGeom>
                          <a:noFill/>
                          <a:ln w="9525">
                            <a:noFill/>
                            <a:miter lim="800000"/>
                            <a:headEnd/>
                            <a:tailEnd/>
                          </a:ln>
                        </pic:spPr>
                      </pic:pic>
                    </a:graphicData>
                  </a:graphic>
                </wp:inline>
              </w:drawing>
            </w:r>
          </w:p>
          <w:p w:rsidR="008A1AC5" w:rsidRPr="00190767" w:rsidRDefault="008A1AC5" w:rsidP="008A1AC5">
            <w:pPr>
              <w:rPr>
                <w:rFonts w:cs="Arial"/>
                <w:noProof/>
                <w:color w:val="002060"/>
                <w:sz w:val="20"/>
                <w:szCs w:val="20"/>
              </w:rPr>
            </w:pPr>
          </w:p>
          <w:p w:rsidR="008A1AC5" w:rsidRPr="005147C2" w:rsidRDefault="008A1AC5" w:rsidP="008A1AC5">
            <w:pPr>
              <w:autoSpaceDE w:val="0"/>
              <w:autoSpaceDN w:val="0"/>
              <w:adjustRightInd w:val="0"/>
              <w:rPr>
                <w:rFonts w:ascii="Arial" w:hAnsi="Arial" w:cs="Arial"/>
                <w:color w:val="002060"/>
                <w:sz w:val="20"/>
                <w:szCs w:val="20"/>
              </w:rPr>
            </w:pPr>
            <w:r w:rsidRPr="005147C2">
              <w:rPr>
                <w:rFonts w:ascii="Arial" w:hAnsi="Arial" w:cs="Arial"/>
                <w:color w:val="002060"/>
                <w:sz w:val="20"/>
                <w:szCs w:val="20"/>
              </w:rPr>
              <w:t>Outcome 7:Safeguarding people who use services from abuse</w:t>
            </w:r>
          </w:p>
          <w:p w:rsidR="008A1AC5" w:rsidRPr="005147C2" w:rsidRDefault="008A1AC5" w:rsidP="008A1AC5">
            <w:pPr>
              <w:autoSpaceDE w:val="0"/>
              <w:autoSpaceDN w:val="0"/>
              <w:adjustRightInd w:val="0"/>
              <w:rPr>
                <w:rFonts w:ascii="Arial" w:hAnsi="Arial" w:cs="Arial"/>
                <w:color w:val="002060"/>
                <w:sz w:val="20"/>
                <w:szCs w:val="20"/>
              </w:rPr>
            </w:pPr>
            <w:r w:rsidRPr="005147C2">
              <w:rPr>
                <w:rFonts w:ascii="Arial" w:hAnsi="Arial" w:cs="Arial"/>
                <w:color w:val="002060"/>
                <w:sz w:val="20"/>
                <w:szCs w:val="20"/>
              </w:rPr>
              <w:t>Outcome 8: Cleanliness and infection Control</w:t>
            </w:r>
          </w:p>
          <w:p w:rsidR="008A1AC5" w:rsidRPr="005147C2" w:rsidRDefault="008A1AC5" w:rsidP="008A1AC5">
            <w:pPr>
              <w:rPr>
                <w:rFonts w:ascii="Arial" w:hAnsi="Arial" w:cs="Arial"/>
                <w:color w:val="002060"/>
                <w:sz w:val="20"/>
                <w:szCs w:val="20"/>
              </w:rPr>
            </w:pPr>
            <w:r w:rsidRPr="005147C2">
              <w:rPr>
                <w:rFonts w:ascii="Arial" w:hAnsi="Arial" w:cs="Arial"/>
                <w:color w:val="002060"/>
                <w:sz w:val="20"/>
                <w:szCs w:val="20"/>
              </w:rPr>
              <w:t>Outcome 9: Management of medicines</w:t>
            </w:r>
          </w:p>
          <w:p w:rsidR="008A1AC5" w:rsidRPr="005147C2" w:rsidRDefault="008A1AC5" w:rsidP="008A1AC5">
            <w:pPr>
              <w:autoSpaceDE w:val="0"/>
              <w:autoSpaceDN w:val="0"/>
              <w:adjustRightInd w:val="0"/>
              <w:rPr>
                <w:rFonts w:ascii="Arial" w:hAnsi="Arial" w:cs="Arial"/>
                <w:color w:val="002060"/>
                <w:sz w:val="20"/>
                <w:szCs w:val="20"/>
              </w:rPr>
            </w:pPr>
            <w:r w:rsidRPr="005147C2">
              <w:rPr>
                <w:rFonts w:ascii="Arial" w:hAnsi="Arial" w:cs="Arial"/>
                <w:color w:val="002060"/>
                <w:sz w:val="20"/>
                <w:szCs w:val="20"/>
              </w:rPr>
              <w:t>Outcome 10: Safety and suitability of premises</w:t>
            </w:r>
          </w:p>
          <w:p w:rsidR="008A1AC5" w:rsidRPr="00190767" w:rsidRDefault="008A1AC5" w:rsidP="008A1AC5">
            <w:pPr>
              <w:autoSpaceDE w:val="0"/>
              <w:autoSpaceDN w:val="0"/>
              <w:adjustRightInd w:val="0"/>
              <w:rPr>
                <w:rFonts w:ascii="Arial" w:hAnsi="Arial" w:cs="Arial"/>
                <w:color w:val="002060"/>
                <w:sz w:val="16"/>
                <w:szCs w:val="16"/>
              </w:rPr>
            </w:pPr>
            <w:r w:rsidRPr="005147C2">
              <w:rPr>
                <w:rFonts w:ascii="Arial" w:hAnsi="Arial" w:cs="Arial"/>
                <w:color w:val="002060"/>
                <w:sz w:val="20"/>
                <w:szCs w:val="20"/>
              </w:rPr>
              <w:t>Outcome 11: Safety, availability and suitability of equipment</w:t>
            </w:r>
          </w:p>
          <w:p w:rsidR="008A1AC5" w:rsidRPr="00190767" w:rsidRDefault="008A1AC5" w:rsidP="008A1AC5">
            <w:pPr>
              <w:autoSpaceDE w:val="0"/>
              <w:autoSpaceDN w:val="0"/>
              <w:adjustRightInd w:val="0"/>
              <w:rPr>
                <w:rFonts w:ascii="Arial" w:hAnsi="Arial" w:cs="Arial"/>
                <w:color w:val="002060"/>
                <w:sz w:val="16"/>
                <w:szCs w:val="16"/>
              </w:rPr>
            </w:pPr>
          </w:p>
          <w:p w:rsidR="008A1AC5" w:rsidRPr="00190767" w:rsidRDefault="008A1AC5" w:rsidP="008A1AC5">
            <w:pPr>
              <w:autoSpaceDE w:val="0"/>
              <w:autoSpaceDN w:val="0"/>
              <w:adjustRightInd w:val="0"/>
              <w:rPr>
                <w:rFonts w:cs="Arial"/>
                <w:noProof/>
                <w:color w:val="002060"/>
                <w:sz w:val="20"/>
                <w:szCs w:val="20"/>
              </w:rPr>
            </w:pPr>
          </w:p>
        </w:tc>
      </w:tr>
      <w:tr w:rsidR="008A1AC5" w:rsidRPr="00190767" w:rsidTr="005147C2">
        <w:trPr>
          <w:trHeight w:val="902"/>
        </w:trPr>
        <w:tc>
          <w:tcPr>
            <w:tcW w:w="9885" w:type="dxa"/>
          </w:tcPr>
          <w:p w:rsidR="008A1AC5" w:rsidRPr="00190767" w:rsidRDefault="008A1AC5" w:rsidP="008A1AC5">
            <w:pPr>
              <w:rPr>
                <w:rFonts w:cs="Arial"/>
                <w:noProof/>
                <w:color w:val="002060"/>
                <w:sz w:val="20"/>
                <w:szCs w:val="20"/>
              </w:rPr>
            </w:pPr>
            <w:r>
              <w:rPr>
                <w:rFonts w:cs="Arial"/>
                <w:noProof/>
                <w:color w:val="002060"/>
                <w:sz w:val="20"/>
                <w:szCs w:val="20"/>
              </w:rPr>
              <w:drawing>
                <wp:inline distT="0" distB="0" distL="0" distR="0">
                  <wp:extent cx="6119495" cy="3295650"/>
                  <wp:effectExtent l="19050" t="0" r="0"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6119495" cy="3295650"/>
                          </a:xfrm>
                          <a:prstGeom prst="rect">
                            <a:avLst/>
                          </a:prstGeom>
                          <a:noFill/>
                          <a:ln w="9525">
                            <a:noFill/>
                            <a:miter lim="800000"/>
                            <a:headEnd/>
                            <a:tailEnd/>
                          </a:ln>
                        </pic:spPr>
                      </pic:pic>
                    </a:graphicData>
                  </a:graphic>
                </wp:inline>
              </w:drawing>
            </w:r>
          </w:p>
          <w:p w:rsidR="008A1AC5" w:rsidRPr="00190767" w:rsidRDefault="008A1AC5" w:rsidP="008A1AC5">
            <w:pPr>
              <w:rPr>
                <w:rFonts w:cs="Arial"/>
                <w:noProof/>
                <w:color w:val="002060"/>
                <w:sz w:val="20"/>
                <w:szCs w:val="20"/>
              </w:rPr>
            </w:pPr>
          </w:p>
          <w:p w:rsidR="008A1AC5" w:rsidRPr="005147C2" w:rsidRDefault="008A1AC5" w:rsidP="008A1AC5">
            <w:pPr>
              <w:autoSpaceDE w:val="0"/>
              <w:autoSpaceDN w:val="0"/>
              <w:adjustRightInd w:val="0"/>
              <w:rPr>
                <w:rFonts w:ascii="Arial" w:hAnsi="Arial" w:cs="Arial"/>
                <w:color w:val="002060"/>
                <w:sz w:val="20"/>
                <w:szCs w:val="20"/>
              </w:rPr>
            </w:pPr>
            <w:r w:rsidRPr="005147C2">
              <w:rPr>
                <w:rFonts w:ascii="Arial" w:hAnsi="Arial" w:cs="Arial"/>
                <w:color w:val="002060"/>
                <w:sz w:val="20"/>
                <w:szCs w:val="20"/>
              </w:rPr>
              <w:lastRenderedPageBreak/>
              <w:t>Outcome 12: Requirements relating to Workers</w:t>
            </w:r>
          </w:p>
          <w:p w:rsidR="008A1AC5" w:rsidRPr="005147C2" w:rsidRDefault="008A1AC5" w:rsidP="008A1AC5">
            <w:pPr>
              <w:rPr>
                <w:rFonts w:ascii="Arial" w:hAnsi="Arial" w:cs="Arial"/>
                <w:color w:val="002060"/>
                <w:sz w:val="20"/>
                <w:szCs w:val="20"/>
              </w:rPr>
            </w:pPr>
            <w:r w:rsidRPr="005147C2">
              <w:rPr>
                <w:rFonts w:ascii="Arial" w:hAnsi="Arial" w:cs="Arial"/>
                <w:color w:val="002060"/>
                <w:sz w:val="20"/>
                <w:szCs w:val="20"/>
              </w:rPr>
              <w:t>Outcome 13: Staffing</w:t>
            </w:r>
          </w:p>
          <w:p w:rsidR="008A1AC5" w:rsidRPr="005147C2" w:rsidRDefault="008A1AC5" w:rsidP="008A1AC5">
            <w:pPr>
              <w:rPr>
                <w:rFonts w:ascii="Arial" w:hAnsi="Arial" w:cs="Arial"/>
                <w:color w:val="002060"/>
                <w:sz w:val="20"/>
                <w:szCs w:val="20"/>
              </w:rPr>
            </w:pPr>
            <w:r w:rsidRPr="005147C2">
              <w:rPr>
                <w:rFonts w:ascii="Arial" w:hAnsi="Arial" w:cs="Arial"/>
                <w:color w:val="002060"/>
                <w:sz w:val="20"/>
                <w:szCs w:val="20"/>
              </w:rPr>
              <w:t>Outcome 14: Supporting staff</w:t>
            </w:r>
          </w:p>
          <w:p w:rsidR="008A1AC5" w:rsidRPr="00190767" w:rsidRDefault="008A1AC5" w:rsidP="008A1AC5">
            <w:pPr>
              <w:rPr>
                <w:rFonts w:cs="Arial"/>
                <w:noProof/>
                <w:color w:val="002060"/>
                <w:sz w:val="20"/>
                <w:szCs w:val="20"/>
              </w:rPr>
            </w:pPr>
          </w:p>
        </w:tc>
      </w:tr>
      <w:tr w:rsidR="008A1AC5" w:rsidRPr="00190767" w:rsidTr="005147C2">
        <w:trPr>
          <w:trHeight w:val="902"/>
        </w:trPr>
        <w:tc>
          <w:tcPr>
            <w:tcW w:w="9885" w:type="dxa"/>
          </w:tcPr>
          <w:p w:rsidR="008A1AC5" w:rsidRPr="00190767" w:rsidRDefault="008A1AC5" w:rsidP="008A1AC5">
            <w:pPr>
              <w:rPr>
                <w:rFonts w:cs="Arial"/>
                <w:noProof/>
                <w:color w:val="002060"/>
                <w:sz w:val="20"/>
                <w:szCs w:val="20"/>
              </w:rPr>
            </w:pPr>
            <w:r>
              <w:rPr>
                <w:rFonts w:cs="Arial"/>
                <w:noProof/>
                <w:color w:val="002060"/>
                <w:sz w:val="20"/>
                <w:szCs w:val="20"/>
              </w:rPr>
              <w:lastRenderedPageBreak/>
              <w:drawing>
                <wp:inline distT="0" distB="0" distL="0" distR="0">
                  <wp:extent cx="6119495" cy="3295650"/>
                  <wp:effectExtent l="19050" t="0" r="0"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6119495" cy="3295650"/>
                          </a:xfrm>
                          <a:prstGeom prst="rect">
                            <a:avLst/>
                          </a:prstGeom>
                          <a:noFill/>
                          <a:ln w="9525">
                            <a:noFill/>
                            <a:miter lim="800000"/>
                            <a:headEnd/>
                            <a:tailEnd/>
                          </a:ln>
                        </pic:spPr>
                      </pic:pic>
                    </a:graphicData>
                  </a:graphic>
                </wp:inline>
              </w:drawing>
            </w:r>
          </w:p>
          <w:p w:rsidR="008A1AC5" w:rsidRPr="00190767" w:rsidRDefault="008A1AC5" w:rsidP="008A1AC5">
            <w:pPr>
              <w:rPr>
                <w:rFonts w:cs="Arial"/>
                <w:noProof/>
                <w:color w:val="002060"/>
                <w:sz w:val="20"/>
                <w:szCs w:val="20"/>
              </w:rPr>
            </w:pPr>
          </w:p>
          <w:p w:rsidR="008A1AC5" w:rsidRPr="005147C2" w:rsidRDefault="008A1AC5" w:rsidP="008A1AC5">
            <w:pPr>
              <w:autoSpaceDE w:val="0"/>
              <w:autoSpaceDN w:val="0"/>
              <w:adjustRightInd w:val="0"/>
              <w:rPr>
                <w:rFonts w:ascii="Arial" w:hAnsi="Arial" w:cs="Arial"/>
                <w:color w:val="002060"/>
                <w:sz w:val="20"/>
                <w:szCs w:val="20"/>
              </w:rPr>
            </w:pPr>
            <w:r w:rsidRPr="005147C2">
              <w:rPr>
                <w:rFonts w:ascii="Arial" w:hAnsi="Arial" w:cs="Arial"/>
                <w:color w:val="002060"/>
                <w:sz w:val="20"/>
                <w:szCs w:val="20"/>
              </w:rPr>
              <w:t>Outcome 16: Assessing and monitoring the quality of service provision</w:t>
            </w:r>
          </w:p>
          <w:p w:rsidR="008A1AC5" w:rsidRPr="005147C2" w:rsidRDefault="008A1AC5" w:rsidP="008A1AC5">
            <w:pPr>
              <w:autoSpaceDE w:val="0"/>
              <w:autoSpaceDN w:val="0"/>
              <w:adjustRightInd w:val="0"/>
              <w:rPr>
                <w:rFonts w:ascii="Arial" w:hAnsi="Arial" w:cs="Arial"/>
                <w:color w:val="002060"/>
                <w:sz w:val="20"/>
                <w:szCs w:val="20"/>
              </w:rPr>
            </w:pPr>
            <w:r w:rsidRPr="005147C2">
              <w:rPr>
                <w:rFonts w:ascii="Arial" w:hAnsi="Arial" w:cs="Arial"/>
                <w:color w:val="002060"/>
                <w:sz w:val="20"/>
                <w:szCs w:val="20"/>
              </w:rPr>
              <w:t>Outcome 17: Complaints</w:t>
            </w:r>
          </w:p>
          <w:p w:rsidR="008A1AC5" w:rsidRPr="00190767" w:rsidRDefault="008A1AC5" w:rsidP="008A1AC5">
            <w:pPr>
              <w:autoSpaceDE w:val="0"/>
              <w:autoSpaceDN w:val="0"/>
              <w:adjustRightInd w:val="0"/>
              <w:rPr>
                <w:rFonts w:cs="Arial"/>
                <w:noProof/>
                <w:color w:val="002060"/>
                <w:sz w:val="20"/>
                <w:szCs w:val="20"/>
              </w:rPr>
            </w:pPr>
            <w:r w:rsidRPr="005147C2">
              <w:rPr>
                <w:rFonts w:ascii="Arial" w:hAnsi="Arial" w:cs="Arial"/>
                <w:color w:val="002060"/>
                <w:sz w:val="20"/>
                <w:szCs w:val="20"/>
              </w:rPr>
              <w:t>Outcome 21: Records</w:t>
            </w:r>
          </w:p>
        </w:tc>
      </w:tr>
    </w:tbl>
    <w:p w:rsidR="008A1AC5" w:rsidRPr="00B57559" w:rsidRDefault="008A1AC5" w:rsidP="0055289C">
      <w:pPr>
        <w:rPr>
          <w:rFonts w:ascii="Calibri" w:hAnsi="Calibri" w:cs="Arial"/>
          <w:bCs/>
        </w:rPr>
      </w:pPr>
    </w:p>
    <w:p w:rsidR="0055289C" w:rsidRPr="00544356" w:rsidRDefault="0055289C" w:rsidP="0055289C">
      <w:pPr>
        <w:rPr>
          <w:rFonts w:ascii="Arial" w:hAnsi="Arial" w:cs="Arial"/>
          <w:color w:val="0070C0"/>
        </w:rPr>
      </w:pPr>
    </w:p>
    <w:p w:rsidR="00D70B5D" w:rsidRDefault="00D70B5D" w:rsidP="00D70B5D">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D70B5D" w:rsidTr="00D70B5D">
        <w:tc>
          <w:tcPr>
            <w:tcW w:w="9689" w:type="dxa"/>
            <w:shd w:val="clear" w:color="auto" w:fill="0070C0"/>
          </w:tcPr>
          <w:p w:rsidR="00D70B5D" w:rsidRPr="0026092C" w:rsidRDefault="00D70B5D" w:rsidP="00D70B5D">
            <w:pPr>
              <w:pStyle w:val="Heading2"/>
            </w:pPr>
            <w:bookmarkStart w:id="21" w:name="_Toc323284001"/>
            <w:r>
              <w:t>Community Survey 2011</w:t>
            </w:r>
            <w:bookmarkEnd w:id="21"/>
          </w:p>
        </w:tc>
      </w:tr>
    </w:tbl>
    <w:p w:rsidR="00B53B3B" w:rsidRPr="00FC52F5" w:rsidRDefault="00B53B3B" w:rsidP="00B53B3B">
      <w:pPr>
        <w:rPr>
          <w:rFonts w:ascii="Calibri" w:hAnsi="Calibri" w:cs="Arial"/>
        </w:rPr>
      </w:pPr>
    </w:p>
    <w:p w:rsidR="00B53B3B" w:rsidRPr="00FC52F5" w:rsidRDefault="00B53B3B" w:rsidP="00B53B3B">
      <w:pPr>
        <w:rPr>
          <w:rFonts w:ascii="Calibri" w:hAnsi="Calibri" w:cs="Arial"/>
        </w:rPr>
      </w:pPr>
      <w:r w:rsidRPr="00FC52F5">
        <w:rPr>
          <w:rFonts w:ascii="Calibri" w:hAnsi="Calibri" w:cs="Arial"/>
          <w:highlight w:val="yellow"/>
        </w:rPr>
        <w:t>To be provided</w:t>
      </w:r>
    </w:p>
    <w:p w:rsidR="00B53B3B" w:rsidRPr="00FC52F5" w:rsidRDefault="00B53B3B" w:rsidP="00B53B3B">
      <w:pPr>
        <w:rPr>
          <w:rFonts w:ascii="Calibri" w:hAnsi="Calibri" w:cs="Arial"/>
        </w:rPr>
      </w:pPr>
    </w:p>
    <w:p w:rsidR="00B53B3B" w:rsidRDefault="00B53B3B">
      <w:pPr>
        <w:rPr>
          <w:rFonts w:ascii="Calibri" w:hAnsi="Calibri" w:cs="Arial"/>
          <w:b/>
          <w:sz w:val="22"/>
          <w:szCs w:val="22"/>
          <w:u w:val="single"/>
        </w:rPr>
      </w:pPr>
      <w:r>
        <w:rPr>
          <w:rFonts w:ascii="Calibri" w:hAnsi="Calibri" w:cs="Arial"/>
          <w:b/>
          <w:sz w:val="22"/>
          <w:szCs w:val="22"/>
          <w:u w:val="single"/>
        </w:rPr>
        <w:br w:type="page"/>
      </w:r>
    </w:p>
    <w:p w:rsidR="00D70B5D" w:rsidRDefault="00D70B5D" w:rsidP="00D70B5D">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D70B5D" w:rsidTr="00D70B5D">
        <w:tc>
          <w:tcPr>
            <w:tcW w:w="9689" w:type="dxa"/>
            <w:shd w:val="clear" w:color="auto" w:fill="0070C0"/>
          </w:tcPr>
          <w:p w:rsidR="00D70B5D" w:rsidRPr="0026092C" w:rsidRDefault="00D70B5D" w:rsidP="00D70B5D">
            <w:pPr>
              <w:pStyle w:val="Heading2"/>
            </w:pPr>
            <w:bookmarkStart w:id="22" w:name="_Toc323284002"/>
            <w:r>
              <w:t>PEAT Assessment Results 2011/12</w:t>
            </w:r>
            <w:bookmarkEnd w:id="22"/>
          </w:p>
        </w:tc>
      </w:tr>
    </w:tbl>
    <w:p w:rsidR="00D70B5D" w:rsidRPr="00D432CE" w:rsidRDefault="00D70B5D" w:rsidP="00D432CE">
      <w:pPr>
        <w:autoSpaceDE w:val="0"/>
        <w:autoSpaceDN w:val="0"/>
        <w:adjustRightInd w:val="0"/>
        <w:rPr>
          <w:rFonts w:ascii="Arial" w:hAnsi="Arial" w:cs="Arial"/>
          <w:color w:val="002060"/>
          <w:sz w:val="20"/>
          <w:szCs w:val="20"/>
        </w:rPr>
      </w:pPr>
    </w:p>
    <w:p w:rsidR="005147C2" w:rsidRPr="00F730B1" w:rsidRDefault="00D432CE" w:rsidP="00D432CE">
      <w:pPr>
        <w:autoSpaceDE w:val="0"/>
        <w:autoSpaceDN w:val="0"/>
        <w:adjustRightInd w:val="0"/>
        <w:rPr>
          <w:rFonts w:ascii="Arial" w:hAnsi="Arial" w:cs="Arial"/>
          <w:color w:val="002060"/>
        </w:rPr>
      </w:pPr>
      <w:r w:rsidRPr="00F730B1">
        <w:rPr>
          <w:rFonts w:ascii="Arial" w:hAnsi="Arial" w:cs="Arial"/>
          <w:color w:val="002060"/>
        </w:rPr>
        <w:t xml:space="preserve">Every year, the NPSA assess each of our locations for the quality of the environment, food and for privacy and dignity.  These are known as “PEAT assessments” (Patient Environment Action Team assessments).  Table </w:t>
      </w:r>
      <w:r w:rsidR="00D97900">
        <w:rPr>
          <w:rFonts w:ascii="Arial" w:hAnsi="Arial" w:cs="Arial"/>
          <w:color w:val="002060"/>
        </w:rPr>
        <w:t>6</w:t>
      </w:r>
      <w:r w:rsidR="00613E68">
        <w:rPr>
          <w:rFonts w:ascii="Arial" w:hAnsi="Arial" w:cs="Arial"/>
          <w:color w:val="002060"/>
        </w:rPr>
        <w:t xml:space="preserve"> </w:t>
      </w:r>
      <w:r w:rsidRPr="00F730B1">
        <w:rPr>
          <w:rFonts w:ascii="Arial" w:hAnsi="Arial" w:cs="Arial"/>
          <w:color w:val="002060"/>
        </w:rPr>
        <w:t>below gives a summary of their findings for the 11 main inpatient premises during last year.</w:t>
      </w:r>
    </w:p>
    <w:p w:rsidR="00D432CE" w:rsidRPr="00F730B1" w:rsidRDefault="00D432CE" w:rsidP="00D432CE">
      <w:pPr>
        <w:autoSpaceDE w:val="0"/>
        <w:autoSpaceDN w:val="0"/>
        <w:adjustRightInd w:val="0"/>
        <w:rPr>
          <w:rFonts w:ascii="Arial" w:hAnsi="Arial" w:cs="Arial"/>
          <w:color w:val="002060"/>
        </w:rPr>
      </w:pPr>
    </w:p>
    <w:p w:rsidR="00F730B1" w:rsidRPr="00613E68" w:rsidRDefault="00613E68" w:rsidP="00F730B1">
      <w:pPr>
        <w:rPr>
          <w:rFonts w:ascii="Calibri" w:hAnsi="Calibri" w:cs="Arial"/>
          <w:b/>
          <w:bCs/>
          <w:i/>
          <w:color w:val="0070C0"/>
          <w:u w:val="single"/>
        </w:rPr>
      </w:pPr>
      <w:r w:rsidRPr="00544356">
        <w:rPr>
          <w:rFonts w:ascii="Calibri" w:hAnsi="Calibri" w:cs="Arial"/>
          <w:b/>
          <w:bCs/>
          <w:i/>
          <w:color w:val="0070C0"/>
          <w:u w:val="single"/>
        </w:rPr>
        <w:t xml:space="preserve">Table </w:t>
      </w:r>
      <w:r w:rsidR="00D97900">
        <w:rPr>
          <w:rFonts w:ascii="Calibri" w:hAnsi="Calibri" w:cs="Arial"/>
          <w:b/>
          <w:bCs/>
          <w:i/>
          <w:color w:val="0070C0"/>
          <w:u w:val="single"/>
        </w:rPr>
        <w:t>6</w:t>
      </w:r>
    </w:p>
    <w:tbl>
      <w:tblPr>
        <w:tblStyle w:val="TableGrid"/>
        <w:tblW w:w="9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1417"/>
        <w:gridCol w:w="1418"/>
        <w:gridCol w:w="1134"/>
        <w:gridCol w:w="1134"/>
        <w:gridCol w:w="1276"/>
        <w:gridCol w:w="1255"/>
      </w:tblGrid>
      <w:tr w:rsidR="00F730B1" w:rsidRPr="00394425" w:rsidTr="00F730B1">
        <w:tc>
          <w:tcPr>
            <w:tcW w:w="1526" w:type="dxa"/>
            <w:shd w:val="clear" w:color="auto" w:fill="0070C0"/>
          </w:tcPr>
          <w:p w:rsidR="00F730B1" w:rsidRPr="00F730B1" w:rsidRDefault="00F730B1" w:rsidP="00F730B1">
            <w:pPr>
              <w:rPr>
                <w:rFonts w:asciiTheme="minorHAnsi" w:hAnsiTheme="minorHAnsi" w:cstheme="minorHAnsi"/>
                <w:b/>
                <w:color w:val="FFFFFF" w:themeColor="background1"/>
                <w:sz w:val="22"/>
                <w:szCs w:val="22"/>
              </w:rPr>
            </w:pPr>
            <w:r w:rsidRPr="00F730B1">
              <w:rPr>
                <w:rFonts w:asciiTheme="minorHAnsi" w:hAnsiTheme="minorHAnsi" w:cstheme="minorHAnsi"/>
                <w:b/>
                <w:color w:val="FFFFFF" w:themeColor="background1"/>
                <w:sz w:val="22"/>
                <w:szCs w:val="22"/>
              </w:rPr>
              <w:t>Site</w:t>
            </w:r>
          </w:p>
        </w:tc>
        <w:tc>
          <w:tcPr>
            <w:tcW w:w="1417" w:type="dxa"/>
            <w:shd w:val="clear" w:color="auto" w:fill="0070C0"/>
          </w:tcPr>
          <w:p w:rsidR="00F730B1" w:rsidRPr="00F730B1" w:rsidRDefault="00F730B1" w:rsidP="00F730B1">
            <w:pPr>
              <w:rPr>
                <w:rFonts w:asciiTheme="minorHAnsi" w:hAnsiTheme="minorHAnsi" w:cstheme="minorHAnsi"/>
                <w:b/>
                <w:color w:val="FFFFFF" w:themeColor="background1"/>
                <w:sz w:val="22"/>
                <w:szCs w:val="22"/>
              </w:rPr>
            </w:pPr>
            <w:r w:rsidRPr="00F730B1">
              <w:rPr>
                <w:rFonts w:asciiTheme="minorHAnsi" w:hAnsiTheme="minorHAnsi" w:cstheme="minorHAnsi"/>
                <w:b/>
                <w:color w:val="FFFFFF" w:themeColor="background1"/>
                <w:sz w:val="22"/>
                <w:szCs w:val="22"/>
              </w:rPr>
              <w:t>Expected Environment Score 2012</w:t>
            </w:r>
          </w:p>
        </w:tc>
        <w:tc>
          <w:tcPr>
            <w:tcW w:w="1418" w:type="dxa"/>
            <w:shd w:val="clear" w:color="auto" w:fill="0070C0"/>
          </w:tcPr>
          <w:p w:rsidR="00F730B1" w:rsidRPr="00F730B1" w:rsidRDefault="00F730B1" w:rsidP="00F730B1">
            <w:pPr>
              <w:rPr>
                <w:rFonts w:asciiTheme="minorHAnsi" w:hAnsiTheme="minorHAnsi" w:cstheme="minorHAnsi"/>
                <w:b/>
                <w:color w:val="FFFFFF" w:themeColor="background1"/>
                <w:sz w:val="22"/>
                <w:szCs w:val="22"/>
              </w:rPr>
            </w:pPr>
            <w:r w:rsidRPr="00F730B1">
              <w:rPr>
                <w:rFonts w:asciiTheme="minorHAnsi" w:hAnsiTheme="minorHAnsi" w:cstheme="minorHAnsi"/>
                <w:b/>
                <w:color w:val="FFFFFF" w:themeColor="background1"/>
                <w:sz w:val="22"/>
                <w:szCs w:val="22"/>
              </w:rPr>
              <w:t>2011 Environment Score</w:t>
            </w:r>
          </w:p>
        </w:tc>
        <w:tc>
          <w:tcPr>
            <w:tcW w:w="1134" w:type="dxa"/>
            <w:shd w:val="clear" w:color="auto" w:fill="0070C0"/>
          </w:tcPr>
          <w:p w:rsidR="00F730B1" w:rsidRPr="00F730B1" w:rsidRDefault="00F730B1" w:rsidP="00F730B1">
            <w:pPr>
              <w:rPr>
                <w:rFonts w:asciiTheme="minorHAnsi" w:hAnsiTheme="minorHAnsi" w:cstheme="minorHAnsi"/>
                <w:b/>
                <w:color w:val="FFFFFF" w:themeColor="background1"/>
                <w:sz w:val="22"/>
                <w:szCs w:val="22"/>
              </w:rPr>
            </w:pPr>
            <w:r w:rsidRPr="00F730B1">
              <w:rPr>
                <w:rFonts w:asciiTheme="minorHAnsi" w:hAnsiTheme="minorHAnsi" w:cstheme="minorHAnsi"/>
                <w:b/>
                <w:color w:val="FFFFFF" w:themeColor="background1"/>
                <w:sz w:val="22"/>
                <w:szCs w:val="22"/>
              </w:rPr>
              <w:t>Expected Food Score 2012</w:t>
            </w:r>
          </w:p>
        </w:tc>
        <w:tc>
          <w:tcPr>
            <w:tcW w:w="1134" w:type="dxa"/>
            <w:shd w:val="clear" w:color="auto" w:fill="0070C0"/>
          </w:tcPr>
          <w:p w:rsidR="00F730B1" w:rsidRPr="00F730B1" w:rsidRDefault="00F730B1" w:rsidP="00F730B1">
            <w:pPr>
              <w:rPr>
                <w:rFonts w:asciiTheme="minorHAnsi" w:hAnsiTheme="minorHAnsi" w:cstheme="minorHAnsi"/>
                <w:b/>
                <w:color w:val="FFFFFF" w:themeColor="background1"/>
                <w:sz w:val="22"/>
                <w:szCs w:val="22"/>
              </w:rPr>
            </w:pPr>
            <w:r w:rsidRPr="00F730B1">
              <w:rPr>
                <w:rFonts w:asciiTheme="minorHAnsi" w:hAnsiTheme="minorHAnsi" w:cstheme="minorHAnsi"/>
                <w:b/>
                <w:color w:val="FFFFFF" w:themeColor="background1"/>
                <w:sz w:val="22"/>
                <w:szCs w:val="22"/>
              </w:rPr>
              <w:t>2011 Food Score</w:t>
            </w:r>
          </w:p>
        </w:tc>
        <w:tc>
          <w:tcPr>
            <w:tcW w:w="1276" w:type="dxa"/>
            <w:shd w:val="clear" w:color="auto" w:fill="0070C0"/>
          </w:tcPr>
          <w:p w:rsidR="00F730B1" w:rsidRPr="00F730B1" w:rsidRDefault="00F730B1" w:rsidP="00F730B1">
            <w:pPr>
              <w:rPr>
                <w:rFonts w:asciiTheme="minorHAnsi" w:hAnsiTheme="minorHAnsi" w:cstheme="minorHAnsi"/>
                <w:b/>
                <w:color w:val="FFFFFF" w:themeColor="background1"/>
                <w:sz w:val="22"/>
                <w:szCs w:val="22"/>
              </w:rPr>
            </w:pPr>
            <w:r w:rsidRPr="00F730B1">
              <w:rPr>
                <w:rFonts w:asciiTheme="minorHAnsi" w:hAnsiTheme="minorHAnsi" w:cstheme="minorHAnsi"/>
                <w:b/>
                <w:color w:val="FFFFFF" w:themeColor="background1"/>
                <w:sz w:val="22"/>
                <w:szCs w:val="22"/>
              </w:rPr>
              <w:t>Expected Privacy &amp; Dignity Score 2012</w:t>
            </w:r>
          </w:p>
        </w:tc>
        <w:tc>
          <w:tcPr>
            <w:tcW w:w="1255" w:type="dxa"/>
            <w:shd w:val="clear" w:color="auto" w:fill="0070C0"/>
          </w:tcPr>
          <w:p w:rsidR="00F730B1" w:rsidRPr="00F730B1" w:rsidRDefault="00F730B1" w:rsidP="00F730B1">
            <w:pPr>
              <w:rPr>
                <w:rFonts w:asciiTheme="minorHAnsi" w:hAnsiTheme="minorHAnsi" w:cstheme="minorHAnsi"/>
                <w:b/>
                <w:color w:val="FFFFFF" w:themeColor="background1"/>
                <w:sz w:val="22"/>
                <w:szCs w:val="22"/>
              </w:rPr>
            </w:pPr>
            <w:r w:rsidRPr="00F730B1">
              <w:rPr>
                <w:rFonts w:asciiTheme="minorHAnsi" w:hAnsiTheme="minorHAnsi" w:cstheme="minorHAnsi"/>
                <w:b/>
                <w:color w:val="FFFFFF" w:themeColor="background1"/>
                <w:sz w:val="22"/>
                <w:szCs w:val="22"/>
              </w:rPr>
              <w:t>2011 Privacy &amp; Dignity Score</w:t>
            </w:r>
          </w:p>
        </w:tc>
      </w:tr>
      <w:tr w:rsidR="00F730B1" w:rsidTr="00F730B1">
        <w:tc>
          <w:tcPr>
            <w:tcW w:w="1526"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Fiennes</w:t>
            </w:r>
          </w:p>
        </w:tc>
        <w:tc>
          <w:tcPr>
            <w:tcW w:w="1417"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418"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134"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134"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276"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255"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r>
      <w:tr w:rsidR="00F730B1" w:rsidTr="00F730B1">
        <w:tc>
          <w:tcPr>
            <w:tcW w:w="1526"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Littlemore</w:t>
            </w:r>
          </w:p>
        </w:tc>
        <w:tc>
          <w:tcPr>
            <w:tcW w:w="1417"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418"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134"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134"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276"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255"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r>
      <w:tr w:rsidR="00F730B1" w:rsidTr="00F730B1">
        <w:tc>
          <w:tcPr>
            <w:tcW w:w="1526"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Warneford</w:t>
            </w:r>
          </w:p>
        </w:tc>
        <w:tc>
          <w:tcPr>
            <w:tcW w:w="1417"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418"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134"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134"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276"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ACCEPTABLE</w:t>
            </w:r>
          </w:p>
        </w:tc>
        <w:tc>
          <w:tcPr>
            <w:tcW w:w="1255"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r>
      <w:tr w:rsidR="00F730B1" w:rsidTr="00F730B1">
        <w:tc>
          <w:tcPr>
            <w:tcW w:w="1526" w:type="dxa"/>
            <w:shd w:val="clear" w:color="auto" w:fill="DAEEF3" w:themeFill="accent5" w:themeFillTint="33"/>
          </w:tcPr>
          <w:p w:rsidR="00F730B1" w:rsidRPr="00394425" w:rsidRDefault="00F730B1" w:rsidP="00F730B1">
            <w:pPr>
              <w:rPr>
                <w:rFonts w:asciiTheme="minorHAnsi" w:hAnsiTheme="minorHAnsi" w:cstheme="minorHAnsi"/>
                <w:sz w:val="20"/>
                <w:szCs w:val="20"/>
              </w:rPr>
            </w:pPr>
            <w:proofErr w:type="spellStart"/>
            <w:r w:rsidRPr="00394425">
              <w:rPr>
                <w:rFonts w:asciiTheme="minorHAnsi" w:hAnsiTheme="minorHAnsi" w:cstheme="minorHAnsi"/>
                <w:sz w:val="20"/>
                <w:szCs w:val="20"/>
              </w:rPr>
              <w:t>Fulbrook</w:t>
            </w:r>
            <w:proofErr w:type="spellEnd"/>
          </w:p>
        </w:tc>
        <w:tc>
          <w:tcPr>
            <w:tcW w:w="1417"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418"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134"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134"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276"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255"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r>
      <w:tr w:rsidR="00F730B1" w:rsidTr="00F730B1">
        <w:tc>
          <w:tcPr>
            <w:tcW w:w="1526"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 xml:space="preserve">Cotswold House </w:t>
            </w:r>
            <w:proofErr w:type="spellStart"/>
            <w:r w:rsidRPr="00394425">
              <w:rPr>
                <w:rFonts w:asciiTheme="minorHAnsi" w:hAnsiTheme="minorHAnsi" w:cstheme="minorHAnsi"/>
                <w:sz w:val="20"/>
                <w:szCs w:val="20"/>
              </w:rPr>
              <w:t>Savanake</w:t>
            </w:r>
            <w:proofErr w:type="spellEnd"/>
          </w:p>
        </w:tc>
        <w:tc>
          <w:tcPr>
            <w:tcW w:w="1417"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418"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134"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134"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276"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255"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r>
      <w:tr w:rsidR="00F730B1" w:rsidTr="00F730B1">
        <w:tc>
          <w:tcPr>
            <w:tcW w:w="1526"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Marlborough House MK</w:t>
            </w:r>
          </w:p>
        </w:tc>
        <w:tc>
          <w:tcPr>
            <w:tcW w:w="1417"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418"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134"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134"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276"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255"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r>
      <w:tr w:rsidR="00F730B1" w:rsidTr="00F730B1">
        <w:tc>
          <w:tcPr>
            <w:tcW w:w="1526"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John Hampden Unit</w:t>
            </w:r>
          </w:p>
        </w:tc>
        <w:tc>
          <w:tcPr>
            <w:tcW w:w="1417"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418"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134"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134"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276"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255"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r>
      <w:tr w:rsidR="00F730B1" w:rsidTr="00F730B1">
        <w:tc>
          <w:tcPr>
            <w:tcW w:w="1526"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Manor House (Woodlands)</w:t>
            </w:r>
          </w:p>
        </w:tc>
        <w:tc>
          <w:tcPr>
            <w:tcW w:w="1417"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418"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134"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134"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276"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255"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r>
      <w:tr w:rsidR="00F730B1" w:rsidTr="00F730B1">
        <w:tc>
          <w:tcPr>
            <w:tcW w:w="1526"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Tindal Centre</w:t>
            </w:r>
          </w:p>
        </w:tc>
        <w:tc>
          <w:tcPr>
            <w:tcW w:w="1417"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418"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134"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134"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276"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255" w:type="dxa"/>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r>
      <w:tr w:rsidR="00F730B1" w:rsidTr="00F730B1">
        <w:tc>
          <w:tcPr>
            <w:tcW w:w="1526"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Mandalay</w:t>
            </w:r>
          </w:p>
        </w:tc>
        <w:tc>
          <w:tcPr>
            <w:tcW w:w="1417"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418"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134"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134"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N/A</w:t>
            </w:r>
          </w:p>
        </w:tc>
        <w:tc>
          <w:tcPr>
            <w:tcW w:w="1276"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c>
          <w:tcPr>
            <w:tcW w:w="1255" w:type="dxa"/>
            <w:shd w:val="clear" w:color="auto" w:fill="DAEEF3" w:themeFill="accent5" w:themeFillTint="33"/>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EXCELLENT</w:t>
            </w:r>
          </w:p>
        </w:tc>
      </w:tr>
      <w:tr w:rsidR="00F730B1" w:rsidTr="00F730B1">
        <w:tc>
          <w:tcPr>
            <w:tcW w:w="1526" w:type="dxa"/>
            <w:tcBorders>
              <w:bottom w:val="single" w:sz="18" w:space="0" w:color="0070C0"/>
            </w:tcBorders>
          </w:tcPr>
          <w:p w:rsidR="00F730B1"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Marlborough House Swindon</w:t>
            </w:r>
          </w:p>
          <w:p w:rsidR="00F730B1" w:rsidRPr="00394425" w:rsidRDefault="00F730B1" w:rsidP="00F730B1">
            <w:pPr>
              <w:rPr>
                <w:rFonts w:asciiTheme="minorHAnsi" w:hAnsiTheme="minorHAnsi" w:cstheme="minorHAnsi"/>
                <w:sz w:val="20"/>
                <w:szCs w:val="20"/>
              </w:rPr>
            </w:pPr>
          </w:p>
        </w:tc>
        <w:tc>
          <w:tcPr>
            <w:tcW w:w="1417" w:type="dxa"/>
            <w:tcBorders>
              <w:bottom w:val="single" w:sz="18" w:space="0" w:color="0070C0"/>
            </w:tcBorders>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418" w:type="dxa"/>
            <w:tcBorders>
              <w:bottom w:val="single" w:sz="18" w:space="0" w:color="0070C0"/>
            </w:tcBorders>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N/A</w:t>
            </w:r>
          </w:p>
        </w:tc>
        <w:tc>
          <w:tcPr>
            <w:tcW w:w="1134" w:type="dxa"/>
            <w:tcBorders>
              <w:bottom w:val="single" w:sz="18" w:space="0" w:color="0070C0"/>
            </w:tcBorders>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134" w:type="dxa"/>
            <w:tcBorders>
              <w:bottom w:val="single" w:sz="18" w:space="0" w:color="0070C0"/>
            </w:tcBorders>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N/A</w:t>
            </w:r>
          </w:p>
        </w:tc>
        <w:tc>
          <w:tcPr>
            <w:tcW w:w="1276" w:type="dxa"/>
            <w:tcBorders>
              <w:bottom w:val="single" w:sz="18" w:space="0" w:color="0070C0"/>
            </w:tcBorders>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GOOD</w:t>
            </w:r>
          </w:p>
        </w:tc>
        <w:tc>
          <w:tcPr>
            <w:tcW w:w="1255" w:type="dxa"/>
            <w:tcBorders>
              <w:bottom w:val="single" w:sz="18" w:space="0" w:color="0070C0"/>
            </w:tcBorders>
          </w:tcPr>
          <w:p w:rsidR="00F730B1" w:rsidRPr="00394425" w:rsidRDefault="00F730B1" w:rsidP="00F730B1">
            <w:pPr>
              <w:rPr>
                <w:rFonts w:asciiTheme="minorHAnsi" w:hAnsiTheme="minorHAnsi" w:cstheme="minorHAnsi"/>
                <w:sz w:val="20"/>
                <w:szCs w:val="20"/>
              </w:rPr>
            </w:pPr>
            <w:r w:rsidRPr="00394425">
              <w:rPr>
                <w:rFonts w:asciiTheme="minorHAnsi" w:hAnsiTheme="minorHAnsi" w:cstheme="minorHAnsi"/>
                <w:sz w:val="20"/>
                <w:szCs w:val="20"/>
              </w:rPr>
              <w:t>N/A</w:t>
            </w:r>
          </w:p>
        </w:tc>
      </w:tr>
    </w:tbl>
    <w:p w:rsidR="00F730B1" w:rsidRDefault="00F730B1" w:rsidP="00F730B1">
      <w:pPr>
        <w:rPr>
          <w:rFonts w:asciiTheme="minorHAnsi" w:hAnsiTheme="minorHAnsi" w:cstheme="minorHAnsi"/>
          <w:sz w:val="22"/>
          <w:szCs w:val="22"/>
        </w:rPr>
      </w:pPr>
    </w:p>
    <w:p w:rsidR="00D432CE" w:rsidRDefault="00D432CE" w:rsidP="005147C2">
      <w:pPr>
        <w:rPr>
          <w:rFonts w:ascii="Calibri" w:hAnsi="Calibri" w:cs="Arial"/>
          <w:b/>
          <w:sz w:val="22"/>
          <w:szCs w:val="22"/>
          <w:u w:val="single"/>
        </w:rPr>
      </w:pPr>
    </w:p>
    <w:p w:rsidR="00D432CE" w:rsidRDefault="00D432CE" w:rsidP="005147C2">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5147C2" w:rsidTr="005147C2">
        <w:tc>
          <w:tcPr>
            <w:tcW w:w="9689" w:type="dxa"/>
            <w:shd w:val="clear" w:color="auto" w:fill="0070C0"/>
          </w:tcPr>
          <w:p w:rsidR="005147C2" w:rsidRPr="0026092C" w:rsidRDefault="005147C2" w:rsidP="005147C2">
            <w:pPr>
              <w:pStyle w:val="Heading2"/>
            </w:pPr>
            <w:bookmarkStart w:id="23" w:name="_Toc323284003"/>
            <w:r>
              <w:t>Equality &amp; Diversity</w:t>
            </w:r>
            <w:bookmarkEnd w:id="23"/>
            <w:r>
              <w:t xml:space="preserve"> </w:t>
            </w:r>
          </w:p>
        </w:tc>
      </w:tr>
    </w:tbl>
    <w:p w:rsidR="00A175AC" w:rsidRDefault="00A175AC" w:rsidP="00A175AC">
      <w:pPr>
        <w:rPr>
          <w:rFonts w:ascii="Arial" w:hAnsi="Arial" w:cs="Arial"/>
          <w:sz w:val="22"/>
          <w:szCs w:val="22"/>
        </w:rPr>
      </w:pPr>
    </w:p>
    <w:p w:rsidR="00A175AC" w:rsidRPr="004D559C" w:rsidRDefault="00A175AC" w:rsidP="004D559C">
      <w:pPr>
        <w:autoSpaceDE w:val="0"/>
        <w:autoSpaceDN w:val="0"/>
        <w:adjustRightInd w:val="0"/>
        <w:rPr>
          <w:rFonts w:ascii="Calibri" w:hAnsi="Calibri"/>
          <w:iCs/>
        </w:rPr>
      </w:pPr>
      <w:r w:rsidRPr="004D559C">
        <w:rPr>
          <w:rFonts w:ascii="Calibri" w:hAnsi="Calibri"/>
          <w:iCs/>
        </w:rPr>
        <w:t>Oxford Health NHS Foundation Trust aims to deliver equality in its provision of services to communities. The Trust challenges discrimination, promotes cohesion and working together and addresses areas of inequality. The main development this year was the implementation of the Equality Delivery System. This tool has introduced a systematic approach to measuring and achieving equal outcomes for patients, service users, carers and staff members. The process has consisted of: holding public meetings to ask patients, carers and the public about their thoughts on how we could improve equality, publishing information which demonstrates the Trust’s compliance with the Equality Act 2010 and setting goals and actions from the published information to make improvements.</w:t>
      </w:r>
    </w:p>
    <w:p w:rsidR="00A175AC" w:rsidRPr="004D559C" w:rsidRDefault="00A175AC" w:rsidP="004D559C">
      <w:pPr>
        <w:autoSpaceDE w:val="0"/>
        <w:autoSpaceDN w:val="0"/>
        <w:adjustRightInd w:val="0"/>
        <w:rPr>
          <w:rFonts w:ascii="Calibri" w:hAnsi="Calibri"/>
          <w:iCs/>
        </w:rPr>
      </w:pPr>
    </w:p>
    <w:p w:rsidR="00A175AC" w:rsidRPr="004D559C" w:rsidRDefault="00A175AC" w:rsidP="004D559C">
      <w:pPr>
        <w:autoSpaceDE w:val="0"/>
        <w:autoSpaceDN w:val="0"/>
        <w:adjustRightInd w:val="0"/>
        <w:rPr>
          <w:rFonts w:ascii="Calibri" w:hAnsi="Calibri"/>
          <w:iCs/>
        </w:rPr>
      </w:pPr>
      <w:r w:rsidRPr="004D559C">
        <w:rPr>
          <w:rFonts w:ascii="Calibri" w:hAnsi="Calibri"/>
          <w:iCs/>
        </w:rPr>
        <w:t>Our main goals for 2012/13 are:</w:t>
      </w:r>
    </w:p>
    <w:p w:rsidR="00A175AC" w:rsidRPr="004D559C" w:rsidRDefault="00A175AC" w:rsidP="00A175AC">
      <w:pPr>
        <w:rPr>
          <w:rFonts w:asciiTheme="minorHAnsi" w:hAnsiTheme="minorHAnsi" w:cs="Arial"/>
        </w:rPr>
      </w:pPr>
    </w:p>
    <w:p w:rsidR="00A175AC" w:rsidRPr="004D559C" w:rsidRDefault="00A175AC" w:rsidP="00A175AC">
      <w:pPr>
        <w:pStyle w:val="ListParagraph"/>
        <w:numPr>
          <w:ilvl w:val="0"/>
          <w:numId w:val="47"/>
        </w:numPr>
        <w:autoSpaceDE w:val="0"/>
        <w:autoSpaceDN w:val="0"/>
        <w:adjustRightInd w:val="0"/>
        <w:rPr>
          <w:rFonts w:asciiTheme="minorHAnsi" w:eastAsia="Calibri" w:hAnsiTheme="minorHAnsi" w:cs="Arial"/>
          <w:lang w:eastAsia="en-US"/>
        </w:rPr>
      </w:pPr>
      <w:r w:rsidRPr="004D559C">
        <w:rPr>
          <w:rFonts w:asciiTheme="minorHAnsi" w:eastAsia="Calibri" w:hAnsiTheme="minorHAnsi" w:cs="Arial"/>
          <w:lang w:eastAsia="en-US"/>
        </w:rPr>
        <w:t>The Trust will improve the information so that more effective comparisons can be made. This will include improving the quality of data for the following strands: religion and belief, sexual orientation and disability</w:t>
      </w:r>
    </w:p>
    <w:p w:rsidR="00A175AC" w:rsidRPr="004D559C" w:rsidRDefault="00A175AC" w:rsidP="00A175AC">
      <w:pPr>
        <w:pStyle w:val="ListParagraph"/>
        <w:numPr>
          <w:ilvl w:val="0"/>
          <w:numId w:val="47"/>
        </w:numPr>
        <w:autoSpaceDE w:val="0"/>
        <w:autoSpaceDN w:val="0"/>
        <w:adjustRightInd w:val="0"/>
        <w:rPr>
          <w:rFonts w:asciiTheme="minorHAnsi" w:eastAsia="Calibri" w:hAnsiTheme="minorHAnsi" w:cs="Arial"/>
          <w:lang w:eastAsia="en-US"/>
        </w:rPr>
      </w:pPr>
      <w:r w:rsidRPr="004D559C">
        <w:rPr>
          <w:rFonts w:asciiTheme="minorHAnsi" w:eastAsia="Calibri" w:hAnsiTheme="minorHAnsi" w:cs="Arial"/>
          <w:lang w:eastAsia="en-US"/>
        </w:rPr>
        <w:lastRenderedPageBreak/>
        <w:t>The Trust will improve information from complaints over the following year including recording how many complaints are received which are directly related to equality issues.</w:t>
      </w:r>
    </w:p>
    <w:p w:rsidR="00A175AC" w:rsidRPr="004D559C" w:rsidRDefault="00A175AC" w:rsidP="00A175AC">
      <w:pPr>
        <w:pStyle w:val="ListParagraph"/>
        <w:numPr>
          <w:ilvl w:val="0"/>
          <w:numId w:val="47"/>
        </w:numPr>
        <w:autoSpaceDE w:val="0"/>
        <w:autoSpaceDN w:val="0"/>
        <w:adjustRightInd w:val="0"/>
        <w:rPr>
          <w:rFonts w:asciiTheme="minorHAnsi" w:hAnsiTheme="minorHAnsi"/>
        </w:rPr>
      </w:pPr>
      <w:r w:rsidRPr="004D559C">
        <w:rPr>
          <w:rFonts w:asciiTheme="minorHAnsi" w:eastAsia="Calibri" w:hAnsiTheme="minorHAnsi" w:cs="Arial"/>
          <w:lang w:eastAsia="en-US"/>
        </w:rPr>
        <w:t>The Trust will investigate how managers and team leaders support staff to work in culturally competent ways.</w:t>
      </w:r>
    </w:p>
    <w:p w:rsidR="00A175AC" w:rsidRPr="004D559C" w:rsidRDefault="00A175AC" w:rsidP="00A175AC">
      <w:pPr>
        <w:autoSpaceDE w:val="0"/>
        <w:autoSpaceDN w:val="0"/>
        <w:adjustRightInd w:val="0"/>
        <w:rPr>
          <w:rFonts w:asciiTheme="minorHAnsi" w:hAnsiTheme="minorHAnsi"/>
        </w:rPr>
      </w:pPr>
    </w:p>
    <w:p w:rsidR="00A175AC" w:rsidRPr="004D559C" w:rsidRDefault="00A175AC" w:rsidP="00A175AC">
      <w:pPr>
        <w:autoSpaceDE w:val="0"/>
        <w:autoSpaceDN w:val="0"/>
        <w:adjustRightInd w:val="0"/>
        <w:rPr>
          <w:rFonts w:asciiTheme="minorHAnsi" w:hAnsiTheme="minorHAnsi" w:cs="Arial"/>
        </w:rPr>
      </w:pPr>
      <w:r w:rsidRPr="004D559C">
        <w:rPr>
          <w:rFonts w:asciiTheme="minorHAnsi" w:hAnsiTheme="minorHAnsi" w:cs="Arial"/>
        </w:rPr>
        <w:t>The Trust has also developed and implemented a session on Learning Disability Awareness for all staff. This session is delivered at the corporate Trust induction to all new staff and is also available to existing teams. The aim of the session is to raise awareness help with communication and reasonable adjustments that people with Learning Disabilities may find helpful when accessing our services. The Trust has also improved the number of staff trained in Equality and Diversity by holding extra sessions, as well as those on induction. Over four hundred extra staff members have been trained this year.</w:t>
      </w:r>
    </w:p>
    <w:p w:rsidR="00A175AC" w:rsidRPr="004D559C" w:rsidRDefault="00A175AC" w:rsidP="00A175AC">
      <w:pPr>
        <w:autoSpaceDE w:val="0"/>
        <w:autoSpaceDN w:val="0"/>
        <w:adjustRightInd w:val="0"/>
        <w:rPr>
          <w:rFonts w:asciiTheme="minorHAnsi" w:hAnsiTheme="minorHAnsi" w:cs="Arial"/>
        </w:rPr>
      </w:pPr>
    </w:p>
    <w:p w:rsidR="00A175AC" w:rsidRPr="004D559C" w:rsidRDefault="00A175AC" w:rsidP="00A175AC">
      <w:pPr>
        <w:autoSpaceDE w:val="0"/>
        <w:autoSpaceDN w:val="0"/>
        <w:adjustRightInd w:val="0"/>
        <w:rPr>
          <w:rFonts w:asciiTheme="minorHAnsi" w:hAnsiTheme="minorHAnsi" w:cs="Arial"/>
        </w:rPr>
      </w:pPr>
      <w:r w:rsidRPr="004D559C">
        <w:rPr>
          <w:rFonts w:asciiTheme="minorHAnsi" w:hAnsiTheme="minorHAnsi" w:cs="Arial"/>
        </w:rPr>
        <w:t xml:space="preserve">More information on the Equality Delivery System and the Trust’s goals for this year can be found on our Trust website: </w:t>
      </w:r>
      <w:hyperlink r:id="rId36" w:history="1">
        <w:r w:rsidRPr="004D559C">
          <w:rPr>
            <w:rStyle w:val="Hyperlink"/>
            <w:rFonts w:asciiTheme="minorHAnsi" w:hAnsiTheme="minorHAnsi" w:cs="Arial"/>
          </w:rPr>
          <w:t>www.oxfordhealth.nhs.uk</w:t>
        </w:r>
      </w:hyperlink>
      <w:r w:rsidRPr="004D559C">
        <w:rPr>
          <w:rFonts w:asciiTheme="minorHAnsi" w:hAnsiTheme="minorHAnsi" w:cs="Arial"/>
        </w:rPr>
        <w:t xml:space="preserve"> </w:t>
      </w:r>
    </w:p>
    <w:p w:rsidR="005147C2" w:rsidRPr="004D559C" w:rsidRDefault="005147C2" w:rsidP="005147C2">
      <w:pPr>
        <w:rPr>
          <w:rFonts w:asciiTheme="minorHAnsi" w:hAnsiTheme="minorHAnsi" w:cs="Arial"/>
          <w:b/>
          <w:u w:val="single"/>
        </w:rPr>
      </w:pPr>
    </w:p>
    <w:p w:rsidR="005147C2" w:rsidRDefault="005147C2" w:rsidP="005147C2">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5147C2" w:rsidTr="005147C2">
        <w:tc>
          <w:tcPr>
            <w:tcW w:w="9689" w:type="dxa"/>
            <w:shd w:val="clear" w:color="auto" w:fill="0070C0"/>
          </w:tcPr>
          <w:p w:rsidR="005147C2" w:rsidRPr="0026092C" w:rsidRDefault="005147C2" w:rsidP="005147C2">
            <w:pPr>
              <w:pStyle w:val="Heading2"/>
            </w:pPr>
            <w:bookmarkStart w:id="24" w:name="_Toc323284004"/>
            <w:r>
              <w:t>Working with Local Stakeholders</w:t>
            </w:r>
            <w:bookmarkEnd w:id="24"/>
          </w:p>
        </w:tc>
      </w:tr>
    </w:tbl>
    <w:p w:rsidR="005147C2" w:rsidRPr="00FC52F5" w:rsidRDefault="005147C2" w:rsidP="005147C2">
      <w:pPr>
        <w:rPr>
          <w:rFonts w:ascii="Calibri" w:hAnsi="Calibri" w:cs="Arial"/>
        </w:rPr>
      </w:pPr>
    </w:p>
    <w:p w:rsidR="00FC52F5" w:rsidRPr="00FC52F5" w:rsidRDefault="00FC52F5" w:rsidP="005147C2">
      <w:pPr>
        <w:rPr>
          <w:rFonts w:ascii="Calibri" w:hAnsi="Calibri" w:cs="Arial"/>
        </w:rPr>
      </w:pPr>
      <w:r w:rsidRPr="00FC52F5">
        <w:rPr>
          <w:rFonts w:ascii="Calibri" w:hAnsi="Calibri" w:cs="Arial"/>
          <w:highlight w:val="yellow"/>
        </w:rPr>
        <w:t>To be provided</w:t>
      </w:r>
    </w:p>
    <w:p w:rsidR="00B53B3B" w:rsidRDefault="00B53B3B" w:rsidP="00B53B3B">
      <w:pPr>
        <w:rPr>
          <w:rFonts w:ascii="Calibri" w:hAnsi="Calibri" w:cs="Arial"/>
          <w:b/>
          <w:sz w:val="22"/>
          <w:szCs w:val="22"/>
          <w:u w:val="single"/>
        </w:rPr>
      </w:pPr>
    </w:p>
    <w:p w:rsidR="00B53B3B" w:rsidRDefault="00B53B3B" w:rsidP="00B53B3B">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B53B3B" w:rsidTr="00B53B3B">
        <w:tc>
          <w:tcPr>
            <w:tcW w:w="9689" w:type="dxa"/>
            <w:shd w:val="clear" w:color="auto" w:fill="0070C0"/>
          </w:tcPr>
          <w:p w:rsidR="00B53B3B" w:rsidRPr="0026092C" w:rsidRDefault="00B53B3B" w:rsidP="00B53B3B">
            <w:pPr>
              <w:pStyle w:val="Heading2"/>
            </w:pPr>
            <w:bookmarkStart w:id="25" w:name="_Toc323284005"/>
            <w:r>
              <w:t>Complaints</w:t>
            </w:r>
            <w:bookmarkEnd w:id="25"/>
          </w:p>
        </w:tc>
      </w:tr>
    </w:tbl>
    <w:p w:rsidR="00B53B3B" w:rsidRPr="00FC52F5" w:rsidRDefault="00B53B3B" w:rsidP="00B53B3B">
      <w:pPr>
        <w:rPr>
          <w:rFonts w:ascii="Calibri" w:hAnsi="Calibri" w:cs="Arial"/>
        </w:rPr>
      </w:pPr>
    </w:p>
    <w:p w:rsidR="008E7E11" w:rsidRDefault="008E7E11" w:rsidP="008E7E11">
      <w:pPr>
        <w:jc w:val="both"/>
        <w:rPr>
          <w:rFonts w:ascii="Calibri" w:hAnsi="Calibri"/>
        </w:rPr>
      </w:pPr>
      <w:r>
        <w:rPr>
          <w:rFonts w:ascii="Calibri" w:hAnsi="Calibri"/>
          <w:sz w:val="22"/>
          <w:szCs w:val="22"/>
        </w:rPr>
        <w:t>We take complaints very seriously and strive to resolve them as quickly as possible.  During 2011/12, we received 203 complaints.  This was an increase of 49 (24%) complaints,</w:t>
      </w:r>
      <w:r>
        <w:rPr>
          <w:rFonts w:ascii="Calibri" w:hAnsi="Calibri"/>
          <w:color w:val="1F497D"/>
          <w:sz w:val="22"/>
          <w:szCs w:val="22"/>
        </w:rPr>
        <w:t xml:space="preserve"> </w:t>
      </w:r>
      <w:r>
        <w:rPr>
          <w:rFonts w:ascii="Calibri" w:hAnsi="Calibri"/>
          <w:sz w:val="22"/>
          <w:szCs w:val="22"/>
        </w:rPr>
        <w:t xml:space="preserve">which is as a result of the Trust merging with Community Health Oxfordshire, when compared to the previous year 2010/11.  Of these, 203 (100%) complaints were acknowledged within the agreed timescale, which is an improvement from 2010/11 at 96%.  </w:t>
      </w:r>
      <w:r>
        <w:rPr>
          <w:rFonts w:ascii="Calibri" w:hAnsi="Calibri"/>
        </w:rPr>
        <w:t xml:space="preserve">183 (91%) of complaints were responded to within a timescale agreed with the complainant.  Three (1%) complaints were out of time and the complainant would not agree to an extension of the timescale.  17 (8%) complaints are still open and within an agreed timescale or extension.  </w:t>
      </w:r>
    </w:p>
    <w:p w:rsidR="008E7E11" w:rsidRDefault="008E7E11" w:rsidP="008E7E11">
      <w:pPr>
        <w:jc w:val="both"/>
        <w:rPr>
          <w:rFonts w:ascii="Calibri" w:hAnsi="Calibri"/>
        </w:rPr>
      </w:pPr>
    </w:p>
    <w:p w:rsidR="008E7E11" w:rsidRDefault="008E7E11" w:rsidP="008E7E11">
      <w:pPr>
        <w:jc w:val="both"/>
        <w:rPr>
          <w:rFonts w:ascii="Calibri" w:hAnsi="Calibri"/>
        </w:rPr>
      </w:pPr>
      <w:r>
        <w:rPr>
          <w:rFonts w:ascii="Calibri" w:hAnsi="Calibri"/>
        </w:rPr>
        <w:t>The number of complaints which were received during 2010/11 can be seen in the graph below.</w:t>
      </w:r>
    </w:p>
    <w:p w:rsidR="008E7E11" w:rsidRDefault="008E7E11" w:rsidP="008E7E11">
      <w:pPr>
        <w:jc w:val="both"/>
        <w:rPr>
          <w:rFonts w:ascii="Calibri" w:hAnsi="Calibri"/>
        </w:rPr>
      </w:pPr>
    </w:p>
    <w:p w:rsidR="00BB1508" w:rsidRPr="00B038C0" w:rsidRDefault="00BB1508" w:rsidP="00BB1508">
      <w:pPr>
        <w:pStyle w:val="ListParagraph"/>
        <w:rPr>
          <w:rFonts w:ascii="Calibri" w:hAnsi="Calibri" w:cs="Arial"/>
          <w:i/>
          <w:color w:val="0070C0"/>
          <w:u w:val="single"/>
        </w:rPr>
      </w:pPr>
      <w:r w:rsidRPr="00B038C0">
        <w:rPr>
          <w:rFonts w:ascii="Calibri" w:hAnsi="Calibri" w:cs="Arial"/>
          <w:i/>
          <w:color w:val="0070C0"/>
          <w:u w:val="single"/>
        </w:rPr>
        <w:t>Chart 1</w:t>
      </w:r>
      <w:r>
        <w:rPr>
          <w:rFonts w:ascii="Calibri" w:hAnsi="Calibri" w:cs="Arial"/>
          <w:i/>
          <w:color w:val="0070C0"/>
          <w:u w:val="single"/>
        </w:rPr>
        <w:t>7</w:t>
      </w:r>
    </w:p>
    <w:p w:rsidR="008E7E11" w:rsidRDefault="006742FA" w:rsidP="00190ADC">
      <w:pPr>
        <w:jc w:val="center"/>
        <w:rPr>
          <w:rFonts w:ascii="Calibri" w:hAnsi="Calibri"/>
          <w:sz w:val="22"/>
          <w:szCs w:val="22"/>
        </w:rPr>
      </w:pPr>
      <w:r>
        <w:rPr>
          <w:rFonts w:ascii="Calibri" w:hAnsi="Calibri"/>
          <w:noProof/>
          <w:sz w:val="22"/>
          <w:szCs w:val="22"/>
        </w:rPr>
        <w:drawing>
          <wp:inline distT="0" distB="0" distL="0" distR="0">
            <wp:extent cx="3443844" cy="2090057"/>
            <wp:effectExtent l="0" t="0" r="0" b="0"/>
            <wp:docPr id="3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E7E11" w:rsidRDefault="008E7E11" w:rsidP="008E7E11">
      <w:pPr>
        <w:rPr>
          <w:rFonts w:ascii="Calibri" w:hAnsi="Calibri"/>
          <w:sz w:val="22"/>
          <w:szCs w:val="22"/>
        </w:rPr>
      </w:pPr>
    </w:p>
    <w:p w:rsidR="008E7E11" w:rsidRDefault="008E7E11" w:rsidP="008E7E11">
      <w:pPr>
        <w:jc w:val="both"/>
        <w:rPr>
          <w:rFonts w:ascii="Calibri" w:hAnsi="Calibri"/>
        </w:rPr>
      </w:pPr>
      <w:r>
        <w:rPr>
          <w:rFonts w:ascii="Calibri" w:hAnsi="Calibri"/>
        </w:rPr>
        <w:t> </w:t>
      </w:r>
      <w:r w:rsidRPr="00771B49">
        <w:rPr>
          <w:rFonts w:ascii="Calibri" w:hAnsi="Calibri"/>
        </w:rPr>
        <w:t>E</w:t>
      </w:r>
      <w:r>
        <w:rPr>
          <w:rFonts w:ascii="Calibri" w:hAnsi="Calibri"/>
        </w:rPr>
        <w:t>xamples of actions taken as a result of complaints are:</w:t>
      </w:r>
    </w:p>
    <w:p w:rsidR="008E7E11" w:rsidRDefault="008E7E11" w:rsidP="008E7E11">
      <w:pPr>
        <w:jc w:val="both"/>
        <w:rPr>
          <w:rFonts w:ascii="Calibri" w:hAnsi="Calibri"/>
        </w:rPr>
      </w:pPr>
    </w:p>
    <w:p w:rsidR="008E7E11" w:rsidRDefault="008E7E11" w:rsidP="008E7E11">
      <w:pPr>
        <w:numPr>
          <w:ilvl w:val="0"/>
          <w:numId w:val="52"/>
        </w:numPr>
        <w:ind w:left="540" w:hanging="540"/>
        <w:jc w:val="both"/>
        <w:rPr>
          <w:rFonts w:ascii="Calibri" w:hAnsi="Calibri"/>
        </w:rPr>
      </w:pPr>
      <w:r>
        <w:rPr>
          <w:rFonts w:ascii="Calibri" w:hAnsi="Calibri"/>
        </w:rPr>
        <w:t>Within the Children &amp; Families Division further training has been provided to administrative staff regarding confidentiality.</w:t>
      </w:r>
    </w:p>
    <w:p w:rsidR="008E7E11" w:rsidRDefault="008E7E11" w:rsidP="008E7E11">
      <w:pPr>
        <w:numPr>
          <w:ilvl w:val="0"/>
          <w:numId w:val="52"/>
        </w:numPr>
        <w:ind w:left="540" w:hanging="540"/>
        <w:jc w:val="both"/>
        <w:rPr>
          <w:rFonts w:ascii="Calibri" w:hAnsi="Calibri"/>
        </w:rPr>
      </w:pPr>
      <w:r>
        <w:rPr>
          <w:rFonts w:ascii="Calibri" w:hAnsi="Calibri"/>
        </w:rPr>
        <w:t xml:space="preserve">The garden fence height was increased on </w:t>
      </w:r>
      <w:proofErr w:type="spellStart"/>
      <w:r>
        <w:rPr>
          <w:rFonts w:ascii="Calibri" w:hAnsi="Calibri"/>
        </w:rPr>
        <w:t>Kimmeridge</w:t>
      </w:r>
      <w:proofErr w:type="spellEnd"/>
      <w:r>
        <w:rPr>
          <w:rFonts w:ascii="Calibri" w:hAnsi="Calibri"/>
        </w:rPr>
        <w:t xml:space="preserve"> Ward following a complaints investigation.  </w:t>
      </w:r>
    </w:p>
    <w:p w:rsidR="008E7E11" w:rsidRDefault="008E7E11" w:rsidP="008E7E11">
      <w:pPr>
        <w:numPr>
          <w:ilvl w:val="0"/>
          <w:numId w:val="52"/>
        </w:numPr>
        <w:ind w:left="540" w:hanging="540"/>
        <w:jc w:val="both"/>
        <w:rPr>
          <w:rFonts w:ascii="Calibri" w:hAnsi="Calibri"/>
        </w:rPr>
      </w:pPr>
      <w:r>
        <w:rPr>
          <w:rFonts w:ascii="Calibri" w:hAnsi="Calibri"/>
        </w:rPr>
        <w:t xml:space="preserve">Witney Community Hospital has adopted a new system to alert staff when a patient has a hearing problem.  A coloured laminated picture of an ear has been produced and will be placed on patient’s records, as well as on the board next to the patient bed.  </w:t>
      </w:r>
    </w:p>
    <w:p w:rsidR="008E7E11" w:rsidRDefault="008E7E11" w:rsidP="008E7E11">
      <w:pPr>
        <w:numPr>
          <w:ilvl w:val="0"/>
          <w:numId w:val="52"/>
        </w:numPr>
        <w:ind w:left="540" w:hanging="540"/>
        <w:jc w:val="both"/>
        <w:rPr>
          <w:rFonts w:ascii="Calibri" w:hAnsi="Calibri"/>
        </w:rPr>
      </w:pPr>
      <w:r>
        <w:rPr>
          <w:rFonts w:ascii="Calibri" w:hAnsi="Calibri"/>
        </w:rPr>
        <w:t>The Memory Clinic are currently revising their admin process to establish a system where follow up appointments are able to be identified, booked and letters sent out.</w:t>
      </w:r>
    </w:p>
    <w:p w:rsidR="008E7E11" w:rsidRDefault="008E7E11" w:rsidP="008E7E11">
      <w:pPr>
        <w:numPr>
          <w:ilvl w:val="0"/>
          <w:numId w:val="52"/>
        </w:numPr>
        <w:ind w:left="540" w:hanging="540"/>
        <w:jc w:val="both"/>
        <w:rPr>
          <w:rFonts w:ascii="Calibri" w:hAnsi="Calibri"/>
        </w:rPr>
      </w:pPr>
      <w:r>
        <w:rPr>
          <w:rFonts w:ascii="Calibri" w:hAnsi="Calibri"/>
        </w:rPr>
        <w:t xml:space="preserve">On </w:t>
      </w:r>
      <w:proofErr w:type="spellStart"/>
      <w:r>
        <w:rPr>
          <w:rFonts w:ascii="Calibri" w:hAnsi="Calibri"/>
        </w:rPr>
        <w:t>Watlington</w:t>
      </w:r>
      <w:proofErr w:type="spellEnd"/>
      <w:r>
        <w:rPr>
          <w:rFonts w:ascii="Calibri" w:hAnsi="Calibri"/>
        </w:rPr>
        <w:t xml:space="preserve"> Ward earphones were purchased to allow patients to listen to music privately.</w:t>
      </w:r>
    </w:p>
    <w:p w:rsidR="008E7E11" w:rsidRDefault="008E7E11" w:rsidP="008E7E11">
      <w:pPr>
        <w:numPr>
          <w:ilvl w:val="0"/>
          <w:numId w:val="52"/>
        </w:numPr>
        <w:ind w:left="540" w:hanging="540"/>
        <w:jc w:val="both"/>
        <w:rPr>
          <w:rFonts w:ascii="Calibri" w:hAnsi="Calibri"/>
        </w:rPr>
      </w:pPr>
      <w:r>
        <w:rPr>
          <w:rFonts w:ascii="Calibri" w:hAnsi="Calibri"/>
        </w:rPr>
        <w:t xml:space="preserve">Following a complaint on Cherwell Ward, a patient was helped to access an independent advocate when attending professional meetings.  </w:t>
      </w:r>
    </w:p>
    <w:p w:rsidR="008E7E11" w:rsidRDefault="008E7E11" w:rsidP="008E7E11">
      <w:pPr>
        <w:numPr>
          <w:ilvl w:val="0"/>
          <w:numId w:val="52"/>
        </w:numPr>
        <w:ind w:left="540" w:hanging="540"/>
        <w:jc w:val="both"/>
        <w:rPr>
          <w:rFonts w:ascii="Calibri" w:hAnsi="Calibri"/>
        </w:rPr>
      </w:pPr>
      <w:r>
        <w:rPr>
          <w:rFonts w:ascii="Calibri" w:hAnsi="Calibri"/>
        </w:rPr>
        <w:t xml:space="preserve">The Oxford Clinic has reviewed and made improvements to the Friday Community Meeting held on the ward.  The Complaints &amp; PALS Department has received positive feedback from patients on the ward.  </w:t>
      </w:r>
    </w:p>
    <w:p w:rsidR="008E7E11" w:rsidRDefault="008E7E11" w:rsidP="008E7E11">
      <w:pPr>
        <w:numPr>
          <w:ilvl w:val="0"/>
          <w:numId w:val="52"/>
        </w:numPr>
        <w:ind w:left="540" w:hanging="540"/>
        <w:jc w:val="both"/>
        <w:rPr>
          <w:rFonts w:ascii="Calibri" w:hAnsi="Calibri"/>
        </w:rPr>
      </w:pPr>
      <w:r>
        <w:rPr>
          <w:rFonts w:ascii="Calibri" w:hAnsi="Calibri"/>
        </w:rPr>
        <w:t xml:space="preserve">Portland Ward have reviewed and re-designed the handover sheet to ensure that there is a clear section for safeguarding issues.  </w:t>
      </w:r>
    </w:p>
    <w:p w:rsidR="008E7E11" w:rsidRDefault="008E7E11" w:rsidP="008E7E11">
      <w:pPr>
        <w:rPr>
          <w:rFonts w:ascii="Calibri" w:hAnsi="Calibri"/>
          <w:sz w:val="22"/>
          <w:szCs w:val="22"/>
        </w:rPr>
      </w:pPr>
    </w:p>
    <w:p w:rsidR="008E7E11" w:rsidRDefault="008E7E11" w:rsidP="008E7E11">
      <w:pPr>
        <w:rPr>
          <w:rFonts w:ascii="Calibri" w:hAnsi="Calibri"/>
          <w:sz w:val="22"/>
          <w:szCs w:val="22"/>
        </w:rPr>
      </w:pPr>
    </w:p>
    <w:p w:rsidR="00860DF5" w:rsidRDefault="00860DF5">
      <w:pPr>
        <w:rPr>
          <w:rFonts w:ascii="Calibri" w:hAnsi="Calibri" w:cs="Arial"/>
          <w:b/>
          <w:u w:val="single"/>
        </w:rPr>
      </w:pPr>
      <w:r>
        <w:rPr>
          <w:rFonts w:ascii="Calibri" w:hAnsi="Calibri" w:cs="Arial"/>
          <w:b/>
          <w:u w:val="single"/>
        </w:rPr>
        <w:br w:type="page"/>
      </w:r>
    </w:p>
    <w:p w:rsidR="00860DF5" w:rsidRDefault="00860DF5" w:rsidP="00860DF5">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689"/>
      </w:tblGrid>
      <w:tr w:rsidR="00860DF5" w:rsidTr="00F730B1">
        <w:tc>
          <w:tcPr>
            <w:tcW w:w="9689" w:type="dxa"/>
            <w:shd w:val="clear" w:color="auto" w:fill="0070C0"/>
          </w:tcPr>
          <w:p w:rsidR="00860DF5" w:rsidRPr="0026092C" w:rsidRDefault="00860DF5" w:rsidP="00860DF5">
            <w:pPr>
              <w:pStyle w:val="Heading2"/>
            </w:pPr>
            <w:bookmarkStart w:id="26" w:name="_Toc323284006"/>
            <w:r>
              <w:t>The Royal College of Psychiatrists</w:t>
            </w:r>
            <w:bookmarkEnd w:id="26"/>
          </w:p>
        </w:tc>
      </w:tr>
    </w:tbl>
    <w:p w:rsidR="00860DF5" w:rsidRDefault="00860DF5" w:rsidP="00860DF5">
      <w:pPr>
        <w:rPr>
          <w:rFonts w:ascii="Calibri" w:hAnsi="Calibri" w:cs="Arial"/>
          <w:b/>
          <w:u w:val="single"/>
        </w:rPr>
      </w:pPr>
    </w:p>
    <w:p w:rsidR="00F730B1" w:rsidRPr="00885A39" w:rsidRDefault="00F730B1" w:rsidP="00F730B1">
      <w:pPr>
        <w:pStyle w:val="Default"/>
        <w:rPr>
          <w:rFonts w:asciiTheme="minorHAnsi" w:hAnsiTheme="minorHAnsi" w:cstheme="minorHAnsi"/>
          <w:b/>
          <w:bCs/>
        </w:rPr>
      </w:pPr>
    </w:p>
    <w:p w:rsidR="00F730B1" w:rsidRPr="00885A39" w:rsidRDefault="00F730B1" w:rsidP="00EE6C2E">
      <w:pPr>
        <w:pStyle w:val="Heading3"/>
      </w:pPr>
      <w:r w:rsidRPr="00885A39">
        <w:t>Statement of Participation in National Quality Improvement Projects (non-audit) managed by The Royal College of Psychiatrists’ Centre for Quality Improvement</w:t>
      </w:r>
    </w:p>
    <w:p w:rsidR="00F730B1" w:rsidRPr="00885A39" w:rsidRDefault="00F730B1" w:rsidP="00F730B1">
      <w:pPr>
        <w:rPr>
          <w:rFonts w:asciiTheme="minorHAnsi" w:hAnsiTheme="minorHAnsi" w:cstheme="minorHAnsi"/>
          <w:b/>
        </w:rPr>
      </w:pPr>
    </w:p>
    <w:p w:rsidR="00F730B1" w:rsidRPr="00885A39" w:rsidRDefault="00F730B1" w:rsidP="00F730B1">
      <w:pPr>
        <w:rPr>
          <w:rFonts w:asciiTheme="minorHAnsi" w:hAnsiTheme="minorHAnsi" w:cstheme="minorHAnsi"/>
          <w:b/>
        </w:rPr>
      </w:pPr>
      <w:r w:rsidRPr="00885A39">
        <w:rPr>
          <w:rFonts w:asciiTheme="minorHAnsi" w:hAnsiTheme="minorHAnsi" w:cstheme="minorHAnsi"/>
          <w:b/>
        </w:rPr>
        <w:t>April 1</w:t>
      </w:r>
      <w:r w:rsidRPr="00885A39">
        <w:rPr>
          <w:rFonts w:asciiTheme="minorHAnsi" w:hAnsiTheme="minorHAnsi" w:cstheme="minorHAnsi"/>
          <w:b/>
          <w:vertAlign w:val="superscript"/>
        </w:rPr>
        <w:t>st</w:t>
      </w:r>
      <w:r w:rsidRPr="00885A39">
        <w:rPr>
          <w:rFonts w:asciiTheme="minorHAnsi" w:hAnsiTheme="minorHAnsi" w:cstheme="minorHAnsi"/>
          <w:b/>
        </w:rPr>
        <w:t xml:space="preserve"> 2011 – March 31</w:t>
      </w:r>
      <w:r w:rsidRPr="00885A39">
        <w:rPr>
          <w:rFonts w:asciiTheme="minorHAnsi" w:hAnsiTheme="minorHAnsi" w:cstheme="minorHAnsi"/>
          <w:b/>
          <w:vertAlign w:val="superscript"/>
        </w:rPr>
        <w:t>st</w:t>
      </w:r>
      <w:r w:rsidRPr="00885A39">
        <w:rPr>
          <w:rFonts w:asciiTheme="minorHAnsi" w:hAnsiTheme="minorHAnsi" w:cstheme="minorHAnsi"/>
          <w:b/>
        </w:rPr>
        <w:t xml:space="preserve"> 2012</w:t>
      </w:r>
    </w:p>
    <w:p w:rsidR="00F730B1" w:rsidRPr="00885A39" w:rsidRDefault="00F730B1" w:rsidP="00F730B1">
      <w:pPr>
        <w:rPr>
          <w:rFonts w:asciiTheme="minorHAnsi" w:hAnsiTheme="minorHAnsi" w:cstheme="minorHAnsi"/>
          <w:b/>
        </w:rPr>
      </w:pPr>
    </w:p>
    <w:p w:rsidR="00F730B1" w:rsidRPr="00EE6C2E" w:rsidRDefault="00F730B1" w:rsidP="00F730B1">
      <w:pPr>
        <w:rPr>
          <w:rFonts w:asciiTheme="minorHAnsi" w:hAnsiTheme="minorHAnsi" w:cstheme="minorHAnsi"/>
        </w:rPr>
      </w:pPr>
      <w:r w:rsidRPr="00885A39">
        <w:rPr>
          <w:rFonts w:asciiTheme="minorHAnsi" w:hAnsiTheme="minorHAnsi" w:cstheme="minorHAnsi"/>
          <w:b/>
        </w:rPr>
        <w:t xml:space="preserve">Oxford Health NHS Foundation </w:t>
      </w:r>
      <w:r w:rsidRPr="00EE6C2E">
        <w:rPr>
          <w:rFonts w:asciiTheme="minorHAnsi" w:hAnsiTheme="minorHAnsi" w:cstheme="minorHAnsi"/>
          <w:b/>
        </w:rPr>
        <w:t>Trust</w:t>
      </w:r>
      <w:r w:rsidRPr="00EE6C2E">
        <w:rPr>
          <w:rStyle w:val="FootnoteReference"/>
          <w:rFonts w:asciiTheme="minorHAnsi" w:hAnsiTheme="minorHAnsi"/>
          <w:color w:val="auto"/>
        </w:rPr>
        <w:footnoteReference w:id="3"/>
      </w:r>
    </w:p>
    <w:p w:rsidR="00F730B1" w:rsidRPr="00885A39" w:rsidRDefault="00F730B1" w:rsidP="00F730B1">
      <w:pPr>
        <w:rPr>
          <w:rFonts w:asciiTheme="minorHAnsi" w:hAnsiTheme="minorHAnsi" w:cstheme="minorHAnsi"/>
        </w:rPr>
      </w:pPr>
    </w:p>
    <w:tbl>
      <w:tblPr>
        <w:tblW w:w="9383" w:type="dxa"/>
        <w:tblBorders>
          <w:bottom w:val="single" w:sz="18" w:space="0" w:color="0070C0"/>
        </w:tblBorders>
        <w:tblLook w:val="01E0"/>
      </w:tblPr>
      <w:tblGrid>
        <w:gridCol w:w="4077"/>
        <w:gridCol w:w="2551"/>
        <w:gridCol w:w="2755"/>
      </w:tblGrid>
      <w:tr w:rsidR="00F730B1" w:rsidRPr="00885A39" w:rsidTr="00F730B1">
        <w:tc>
          <w:tcPr>
            <w:tcW w:w="4077" w:type="dxa"/>
          </w:tcPr>
          <w:p w:rsidR="00F730B1" w:rsidRPr="00885A39" w:rsidRDefault="00F730B1" w:rsidP="00F730B1">
            <w:pPr>
              <w:rPr>
                <w:rFonts w:asciiTheme="minorHAnsi" w:hAnsiTheme="minorHAnsi" w:cstheme="minorHAnsi"/>
                <w:b/>
              </w:rPr>
            </w:pPr>
            <w:r w:rsidRPr="00885A39">
              <w:rPr>
                <w:rFonts w:asciiTheme="minorHAnsi" w:hAnsiTheme="minorHAnsi" w:cstheme="minorHAnsi"/>
                <w:b/>
                <w:sz w:val="22"/>
                <w:szCs w:val="22"/>
              </w:rPr>
              <w:t>CCQI PROGRAMME</w:t>
            </w:r>
          </w:p>
        </w:tc>
        <w:tc>
          <w:tcPr>
            <w:tcW w:w="2551" w:type="dxa"/>
          </w:tcPr>
          <w:p w:rsidR="00F730B1" w:rsidRPr="00885A39" w:rsidRDefault="00F730B1" w:rsidP="00F730B1">
            <w:pPr>
              <w:rPr>
                <w:rFonts w:asciiTheme="minorHAnsi" w:hAnsiTheme="minorHAnsi" w:cstheme="minorHAnsi"/>
                <w:b/>
              </w:rPr>
            </w:pPr>
            <w:r w:rsidRPr="00885A39">
              <w:rPr>
                <w:rFonts w:asciiTheme="minorHAnsi" w:hAnsiTheme="minorHAnsi" w:cstheme="minorHAnsi"/>
                <w:b/>
                <w:sz w:val="22"/>
                <w:szCs w:val="22"/>
              </w:rPr>
              <w:t>Participation by Trust</w:t>
            </w:r>
          </w:p>
        </w:tc>
        <w:tc>
          <w:tcPr>
            <w:tcW w:w="2755" w:type="dxa"/>
          </w:tcPr>
          <w:p w:rsidR="00F730B1" w:rsidRPr="00885A39" w:rsidRDefault="00F730B1" w:rsidP="00F730B1">
            <w:pPr>
              <w:rPr>
                <w:rFonts w:asciiTheme="minorHAnsi" w:hAnsiTheme="minorHAnsi" w:cstheme="minorHAnsi"/>
                <w:b/>
              </w:rPr>
            </w:pPr>
            <w:r w:rsidRPr="00885A39">
              <w:rPr>
                <w:rFonts w:asciiTheme="minorHAnsi" w:hAnsiTheme="minorHAnsi" w:cstheme="minorHAnsi"/>
                <w:b/>
                <w:sz w:val="22"/>
                <w:szCs w:val="22"/>
              </w:rPr>
              <w:t>National Participation</w:t>
            </w:r>
          </w:p>
        </w:tc>
      </w:tr>
      <w:tr w:rsidR="00F730B1" w:rsidRPr="00885A39" w:rsidTr="00F730B1">
        <w:tc>
          <w:tcPr>
            <w:tcW w:w="9383" w:type="dxa"/>
            <w:gridSpan w:val="3"/>
            <w:shd w:val="clear" w:color="auto" w:fill="0070C0"/>
          </w:tcPr>
          <w:p w:rsidR="00F730B1" w:rsidRPr="00885A39" w:rsidRDefault="00F730B1" w:rsidP="00F730B1">
            <w:pPr>
              <w:rPr>
                <w:rFonts w:asciiTheme="minorHAnsi" w:hAnsiTheme="minorHAnsi" w:cstheme="minorHAnsi"/>
                <w:b/>
                <w:color w:val="FFFFFF"/>
              </w:rPr>
            </w:pPr>
            <w:r w:rsidRPr="00885A39">
              <w:rPr>
                <w:rFonts w:asciiTheme="minorHAnsi" w:hAnsiTheme="minorHAnsi" w:cstheme="minorHAnsi"/>
                <w:b/>
                <w:color w:val="FFFFFF"/>
                <w:sz w:val="22"/>
                <w:szCs w:val="22"/>
              </w:rPr>
              <w:t>Service accreditation programmes</w:t>
            </w:r>
          </w:p>
        </w:tc>
      </w:tr>
      <w:tr w:rsidR="00F730B1" w:rsidRPr="00885A39" w:rsidTr="00F730B1">
        <w:tc>
          <w:tcPr>
            <w:tcW w:w="4077" w:type="dxa"/>
            <w:tcBorders>
              <w:bottom w:val="nil"/>
            </w:tcBorders>
          </w:tcPr>
          <w:p w:rsidR="00F730B1" w:rsidRPr="00885A39" w:rsidRDefault="00F730B1" w:rsidP="00F730B1">
            <w:pPr>
              <w:tabs>
                <w:tab w:val="left" w:pos="284"/>
              </w:tabs>
              <w:rPr>
                <w:rFonts w:asciiTheme="minorHAnsi" w:hAnsiTheme="minorHAnsi" w:cstheme="minorHAnsi"/>
              </w:rPr>
            </w:pPr>
            <w:r w:rsidRPr="00885A39">
              <w:rPr>
                <w:rFonts w:asciiTheme="minorHAnsi" w:hAnsiTheme="minorHAnsi" w:cstheme="minorHAnsi"/>
                <w:sz w:val="22"/>
                <w:szCs w:val="22"/>
              </w:rPr>
              <w:tab/>
              <w:t>ECT clinics</w:t>
            </w:r>
          </w:p>
        </w:tc>
        <w:tc>
          <w:tcPr>
            <w:tcW w:w="2551" w:type="dxa"/>
            <w:tcBorders>
              <w:bottom w:val="nil"/>
            </w:tcBorders>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2 ECT clinics</w:t>
            </w:r>
          </w:p>
        </w:tc>
        <w:tc>
          <w:tcPr>
            <w:tcW w:w="2755" w:type="dxa"/>
            <w:tcBorders>
              <w:bottom w:val="nil"/>
            </w:tcBorders>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93 ECT clinics</w:t>
            </w:r>
          </w:p>
        </w:tc>
      </w:tr>
      <w:tr w:rsidR="00F730B1" w:rsidRPr="00885A39" w:rsidTr="00F730B1">
        <w:tc>
          <w:tcPr>
            <w:tcW w:w="4077" w:type="dxa"/>
            <w:tcBorders>
              <w:bottom w:val="nil"/>
            </w:tcBorders>
            <w:shd w:val="clear" w:color="auto" w:fill="DAEEF3" w:themeFill="accent5" w:themeFillTint="33"/>
          </w:tcPr>
          <w:p w:rsidR="00F730B1" w:rsidRPr="00885A39" w:rsidRDefault="00F730B1" w:rsidP="00F730B1">
            <w:pPr>
              <w:tabs>
                <w:tab w:val="left" w:pos="284"/>
              </w:tabs>
              <w:rPr>
                <w:rFonts w:asciiTheme="minorHAnsi" w:hAnsiTheme="minorHAnsi" w:cstheme="minorHAnsi"/>
              </w:rPr>
            </w:pPr>
            <w:r w:rsidRPr="00885A39">
              <w:rPr>
                <w:rFonts w:asciiTheme="minorHAnsi" w:hAnsiTheme="minorHAnsi" w:cstheme="minorHAnsi"/>
                <w:sz w:val="22"/>
                <w:szCs w:val="22"/>
              </w:rPr>
              <w:tab/>
              <w:t>Working age adult wards</w:t>
            </w:r>
          </w:p>
        </w:tc>
        <w:tc>
          <w:tcPr>
            <w:tcW w:w="2551" w:type="dxa"/>
            <w:tcBorders>
              <w:bottom w:val="nil"/>
            </w:tcBorders>
            <w:shd w:val="clear" w:color="auto" w:fill="DAEEF3" w:themeFill="accent5" w:themeFillTint="33"/>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0 wards</w:t>
            </w:r>
          </w:p>
        </w:tc>
        <w:tc>
          <w:tcPr>
            <w:tcW w:w="2755" w:type="dxa"/>
            <w:tcBorders>
              <w:bottom w:val="nil"/>
            </w:tcBorders>
            <w:shd w:val="clear" w:color="auto" w:fill="DAEEF3" w:themeFill="accent5" w:themeFillTint="33"/>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173 wards</w:t>
            </w:r>
          </w:p>
        </w:tc>
      </w:tr>
      <w:tr w:rsidR="00F730B1" w:rsidRPr="00885A39" w:rsidTr="00F730B1">
        <w:tc>
          <w:tcPr>
            <w:tcW w:w="4077" w:type="dxa"/>
            <w:tcBorders>
              <w:top w:val="nil"/>
              <w:bottom w:val="nil"/>
            </w:tcBorders>
          </w:tcPr>
          <w:p w:rsidR="00F730B1" w:rsidRPr="00885A39" w:rsidRDefault="00F730B1" w:rsidP="00F730B1">
            <w:pPr>
              <w:tabs>
                <w:tab w:val="left" w:pos="284"/>
              </w:tabs>
              <w:rPr>
                <w:rFonts w:asciiTheme="minorHAnsi" w:hAnsiTheme="minorHAnsi" w:cstheme="minorHAnsi"/>
              </w:rPr>
            </w:pPr>
            <w:r w:rsidRPr="00885A39">
              <w:rPr>
                <w:rFonts w:asciiTheme="minorHAnsi" w:hAnsiTheme="minorHAnsi" w:cstheme="minorHAnsi"/>
                <w:sz w:val="22"/>
                <w:szCs w:val="22"/>
              </w:rPr>
              <w:tab/>
              <w:t>Psychiatric intensive care units</w:t>
            </w:r>
          </w:p>
        </w:tc>
        <w:tc>
          <w:tcPr>
            <w:tcW w:w="2551" w:type="dxa"/>
            <w:tcBorders>
              <w:top w:val="nil"/>
              <w:bottom w:val="nil"/>
            </w:tcBorders>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0 PICUs</w:t>
            </w:r>
          </w:p>
        </w:tc>
        <w:tc>
          <w:tcPr>
            <w:tcW w:w="2755" w:type="dxa"/>
            <w:tcBorders>
              <w:top w:val="nil"/>
              <w:bottom w:val="nil"/>
            </w:tcBorders>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35 PICUs</w:t>
            </w:r>
          </w:p>
        </w:tc>
      </w:tr>
      <w:tr w:rsidR="00F730B1" w:rsidRPr="00885A39" w:rsidTr="00F730B1">
        <w:tc>
          <w:tcPr>
            <w:tcW w:w="4077" w:type="dxa"/>
            <w:tcBorders>
              <w:bottom w:val="nil"/>
            </w:tcBorders>
            <w:shd w:val="clear" w:color="auto" w:fill="DAEEF3" w:themeFill="accent5" w:themeFillTint="33"/>
          </w:tcPr>
          <w:p w:rsidR="00F730B1" w:rsidRPr="00885A39" w:rsidRDefault="00F730B1" w:rsidP="00F730B1">
            <w:pPr>
              <w:tabs>
                <w:tab w:val="left" w:pos="284"/>
              </w:tabs>
              <w:rPr>
                <w:rFonts w:asciiTheme="minorHAnsi" w:hAnsiTheme="minorHAnsi" w:cstheme="minorHAnsi"/>
              </w:rPr>
            </w:pPr>
            <w:r w:rsidRPr="00885A39">
              <w:rPr>
                <w:rFonts w:asciiTheme="minorHAnsi" w:hAnsiTheme="minorHAnsi" w:cstheme="minorHAnsi"/>
                <w:sz w:val="22"/>
                <w:szCs w:val="22"/>
              </w:rPr>
              <w:tab/>
              <w:t>Older people mental health wards</w:t>
            </w:r>
          </w:p>
        </w:tc>
        <w:tc>
          <w:tcPr>
            <w:tcW w:w="2551" w:type="dxa"/>
            <w:tcBorders>
              <w:bottom w:val="nil"/>
            </w:tcBorders>
            <w:shd w:val="clear" w:color="auto" w:fill="DAEEF3" w:themeFill="accent5" w:themeFillTint="33"/>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0 wards</w:t>
            </w:r>
          </w:p>
        </w:tc>
        <w:tc>
          <w:tcPr>
            <w:tcW w:w="2755" w:type="dxa"/>
            <w:tcBorders>
              <w:bottom w:val="nil"/>
            </w:tcBorders>
            <w:shd w:val="clear" w:color="auto" w:fill="DAEEF3" w:themeFill="accent5" w:themeFillTint="33"/>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63 wards</w:t>
            </w:r>
          </w:p>
        </w:tc>
      </w:tr>
      <w:tr w:rsidR="00F730B1" w:rsidRPr="00885A39" w:rsidTr="00F730B1">
        <w:tc>
          <w:tcPr>
            <w:tcW w:w="4077" w:type="dxa"/>
            <w:tcBorders>
              <w:top w:val="nil"/>
              <w:bottom w:val="nil"/>
            </w:tcBorders>
          </w:tcPr>
          <w:p w:rsidR="00F730B1" w:rsidRPr="00885A39" w:rsidRDefault="00F730B1" w:rsidP="00F730B1">
            <w:pPr>
              <w:tabs>
                <w:tab w:val="left" w:pos="284"/>
              </w:tabs>
              <w:rPr>
                <w:rFonts w:asciiTheme="minorHAnsi" w:hAnsiTheme="minorHAnsi" w:cstheme="minorHAnsi"/>
              </w:rPr>
            </w:pPr>
            <w:r w:rsidRPr="00885A39">
              <w:rPr>
                <w:rFonts w:asciiTheme="minorHAnsi" w:hAnsiTheme="minorHAnsi" w:cstheme="minorHAnsi"/>
                <w:sz w:val="22"/>
                <w:szCs w:val="22"/>
              </w:rPr>
              <w:tab/>
              <w:t>Inpatient learning disability units</w:t>
            </w:r>
          </w:p>
        </w:tc>
        <w:tc>
          <w:tcPr>
            <w:tcW w:w="2551" w:type="dxa"/>
            <w:tcBorders>
              <w:top w:val="nil"/>
              <w:bottom w:val="nil"/>
            </w:tcBorders>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0 units</w:t>
            </w:r>
          </w:p>
        </w:tc>
        <w:tc>
          <w:tcPr>
            <w:tcW w:w="2755" w:type="dxa"/>
            <w:tcBorders>
              <w:top w:val="nil"/>
              <w:bottom w:val="nil"/>
            </w:tcBorders>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37 units</w:t>
            </w:r>
          </w:p>
        </w:tc>
      </w:tr>
      <w:tr w:rsidR="00F730B1" w:rsidRPr="00885A39" w:rsidTr="00F730B1">
        <w:tc>
          <w:tcPr>
            <w:tcW w:w="4077" w:type="dxa"/>
            <w:tcBorders>
              <w:bottom w:val="nil"/>
            </w:tcBorders>
            <w:shd w:val="clear" w:color="auto" w:fill="DAEEF3" w:themeFill="accent5" w:themeFillTint="33"/>
          </w:tcPr>
          <w:p w:rsidR="00F730B1" w:rsidRPr="00885A39" w:rsidRDefault="00F730B1" w:rsidP="00F730B1">
            <w:pPr>
              <w:tabs>
                <w:tab w:val="left" w:pos="284"/>
              </w:tabs>
              <w:rPr>
                <w:rFonts w:asciiTheme="minorHAnsi" w:hAnsiTheme="minorHAnsi" w:cstheme="minorHAnsi"/>
              </w:rPr>
            </w:pPr>
            <w:r w:rsidRPr="00885A39">
              <w:rPr>
                <w:rFonts w:asciiTheme="minorHAnsi" w:hAnsiTheme="minorHAnsi" w:cstheme="minorHAnsi"/>
                <w:sz w:val="22"/>
                <w:szCs w:val="22"/>
              </w:rPr>
              <w:tab/>
              <w:t>Inpatient rehabilitation units</w:t>
            </w:r>
          </w:p>
        </w:tc>
        <w:tc>
          <w:tcPr>
            <w:tcW w:w="2551" w:type="dxa"/>
            <w:tcBorders>
              <w:bottom w:val="nil"/>
            </w:tcBorders>
            <w:shd w:val="clear" w:color="auto" w:fill="DAEEF3" w:themeFill="accent5" w:themeFillTint="33"/>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0 units</w:t>
            </w:r>
          </w:p>
        </w:tc>
        <w:tc>
          <w:tcPr>
            <w:tcW w:w="2755" w:type="dxa"/>
            <w:tcBorders>
              <w:bottom w:val="nil"/>
            </w:tcBorders>
            <w:shd w:val="clear" w:color="auto" w:fill="DAEEF3" w:themeFill="accent5" w:themeFillTint="33"/>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28 units</w:t>
            </w:r>
          </w:p>
        </w:tc>
      </w:tr>
      <w:tr w:rsidR="00F730B1" w:rsidRPr="00885A39" w:rsidTr="00F730B1">
        <w:tc>
          <w:tcPr>
            <w:tcW w:w="4077" w:type="dxa"/>
            <w:tcBorders>
              <w:top w:val="nil"/>
              <w:bottom w:val="nil"/>
            </w:tcBorders>
          </w:tcPr>
          <w:p w:rsidR="00F730B1" w:rsidRPr="00885A39" w:rsidRDefault="00F730B1" w:rsidP="00F730B1">
            <w:pPr>
              <w:tabs>
                <w:tab w:val="left" w:pos="284"/>
              </w:tabs>
              <w:rPr>
                <w:rFonts w:asciiTheme="minorHAnsi" w:hAnsiTheme="minorHAnsi" w:cstheme="minorHAnsi"/>
              </w:rPr>
            </w:pPr>
            <w:r w:rsidRPr="00885A39">
              <w:rPr>
                <w:rFonts w:asciiTheme="minorHAnsi" w:hAnsiTheme="minorHAnsi" w:cstheme="minorHAnsi"/>
                <w:sz w:val="22"/>
                <w:szCs w:val="22"/>
              </w:rPr>
              <w:tab/>
              <w:t>Memory services</w:t>
            </w:r>
          </w:p>
        </w:tc>
        <w:tc>
          <w:tcPr>
            <w:tcW w:w="2551" w:type="dxa"/>
            <w:tcBorders>
              <w:top w:val="nil"/>
              <w:bottom w:val="nil"/>
            </w:tcBorders>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0 services</w:t>
            </w:r>
          </w:p>
        </w:tc>
        <w:tc>
          <w:tcPr>
            <w:tcW w:w="2755" w:type="dxa"/>
            <w:tcBorders>
              <w:top w:val="nil"/>
              <w:bottom w:val="nil"/>
            </w:tcBorders>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52ervices</w:t>
            </w:r>
          </w:p>
        </w:tc>
      </w:tr>
      <w:tr w:rsidR="00F730B1" w:rsidRPr="00885A39" w:rsidTr="00F730B1">
        <w:tc>
          <w:tcPr>
            <w:tcW w:w="4077" w:type="dxa"/>
            <w:tcBorders>
              <w:bottom w:val="nil"/>
            </w:tcBorders>
            <w:shd w:val="clear" w:color="auto" w:fill="DAEEF3" w:themeFill="accent5" w:themeFillTint="33"/>
          </w:tcPr>
          <w:p w:rsidR="00F730B1" w:rsidRPr="00885A39" w:rsidRDefault="00F730B1" w:rsidP="00F730B1">
            <w:pPr>
              <w:tabs>
                <w:tab w:val="left" w:pos="284"/>
              </w:tabs>
              <w:rPr>
                <w:rFonts w:asciiTheme="minorHAnsi" w:hAnsiTheme="minorHAnsi" w:cstheme="minorHAnsi"/>
              </w:rPr>
            </w:pPr>
            <w:r w:rsidRPr="00885A39">
              <w:rPr>
                <w:rFonts w:asciiTheme="minorHAnsi" w:hAnsiTheme="minorHAnsi" w:cstheme="minorHAnsi"/>
                <w:sz w:val="22"/>
                <w:szCs w:val="22"/>
              </w:rPr>
              <w:tab/>
              <w:t>Psychiatric liaison teams</w:t>
            </w:r>
          </w:p>
        </w:tc>
        <w:tc>
          <w:tcPr>
            <w:tcW w:w="2551" w:type="dxa"/>
            <w:tcBorders>
              <w:bottom w:val="nil"/>
            </w:tcBorders>
            <w:shd w:val="clear" w:color="auto" w:fill="DAEEF3" w:themeFill="accent5" w:themeFillTint="33"/>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0 teams</w:t>
            </w:r>
          </w:p>
        </w:tc>
        <w:tc>
          <w:tcPr>
            <w:tcW w:w="2755" w:type="dxa"/>
            <w:tcBorders>
              <w:bottom w:val="nil"/>
            </w:tcBorders>
            <w:shd w:val="clear" w:color="auto" w:fill="DAEEF3" w:themeFill="accent5" w:themeFillTint="33"/>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36 teams</w:t>
            </w:r>
          </w:p>
        </w:tc>
      </w:tr>
      <w:tr w:rsidR="00F730B1" w:rsidRPr="00885A39" w:rsidTr="00F730B1">
        <w:tc>
          <w:tcPr>
            <w:tcW w:w="9383" w:type="dxa"/>
            <w:gridSpan w:val="3"/>
            <w:tcBorders>
              <w:top w:val="nil"/>
            </w:tcBorders>
            <w:shd w:val="clear" w:color="auto" w:fill="0070C0"/>
          </w:tcPr>
          <w:p w:rsidR="00F730B1" w:rsidRPr="00885A39" w:rsidRDefault="00F730B1" w:rsidP="00F730B1">
            <w:pPr>
              <w:rPr>
                <w:rFonts w:asciiTheme="minorHAnsi" w:hAnsiTheme="minorHAnsi" w:cstheme="minorHAnsi"/>
                <w:b/>
                <w:color w:val="FFFFFF"/>
              </w:rPr>
            </w:pPr>
            <w:r w:rsidRPr="00885A39">
              <w:rPr>
                <w:rFonts w:asciiTheme="minorHAnsi" w:hAnsiTheme="minorHAnsi" w:cstheme="minorHAnsi"/>
                <w:b/>
                <w:color w:val="FFFFFF"/>
                <w:sz w:val="22"/>
                <w:szCs w:val="22"/>
              </w:rPr>
              <w:t>Service quality improvement networks</w:t>
            </w:r>
          </w:p>
        </w:tc>
      </w:tr>
      <w:tr w:rsidR="00F730B1" w:rsidRPr="00885A39" w:rsidTr="00F730B1">
        <w:tc>
          <w:tcPr>
            <w:tcW w:w="4077" w:type="dxa"/>
            <w:tcBorders>
              <w:bottom w:val="nil"/>
            </w:tcBorders>
          </w:tcPr>
          <w:p w:rsidR="00F730B1" w:rsidRPr="00885A39" w:rsidRDefault="00F730B1" w:rsidP="00F730B1">
            <w:pPr>
              <w:tabs>
                <w:tab w:val="left" w:pos="284"/>
              </w:tabs>
              <w:rPr>
                <w:rFonts w:asciiTheme="minorHAnsi" w:hAnsiTheme="minorHAnsi" w:cstheme="minorHAnsi"/>
              </w:rPr>
            </w:pPr>
            <w:r w:rsidRPr="00885A39">
              <w:rPr>
                <w:rFonts w:asciiTheme="minorHAnsi" w:hAnsiTheme="minorHAnsi" w:cstheme="minorHAnsi"/>
                <w:sz w:val="22"/>
                <w:szCs w:val="22"/>
              </w:rPr>
              <w:tab/>
              <w:t>Inpatient child and adolescent units</w:t>
            </w:r>
          </w:p>
        </w:tc>
        <w:tc>
          <w:tcPr>
            <w:tcW w:w="2551" w:type="dxa"/>
            <w:tcBorders>
              <w:bottom w:val="nil"/>
            </w:tcBorders>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2 units</w:t>
            </w:r>
          </w:p>
        </w:tc>
        <w:tc>
          <w:tcPr>
            <w:tcW w:w="2755" w:type="dxa"/>
            <w:tcBorders>
              <w:bottom w:val="nil"/>
            </w:tcBorders>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103 units</w:t>
            </w:r>
          </w:p>
        </w:tc>
      </w:tr>
      <w:tr w:rsidR="00F730B1" w:rsidRPr="00885A39" w:rsidTr="00F730B1">
        <w:tc>
          <w:tcPr>
            <w:tcW w:w="4077" w:type="dxa"/>
            <w:tcBorders>
              <w:bottom w:val="nil"/>
            </w:tcBorders>
            <w:shd w:val="clear" w:color="auto" w:fill="DAEEF3" w:themeFill="accent5" w:themeFillTint="33"/>
          </w:tcPr>
          <w:p w:rsidR="00F730B1" w:rsidRPr="00885A39" w:rsidRDefault="00F730B1" w:rsidP="00F730B1">
            <w:pPr>
              <w:tabs>
                <w:tab w:val="left" w:pos="284"/>
              </w:tabs>
              <w:ind w:left="284" w:hanging="284"/>
              <w:rPr>
                <w:rFonts w:asciiTheme="minorHAnsi" w:hAnsiTheme="minorHAnsi" w:cstheme="minorHAnsi"/>
              </w:rPr>
            </w:pPr>
            <w:r w:rsidRPr="00885A39">
              <w:rPr>
                <w:rFonts w:asciiTheme="minorHAnsi" w:hAnsiTheme="minorHAnsi" w:cstheme="minorHAnsi"/>
                <w:sz w:val="22"/>
                <w:szCs w:val="22"/>
              </w:rPr>
              <w:tab/>
              <w:t>Child and adolescent community MH teams</w:t>
            </w:r>
          </w:p>
        </w:tc>
        <w:tc>
          <w:tcPr>
            <w:tcW w:w="2551" w:type="dxa"/>
            <w:tcBorders>
              <w:bottom w:val="nil"/>
            </w:tcBorders>
            <w:shd w:val="clear" w:color="auto" w:fill="DAEEF3" w:themeFill="accent5" w:themeFillTint="33"/>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2 teams</w:t>
            </w:r>
          </w:p>
        </w:tc>
        <w:tc>
          <w:tcPr>
            <w:tcW w:w="2755" w:type="dxa"/>
            <w:tcBorders>
              <w:bottom w:val="nil"/>
            </w:tcBorders>
            <w:shd w:val="clear" w:color="auto" w:fill="DAEEF3" w:themeFill="accent5" w:themeFillTint="33"/>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68 teams</w:t>
            </w:r>
          </w:p>
        </w:tc>
      </w:tr>
      <w:tr w:rsidR="00F730B1" w:rsidRPr="00885A39" w:rsidTr="00F730B1">
        <w:tc>
          <w:tcPr>
            <w:tcW w:w="4077" w:type="dxa"/>
            <w:tcBorders>
              <w:top w:val="nil"/>
              <w:bottom w:val="nil"/>
            </w:tcBorders>
          </w:tcPr>
          <w:p w:rsidR="00F730B1" w:rsidRPr="00885A39" w:rsidRDefault="00F730B1" w:rsidP="00F730B1">
            <w:pPr>
              <w:tabs>
                <w:tab w:val="left" w:pos="284"/>
              </w:tabs>
              <w:rPr>
                <w:rFonts w:asciiTheme="minorHAnsi" w:hAnsiTheme="minorHAnsi" w:cstheme="minorHAnsi"/>
              </w:rPr>
            </w:pPr>
            <w:r w:rsidRPr="00885A39">
              <w:rPr>
                <w:rFonts w:asciiTheme="minorHAnsi" w:hAnsiTheme="minorHAnsi" w:cstheme="minorHAnsi"/>
                <w:sz w:val="22"/>
                <w:szCs w:val="22"/>
              </w:rPr>
              <w:tab/>
              <w:t>Therapeutic communities</w:t>
            </w:r>
          </w:p>
        </w:tc>
        <w:tc>
          <w:tcPr>
            <w:tcW w:w="2551" w:type="dxa"/>
            <w:tcBorders>
              <w:top w:val="nil"/>
              <w:bottom w:val="nil"/>
            </w:tcBorders>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2 communities</w:t>
            </w:r>
          </w:p>
        </w:tc>
        <w:tc>
          <w:tcPr>
            <w:tcW w:w="2755" w:type="dxa"/>
            <w:tcBorders>
              <w:top w:val="nil"/>
              <w:bottom w:val="nil"/>
            </w:tcBorders>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83 communities</w:t>
            </w:r>
          </w:p>
        </w:tc>
      </w:tr>
      <w:tr w:rsidR="00F730B1" w:rsidRPr="00885A39" w:rsidTr="00F730B1">
        <w:tc>
          <w:tcPr>
            <w:tcW w:w="4077" w:type="dxa"/>
            <w:tcBorders>
              <w:bottom w:val="nil"/>
            </w:tcBorders>
            <w:shd w:val="clear" w:color="auto" w:fill="DAEEF3" w:themeFill="accent5" w:themeFillTint="33"/>
          </w:tcPr>
          <w:p w:rsidR="00F730B1" w:rsidRPr="00885A39" w:rsidRDefault="00F730B1" w:rsidP="00F730B1">
            <w:pPr>
              <w:tabs>
                <w:tab w:val="left" w:pos="284"/>
              </w:tabs>
              <w:rPr>
                <w:rFonts w:asciiTheme="minorHAnsi" w:hAnsiTheme="minorHAnsi" w:cstheme="minorHAnsi"/>
              </w:rPr>
            </w:pPr>
            <w:r w:rsidRPr="00885A39">
              <w:rPr>
                <w:rFonts w:asciiTheme="minorHAnsi" w:hAnsiTheme="minorHAnsi" w:cstheme="minorHAnsi"/>
                <w:sz w:val="22"/>
                <w:szCs w:val="22"/>
              </w:rPr>
              <w:tab/>
              <w:t>Forensic mental health services</w:t>
            </w:r>
          </w:p>
        </w:tc>
        <w:tc>
          <w:tcPr>
            <w:tcW w:w="2551" w:type="dxa"/>
            <w:tcBorders>
              <w:bottom w:val="nil"/>
            </w:tcBorders>
            <w:shd w:val="clear" w:color="auto" w:fill="DAEEF3" w:themeFill="accent5" w:themeFillTint="33"/>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2 services</w:t>
            </w:r>
          </w:p>
        </w:tc>
        <w:tc>
          <w:tcPr>
            <w:tcW w:w="2755" w:type="dxa"/>
            <w:tcBorders>
              <w:bottom w:val="nil"/>
            </w:tcBorders>
            <w:shd w:val="clear" w:color="auto" w:fill="DAEEF3" w:themeFill="accent5" w:themeFillTint="33"/>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70 services</w:t>
            </w:r>
          </w:p>
        </w:tc>
      </w:tr>
      <w:tr w:rsidR="00F730B1" w:rsidRPr="00885A39" w:rsidTr="00F730B1">
        <w:tc>
          <w:tcPr>
            <w:tcW w:w="4077" w:type="dxa"/>
            <w:tcBorders>
              <w:top w:val="nil"/>
              <w:bottom w:val="nil"/>
            </w:tcBorders>
          </w:tcPr>
          <w:p w:rsidR="00F730B1" w:rsidRPr="00885A39" w:rsidRDefault="00F730B1" w:rsidP="00F730B1">
            <w:pPr>
              <w:tabs>
                <w:tab w:val="left" w:pos="284"/>
              </w:tabs>
              <w:rPr>
                <w:rFonts w:asciiTheme="minorHAnsi" w:hAnsiTheme="minorHAnsi" w:cstheme="minorHAnsi"/>
              </w:rPr>
            </w:pPr>
            <w:r w:rsidRPr="00885A39">
              <w:rPr>
                <w:rFonts w:asciiTheme="minorHAnsi" w:hAnsiTheme="minorHAnsi" w:cstheme="minorHAnsi"/>
                <w:sz w:val="22"/>
                <w:szCs w:val="22"/>
              </w:rPr>
              <w:tab/>
            </w:r>
            <w:proofErr w:type="spellStart"/>
            <w:r w:rsidRPr="00885A39">
              <w:rPr>
                <w:rFonts w:asciiTheme="minorHAnsi" w:hAnsiTheme="minorHAnsi" w:cstheme="minorHAnsi"/>
                <w:sz w:val="22"/>
                <w:szCs w:val="22"/>
              </w:rPr>
              <w:t>Perinatal</w:t>
            </w:r>
            <w:proofErr w:type="spellEnd"/>
            <w:r w:rsidRPr="00885A39">
              <w:rPr>
                <w:rFonts w:asciiTheme="minorHAnsi" w:hAnsiTheme="minorHAnsi" w:cstheme="minorHAnsi"/>
                <w:sz w:val="22"/>
                <w:szCs w:val="22"/>
              </w:rPr>
              <w:t xml:space="preserve"> mental health inpatient units</w:t>
            </w:r>
          </w:p>
        </w:tc>
        <w:tc>
          <w:tcPr>
            <w:tcW w:w="2551" w:type="dxa"/>
            <w:tcBorders>
              <w:top w:val="nil"/>
              <w:bottom w:val="nil"/>
            </w:tcBorders>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0 units</w:t>
            </w:r>
          </w:p>
        </w:tc>
        <w:tc>
          <w:tcPr>
            <w:tcW w:w="2755" w:type="dxa"/>
            <w:tcBorders>
              <w:top w:val="nil"/>
              <w:bottom w:val="nil"/>
            </w:tcBorders>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15 units</w:t>
            </w:r>
          </w:p>
        </w:tc>
      </w:tr>
      <w:tr w:rsidR="00F730B1" w:rsidRPr="00885A39" w:rsidTr="00F730B1">
        <w:tc>
          <w:tcPr>
            <w:tcW w:w="4077" w:type="dxa"/>
            <w:tcBorders>
              <w:bottom w:val="nil"/>
            </w:tcBorders>
            <w:shd w:val="clear" w:color="auto" w:fill="DAEEF3" w:themeFill="accent5" w:themeFillTint="33"/>
          </w:tcPr>
          <w:p w:rsidR="00F730B1" w:rsidRPr="00885A39" w:rsidRDefault="00F730B1" w:rsidP="00F730B1">
            <w:pPr>
              <w:tabs>
                <w:tab w:val="left" w:pos="284"/>
              </w:tabs>
              <w:rPr>
                <w:rFonts w:asciiTheme="minorHAnsi" w:hAnsiTheme="minorHAnsi" w:cstheme="minorHAnsi"/>
              </w:rPr>
            </w:pPr>
            <w:r w:rsidRPr="00885A39">
              <w:rPr>
                <w:rFonts w:asciiTheme="minorHAnsi" w:hAnsiTheme="minorHAnsi" w:cstheme="minorHAnsi"/>
                <w:sz w:val="22"/>
                <w:szCs w:val="22"/>
              </w:rPr>
              <w:tab/>
              <w:t>Enabling Environments</w:t>
            </w:r>
          </w:p>
        </w:tc>
        <w:tc>
          <w:tcPr>
            <w:tcW w:w="2551" w:type="dxa"/>
            <w:tcBorders>
              <w:bottom w:val="nil"/>
            </w:tcBorders>
            <w:shd w:val="clear" w:color="auto" w:fill="DAEEF3" w:themeFill="accent5" w:themeFillTint="33"/>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0 environments</w:t>
            </w:r>
          </w:p>
        </w:tc>
        <w:tc>
          <w:tcPr>
            <w:tcW w:w="2755" w:type="dxa"/>
            <w:tcBorders>
              <w:bottom w:val="nil"/>
            </w:tcBorders>
            <w:shd w:val="clear" w:color="auto" w:fill="DAEEF3" w:themeFill="accent5" w:themeFillTint="33"/>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12 environments</w:t>
            </w:r>
          </w:p>
        </w:tc>
      </w:tr>
      <w:tr w:rsidR="00F730B1" w:rsidRPr="00885A39" w:rsidTr="00F730B1">
        <w:tc>
          <w:tcPr>
            <w:tcW w:w="4077" w:type="dxa"/>
            <w:tcBorders>
              <w:top w:val="nil"/>
            </w:tcBorders>
          </w:tcPr>
          <w:p w:rsidR="00F730B1" w:rsidRPr="00885A39" w:rsidRDefault="00F730B1" w:rsidP="00F730B1">
            <w:pPr>
              <w:tabs>
                <w:tab w:val="left" w:pos="284"/>
              </w:tabs>
              <w:rPr>
                <w:rFonts w:asciiTheme="minorHAnsi" w:hAnsiTheme="minorHAnsi" w:cstheme="minorHAnsi"/>
                <w:b/>
              </w:rPr>
            </w:pPr>
            <w:r w:rsidRPr="00885A39">
              <w:rPr>
                <w:rFonts w:asciiTheme="minorHAnsi" w:hAnsiTheme="minorHAnsi" w:cstheme="minorHAnsi"/>
                <w:b/>
                <w:sz w:val="22"/>
                <w:szCs w:val="22"/>
              </w:rPr>
              <w:t>Multisource feedback for psychiatrists (ACP 360)</w:t>
            </w:r>
          </w:p>
        </w:tc>
        <w:tc>
          <w:tcPr>
            <w:tcW w:w="2551" w:type="dxa"/>
            <w:tcBorders>
              <w:top w:val="nil"/>
            </w:tcBorders>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0 enrolments (in 2011/12)</w:t>
            </w:r>
          </w:p>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3 enrolments (in total)</w:t>
            </w:r>
          </w:p>
        </w:tc>
        <w:tc>
          <w:tcPr>
            <w:tcW w:w="2755" w:type="dxa"/>
            <w:tcBorders>
              <w:top w:val="nil"/>
            </w:tcBorders>
          </w:tcPr>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3,679 enrolments (in 2011/12)</w:t>
            </w:r>
          </w:p>
          <w:p w:rsidR="00F730B1" w:rsidRPr="00885A39" w:rsidRDefault="00F730B1" w:rsidP="00F730B1">
            <w:pPr>
              <w:rPr>
                <w:rFonts w:asciiTheme="minorHAnsi" w:hAnsiTheme="minorHAnsi" w:cstheme="minorHAnsi"/>
              </w:rPr>
            </w:pPr>
            <w:r w:rsidRPr="00885A39">
              <w:rPr>
                <w:rFonts w:asciiTheme="minorHAnsi" w:hAnsiTheme="minorHAnsi" w:cstheme="minorHAnsi"/>
                <w:sz w:val="22"/>
                <w:szCs w:val="22"/>
              </w:rPr>
              <w:t>4,756 enrolments (in total)</w:t>
            </w:r>
          </w:p>
        </w:tc>
      </w:tr>
      <w:tr w:rsidR="00F730B1" w:rsidRPr="00885A39" w:rsidTr="00F730B1">
        <w:tc>
          <w:tcPr>
            <w:tcW w:w="4077" w:type="dxa"/>
          </w:tcPr>
          <w:p w:rsidR="00F730B1" w:rsidRPr="00885A39" w:rsidRDefault="00F730B1" w:rsidP="00F730B1">
            <w:pPr>
              <w:tabs>
                <w:tab w:val="left" w:pos="284"/>
              </w:tabs>
              <w:rPr>
                <w:rFonts w:asciiTheme="minorHAnsi" w:hAnsiTheme="minorHAnsi" w:cstheme="minorHAnsi"/>
                <w:b/>
              </w:rPr>
            </w:pPr>
          </w:p>
        </w:tc>
        <w:tc>
          <w:tcPr>
            <w:tcW w:w="2551" w:type="dxa"/>
          </w:tcPr>
          <w:p w:rsidR="00F730B1" w:rsidRPr="00885A39" w:rsidRDefault="00F730B1" w:rsidP="00F730B1">
            <w:pPr>
              <w:rPr>
                <w:rFonts w:asciiTheme="minorHAnsi" w:hAnsiTheme="minorHAnsi" w:cstheme="minorHAnsi"/>
              </w:rPr>
            </w:pPr>
          </w:p>
        </w:tc>
        <w:tc>
          <w:tcPr>
            <w:tcW w:w="2755" w:type="dxa"/>
          </w:tcPr>
          <w:p w:rsidR="00F730B1" w:rsidRPr="00885A39" w:rsidRDefault="00F730B1" w:rsidP="00F730B1">
            <w:pPr>
              <w:rPr>
                <w:rFonts w:asciiTheme="minorHAnsi" w:hAnsiTheme="minorHAnsi" w:cstheme="minorHAnsi"/>
              </w:rPr>
            </w:pPr>
          </w:p>
        </w:tc>
      </w:tr>
    </w:tbl>
    <w:p w:rsidR="00F730B1" w:rsidRPr="00885A39" w:rsidRDefault="00F730B1" w:rsidP="00F730B1">
      <w:pPr>
        <w:rPr>
          <w:rFonts w:asciiTheme="minorHAnsi" w:hAnsiTheme="minorHAnsi" w:cstheme="minorHAnsi"/>
          <w:sz w:val="22"/>
          <w:szCs w:val="22"/>
        </w:rPr>
      </w:pPr>
    </w:p>
    <w:p w:rsidR="00F730B1" w:rsidRPr="000C1B97" w:rsidRDefault="00F730B1" w:rsidP="00EE6C2E">
      <w:pPr>
        <w:pStyle w:val="Heading3"/>
      </w:pPr>
      <w:r w:rsidRPr="000C1B97">
        <w:t xml:space="preserve">Statement of Participation in the National Audit of Psychological Therapies </w:t>
      </w:r>
    </w:p>
    <w:p w:rsidR="00F730B1" w:rsidRPr="000C1B97" w:rsidRDefault="00F730B1" w:rsidP="00F730B1">
      <w:pPr>
        <w:rPr>
          <w:rFonts w:asciiTheme="minorHAnsi" w:hAnsiTheme="minorHAnsi" w:cstheme="minorHAnsi"/>
          <w:b/>
        </w:rPr>
      </w:pPr>
    </w:p>
    <w:p w:rsidR="00F730B1" w:rsidRPr="000C1B97" w:rsidRDefault="00F730B1" w:rsidP="00F730B1">
      <w:pPr>
        <w:rPr>
          <w:rFonts w:asciiTheme="minorHAnsi" w:hAnsiTheme="minorHAnsi" w:cstheme="minorHAnsi"/>
          <w:b/>
        </w:rPr>
      </w:pPr>
      <w:r w:rsidRPr="000C1B97">
        <w:rPr>
          <w:rFonts w:asciiTheme="minorHAnsi" w:hAnsiTheme="minorHAnsi" w:cstheme="minorHAnsi"/>
          <w:b/>
        </w:rPr>
        <w:t>Baseline Audit Data: April 1st 2011 – March 31st 2012</w:t>
      </w:r>
    </w:p>
    <w:p w:rsidR="00F730B1" w:rsidRPr="00885A39" w:rsidRDefault="00F730B1" w:rsidP="00F730B1">
      <w:pPr>
        <w:rPr>
          <w:rFonts w:asciiTheme="minorHAnsi" w:hAnsiTheme="minorHAnsi" w:cstheme="minorHAnsi"/>
          <w:sz w:val="22"/>
          <w:szCs w:val="22"/>
        </w:rPr>
      </w:pPr>
    </w:p>
    <w:tbl>
      <w:tblPr>
        <w:tblW w:w="0" w:type="auto"/>
        <w:tblLook w:val="01E0"/>
      </w:tblPr>
      <w:tblGrid>
        <w:gridCol w:w="2462"/>
        <w:gridCol w:w="2462"/>
        <w:gridCol w:w="2465"/>
        <w:gridCol w:w="2466"/>
      </w:tblGrid>
      <w:tr w:rsidR="00F730B1" w:rsidRPr="00885A39" w:rsidTr="00F730B1">
        <w:tc>
          <w:tcPr>
            <w:tcW w:w="2530" w:type="dxa"/>
            <w:shd w:val="clear" w:color="auto" w:fill="0070C0"/>
          </w:tcPr>
          <w:p w:rsidR="00F730B1" w:rsidRPr="00885A39" w:rsidRDefault="00F730B1" w:rsidP="00F730B1">
            <w:pPr>
              <w:jc w:val="center"/>
              <w:rPr>
                <w:rFonts w:asciiTheme="minorHAnsi" w:hAnsiTheme="minorHAnsi" w:cstheme="minorHAnsi"/>
                <w:b/>
                <w:color w:val="FFFFFF"/>
              </w:rPr>
            </w:pPr>
            <w:r w:rsidRPr="00885A39">
              <w:rPr>
                <w:rFonts w:asciiTheme="minorHAnsi" w:hAnsiTheme="minorHAnsi" w:cstheme="minorHAnsi"/>
                <w:b/>
                <w:color w:val="FFFFFF"/>
                <w:sz w:val="22"/>
                <w:szCs w:val="22"/>
              </w:rPr>
              <w:t>Number of teams participating in the audit</w:t>
            </w:r>
          </w:p>
        </w:tc>
        <w:tc>
          <w:tcPr>
            <w:tcW w:w="2530" w:type="dxa"/>
            <w:shd w:val="clear" w:color="auto" w:fill="0070C0"/>
          </w:tcPr>
          <w:p w:rsidR="00F730B1" w:rsidRPr="00885A39" w:rsidRDefault="00F730B1" w:rsidP="00F730B1">
            <w:pPr>
              <w:jc w:val="center"/>
              <w:rPr>
                <w:rFonts w:asciiTheme="minorHAnsi" w:hAnsiTheme="minorHAnsi" w:cstheme="minorHAnsi"/>
                <w:b/>
                <w:color w:val="FFFFFF"/>
              </w:rPr>
            </w:pPr>
            <w:r w:rsidRPr="00885A39">
              <w:rPr>
                <w:rFonts w:asciiTheme="minorHAnsi" w:hAnsiTheme="minorHAnsi" w:cstheme="minorHAnsi"/>
                <w:b/>
                <w:color w:val="FFFFFF"/>
                <w:sz w:val="22"/>
                <w:szCs w:val="22"/>
              </w:rPr>
              <w:t>Number of teams participating nationally</w:t>
            </w:r>
          </w:p>
        </w:tc>
        <w:tc>
          <w:tcPr>
            <w:tcW w:w="2530" w:type="dxa"/>
            <w:shd w:val="clear" w:color="auto" w:fill="0070C0"/>
          </w:tcPr>
          <w:p w:rsidR="00F730B1" w:rsidRPr="00885A39" w:rsidRDefault="00F730B1" w:rsidP="00F730B1">
            <w:pPr>
              <w:jc w:val="center"/>
              <w:rPr>
                <w:rFonts w:asciiTheme="minorHAnsi" w:hAnsiTheme="minorHAnsi" w:cstheme="minorHAnsi"/>
                <w:b/>
                <w:color w:val="FFFFFF"/>
              </w:rPr>
            </w:pPr>
            <w:r w:rsidRPr="00885A39">
              <w:rPr>
                <w:rFonts w:asciiTheme="minorHAnsi" w:hAnsiTheme="minorHAnsi" w:cstheme="minorHAnsi"/>
                <w:b/>
                <w:color w:val="FFFFFF"/>
                <w:sz w:val="22"/>
                <w:szCs w:val="22"/>
              </w:rPr>
              <w:t>Number of patients from Trust included in Q3 retrospective audit</w:t>
            </w:r>
          </w:p>
        </w:tc>
        <w:tc>
          <w:tcPr>
            <w:tcW w:w="2531" w:type="dxa"/>
            <w:shd w:val="clear" w:color="auto" w:fill="0070C0"/>
          </w:tcPr>
          <w:p w:rsidR="00F730B1" w:rsidRPr="00885A39" w:rsidRDefault="00F730B1" w:rsidP="00F730B1">
            <w:pPr>
              <w:jc w:val="center"/>
              <w:rPr>
                <w:rFonts w:asciiTheme="minorHAnsi" w:hAnsiTheme="minorHAnsi" w:cstheme="minorHAnsi"/>
                <w:b/>
                <w:color w:val="FFFFFF"/>
              </w:rPr>
            </w:pPr>
            <w:r w:rsidRPr="00885A39">
              <w:rPr>
                <w:rFonts w:asciiTheme="minorHAnsi" w:hAnsiTheme="minorHAnsi" w:cstheme="minorHAnsi"/>
                <w:b/>
                <w:color w:val="FFFFFF"/>
                <w:sz w:val="22"/>
                <w:szCs w:val="22"/>
              </w:rPr>
              <w:t>Number of patients included in Q3 retrospective audit nationally</w:t>
            </w:r>
          </w:p>
        </w:tc>
      </w:tr>
      <w:tr w:rsidR="00F730B1" w:rsidRPr="00885A39" w:rsidTr="00F730B1">
        <w:tc>
          <w:tcPr>
            <w:tcW w:w="2530" w:type="dxa"/>
          </w:tcPr>
          <w:p w:rsidR="00F730B1" w:rsidRPr="00885A39" w:rsidRDefault="00F730B1" w:rsidP="00F730B1">
            <w:pPr>
              <w:jc w:val="center"/>
              <w:rPr>
                <w:rFonts w:asciiTheme="minorHAnsi" w:hAnsiTheme="minorHAnsi" w:cstheme="minorHAnsi"/>
                <w:b/>
              </w:rPr>
            </w:pPr>
          </w:p>
        </w:tc>
        <w:tc>
          <w:tcPr>
            <w:tcW w:w="2530" w:type="dxa"/>
          </w:tcPr>
          <w:p w:rsidR="00F730B1" w:rsidRPr="00885A39" w:rsidRDefault="00F730B1" w:rsidP="00F730B1">
            <w:pPr>
              <w:jc w:val="center"/>
              <w:rPr>
                <w:rFonts w:asciiTheme="minorHAnsi" w:hAnsiTheme="minorHAnsi" w:cstheme="minorHAnsi"/>
                <w:b/>
              </w:rPr>
            </w:pPr>
          </w:p>
        </w:tc>
        <w:tc>
          <w:tcPr>
            <w:tcW w:w="2530" w:type="dxa"/>
          </w:tcPr>
          <w:p w:rsidR="00F730B1" w:rsidRPr="00885A39" w:rsidRDefault="00F730B1" w:rsidP="00F730B1">
            <w:pPr>
              <w:jc w:val="center"/>
              <w:rPr>
                <w:rFonts w:asciiTheme="minorHAnsi" w:hAnsiTheme="minorHAnsi" w:cstheme="minorHAnsi"/>
                <w:b/>
              </w:rPr>
            </w:pPr>
          </w:p>
        </w:tc>
        <w:tc>
          <w:tcPr>
            <w:tcW w:w="2531" w:type="dxa"/>
          </w:tcPr>
          <w:p w:rsidR="00F730B1" w:rsidRPr="00885A39" w:rsidRDefault="00F730B1" w:rsidP="00F730B1">
            <w:pPr>
              <w:jc w:val="center"/>
              <w:rPr>
                <w:rFonts w:asciiTheme="minorHAnsi" w:hAnsiTheme="minorHAnsi" w:cstheme="minorHAnsi"/>
                <w:b/>
              </w:rPr>
            </w:pPr>
          </w:p>
        </w:tc>
      </w:tr>
      <w:tr w:rsidR="00F730B1" w:rsidRPr="00885A39" w:rsidTr="00F730B1">
        <w:tc>
          <w:tcPr>
            <w:tcW w:w="2530" w:type="dxa"/>
          </w:tcPr>
          <w:p w:rsidR="00F730B1" w:rsidRPr="00885A39" w:rsidRDefault="00F730B1" w:rsidP="00F730B1">
            <w:pPr>
              <w:jc w:val="center"/>
              <w:rPr>
                <w:rFonts w:asciiTheme="minorHAnsi" w:hAnsiTheme="minorHAnsi" w:cstheme="minorHAnsi"/>
                <w:b/>
              </w:rPr>
            </w:pPr>
            <w:r>
              <w:rPr>
                <w:rFonts w:asciiTheme="minorHAnsi" w:hAnsiTheme="minorHAnsi" w:cstheme="minorHAnsi"/>
                <w:b/>
                <w:sz w:val="22"/>
                <w:szCs w:val="22"/>
              </w:rPr>
              <w:t>3</w:t>
            </w:r>
          </w:p>
        </w:tc>
        <w:tc>
          <w:tcPr>
            <w:tcW w:w="2530" w:type="dxa"/>
          </w:tcPr>
          <w:p w:rsidR="00F730B1" w:rsidRPr="00885A39" w:rsidRDefault="00F730B1" w:rsidP="00F730B1">
            <w:pPr>
              <w:jc w:val="center"/>
              <w:rPr>
                <w:rFonts w:asciiTheme="minorHAnsi" w:hAnsiTheme="minorHAnsi" w:cstheme="minorHAnsi"/>
                <w:b/>
              </w:rPr>
            </w:pPr>
            <w:r w:rsidRPr="00885A39">
              <w:rPr>
                <w:rFonts w:asciiTheme="minorHAnsi" w:hAnsiTheme="minorHAnsi" w:cstheme="minorHAnsi"/>
                <w:b/>
                <w:sz w:val="22"/>
                <w:szCs w:val="22"/>
              </w:rPr>
              <w:t>362</w:t>
            </w:r>
          </w:p>
        </w:tc>
        <w:tc>
          <w:tcPr>
            <w:tcW w:w="2530" w:type="dxa"/>
          </w:tcPr>
          <w:p w:rsidR="00F730B1" w:rsidRPr="00885A39" w:rsidRDefault="00F730B1" w:rsidP="00F730B1">
            <w:pPr>
              <w:jc w:val="center"/>
              <w:rPr>
                <w:rFonts w:asciiTheme="minorHAnsi" w:hAnsiTheme="minorHAnsi" w:cstheme="minorHAnsi"/>
                <w:b/>
              </w:rPr>
            </w:pPr>
            <w:r w:rsidRPr="00885A39">
              <w:rPr>
                <w:rFonts w:asciiTheme="minorHAnsi" w:hAnsiTheme="minorHAnsi" w:cstheme="minorHAnsi"/>
                <w:b/>
                <w:sz w:val="22"/>
                <w:szCs w:val="22"/>
              </w:rPr>
              <w:t>1</w:t>
            </w:r>
            <w:r>
              <w:rPr>
                <w:rFonts w:asciiTheme="minorHAnsi" w:hAnsiTheme="minorHAnsi" w:cstheme="minorHAnsi"/>
                <w:b/>
                <w:sz w:val="22"/>
                <w:szCs w:val="22"/>
              </w:rPr>
              <w:t>242</w:t>
            </w:r>
          </w:p>
        </w:tc>
        <w:tc>
          <w:tcPr>
            <w:tcW w:w="2531" w:type="dxa"/>
          </w:tcPr>
          <w:p w:rsidR="00F730B1" w:rsidRPr="00885A39" w:rsidRDefault="00F730B1" w:rsidP="00F730B1">
            <w:pPr>
              <w:jc w:val="center"/>
              <w:rPr>
                <w:rFonts w:asciiTheme="minorHAnsi" w:hAnsiTheme="minorHAnsi" w:cstheme="minorHAnsi"/>
                <w:b/>
              </w:rPr>
            </w:pPr>
            <w:r w:rsidRPr="00885A39">
              <w:rPr>
                <w:rFonts w:asciiTheme="minorHAnsi" w:hAnsiTheme="minorHAnsi" w:cstheme="minorHAnsi"/>
                <w:b/>
                <w:sz w:val="22"/>
                <w:szCs w:val="22"/>
              </w:rPr>
              <w:t>50403</w:t>
            </w:r>
          </w:p>
        </w:tc>
      </w:tr>
      <w:tr w:rsidR="00F730B1" w:rsidRPr="00885A39" w:rsidTr="00F730B1">
        <w:tc>
          <w:tcPr>
            <w:tcW w:w="2530" w:type="dxa"/>
            <w:tcBorders>
              <w:bottom w:val="single" w:sz="18" w:space="0" w:color="0070C0"/>
            </w:tcBorders>
          </w:tcPr>
          <w:p w:rsidR="00F730B1" w:rsidRPr="00885A39" w:rsidRDefault="00F730B1" w:rsidP="00F730B1">
            <w:pPr>
              <w:jc w:val="center"/>
              <w:rPr>
                <w:rFonts w:asciiTheme="minorHAnsi" w:hAnsiTheme="minorHAnsi" w:cstheme="minorHAnsi"/>
                <w:b/>
              </w:rPr>
            </w:pPr>
          </w:p>
        </w:tc>
        <w:tc>
          <w:tcPr>
            <w:tcW w:w="2530" w:type="dxa"/>
            <w:tcBorders>
              <w:bottom w:val="single" w:sz="18" w:space="0" w:color="0070C0"/>
            </w:tcBorders>
          </w:tcPr>
          <w:p w:rsidR="00F730B1" w:rsidRPr="00885A39" w:rsidRDefault="00F730B1" w:rsidP="00F730B1">
            <w:pPr>
              <w:jc w:val="center"/>
              <w:rPr>
                <w:rFonts w:asciiTheme="minorHAnsi" w:hAnsiTheme="minorHAnsi" w:cstheme="minorHAnsi"/>
                <w:b/>
              </w:rPr>
            </w:pPr>
          </w:p>
        </w:tc>
        <w:tc>
          <w:tcPr>
            <w:tcW w:w="2530" w:type="dxa"/>
            <w:tcBorders>
              <w:bottom w:val="single" w:sz="18" w:space="0" w:color="0070C0"/>
            </w:tcBorders>
          </w:tcPr>
          <w:p w:rsidR="00F730B1" w:rsidRPr="00885A39" w:rsidRDefault="00F730B1" w:rsidP="00F730B1">
            <w:pPr>
              <w:jc w:val="center"/>
              <w:rPr>
                <w:rFonts w:asciiTheme="minorHAnsi" w:hAnsiTheme="minorHAnsi" w:cstheme="minorHAnsi"/>
                <w:b/>
              </w:rPr>
            </w:pPr>
          </w:p>
        </w:tc>
        <w:tc>
          <w:tcPr>
            <w:tcW w:w="2531" w:type="dxa"/>
            <w:tcBorders>
              <w:bottom w:val="single" w:sz="18" w:space="0" w:color="0070C0"/>
            </w:tcBorders>
          </w:tcPr>
          <w:p w:rsidR="00F730B1" w:rsidRPr="00885A39" w:rsidRDefault="00F730B1" w:rsidP="00F730B1">
            <w:pPr>
              <w:jc w:val="center"/>
              <w:rPr>
                <w:rFonts w:asciiTheme="minorHAnsi" w:hAnsiTheme="minorHAnsi" w:cstheme="minorHAnsi"/>
                <w:b/>
              </w:rPr>
            </w:pPr>
          </w:p>
        </w:tc>
      </w:tr>
    </w:tbl>
    <w:p w:rsidR="00F730B1" w:rsidRPr="00885A39" w:rsidRDefault="00F730B1" w:rsidP="00F730B1">
      <w:pPr>
        <w:rPr>
          <w:rFonts w:asciiTheme="minorHAnsi" w:hAnsiTheme="minorHAnsi" w:cstheme="minorHAnsi"/>
          <w:sz w:val="22"/>
          <w:szCs w:val="22"/>
        </w:rPr>
      </w:pPr>
      <w:r w:rsidRPr="00885A39">
        <w:rPr>
          <w:rFonts w:asciiTheme="minorHAnsi" w:hAnsiTheme="minorHAnsi" w:cstheme="minorHAnsi"/>
          <w:sz w:val="22"/>
          <w:szCs w:val="22"/>
        </w:rPr>
        <w:br w:type="page"/>
      </w:r>
    </w:p>
    <w:p w:rsidR="00F730B1" w:rsidRPr="00D47636" w:rsidRDefault="00F730B1" w:rsidP="00EE6C2E">
      <w:pPr>
        <w:pStyle w:val="Heading3"/>
      </w:pPr>
      <w:r w:rsidRPr="00D47636">
        <w:lastRenderedPageBreak/>
        <w:t xml:space="preserve">Statement of Participation in the National Audit of Schizophrenia </w:t>
      </w:r>
    </w:p>
    <w:p w:rsidR="00F730B1" w:rsidRPr="00D47636" w:rsidRDefault="00F730B1" w:rsidP="00F730B1">
      <w:pPr>
        <w:rPr>
          <w:rFonts w:asciiTheme="minorHAnsi" w:hAnsiTheme="minorHAnsi" w:cstheme="minorHAnsi"/>
          <w:b/>
        </w:rPr>
      </w:pPr>
    </w:p>
    <w:p w:rsidR="00F730B1" w:rsidRPr="00D47636" w:rsidRDefault="00F730B1" w:rsidP="00F730B1">
      <w:pPr>
        <w:rPr>
          <w:rFonts w:asciiTheme="minorHAnsi" w:hAnsiTheme="minorHAnsi" w:cstheme="minorHAnsi"/>
          <w:b/>
        </w:rPr>
      </w:pPr>
      <w:r w:rsidRPr="00D47636">
        <w:rPr>
          <w:rFonts w:asciiTheme="minorHAnsi" w:hAnsiTheme="minorHAnsi" w:cstheme="minorHAnsi"/>
          <w:b/>
        </w:rPr>
        <w:t>April 1</w:t>
      </w:r>
      <w:r w:rsidRPr="00D47636">
        <w:rPr>
          <w:rFonts w:asciiTheme="minorHAnsi" w:hAnsiTheme="minorHAnsi" w:cstheme="minorHAnsi"/>
          <w:b/>
          <w:vertAlign w:val="superscript"/>
        </w:rPr>
        <w:t>st</w:t>
      </w:r>
      <w:r w:rsidRPr="00D47636">
        <w:rPr>
          <w:rFonts w:asciiTheme="minorHAnsi" w:hAnsiTheme="minorHAnsi" w:cstheme="minorHAnsi"/>
          <w:b/>
        </w:rPr>
        <w:t xml:space="preserve"> 2011 – March 31</w:t>
      </w:r>
      <w:r w:rsidRPr="00D47636">
        <w:rPr>
          <w:rFonts w:asciiTheme="minorHAnsi" w:hAnsiTheme="minorHAnsi" w:cstheme="minorHAnsi"/>
          <w:b/>
          <w:vertAlign w:val="superscript"/>
        </w:rPr>
        <w:t>st</w:t>
      </w:r>
      <w:r w:rsidRPr="00D47636">
        <w:rPr>
          <w:rFonts w:asciiTheme="minorHAnsi" w:hAnsiTheme="minorHAnsi" w:cstheme="minorHAnsi"/>
          <w:b/>
        </w:rPr>
        <w:t xml:space="preserve"> 2012</w:t>
      </w:r>
    </w:p>
    <w:p w:rsidR="00F730B1" w:rsidRPr="00885A39" w:rsidRDefault="00F730B1" w:rsidP="00F730B1">
      <w:pPr>
        <w:rPr>
          <w:rFonts w:asciiTheme="minorHAnsi" w:hAnsiTheme="minorHAnsi" w:cstheme="minorHAnsi"/>
          <w:sz w:val="22"/>
          <w:szCs w:val="22"/>
        </w:rPr>
      </w:pPr>
    </w:p>
    <w:tbl>
      <w:tblPr>
        <w:tblW w:w="0" w:type="auto"/>
        <w:tblLook w:val="01E0"/>
      </w:tblPr>
      <w:tblGrid>
        <w:gridCol w:w="3794"/>
        <w:gridCol w:w="1701"/>
        <w:gridCol w:w="1617"/>
        <w:gridCol w:w="1608"/>
      </w:tblGrid>
      <w:tr w:rsidR="00F730B1" w:rsidRPr="00885A39" w:rsidTr="00F730B1">
        <w:tc>
          <w:tcPr>
            <w:tcW w:w="3794" w:type="dxa"/>
            <w:shd w:val="clear" w:color="auto" w:fill="0070C0"/>
          </w:tcPr>
          <w:p w:rsidR="00F730B1" w:rsidRPr="00885A39" w:rsidRDefault="00F730B1" w:rsidP="00F730B1">
            <w:pPr>
              <w:jc w:val="center"/>
              <w:rPr>
                <w:rFonts w:asciiTheme="minorHAnsi" w:hAnsiTheme="minorHAnsi" w:cstheme="minorHAnsi"/>
                <w:b/>
                <w:color w:val="FFFFFF"/>
              </w:rPr>
            </w:pPr>
            <w:r>
              <w:rPr>
                <w:rFonts w:asciiTheme="minorHAnsi" w:hAnsiTheme="minorHAnsi" w:cstheme="minorHAnsi"/>
                <w:b/>
                <w:color w:val="FFFFFF"/>
                <w:sz w:val="22"/>
                <w:szCs w:val="22"/>
              </w:rPr>
              <w:t>Trust Name</w:t>
            </w:r>
          </w:p>
        </w:tc>
        <w:tc>
          <w:tcPr>
            <w:tcW w:w="1701" w:type="dxa"/>
            <w:shd w:val="clear" w:color="auto" w:fill="0070C0"/>
          </w:tcPr>
          <w:p w:rsidR="00F730B1" w:rsidRPr="00885A39" w:rsidRDefault="00F730B1" w:rsidP="00F730B1">
            <w:pPr>
              <w:jc w:val="center"/>
              <w:rPr>
                <w:rFonts w:asciiTheme="minorHAnsi" w:hAnsiTheme="minorHAnsi" w:cstheme="minorHAnsi"/>
                <w:b/>
                <w:color w:val="FFFFFF"/>
              </w:rPr>
            </w:pPr>
            <w:r>
              <w:rPr>
                <w:rFonts w:asciiTheme="minorHAnsi" w:hAnsiTheme="minorHAnsi" w:cstheme="minorHAnsi"/>
                <w:b/>
                <w:color w:val="FFFFFF"/>
                <w:sz w:val="22"/>
                <w:szCs w:val="22"/>
              </w:rPr>
              <w:t>Audit Forms Submitted online</w:t>
            </w:r>
          </w:p>
        </w:tc>
        <w:tc>
          <w:tcPr>
            <w:tcW w:w="1617" w:type="dxa"/>
            <w:shd w:val="clear" w:color="auto" w:fill="0070C0"/>
          </w:tcPr>
          <w:p w:rsidR="00F730B1" w:rsidRPr="00885A39" w:rsidRDefault="00F730B1" w:rsidP="00F730B1">
            <w:pPr>
              <w:jc w:val="center"/>
              <w:rPr>
                <w:rFonts w:asciiTheme="minorHAnsi" w:hAnsiTheme="minorHAnsi" w:cstheme="minorHAnsi"/>
                <w:b/>
                <w:color w:val="FFFFFF"/>
              </w:rPr>
            </w:pPr>
            <w:r>
              <w:rPr>
                <w:rFonts w:asciiTheme="minorHAnsi" w:hAnsiTheme="minorHAnsi" w:cstheme="minorHAnsi"/>
                <w:b/>
                <w:color w:val="FFFFFF"/>
                <w:sz w:val="22"/>
                <w:szCs w:val="22"/>
              </w:rPr>
              <w:t>Service User Questionnaires Received</w:t>
            </w:r>
          </w:p>
        </w:tc>
        <w:tc>
          <w:tcPr>
            <w:tcW w:w="1608" w:type="dxa"/>
            <w:shd w:val="clear" w:color="auto" w:fill="0070C0"/>
          </w:tcPr>
          <w:p w:rsidR="00F730B1" w:rsidRPr="00885A39" w:rsidRDefault="00F730B1" w:rsidP="00F730B1">
            <w:pPr>
              <w:jc w:val="center"/>
              <w:rPr>
                <w:rFonts w:asciiTheme="minorHAnsi" w:hAnsiTheme="minorHAnsi" w:cstheme="minorHAnsi"/>
                <w:b/>
                <w:color w:val="FFFFFF"/>
              </w:rPr>
            </w:pPr>
            <w:r>
              <w:rPr>
                <w:rFonts w:asciiTheme="minorHAnsi" w:hAnsiTheme="minorHAnsi" w:cstheme="minorHAnsi"/>
                <w:b/>
                <w:color w:val="FFFFFF"/>
                <w:sz w:val="22"/>
                <w:szCs w:val="22"/>
              </w:rPr>
              <w:t>Carer Questionnaires Received</w:t>
            </w:r>
          </w:p>
        </w:tc>
      </w:tr>
      <w:tr w:rsidR="00F730B1" w:rsidRPr="00885A39" w:rsidTr="00F730B1">
        <w:tc>
          <w:tcPr>
            <w:tcW w:w="3794" w:type="dxa"/>
          </w:tcPr>
          <w:p w:rsidR="00F730B1" w:rsidRPr="00885A39" w:rsidRDefault="00F730B1" w:rsidP="00F730B1">
            <w:pPr>
              <w:jc w:val="center"/>
              <w:rPr>
                <w:rFonts w:asciiTheme="minorHAnsi" w:hAnsiTheme="minorHAnsi" w:cstheme="minorHAnsi"/>
                <w:b/>
              </w:rPr>
            </w:pPr>
          </w:p>
        </w:tc>
        <w:tc>
          <w:tcPr>
            <w:tcW w:w="1701" w:type="dxa"/>
          </w:tcPr>
          <w:p w:rsidR="00F730B1" w:rsidRPr="00885A39" w:rsidRDefault="00F730B1" w:rsidP="00F730B1">
            <w:pPr>
              <w:jc w:val="center"/>
              <w:rPr>
                <w:rFonts w:asciiTheme="minorHAnsi" w:hAnsiTheme="minorHAnsi" w:cstheme="minorHAnsi"/>
                <w:b/>
              </w:rPr>
            </w:pPr>
          </w:p>
        </w:tc>
        <w:tc>
          <w:tcPr>
            <w:tcW w:w="1617" w:type="dxa"/>
          </w:tcPr>
          <w:p w:rsidR="00F730B1" w:rsidRPr="00885A39" w:rsidRDefault="00F730B1" w:rsidP="00F730B1">
            <w:pPr>
              <w:jc w:val="center"/>
              <w:rPr>
                <w:rFonts w:asciiTheme="minorHAnsi" w:hAnsiTheme="minorHAnsi" w:cstheme="minorHAnsi"/>
                <w:b/>
              </w:rPr>
            </w:pPr>
          </w:p>
        </w:tc>
        <w:tc>
          <w:tcPr>
            <w:tcW w:w="1608" w:type="dxa"/>
          </w:tcPr>
          <w:p w:rsidR="00F730B1" w:rsidRPr="00885A39" w:rsidRDefault="00F730B1" w:rsidP="00F730B1">
            <w:pPr>
              <w:jc w:val="center"/>
              <w:rPr>
                <w:rFonts w:asciiTheme="minorHAnsi" w:hAnsiTheme="minorHAnsi" w:cstheme="minorHAnsi"/>
                <w:b/>
              </w:rPr>
            </w:pPr>
          </w:p>
        </w:tc>
      </w:tr>
      <w:tr w:rsidR="00F730B1" w:rsidRPr="00885A39" w:rsidTr="00F730B1">
        <w:tc>
          <w:tcPr>
            <w:tcW w:w="3794" w:type="dxa"/>
          </w:tcPr>
          <w:p w:rsidR="00F730B1" w:rsidRPr="00885A39" w:rsidRDefault="00F730B1" w:rsidP="00F730B1">
            <w:pPr>
              <w:jc w:val="center"/>
              <w:rPr>
                <w:rFonts w:asciiTheme="minorHAnsi" w:hAnsiTheme="minorHAnsi" w:cstheme="minorHAnsi"/>
                <w:b/>
              </w:rPr>
            </w:pPr>
            <w:r>
              <w:rPr>
                <w:rFonts w:asciiTheme="minorHAnsi" w:hAnsiTheme="minorHAnsi" w:cstheme="minorHAnsi"/>
                <w:b/>
                <w:sz w:val="22"/>
                <w:szCs w:val="22"/>
              </w:rPr>
              <w:t>Oxford Health NHS Foundation Trust</w:t>
            </w:r>
          </w:p>
        </w:tc>
        <w:tc>
          <w:tcPr>
            <w:tcW w:w="1701" w:type="dxa"/>
          </w:tcPr>
          <w:p w:rsidR="00F730B1" w:rsidRPr="00885A39" w:rsidRDefault="00F730B1" w:rsidP="00F730B1">
            <w:pPr>
              <w:jc w:val="center"/>
              <w:rPr>
                <w:rFonts w:asciiTheme="minorHAnsi" w:hAnsiTheme="minorHAnsi" w:cstheme="minorHAnsi"/>
                <w:b/>
              </w:rPr>
            </w:pPr>
            <w:r>
              <w:rPr>
                <w:rFonts w:asciiTheme="minorHAnsi" w:hAnsiTheme="minorHAnsi" w:cstheme="minorHAnsi"/>
                <w:b/>
                <w:sz w:val="22"/>
                <w:szCs w:val="22"/>
              </w:rPr>
              <w:t>86</w:t>
            </w:r>
          </w:p>
        </w:tc>
        <w:tc>
          <w:tcPr>
            <w:tcW w:w="1617" w:type="dxa"/>
          </w:tcPr>
          <w:p w:rsidR="00F730B1" w:rsidRPr="00885A39" w:rsidRDefault="00F730B1" w:rsidP="00F730B1">
            <w:pPr>
              <w:jc w:val="center"/>
              <w:rPr>
                <w:rFonts w:asciiTheme="minorHAnsi" w:hAnsiTheme="minorHAnsi" w:cstheme="minorHAnsi"/>
                <w:b/>
              </w:rPr>
            </w:pPr>
            <w:r>
              <w:rPr>
                <w:rFonts w:asciiTheme="minorHAnsi" w:hAnsiTheme="minorHAnsi" w:cstheme="minorHAnsi"/>
                <w:b/>
                <w:sz w:val="22"/>
                <w:szCs w:val="22"/>
              </w:rPr>
              <w:t>43</w:t>
            </w:r>
          </w:p>
        </w:tc>
        <w:tc>
          <w:tcPr>
            <w:tcW w:w="1608" w:type="dxa"/>
          </w:tcPr>
          <w:p w:rsidR="00F730B1" w:rsidRPr="00885A39" w:rsidRDefault="00F730B1" w:rsidP="00F730B1">
            <w:pPr>
              <w:jc w:val="center"/>
              <w:rPr>
                <w:rFonts w:asciiTheme="minorHAnsi" w:hAnsiTheme="minorHAnsi" w:cstheme="minorHAnsi"/>
                <w:b/>
              </w:rPr>
            </w:pPr>
            <w:r>
              <w:rPr>
                <w:rFonts w:asciiTheme="minorHAnsi" w:hAnsiTheme="minorHAnsi" w:cstheme="minorHAnsi"/>
                <w:b/>
                <w:sz w:val="22"/>
                <w:szCs w:val="22"/>
              </w:rPr>
              <w:t>24</w:t>
            </w:r>
          </w:p>
        </w:tc>
      </w:tr>
      <w:tr w:rsidR="00F730B1" w:rsidRPr="00885A39" w:rsidTr="00F730B1">
        <w:tc>
          <w:tcPr>
            <w:tcW w:w="3794" w:type="dxa"/>
            <w:tcBorders>
              <w:bottom w:val="single" w:sz="18" w:space="0" w:color="0070C0"/>
            </w:tcBorders>
          </w:tcPr>
          <w:p w:rsidR="00F730B1" w:rsidRPr="00885A39" w:rsidRDefault="00F730B1" w:rsidP="00F730B1">
            <w:pPr>
              <w:jc w:val="center"/>
              <w:rPr>
                <w:rFonts w:asciiTheme="minorHAnsi" w:hAnsiTheme="minorHAnsi" w:cstheme="minorHAnsi"/>
                <w:b/>
              </w:rPr>
            </w:pPr>
          </w:p>
        </w:tc>
        <w:tc>
          <w:tcPr>
            <w:tcW w:w="1701" w:type="dxa"/>
            <w:tcBorders>
              <w:bottom w:val="single" w:sz="18" w:space="0" w:color="0070C0"/>
            </w:tcBorders>
          </w:tcPr>
          <w:p w:rsidR="00F730B1" w:rsidRPr="00885A39" w:rsidRDefault="00F730B1" w:rsidP="00F730B1">
            <w:pPr>
              <w:jc w:val="center"/>
              <w:rPr>
                <w:rFonts w:asciiTheme="minorHAnsi" w:hAnsiTheme="minorHAnsi" w:cstheme="minorHAnsi"/>
                <w:b/>
              </w:rPr>
            </w:pPr>
          </w:p>
        </w:tc>
        <w:tc>
          <w:tcPr>
            <w:tcW w:w="1617" w:type="dxa"/>
            <w:tcBorders>
              <w:bottom w:val="single" w:sz="18" w:space="0" w:color="0070C0"/>
            </w:tcBorders>
          </w:tcPr>
          <w:p w:rsidR="00F730B1" w:rsidRPr="00885A39" w:rsidRDefault="00F730B1" w:rsidP="00F730B1">
            <w:pPr>
              <w:jc w:val="center"/>
              <w:rPr>
                <w:rFonts w:asciiTheme="minorHAnsi" w:hAnsiTheme="minorHAnsi" w:cstheme="minorHAnsi"/>
                <w:b/>
              </w:rPr>
            </w:pPr>
          </w:p>
        </w:tc>
        <w:tc>
          <w:tcPr>
            <w:tcW w:w="1608" w:type="dxa"/>
            <w:tcBorders>
              <w:bottom w:val="single" w:sz="18" w:space="0" w:color="0070C0"/>
            </w:tcBorders>
          </w:tcPr>
          <w:p w:rsidR="00F730B1" w:rsidRPr="00885A39" w:rsidRDefault="00F730B1" w:rsidP="00F730B1">
            <w:pPr>
              <w:jc w:val="center"/>
              <w:rPr>
                <w:rFonts w:asciiTheme="minorHAnsi" w:hAnsiTheme="minorHAnsi" w:cstheme="minorHAnsi"/>
                <w:b/>
              </w:rPr>
            </w:pPr>
          </w:p>
        </w:tc>
      </w:tr>
    </w:tbl>
    <w:p w:rsidR="00F730B1" w:rsidRDefault="00F730B1" w:rsidP="00F730B1">
      <w:pPr>
        <w:rPr>
          <w:rFonts w:asciiTheme="minorHAnsi" w:hAnsiTheme="minorHAnsi" w:cstheme="minorHAnsi"/>
          <w:b/>
          <w:sz w:val="22"/>
          <w:szCs w:val="22"/>
        </w:rPr>
      </w:pPr>
    </w:p>
    <w:p w:rsidR="00F730B1" w:rsidRDefault="00F730B1" w:rsidP="00F730B1">
      <w:pPr>
        <w:rPr>
          <w:rFonts w:asciiTheme="minorHAnsi" w:hAnsiTheme="minorHAnsi" w:cstheme="minorHAnsi"/>
          <w:b/>
          <w:sz w:val="22"/>
          <w:szCs w:val="22"/>
        </w:rPr>
      </w:pPr>
    </w:p>
    <w:p w:rsidR="00F730B1" w:rsidRPr="00D47636" w:rsidRDefault="00F730B1" w:rsidP="00EE6C2E">
      <w:pPr>
        <w:pStyle w:val="Heading3"/>
      </w:pPr>
      <w:r w:rsidRPr="00D47636">
        <w:t>Statement of Participation in the Prescribing Observatory for Mental Health (POMH) Quality Improvement Programmes (QIPs)</w:t>
      </w:r>
    </w:p>
    <w:p w:rsidR="00F730B1" w:rsidRPr="00D47636" w:rsidRDefault="00F730B1" w:rsidP="00F730B1">
      <w:pPr>
        <w:rPr>
          <w:rFonts w:asciiTheme="minorHAnsi" w:hAnsiTheme="minorHAnsi" w:cstheme="minorHAnsi"/>
          <w:b/>
        </w:rPr>
      </w:pPr>
    </w:p>
    <w:p w:rsidR="00F730B1" w:rsidRPr="00D47636" w:rsidRDefault="00F730B1" w:rsidP="00F730B1">
      <w:pPr>
        <w:rPr>
          <w:rFonts w:asciiTheme="minorHAnsi" w:hAnsiTheme="minorHAnsi" w:cstheme="minorHAnsi"/>
          <w:b/>
        </w:rPr>
      </w:pPr>
      <w:r w:rsidRPr="00D47636">
        <w:rPr>
          <w:rFonts w:asciiTheme="minorHAnsi" w:hAnsiTheme="minorHAnsi" w:cstheme="minorHAnsi"/>
          <w:b/>
        </w:rPr>
        <w:t>April 2011 – March 20121</w:t>
      </w:r>
    </w:p>
    <w:p w:rsidR="00F730B1" w:rsidRDefault="00F730B1" w:rsidP="00F730B1">
      <w:pPr>
        <w:rPr>
          <w:rFonts w:asciiTheme="minorHAnsi" w:hAnsiTheme="minorHAnsi" w:cstheme="minorHAnsi"/>
          <w:b/>
          <w:sz w:val="22"/>
          <w:szCs w:val="22"/>
        </w:rPr>
      </w:pPr>
    </w:p>
    <w:tbl>
      <w:tblPr>
        <w:tblW w:w="9371" w:type="dxa"/>
        <w:tblInd w:w="93" w:type="dxa"/>
        <w:tblLayout w:type="fixed"/>
        <w:tblLook w:val="04A0"/>
      </w:tblPr>
      <w:tblGrid>
        <w:gridCol w:w="555"/>
        <w:gridCol w:w="1303"/>
        <w:gridCol w:w="1985"/>
        <w:gridCol w:w="1701"/>
        <w:gridCol w:w="1134"/>
        <w:gridCol w:w="1276"/>
        <w:gridCol w:w="1417"/>
      </w:tblGrid>
      <w:tr w:rsidR="00F730B1" w:rsidRPr="0071636D" w:rsidTr="00F730B1">
        <w:trPr>
          <w:trHeight w:val="915"/>
        </w:trPr>
        <w:tc>
          <w:tcPr>
            <w:tcW w:w="555" w:type="dxa"/>
            <w:tcBorders>
              <w:left w:val="nil"/>
              <w:right w:val="nil"/>
            </w:tcBorders>
            <w:shd w:val="clear" w:color="auto" w:fill="0070C0"/>
            <w:noWrap/>
            <w:vAlign w:val="bottom"/>
            <w:hideMark/>
          </w:tcPr>
          <w:p w:rsidR="00F730B1" w:rsidRPr="0071636D" w:rsidRDefault="00F730B1" w:rsidP="00F730B1">
            <w:pPr>
              <w:rPr>
                <w:rFonts w:ascii="Calibri" w:hAnsi="Calibri" w:cs="Calibri"/>
                <w:b/>
                <w:bCs/>
                <w:color w:val="FFFFFF" w:themeColor="background1"/>
              </w:rPr>
            </w:pPr>
            <w:r w:rsidRPr="0071636D">
              <w:rPr>
                <w:rFonts w:ascii="Calibri" w:hAnsi="Calibri" w:cs="Calibri"/>
                <w:b/>
                <w:bCs/>
                <w:color w:val="FFFFFF" w:themeColor="background1"/>
                <w:sz w:val="22"/>
                <w:szCs w:val="22"/>
              </w:rPr>
              <w:t>QIP</w:t>
            </w:r>
          </w:p>
        </w:tc>
        <w:tc>
          <w:tcPr>
            <w:tcW w:w="1303" w:type="dxa"/>
            <w:tcBorders>
              <w:left w:val="nil"/>
              <w:right w:val="nil"/>
            </w:tcBorders>
            <w:shd w:val="clear" w:color="auto" w:fill="0070C0"/>
            <w:vAlign w:val="bottom"/>
            <w:hideMark/>
          </w:tcPr>
          <w:p w:rsidR="00F730B1" w:rsidRPr="0071636D" w:rsidRDefault="00F730B1" w:rsidP="00F730B1">
            <w:pPr>
              <w:rPr>
                <w:rFonts w:ascii="Calibri" w:hAnsi="Calibri" w:cs="Calibri"/>
                <w:b/>
                <w:bCs/>
                <w:color w:val="FFFFFF" w:themeColor="background1"/>
              </w:rPr>
            </w:pPr>
            <w:r w:rsidRPr="0071636D">
              <w:rPr>
                <w:rFonts w:ascii="Calibri" w:hAnsi="Calibri" w:cs="Calibri"/>
                <w:b/>
                <w:bCs/>
                <w:color w:val="FFFFFF" w:themeColor="background1"/>
                <w:sz w:val="22"/>
                <w:szCs w:val="22"/>
              </w:rPr>
              <w:t>Date of Report</w:t>
            </w:r>
          </w:p>
        </w:tc>
        <w:tc>
          <w:tcPr>
            <w:tcW w:w="1985" w:type="dxa"/>
            <w:tcBorders>
              <w:left w:val="nil"/>
              <w:right w:val="nil"/>
            </w:tcBorders>
            <w:shd w:val="clear" w:color="auto" w:fill="0070C0"/>
            <w:noWrap/>
            <w:vAlign w:val="bottom"/>
            <w:hideMark/>
          </w:tcPr>
          <w:p w:rsidR="00F730B1" w:rsidRPr="0071636D" w:rsidRDefault="00F730B1" w:rsidP="00F730B1">
            <w:pPr>
              <w:rPr>
                <w:rFonts w:ascii="Calibri" w:hAnsi="Calibri" w:cs="Calibri"/>
                <w:b/>
                <w:bCs/>
                <w:color w:val="FFFFFF" w:themeColor="background1"/>
              </w:rPr>
            </w:pPr>
            <w:r w:rsidRPr="0071636D">
              <w:rPr>
                <w:rFonts w:ascii="Calibri" w:hAnsi="Calibri" w:cs="Calibri"/>
                <w:b/>
                <w:bCs/>
                <w:color w:val="FFFFFF" w:themeColor="background1"/>
                <w:sz w:val="22"/>
                <w:szCs w:val="22"/>
              </w:rPr>
              <w:t>Topic</w:t>
            </w:r>
          </w:p>
        </w:tc>
        <w:tc>
          <w:tcPr>
            <w:tcW w:w="1701" w:type="dxa"/>
            <w:tcBorders>
              <w:left w:val="nil"/>
              <w:right w:val="nil"/>
            </w:tcBorders>
            <w:shd w:val="clear" w:color="auto" w:fill="0070C0"/>
            <w:noWrap/>
            <w:vAlign w:val="bottom"/>
            <w:hideMark/>
          </w:tcPr>
          <w:p w:rsidR="00F730B1" w:rsidRPr="0071636D" w:rsidRDefault="00F730B1" w:rsidP="00F730B1">
            <w:pPr>
              <w:rPr>
                <w:rFonts w:ascii="Calibri" w:hAnsi="Calibri" w:cs="Calibri"/>
                <w:b/>
                <w:bCs/>
                <w:color w:val="FFFFFF" w:themeColor="background1"/>
              </w:rPr>
            </w:pPr>
            <w:r w:rsidRPr="0071636D">
              <w:rPr>
                <w:rFonts w:ascii="Calibri" w:hAnsi="Calibri" w:cs="Calibri"/>
                <w:b/>
                <w:bCs/>
                <w:color w:val="FFFFFF" w:themeColor="background1"/>
                <w:sz w:val="22"/>
                <w:szCs w:val="22"/>
              </w:rPr>
              <w:t>Audit Cycle</w:t>
            </w:r>
          </w:p>
        </w:tc>
        <w:tc>
          <w:tcPr>
            <w:tcW w:w="1134" w:type="dxa"/>
            <w:tcBorders>
              <w:left w:val="nil"/>
              <w:right w:val="nil"/>
            </w:tcBorders>
            <w:shd w:val="clear" w:color="auto" w:fill="0070C0"/>
            <w:vAlign w:val="bottom"/>
            <w:hideMark/>
          </w:tcPr>
          <w:p w:rsidR="00F730B1" w:rsidRPr="0071636D" w:rsidRDefault="00F730B1" w:rsidP="00F730B1">
            <w:pPr>
              <w:rPr>
                <w:rFonts w:ascii="Calibri" w:hAnsi="Calibri" w:cs="Calibri"/>
                <w:b/>
                <w:bCs/>
                <w:color w:val="FFFFFF" w:themeColor="background1"/>
              </w:rPr>
            </w:pPr>
            <w:r w:rsidRPr="0071636D">
              <w:rPr>
                <w:rFonts w:ascii="Calibri" w:hAnsi="Calibri" w:cs="Calibri"/>
                <w:b/>
                <w:bCs/>
                <w:color w:val="FFFFFF" w:themeColor="background1"/>
                <w:sz w:val="22"/>
                <w:szCs w:val="22"/>
              </w:rPr>
              <w:t>Number of Teams</w:t>
            </w:r>
          </w:p>
        </w:tc>
        <w:tc>
          <w:tcPr>
            <w:tcW w:w="1276" w:type="dxa"/>
            <w:tcBorders>
              <w:left w:val="nil"/>
              <w:right w:val="nil"/>
            </w:tcBorders>
            <w:shd w:val="clear" w:color="auto" w:fill="0070C0"/>
            <w:vAlign w:val="bottom"/>
            <w:hideMark/>
          </w:tcPr>
          <w:p w:rsidR="00F730B1" w:rsidRPr="0071636D" w:rsidRDefault="00F730B1" w:rsidP="00F730B1">
            <w:pPr>
              <w:rPr>
                <w:rFonts w:ascii="Calibri" w:hAnsi="Calibri" w:cs="Calibri"/>
                <w:b/>
                <w:bCs/>
                <w:color w:val="FFFFFF" w:themeColor="background1"/>
              </w:rPr>
            </w:pPr>
            <w:r w:rsidRPr="0071636D">
              <w:rPr>
                <w:rFonts w:ascii="Calibri" w:hAnsi="Calibri" w:cs="Calibri"/>
                <w:b/>
                <w:bCs/>
                <w:color w:val="FFFFFF" w:themeColor="background1"/>
                <w:sz w:val="22"/>
                <w:szCs w:val="22"/>
              </w:rPr>
              <w:t>Number of Patients</w:t>
            </w:r>
          </w:p>
        </w:tc>
        <w:tc>
          <w:tcPr>
            <w:tcW w:w="1417" w:type="dxa"/>
            <w:tcBorders>
              <w:left w:val="nil"/>
              <w:right w:val="nil"/>
            </w:tcBorders>
            <w:shd w:val="clear" w:color="auto" w:fill="0070C0"/>
            <w:vAlign w:val="bottom"/>
            <w:hideMark/>
          </w:tcPr>
          <w:p w:rsidR="00F730B1" w:rsidRPr="0071636D" w:rsidRDefault="00F730B1" w:rsidP="00F730B1">
            <w:pPr>
              <w:rPr>
                <w:rFonts w:ascii="Calibri" w:hAnsi="Calibri" w:cs="Calibri"/>
                <w:b/>
                <w:bCs/>
                <w:color w:val="FFFFFF" w:themeColor="background1"/>
              </w:rPr>
            </w:pPr>
            <w:r w:rsidRPr="0071636D">
              <w:rPr>
                <w:rFonts w:ascii="Calibri" w:hAnsi="Calibri" w:cs="Calibri"/>
                <w:b/>
                <w:bCs/>
                <w:color w:val="FFFFFF" w:themeColor="background1"/>
                <w:sz w:val="22"/>
                <w:szCs w:val="22"/>
              </w:rPr>
              <w:t>Trust participation in audit cycles for this topic</w:t>
            </w:r>
          </w:p>
        </w:tc>
      </w:tr>
      <w:tr w:rsidR="00F730B1" w:rsidRPr="0071636D" w:rsidTr="00F730B1">
        <w:trPr>
          <w:trHeight w:val="600"/>
        </w:trPr>
        <w:tc>
          <w:tcPr>
            <w:tcW w:w="555" w:type="dxa"/>
            <w:tcBorders>
              <w:left w:val="nil"/>
              <w:bottom w:val="nil"/>
              <w:right w:val="nil"/>
            </w:tcBorders>
            <w:shd w:val="clear" w:color="000000" w:fill="DBEEF3"/>
            <w:noWrap/>
            <w:vAlign w:val="center"/>
            <w:hideMark/>
          </w:tcPr>
          <w:p w:rsidR="00F730B1" w:rsidRPr="0071636D" w:rsidRDefault="00F730B1" w:rsidP="00F730B1">
            <w:pPr>
              <w:rPr>
                <w:rFonts w:ascii="Calibri" w:hAnsi="Calibri" w:cs="Calibri"/>
                <w:color w:val="000000"/>
              </w:rPr>
            </w:pPr>
            <w:r w:rsidRPr="0071636D">
              <w:rPr>
                <w:rFonts w:ascii="Calibri" w:hAnsi="Calibri" w:cs="Calibri"/>
                <w:color w:val="000000"/>
                <w:sz w:val="22"/>
                <w:szCs w:val="22"/>
              </w:rPr>
              <w:t>11a</w:t>
            </w:r>
          </w:p>
        </w:tc>
        <w:tc>
          <w:tcPr>
            <w:tcW w:w="1303" w:type="dxa"/>
            <w:tcBorders>
              <w:left w:val="nil"/>
              <w:bottom w:val="nil"/>
              <w:right w:val="nil"/>
            </w:tcBorders>
            <w:shd w:val="clear" w:color="000000" w:fill="DBEEF3"/>
            <w:vAlign w:val="center"/>
            <w:hideMark/>
          </w:tcPr>
          <w:p w:rsidR="00F730B1" w:rsidRPr="0071636D" w:rsidRDefault="00F730B1" w:rsidP="00F730B1">
            <w:pPr>
              <w:rPr>
                <w:rFonts w:ascii="Calibri" w:hAnsi="Calibri" w:cs="Calibri"/>
                <w:color w:val="000000"/>
              </w:rPr>
            </w:pPr>
            <w:r w:rsidRPr="0071636D">
              <w:rPr>
                <w:rFonts w:ascii="Calibri" w:hAnsi="Calibri" w:cs="Calibri"/>
                <w:color w:val="000000"/>
                <w:sz w:val="22"/>
                <w:szCs w:val="22"/>
              </w:rPr>
              <w:t>July 2011</w:t>
            </w:r>
          </w:p>
        </w:tc>
        <w:tc>
          <w:tcPr>
            <w:tcW w:w="1985" w:type="dxa"/>
            <w:tcBorders>
              <w:left w:val="nil"/>
              <w:bottom w:val="nil"/>
              <w:right w:val="nil"/>
            </w:tcBorders>
            <w:shd w:val="clear" w:color="000000" w:fill="DBEEF3"/>
            <w:vAlign w:val="bottom"/>
            <w:hideMark/>
          </w:tcPr>
          <w:p w:rsidR="00F730B1" w:rsidRPr="0071636D" w:rsidRDefault="00F730B1" w:rsidP="00F730B1">
            <w:pPr>
              <w:rPr>
                <w:rFonts w:ascii="Calibri" w:hAnsi="Calibri" w:cs="Calibri"/>
                <w:color w:val="000000"/>
              </w:rPr>
            </w:pPr>
            <w:r w:rsidRPr="0071636D">
              <w:rPr>
                <w:rFonts w:ascii="Calibri" w:hAnsi="Calibri" w:cs="Calibri"/>
                <w:color w:val="000000"/>
                <w:sz w:val="22"/>
                <w:szCs w:val="22"/>
              </w:rPr>
              <w:t>Prescribing antipsychotics for people with dementia</w:t>
            </w:r>
          </w:p>
        </w:tc>
        <w:tc>
          <w:tcPr>
            <w:tcW w:w="1701" w:type="dxa"/>
            <w:tcBorders>
              <w:left w:val="nil"/>
              <w:bottom w:val="nil"/>
              <w:right w:val="nil"/>
            </w:tcBorders>
            <w:shd w:val="clear" w:color="000000" w:fill="DBEEF3"/>
            <w:noWrap/>
            <w:vAlign w:val="bottom"/>
            <w:hideMark/>
          </w:tcPr>
          <w:p w:rsidR="00F730B1" w:rsidRPr="0071636D" w:rsidRDefault="00F730B1" w:rsidP="00F730B1">
            <w:pPr>
              <w:rPr>
                <w:rFonts w:ascii="Calibri" w:hAnsi="Calibri" w:cs="Calibri"/>
                <w:color w:val="000000"/>
              </w:rPr>
            </w:pPr>
            <w:r w:rsidRPr="0071636D">
              <w:rPr>
                <w:rFonts w:ascii="Calibri" w:hAnsi="Calibri" w:cs="Calibri"/>
                <w:color w:val="000000"/>
                <w:sz w:val="22"/>
                <w:szCs w:val="22"/>
              </w:rPr>
              <w:t>Baseline</w:t>
            </w:r>
          </w:p>
        </w:tc>
        <w:tc>
          <w:tcPr>
            <w:tcW w:w="1134" w:type="dxa"/>
            <w:tcBorders>
              <w:left w:val="nil"/>
              <w:bottom w:val="nil"/>
              <w:right w:val="nil"/>
            </w:tcBorders>
            <w:shd w:val="clear" w:color="000000" w:fill="DBEEF3"/>
            <w:noWrap/>
            <w:vAlign w:val="center"/>
            <w:hideMark/>
          </w:tcPr>
          <w:p w:rsidR="00F730B1" w:rsidRPr="0071636D" w:rsidRDefault="00F730B1" w:rsidP="00F730B1">
            <w:pPr>
              <w:jc w:val="center"/>
              <w:rPr>
                <w:rFonts w:ascii="Calibri" w:hAnsi="Calibri" w:cs="Calibri"/>
                <w:color w:val="000000"/>
              </w:rPr>
            </w:pPr>
            <w:r w:rsidRPr="0071636D">
              <w:rPr>
                <w:rFonts w:ascii="Calibri" w:hAnsi="Calibri" w:cs="Calibri"/>
                <w:color w:val="000000"/>
                <w:sz w:val="22"/>
                <w:szCs w:val="22"/>
              </w:rPr>
              <w:t>6</w:t>
            </w:r>
          </w:p>
        </w:tc>
        <w:tc>
          <w:tcPr>
            <w:tcW w:w="1276" w:type="dxa"/>
            <w:tcBorders>
              <w:left w:val="nil"/>
              <w:bottom w:val="nil"/>
              <w:right w:val="nil"/>
            </w:tcBorders>
            <w:shd w:val="clear" w:color="000000" w:fill="DBEEF3"/>
            <w:noWrap/>
            <w:vAlign w:val="center"/>
            <w:hideMark/>
          </w:tcPr>
          <w:p w:rsidR="00F730B1" w:rsidRPr="0071636D" w:rsidRDefault="00F730B1" w:rsidP="00F730B1">
            <w:pPr>
              <w:jc w:val="center"/>
              <w:rPr>
                <w:rFonts w:ascii="Calibri" w:hAnsi="Calibri" w:cs="Calibri"/>
                <w:color w:val="000000"/>
              </w:rPr>
            </w:pPr>
            <w:r w:rsidRPr="0071636D">
              <w:rPr>
                <w:rFonts w:ascii="Calibri" w:hAnsi="Calibri" w:cs="Calibri"/>
                <w:color w:val="000000"/>
                <w:sz w:val="22"/>
                <w:szCs w:val="22"/>
              </w:rPr>
              <w:t>196</w:t>
            </w:r>
          </w:p>
        </w:tc>
        <w:tc>
          <w:tcPr>
            <w:tcW w:w="1417" w:type="dxa"/>
            <w:tcBorders>
              <w:left w:val="nil"/>
              <w:bottom w:val="nil"/>
              <w:right w:val="nil"/>
            </w:tcBorders>
            <w:shd w:val="clear" w:color="000000" w:fill="DBEEF3"/>
            <w:noWrap/>
            <w:vAlign w:val="center"/>
            <w:hideMark/>
          </w:tcPr>
          <w:p w:rsidR="00F730B1" w:rsidRPr="0071636D" w:rsidRDefault="00F730B1" w:rsidP="00F730B1">
            <w:pPr>
              <w:jc w:val="center"/>
              <w:rPr>
                <w:rFonts w:ascii="Calibri" w:hAnsi="Calibri" w:cs="Calibri"/>
                <w:color w:val="000000"/>
              </w:rPr>
            </w:pPr>
            <w:r w:rsidRPr="0071636D">
              <w:rPr>
                <w:rFonts w:ascii="Calibri" w:hAnsi="Calibri" w:cs="Calibri"/>
                <w:color w:val="000000"/>
                <w:sz w:val="22"/>
                <w:szCs w:val="22"/>
              </w:rPr>
              <w:t>1</w:t>
            </w:r>
          </w:p>
        </w:tc>
      </w:tr>
      <w:tr w:rsidR="00F730B1" w:rsidRPr="0071636D" w:rsidTr="00F730B1">
        <w:trPr>
          <w:trHeight w:val="900"/>
        </w:trPr>
        <w:tc>
          <w:tcPr>
            <w:tcW w:w="555" w:type="dxa"/>
            <w:tcBorders>
              <w:top w:val="nil"/>
              <w:left w:val="nil"/>
              <w:bottom w:val="nil"/>
              <w:right w:val="nil"/>
            </w:tcBorders>
            <w:shd w:val="clear" w:color="auto" w:fill="auto"/>
            <w:noWrap/>
            <w:vAlign w:val="center"/>
            <w:hideMark/>
          </w:tcPr>
          <w:p w:rsidR="00F730B1" w:rsidRPr="0071636D" w:rsidRDefault="00F730B1" w:rsidP="00F730B1">
            <w:pPr>
              <w:rPr>
                <w:rFonts w:ascii="Calibri" w:hAnsi="Calibri" w:cs="Calibri"/>
                <w:color w:val="000000"/>
              </w:rPr>
            </w:pPr>
            <w:r w:rsidRPr="0071636D">
              <w:rPr>
                <w:rFonts w:ascii="Calibri" w:hAnsi="Calibri" w:cs="Calibri"/>
                <w:color w:val="000000"/>
                <w:sz w:val="22"/>
                <w:szCs w:val="22"/>
              </w:rPr>
              <w:t>6c</w:t>
            </w:r>
          </w:p>
        </w:tc>
        <w:tc>
          <w:tcPr>
            <w:tcW w:w="1303" w:type="dxa"/>
            <w:tcBorders>
              <w:top w:val="nil"/>
              <w:left w:val="nil"/>
              <w:bottom w:val="nil"/>
              <w:right w:val="nil"/>
            </w:tcBorders>
            <w:shd w:val="clear" w:color="auto" w:fill="auto"/>
            <w:vAlign w:val="center"/>
            <w:hideMark/>
          </w:tcPr>
          <w:p w:rsidR="00F730B1" w:rsidRPr="0071636D" w:rsidRDefault="00F730B1" w:rsidP="00F730B1">
            <w:pPr>
              <w:rPr>
                <w:rFonts w:ascii="Calibri" w:hAnsi="Calibri" w:cs="Calibri"/>
                <w:color w:val="000000"/>
              </w:rPr>
            </w:pPr>
            <w:r w:rsidRPr="0071636D">
              <w:rPr>
                <w:rFonts w:ascii="Calibri" w:hAnsi="Calibri" w:cs="Calibri"/>
                <w:color w:val="000000"/>
                <w:sz w:val="22"/>
                <w:szCs w:val="22"/>
              </w:rPr>
              <w:t>September 2011</w:t>
            </w:r>
          </w:p>
        </w:tc>
        <w:tc>
          <w:tcPr>
            <w:tcW w:w="1985" w:type="dxa"/>
            <w:tcBorders>
              <w:top w:val="nil"/>
              <w:left w:val="nil"/>
              <w:bottom w:val="nil"/>
              <w:right w:val="nil"/>
            </w:tcBorders>
            <w:shd w:val="clear" w:color="auto" w:fill="auto"/>
            <w:vAlign w:val="bottom"/>
            <w:hideMark/>
          </w:tcPr>
          <w:p w:rsidR="00F730B1" w:rsidRPr="0071636D" w:rsidRDefault="00F730B1" w:rsidP="00F730B1">
            <w:pPr>
              <w:rPr>
                <w:rFonts w:ascii="Calibri" w:hAnsi="Calibri" w:cs="Calibri"/>
                <w:color w:val="000000"/>
              </w:rPr>
            </w:pPr>
            <w:r w:rsidRPr="0071636D">
              <w:rPr>
                <w:rFonts w:ascii="Calibri" w:hAnsi="Calibri" w:cs="Calibri"/>
                <w:color w:val="000000"/>
                <w:sz w:val="22"/>
                <w:szCs w:val="22"/>
              </w:rPr>
              <w:t>Assessment of the side effects of depot antipsychotics</w:t>
            </w:r>
          </w:p>
        </w:tc>
        <w:tc>
          <w:tcPr>
            <w:tcW w:w="1701" w:type="dxa"/>
            <w:tcBorders>
              <w:top w:val="nil"/>
              <w:left w:val="nil"/>
              <w:bottom w:val="nil"/>
              <w:right w:val="nil"/>
            </w:tcBorders>
            <w:shd w:val="clear" w:color="auto" w:fill="auto"/>
            <w:vAlign w:val="bottom"/>
            <w:hideMark/>
          </w:tcPr>
          <w:p w:rsidR="00F730B1" w:rsidRPr="0071636D" w:rsidRDefault="00F730B1" w:rsidP="00F730B1">
            <w:pPr>
              <w:rPr>
                <w:rFonts w:ascii="Calibri" w:hAnsi="Calibri" w:cs="Calibri"/>
                <w:color w:val="000000"/>
              </w:rPr>
            </w:pPr>
            <w:r w:rsidRPr="0071636D">
              <w:rPr>
                <w:rFonts w:ascii="Calibri" w:hAnsi="Calibri" w:cs="Calibri"/>
                <w:color w:val="000000"/>
                <w:sz w:val="22"/>
                <w:szCs w:val="22"/>
              </w:rPr>
              <w:t>first supplementary audit</w:t>
            </w:r>
          </w:p>
        </w:tc>
        <w:tc>
          <w:tcPr>
            <w:tcW w:w="1134" w:type="dxa"/>
            <w:tcBorders>
              <w:top w:val="nil"/>
              <w:left w:val="nil"/>
              <w:bottom w:val="nil"/>
              <w:right w:val="nil"/>
            </w:tcBorders>
            <w:shd w:val="clear" w:color="auto" w:fill="auto"/>
            <w:noWrap/>
            <w:vAlign w:val="center"/>
            <w:hideMark/>
          </w:tcPr>
          <w:p w:rsidR="00F730B1" w:rsidRPr="0071636D" w:rsidRDefault="00F730B1" w:rsidP="00F730B1">
            <w:pPr>
              <w:jc w:val="center"/>
              <w:rPr>
                <w:rFonts w:ascii="Calibri" w:hAnsi="Calibri" w:cs="Calibri"/>
                <w:color w:val="000000"/>
              </w:rPr>
            </w:pPr>
            <w:r w:rsidRPr="0071636D">
              <w:rPr>
                <w:rFonts w:ascii="Calibri" w:hAnsi="Calibri" w:cs="Calibri"/>
                <w:color w:val="000000"/>
                <w:sz w:val="22"/>
                <w:szCs w:val="22"/>
              </w:rPr>
              <w:t>23</w:t>
            </w:r>
          </w:p>
        </w:tc>
        <w:tc>
          <w:tcPr>
            <w:tcW w:w="1276" w:type="dxa"/>
            <w:tcBorders>
              <w:top w:val="nil"/>
              <w:left w:val="nil"/>
              <w:bottom w:val="nil"/>
              <w:right w:val="nil"/>
            </w:tcBorders>
            <w:shd w:val="clear" w:color="auto" w:fill="auto"/>
            <w:noWrap/>
            <w:vAlign w:val="center"/>
            <w:hideMark/>
          </w:tcPr>
          <w:p w:rsidR="00F730B1" w:rsidRPr="0071636D" w:rsidRDefault="00F730B1" w:rsidP="00F730B1">
            <w:pPr>
              <w:jc w:val="center"/>
              <w:rPr>
                <w:rFonts w:ascii="Calibri" w:hAnsi="Calibri" w:cs="Calibri"/>
                <w:color w:val="000000"/>
              </w:rPr>
            </w:pPr>
            <w:r w:rsidRPr="0071636D">
              <w:rPr>
                <w:rFonts w:ascii="Calibri" w:hAnsi="Calibri" w:cs="Calibri"/>
                <w:color w:val="000000"/>
                <w:sz w:val="22"/>
                <w:szCs w:val="22"/>
              </w:rPr>
              <w:t>232</w:t>
            </w:r>
          </w:p>
        </w:tc>
        <w:tc>
          <w:tcPr>
            <w:tcW w:w="1417" w:type="dxa"/>
            <w:tcBorders>
              <w:top w:val="nil"/>
              <w:left w:val="nil"/>
              <w:bottom w:val="nil"/>
              <w:right w:val="nil"/>
            </w:tcBorders>
            <w:shd w:val="clear" w:color="auto" w:fill="auto"/>
            <w:noWrap/>
            <w:vAlign w:val="center"/>
            <w:hideMark/>
          </w:tcPr>
          <w:p w:rsidR="00F730B1" w:rsidRPr="0071636D" w:rsidRDefault="00F730B1" w:rsidP="00F730B1">
            <w:pPr>
              <w:jc w:val="center"/>
              <w:rPr>
                <w:rFonts w:ascii="Calibri" w:hAnsi="Calibri" w:cs="Calibri"/>
                <w:color w:val="000000"/>
              </w:rPr>
            </w:pPr>
            <w:r w:rsidRPr="0071636D">
              <w:rPr>
                <w:rFonts w:ascii="Calibri" w:hAnsi="Calibri" w:cs="Calibri"/>
                <w:color w:val="000000"/>
                <w:sz w:val="22"/>
                <w:szCs w:val="22"/>
              </w:rPr>
              <w:t>3</w:t>
            </w:r>
          </w:p>
        </w:tc>
      </w:tr>
      <w:tr w:rsidR="00F730B1" w:rsidRPr="0071636D" w:rsidTr="00F730B1">
        <w:trPr>
          <w:trHeight w:val="900"/>
        </w:trPr>
        <w:tc>
          <w:tcPr>
            <w:tcW w:w="555" w:type="dxa"/>
            <w:tcBorders>
              <w:top w:val="nil"/>
              <w:left w:val="nil"/>
              <w:bottom w:val="nil"/>
              <w:right w:val="nil"/>
            </w:tcBorders>
            <w:shd w:val="clear" w:color="000000" w:fill="DBEEF3"/>
            <w:noWrap/>
            <w:vAlign w:val="center"/>
            <w:hideMark/>
          </w:tcPr>
          <w:p w:rsidR="00F730B1" w:rsidRPr="0071636D" w:rsidRDefault="00F730B1" w:rsidP="00F730B1">
            <w:pPr>
              <w:rPr>
                <w:rFonts w:ascii="Calibri" w:hAnsi="Calibri" w:cs="Calibri"/>
                <w:color w:val="000000"/>
              </w:rPr>
            </w:pPr>
            <w:r w:rsidRPr="0071636D">
              <w:rPr>
                <w:rFonts w:ascii="Calibri" w:hAnsi="Calibri" w:cs="Calibri"/>
                <w:color w:val="000000"/>
                <w:sz w:val="22"/>
                <w:szCs w:val="22"/>
              </w:rPr>
              <w:t>7c</w:t>
            </w:r>
          </w:p>
        </w:tc>
        <w:tc>
          <w:tcPr>
            <w:tcW w:w="1303" w:type="dxa"/>
            <w:tcBorders>
              <w:top w:val="nil"/>
              <w:left w:val="nil"/>
              <w:bottom w:val="nil"/>
              <w:right w:val="nil"/>
            </w:tcBorders>
            <w:shd w:val="clear" w:color="000000" w:fill="DBEEF3"/>
            <w:vAlign w:val="center"/>
            <w:hideMark/>
          </w:tcPr>
          <w:p w:rsidR="00F730B1" w:rsidRPr="0071636D" w:rsidRDefault="00F730B1" w:rsidP="00F730B1">
            <w:pPr>
              <w:rPr>
                <w:rFonts w:ascii="Calibri" w:hAnsi="Calibri" w:cs="Calibri"/>
                <w:color w:val="000000"/>
              </w:rPr>
            </w:pPr>
            <w:r w:rsidRPr="0071636D">
              <w:rPr>
                <w:rFonts w:ascii="Calibri" w:hAnsi="Calibri" w:cs="Calibri"/>
                <w:color w:val="000000"/>
                <w:sz w:val="22"/>
                <w:szCs w:val="22"/>
              </w:rPr>
              <w:t>January 2012</w:t>
            </w:r>
          </w:p>
        </w:tc>
        <w:tc>
          <w:tcPr>
            <w:tcW w:w="1985" w:type="dxa"/>
            <w:tcBorders>
              <w:top w:val="nil"/>
              <w:left w:val="nil"/>
              <w:bottom w:val="nil"/>
              <w:right w:val="nil"/>
            </w:tcBorders>
            <w:shd w:val="clear" w:color="000000" w:fill="DBEEF3"/>
            <w:vAlign w:val="bottom"/>
            <w:hideMark/>
          </w:tcPr>
          <w:p w:rsidR="00F730B1" w:rsidRPr="0071636D" w:rsidRDefault="00F730B1" w:rsidP="00F730B1">
            <w:pPr>
              <w:rPr>
                <w:rFonts w:ascii="Calibri" w:hAnsi="Calibri" w:cs="Calibri"/>
                <w:color w:val="000000"/>
              </w:rPr>
            </w:pPr>
            <w:r w:rsidRPr="0071636D">
              <w:rPr>
                <w:rFonts w:ascii="Calibri" w:hAnsi="Calibri" w:cs="Calibri"/>
                <w:color w:val="000000"/>
                <w:sz w:val="22"/>
                <w:szCs w:val="22"/>
              </w:rPr>
              <w:t>Monitoring of patients prescribed lithium</w:t>
            </w:r>
          </w:p>
        </w:tc>
        <w:tc>
          <w:tcPr>
            <w:tcW w:w="1701" w:type="dxa"/>
            <w:tcBorders>
              <w:top w:val="nil"/>
              <w:left w:val="nil"/>
              <w:bottom w:val="nil"/>
              <w:right w:val="nil"/>
            </w:tcBorders>
            <w:shd w:val="clear" w:color="000000" w:fill="DBEEF3"/>
            <w:vAlign w:val="bottom"/>
            <w:hideMark/>
          </w:tcPr>
          <w:p w:rsidR="00F730B1" w:rsidRPr="0071636D" w:rsidRDefault="00F730B1" w:rsidP="00F730B1">
            <w:pPr>
              <w:rPr>
                <w:rFonts w:ascii="Calibri" w:hAnsi="Calibri" w:cs="Calibri"/>
                <w:color w:val="000000"/>
              </w:rPr>
            </w:pPr>
            <w:r w:rsidRPr="0071636D">
              <w:rPr>
                <w:rFonts w:ascii="Calibri" w:hAnsi="Calibri" w:cs="Calibri"/>
                <w:color w:val="000000"/>
                <w:sz w:val="22"/>
                <w:szCs w:val="22"/>
              </w:rPr>
              <w:t>second supplementary audit</w:t>
            </w:r>
          </w:p>
        </w:tc>
        <w:tc>
          <w:tcPr>
            <w:tcW w:w="1134" w:type="dxa"/>
            <w:tcBorders>
              <w:top w:val="nil"/>
              <w:left w:val="nil"/>
              <w:bottom w:val="nil"/>
              <w:right w:val="nil"/>
            </w:tcBorders>
            <w:shd w:val="clear" w:color="000000" w:fill="DBEEF3"/>
            <w:noWrap/>
            <w:vAlign w:val="center"/>
            <w:hideMark/>
          </w:tcPr>
          <w:p w:rsidR="00F730B1" w:rsidRPr="0071636D" w:rsidRDefault="00F730B1" w:rsidP="00F730B1">
            <w:pPr>
              <w:jc w:val="center"/>
              <w:rPr>
                <w:rFonts w:ascii="Calibri" w:hAnsi="Calibri" w:cs="Calibri"/>
                <w:color w:val="000000"/>
              </w:rPr>
            </w:pPr>
            <w:r w:rsidRPr="0071636D">
              <w:rPr>
                <w:rFonts w:ascii="Calibri" w:hAnsi="Calibri" w:cs="Calibri"/>
                <w:color w:val="000000"/>
                <w:sz w:val="22"/>
                <w:szCs w:val="22"/>
              </w:rPr>
              <w:t>22</w:t>
            </w:r>
          </w:p>
        </w:tc>
        <w:tc>
          <w:tcPr>
            <w:tcW w:w="1276" w:type="dxa"/>
            <w:tcBorders>
              <w:top w:val="nil"/>
              <w:left w:val="nil"/>
              <w:bottom w:val="nil"/>
              <w:right w:val="nil"/>
            </w:tcBorders>
            <w:shd w:val="clear" w:color="000000" w:fill="DBEEF3"/>
            <w:noWrap/>
            <w:vAlign w:val="center"/>
            <w:hideMark/>
          </w:tcPr>
          <w:p w:rsidR="00F730B1" w:rsidRPr="0071636D" w:rsidRDefault="00F730B1" w:rsidP="00F730B1">
            <w:pPr>
              <w:jc w:val="center"/>
              <w:rPr>
                <w:rFonts w:ascii="Calibri" w:hAnsi="Calibri" w:cs="Calibri"/>
                <w:color w:val="000000"/>
              </w:rPr>
            </w:pPr>
            <w:r w:rsidRPr="0071636D">
              <w:rPr>
                <w:rFonts w:ascii="Calibri" w:hAnsi="Calibri" w:cs="Calibri"/>
                <w:color w:val="000000"/>
                <w:sz w:val="22"/>
                <w:szCs w:val="22"/>
              </w:rPr>
              <w:t>118</w:t>
            </w:r>
          </w:p>
        </w:tc>
        <w:tc>
          <w:tcPr>
            <w:tcW w:w="1417" w:type="dxa"/>
            <w:tcBorders>
              <w:top w:val="nil"/>
              <w:left w:val="nil"/>
              <w:bottom w:val="nil"/>
              <w:right w:val="nil"/>
            </w:tcBorders>
            <w:shd w:val="clear" w:color="000000" w:fill="DBEEF3"/>
            <w:noWrap/>
            <w:vAlign w:val="center"/>
            <w:hideMark/>
          </w:tcPr>
          <w:p w:rsidR="00F730B1" w:rsidRPr="0071636D" w:rsidRDefault="00F730B1" w:rsidP="00F730B1">
            <w:pPr>
              <w:jc w:val="center"/>
              <w:rPr>
                <w:rFonts w:ascii="Calibri" w:hAnsi="Calibri" w:cs="Calibri"/>
                <w:color w:val="000000"/>
              </w:rPr>
            </w:pPr>
            <w:r w:rsidRPr="0071636D">
              <w:rPr>
                <w:rFonts w:ascii="Calibri" w:hAnsi="Calibri" w:cs="Calibri"/>
                <w:color w:val="000000"/>
                <w:sz w:val="22"/>
                <w:szCs w:val="22"/>
              </w:rPr>
              <w:t>3</w:t>
            </w:r>
          </w:p>
        </w:tc>
      </w:tr>
      <w:tr w:rsidR="00F730B1" w:rsidRPr="0071636D" w:rsidTr="00F730B1">
        <w:trPr>
          <w:trHeight w:val="615"/>
        </w:trPr>
        <w:tc>
          <w:tcPr>
            <w:tcW w:w="555" w:type="dxa"/>
            <w:tcBorders>
              <w:top w:val="nil"/>
              <w:left w:val="nil"/>
              <w:bottom w:val="single" w:sz="8" w:space="0" w:color="0070C0"/>
              <w:right w:val="nil"/>
            </w:tcBorders>
            <w:shd w:val="clear" w:color="auto" w:fill="auto"/>
            <w:noWrap/>
            <w:vAlign w:val="center"/>
            <w:hideMark/>
          </w:tcPr>
          <w:p w:rsidR="00F730B1" w:rsidRPr="0071636D" w:rsidRDefault="00F730B1" w:rsidP="00F730B1">
            <w:pPr>
              <w:rPr>
                <w:rFonts w:ascii="Calibri" w:hAnsi="Calibri" w:cs="Calibri"/>
                <w:color w:val="000000"/>
              </w:rPr>
            </w:pPr>
            <w:r w:rsidRPr="0071636D">
              <w:rPr>
                <w:rFonts w:ascii="Calibri" w:hAnsi="Calibri" w:cs="Calibri"/>
                <w:color w:val="000000"/>
                <w:sz w:val="22"/>
                <w:szCs w:val="22"/>
              </w:rPr>
              <w:t>10b</w:t>
            </w:r>
          </w:p>
        </w:tc>
        <w:tc>
          <w:tcPr>
            <w:tcW w:w="1303" w:type="dxa"/>
            <w:tcBorders>
              <w:top w:val="nil"/>
              <w:left w:val="nil"/>
              <w:bottom w:val="single" w:sz="8" w:space="0" w:color="0070C0"/>
              <w:right w:val="nil"/>
            </w:tcBorders>
            <w:shd w:val="clear" w:color="auto" w:fill="auto"/>
            <w:vAlign w:val="center"/>
            <w:hideMark/>
          </w:tcPr>
          <w:p w:rsidR="00F730B1" w:rsidRPr="0071636D" w:rsidRDefault="00F730B1" w:rsidP="00F730B1">
            <w:pPr>
              <w:rPr>
                <w:rFonts w:ascii="Calibri" w:hAnsi="Calibri" w:cs="Calibri"/>
                <w:color w:val="000000"/>
              </w:rPr>
            </w:pPr>
            <w:r w:rsidRPr="0071636D">
              <w:rPr>
                <w:rFonts w:ascii="Calibri" w:hAnsi="Calibri" w:cs="Calibri"/>
                <w:color w:val="000000"/>
                <w:sz w:val="22"/>
                <w:szCs w:val="22"/>
              </w:rPr>
              <w:t>March 2012</w:t>
            </w:r>
          </w:p>
        </w:tc>
        <w:tc>
          <w:tcPr>
            <w:tcW w:w="1985" w:type="dxa"/>
            <w:tcBorders>
              <w:top w:val="nil"/>
              <w:left w:val="nil"/>
              <w:bottom w:val="single" w:sz="8" w:space="0" w:color="0070C0"/>
              <w:right w:val="nil"/>
            </w:tcBorders>
            <w:shd w:val="clear" w:color="auto" w:fill="auto"/>
            <w:vAlign w:val="bottom"/>
            <w:hideMark/>
          </w:tcPr>
          <w:p w:rsidR="00F730B1" w:rsidRPr="0071636D" w:rsidRDefault="00F730B1" w:rsidP="00F730B1">
            <w:pPr>
              <w:rPr>
                <w:rFonts w:ascii="Calibri" w:hAnsi="Calibri" w:cs="Calibri"/>
                <w:color w:val="000000"/>
              </w:rPr>
            </w:pPr>
            <w:r w:rsidRPr="0071636D">
              <w:rPr>
                <w:rFonts w:ascii="Calibri" w:hAnsi="Calibri" w:cs="Calibri"/>
                <w:color w:val="000000"/>
                <w:sz w:val="22"/>
                <w:szCs w:val="22"/>
              </w:rPr>
              <w:t>Use of antipsychotic medication in CAMHS</w:t>
            </w:r>
          </w:p>
        </w:tc>
        <w:tc>
          <w:tcPr>
            <w:tcW w:w="1701" w:type="dxa"/>
            <w:tcBorders>
              <w:top w:val="nil"/>
              <w:left w:val="nil"/>
              <w:bottom w:val="single" w:sz="8" w:space="0" w:color="0070C0"/>
              <w:right w:val="nil"/>
            </w:tcBorders>
            <w:shd w:val="clear" w:color="auto" w:fill="auto"/>
            <w:noWrap/>
            <w:vAlign w:val="bottom"/>
            <w:hideMark/>
          </w:tcPr>
          <w:p w:rsidR="00F730B1" w:rsidRPr="0071636D" w:rsidRDefault="00F730B1" w:rsidP="00F730B1">
            <w:pPr>
              <w:rPr>
                <w:rFonts w:ascii="Calibri" w:hAnsi="Calibri" w:cs="Calibri"/>
                <w:color w:val="000000"/>
              </w:rPr>
            </w:pPr>
            <w:r w:rsidRPr="0071636D">
              <w:rPr>
                <w:rFonts w:ascii="Calibri" w:hAnsi="Calibri" w:cs="Calibri"/>
                <w:color w:val="000000"/>
                <w:sz w:val="22"/>
                <w:szCs w:val="22"/>
              </w:rPr>
              <w:t>Re-audit</w:t>
            </w:r>
          </w:p>
        </w:tc>
        <w:tc>
          <w:tcPr>
            <w:tcW w:w="1134" w:type="dxa"/>
            <w:tcBorders>
              <w:top w:val="nil"/>
              <w:left w:val="nil"/>
              <w:bottom w:val="single" w:sz="8" w:space="0" w:color="0070C0"/>
              <w:right w:val="nil"/>
            </w:tcBorders>
            <w:shd w:val="clear" w:color="auto" w:fill="auto"/>
            <w:noWrap/>
            <w:vAlign w:val="center"/>
            <w:hideMark/>
          </w:tcPr>
          <w:p w:rsidR="00F730B1" w:rsidRPr="0071636D" w:rsidRDefault="00F730B1" w:rsidP="00F730B1">
            <w:pPr>
              <w:jc w:val="center"/>
              <w:rPr>
                <w:rFonts w:ascii="Calibri" w:hAnsi="Calibri" w:cs="Calibri"/>
                <w:color w:val="000000"/>
              </w:rPr>
            </w:pPr>
            <w:r w:rsidRPr="0071636D">
              <w:rPr>
                <w:rFonts w:ascii="Calibri" w:hAnsi="Calibri" w:cs="Calibri"/>
                <w:color w:val="000000"/>
                <w:sz w:val="22"/>
                <w:szCs w:val="22"/>
              </w:rPr>
              <w:t>11</w:t>
            </w:r>
          </w:p>
        </w:tc>
        <w:tc>
          <w:tcPr>
            <w:tcW w:w="1276" w:type="dxa"/>
            <w:tcBorders>
              <w:top w:val="nil"/>
              <w:left w:val="nil"/>
              <w:bottom w:val="single" w:sz="8" w:space="0" w:color="0070C0"/>
              <w:right w:val="nil"/>
            </w:tcBorders>
            <w:shd w:val="clear" w:color="auto" w:fill="auto"/>
            <w:noWrap/>
            <w:vAlign w:val="center"/>
            <w:hideMark/>
          </w:tcPr>
          <w:p w:rsidR="00F730B1" w:rsidRPr="0071636D" w:rsidRDefault="00F730B1" w:rsidP="00F730B1">
            <w:pPr>
              <w:jc w:val="center"/>
              <w:rPr>
                <w:rFonts w:ascii="Calibri" w:hAnsi="Calibri" w:cs="Calibri"/>
                <w:color w:val="000000"/>
              </w:rPr>
            </w:pPr>
            <w:r w:rsidRPr="0071636D">
              <w:rPr>
                <w:rFonts w:ascii="Calibri" w:hAnsi="Calibri" w:cs="Calibri"/>
                <w:color w:val="000000"/>
                <w:sz w:val="22"/>
                <w:szCs w:val="22"/>
              </w:rPr>
              <w:t>52</w:t>
            </w:r>
          </w:p>
        </w:tc>
        <w:tc>
          <w:tcPr>
            <w:tcW w:w="1417" w:type="dxa"/>
            <w:tcBorders>
              <w:top w:val="nil"/>
              <w:left w:val="nil"/>
              <w:bottom w:val="single" w:sz="8" w:space="0" w:color="0070C0"/>
              <w:right w:val="nil"/>
            </w:tcBorders>
            <w:shd w:val="clear" w:color="auto" w:fill="auto"/>
            <w:noWrap/>
            <w:vAlign w:val="center"/>
            <w:hideMark/>
          </w:tcPr>
          <w:p w:rsidR="00F730B1" w:rsidRPr="0071636D" w:rsidRDefault="00F730B1" w:rsidP="00F730B1">
            <w:pPr>
              <w:jc w:val="center"/>
              <w:rPr>
                <w:rFonts w:ascii="Calibri" w:hAnsi="Calibri" w:cs="Calibri"/>
                <w:color w:val="000000"/>
              </w:rPr>
            </w:pPr>
            <w:r w:rsidRPr="0071636D">
              <w:rPr>
                <w:rFonts w:ascii="Calibri" w:hAnsi="Calibri" w:cs="Calibri"/>
                <w:color w:val="000000"/>
                <w:sz w:val="22"/>
                <w:szCs w:val="22"/>
              </w:rPr>
              <w:t>2</w:t>
            </w:r>
          </w:p>
        </w:tc>
      </w:tr>
    </w:tbl>
    <w:p w:rsidR="00F730B1" w:rsidRDefault="00F730B1" w:rsidP="00F730B1">
      <w:pPr>
        <w:rPr>
          <w:rFonts w:asciiTheme="minorHAnsi" w:hAnsiTheme="minorHAnsi" w:cstheme="minorHAnsi"/>
          <w:b/>
          <w:sz w:val="22"/>
          <w:szCs w:val="22"/>
        </w:rPr>
      </w:pPr>
    </w:p>
    <w:p w:rsidR="00F730B1" w:rsidRPr="0071636D" w:rsidRDefault="00F730B1" w:rsidP="00F730B1">
      <w:pPr>
        <w:rPr>
          <w:rFonts w:asciiTheme="minorHAnsi" w:hAnsiTheme="minorHAnsi" w:cstheme="minorHAnsi"/>
          <w:sz w:val="22"/>
          <w:szCs w:val="22"/>
        </w:rPr>
      </w:pPr>
      <w:r w:rsidRPr="0071636D">
        <w:rPr>
          <w:rFonts w:asciiTheme="minorHAnsi" w:hAnsiTheme="minorHAnsi" w:cstheme="minorHAnsi"/>
          <w:sz w:val="22"/>
          <w:szCs w:val="22"/>
        </w:rPr>
        <w:t>Oxford Health NHS Foundation Trust has participated in al POMH-UK QI</w:t>
      </w:r>
      <w:r w:rsidR="007B28AE">
        <w:rPr>
          <w:rFonts w:asciiTheme="minorHAnsi" w:hAnsiTheme="minorHAnsi" w:cstheme="minorHAnsi"/>
          <w:sz w:val="22"/>
          <w:szCs w:val="22"/>
        </w:rPr>
        <w:t>P</w:t>
      </w:r>
      <w:r w:rsidRPr="0071636D">
        <w:rPr>
          <w:rFonts w:asciiTheme="minorHAnsi" w:hAnsiTheme="minorHAnsi" w:cstheme="minorHAnsi"/>
          <w:sz w:val="22"/>
          <w:szCs w:val="22"/>
        </w:rPr>
        <w:t>Ps April 2011-2012</w:t>
      </w:r>
    </w:p>
    <w:p w:rsidR="00F730B1" w:rsidRPr="0071636D" w:rsidRDefault="00F730B1" w:rsidP="00F730B1">
      <w:pPr>
        <w:rPr>
          <w:rFonts w:asciiTheme="minorHAnsi" w:hAnsiTheme="minorHAnsi" w:cstheme="minorHAnsi"/>
          <w:sz w:val="22"/>
          <w:szCs w:val="22"/>
        </w:rPr>
      </w:pPr>
    </w:p>
    <w:p w:rsidR="00F730B1" w:rsidRPr="0071636D" w:rsidRDefault="00F730B1" w:rsidP="00F730B1">
      <w:pPr>
        <w:rPr>
          <w:rFonts w:asciiTheme="minorHAnsi" w:hAnsiTheme="minorHAnsi" w:cstheme="minorHAnsi"/>
          <w:sz w:val="22"/>
          <w:szCs w:val="22"/>
        </w:rPr>
      </w:pPr>
      <w:r w:rsidRPr="0071636D">
        <w:rPr>
          <w:rFonts w:asciiTheme="minorHAnsi" w:hAnsiTheme="minorHAnsi" w:cstheme="minorHAnsi"/>
          <w:sz w:val="22"/>
          <w:szCs w:val="22"/>
        </w:rPr>
        <w:t>Please note: Participation in QI</w:t>
      </w:r>
      <w:r w:rsidR="007B28AE">
        <w:rPr>
          <w:rFonts w:asciiTheme="minorHAnsi" w:hAnsiTheme="minorHAnsi" w:cstheme="minorHAnsi"/>
          <w:sz w:val="22"/>
          <w:szCs w:val="22"/>
        </w:rPr>
        <w:t>P</w:t>
      </w:r>
      <w:r w:rsidRPr="0071636D">
        <w:rPr>
          <w:rFonts w:asciiTheme="minorHAnsi" w:hAnsiTheme="minorHAnsi" w:cstheme="minorHAnsi"/>
          <w:sz w:val="22"/>
          <w:szCs w:val="22"/>
        </w:rPr>
        <w:t>Ps 1f &amp; 3f (</w:t>
      </w:r>
      <w:r w:rsidRPr="0071636D">
        <w:rPr>
          <w:rFonts w:asciiTheme="minorHAnsi" w:hAnsiTheme="minorHAnsi" w:cstheme="minorHAnsi"/>
          <w:i/>
          <w:sz w:val="22"/>
          <w:szCs w:val="22"/>
        </w:rPr>
        <w:t>prescribing of high dose and combined antipsychotics</w:t>
      </w:r>
      <w:r w:rsidRPr="0071636D">
        <w:rPr>
          <w:rFonts w:asciiTheme="minorHAnsi" w:hAnsiTheme="minorHAnsi" w:cstheme="minorHAnsi"/>
          <w:sz w:val="22"/>
          <w:szCs w:val="22"/>
        </w:rPr>
        <w:t>) in February 2012 will be reported in next year’s summary.</w:t>
      </w:r>
    </w:p>
    <w:p w:rsidR="00F730B1" w:rsidRDefault="00F730B1" w:rsidP="00F730B1">
      <w:pPr>
        <w:rPr>
          <w:rFonts w:asciiTheme="minorHAnsi" w:hAnsiTheme="minorHAnsi" w:cstheme="minorHAnsi"/>
          <w:sz w:val="22"/>
          <w:szCs w:val="22"/>
        </w:rPr>
      </w:pPr>
    </w:p>
    <w:p w:rsidR="00F730B1" w:rsidRDefault="00F730B1" w:rsidP="00F730B1">
      <w:pPr>
        <w:rPr>
          <w:rFonts w:asciiTheme="minorHAnsi" w:hAnsiTheme="minorHAnsi" w:cstheme="minorHAnsi"/>
          <w:sz w:val="22"/>
          <w:szCs w:val="22"/>
        </w:rPr>
      </w:pPr>
      <w:r>
        <w:rPr>
          <w:rFonts w:asciiTheme="minorHAnsi" w:hAnsiTheme="minorHAnsi" w:cstheme="minorHAnsi"/>
          <w:sz w:val="22"/>
          <w:szCs w:val="22"/>
        </w:rPr>
        <w:t xml:space="preserve">For information on participating in the Prescribing Observatory, please contact </w:t>
      </w:r>
      <w:proofErr w:type="spellStart"/>
      <w:r>
        <w:rPr>
          <w:rFonts w:asciiTheme="minorHAnsi" w:hAnsiTheme="minorHAnsi" w:cstheme="minorHAnsi"/>
          <w:sz w:val="22"/>
          <w:szCs w:val="22"/>
        </w:rPr>
        <w:t>Krysia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Zalewska</w:t>
      </w:r>
      <w:proofErr w:type="spellEnd"/>
      <w:r>
        <w:rPr>
          <w:rFonts w:asciiTheme="minorHAnsi" w:hAnsiTheme="minorHAnsi" w:cstheme="minorHAnsi"/>
          <w:sz w:val="22"/>
          <w:szCs w:val="22"/>
        </w:rPr>
        <w:t xml:space="preserve"> on 0207 977 6999 or </w:t>
      </w:r>
      <w:hyperlink r:id="rId38" w:history="1">
        <w:r w:rsidRPr="00FE3829">
          <w:rPr>
            <w:rStyle w:val="Hyperlink"/>
            <w:rFonts w:asciiTheme="minorHAnsi" w:hAnsiTheme="minorHAnsi" w:cstheme="minorHAnsi"/>
            <w:sz w:val="22"/>
            <w:szCs w:val="22"/>
          </w:rPr>
          <w:t>kzalewska@cru.cpsych.ac.uk</w:t>
        </w:r>
      </w:hyperlink>
      <w:r>
        <w:rPr>
          <w:rFonts w:asciiTheme="minorHAnsi" w:hAnsiTheme="minorHAnsi" w:cstheme="minorHAnsi"/>
          <w:sz w:val="22"/>
          <w:szCs w:val="22"/>
        </w:rPr>
        <w:t xml:space="preserve"> </w:t>
      </w:r>
    </w:p>
    <w:p w:rsidR="0055289C" w:rsidRDefault="0055289C" w:rsidP="000775B1">
      <w:pPr>
        <w:rPr>
          <w:rFonts w:ascii="Calibri" w:hAnsi="Calibri" w:cs="Arial"/>
          <w:b/>
          <w:bCs/>
          <w:color w:val="0070C0"/>
        </w:rPr>
      </w:pPr>
    </w:p>
    <w:p w:rsidR="00B57559" w:rsidRDefault="00B57559" w:rsidP="000775B1">
      <w:pPr>
        <w:rPr>
          <w:rFonts w:ascii="Calibri" w:hAnsi="Calibri" w:cs="Arial"/>
          <w:b/>
          <w:bCs/>
          <w:color w:val="0070C0"/>
        </w:rPr>
      </w:pPr>
    </w:p>
    <w:p w:rsidR="00B57559" w:rsidRPr="00544356" w:rsidRDefault="00B57559" w:rsidP="000775B1">
      <w:pPr>
        <w:rPr>
          <w:rFonts w:ascii="Calibri" w:hAnsi="Calibri" w:cs="Arial"/>
          <w:b/>
          <w:bCs/>
          <w:color w:val="0070C0"/>
        </w:rPr>
        <w:sectPr w:rsidR="00B57559" w:rsidRPr="00544356" w:rsidSect="00691E21">
          <w:pgSz w:w="11906" w:h="16838"/>
          <w:pgMar w:top="1440" w:right="1133" w:bottom="1440" w:left="1134" w:header="709" w:footer="709" w:gutter="0"/>
          <w:cols w:space="708"/>
          <w:docGrid w:linePitch="360"/>
        </w:sectPr>
      </w:pPr>
    </w:p>
    <w:p w:rsidR="00102A57" w:rsidRPr="00FA2D48" w:rsidRDefault="00102A57" w:rsidP="00102A57">
      <w:pPr>
        <w:pStyle w:val="Heading1"/>
      </w:pPr>
    </w:p>
    <w:tbl>
      <w:tblPr>
        <w:tblStyle w:val="TableGrid"/>
        <w:tblW w:w="0" w:type="auto"/>
        <w:tblBorders>
          <w:top w:val="single" w:sz="4" w:space="0" w:color="0070C0"/>
          <w:left w:val="none" w:sz="0" w:space="0" w:color="auto"/>
          <w:bottom w:val="double" w:sz="4" w:space="0" w:color="0070C0"/>
          <w:right w:val="none" w:sz="0" w:space="0" w:color="auto"/>
          <w:insideH w:val="none" w:sz="0" w:space="0" w:color="auto"/>
          <w:insideV w:val="none" w:sz="0" w:space="0" w:color="auto"/>
        </w:tblBorders>
        <w:tblLook w:val="04A0"/>
      </w:tblPr>
      <w:tblGrid>
        <w:gridCol w:w="9242"/>
      </w:tblGrid>
      <w:tr w:rsidR="00102A57" w:rsidTr="00102A57">
        <w:tc>
          <w:tcPr>
            <w:tcW w:w="9689" w:type="dxa"/>
          </w:tcPr>
          <w:p w:rsidR="00102A57" w:rsidRPr="004A026F" w:rsidRDefault="00102A57" w:rsidP="00102A57">
            <w:pPr>
              <w:pStyle w:val="Heading1"/>
              <w:rPr>
                <w:rFonts w:ascii="Calibri" w:hAnsi="Calibri"/>
                <w:u w:val="single"/>
              </w:rPr>
            </w:pPr>
            <w:bookmarkStart w:id="27" w:name="_Toc323284007"/>
            <w:r w:rsidRPr="00544356">
              <w:t xml:space="preserve">Annex 1. Statements from our Partners on the Quality </w:t>
            </w:r>
            <w:r>
              <w:t xml:space="preserve">Report and </w:t>
            </w:r>
            <w:r w:rsidRPr="00544356">
              <w:t>Account</w:t>
            </w:r>
            <w:bookmarkEnd w:id="27"/>
            <w:r w:rsidRPr="004A026F">
              <w:t xml:space="preserve"> </w:t>
            </w:r>
          </w:p>
        </w:tc>
      </w:tr>
    </w:tbl>
    <w:p w:rsidR="00102A57" w:rsidRDefault="00102A57" w:rsidP="00102A57">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242"/>
      </w:tblGrid>
      <w:tr w:rsidR="00102A57" w:rsidTr="00102A57">
        <w:tc>
          <w:tcPr>
            <w:tcW w:w="9689" w:type="dxa"/>
            <w:shd w:val="clear" w:color="auto" w:fill="0070C0"/>
          </w:tcPr>
          <w:p w:rsidR="00102A57" w:rsidRPr="0026092C" w:rsidRDefault="00102A57" w:rsidP="00102A57">
            <w:pPr>
              <w:pStyle w:val="Heading2"/>
            </w:pPr>
            <w:bookmarkStart w:id="28" w:name="_Toc323284008"/>
            <w:r w:rsidRPr="00102A57">
              <w:t>NHS Oxfordshire</w:t>
            </w:r>
            <w:bookmarkEnd w:id="28"/>
          </w:p>
        </w:tc>
      </w:tr>
    </w:tbl>
    <w:p w:rsidR="00A46784" w:rsidRDefault="00A46784" w:rsidP="00102A57">
      <w:pPr>
        <w:rPr>
          <w:rFonts w:ascii="Calibri" w:hAnsi="Calibri" w:cs="Arial"/>
          <w:b/>
          <w:sz w:val="22"/>
          <w:szCs w:val="22"/>
          <w:highlight w:val="yellow"/>
          <w:u w:val="single"/>
        </w:rPr>
      </w:pPr>
    </w:p>
    <w:p w:rsidR="00102A57" w:rsidRPr="001E0176" w:rsidRDefault="00A46784" w:rsidP="00102A57">
      <w:pPr>
        <w:rPr>
          <w:rFonts w:ascii="Calibri" w:hAnsi="Calibri" w:cs="Arial"/>
          <w:b/>
          <w:sz w:val="22"/>
          <w:szCs w:val="22"/>
        </w:rPr>
      </w:pPr>
      <w:r w:rsidRPr="001E0176">
        <w:rPr>
          <w:rFonts w:ascii="Calibri" w:hAnsi="Calibri" w:cs="Arial"/>
          <w:b/>
          <w:sz w:val="22"/>
          <w:szCs w:val="22"/>
          <w:highlight w:val="yellow"/>
        </w:rPr>
        <w:t>To be provided during May 2012</w:t>
      </w:r>
    </w:p>
    <w:p w:rsidR="00102A57" w:rsidRPr="001E0176" w:rsidRDefault="00102A57" w:rsidP="00102A57">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242"/>
      </w:tblGrid>
      <w:tr w:rsidR="00102A57" w:rsidRPr="001E0176" w:rsidTr="00A46784">
        <w:tc>
          <w:tcPr>
            <w:tcW w:w="9242" w:type="dxa"/>
            <w:shd w:val="clear" w:color="auto" w:fill="0070C0"/>
          </w:tcPr>
          <w:p w:rsidR="00102A57" w:rsidRPr="001E0176" w:rsidRDefault="00102A57" w:rsidP="00102A57">
            <w:pPr>
              <w:pStyle w:val="Heading2"/>
            </w:pPr>
            <w:bookmarkStart w:id="29" w:name="_Toc323284009"/>
            <w:r w:rsidRPr="001E0176">
              <w:t>Oxfordshire Health Overview and Scrutiny Committee</w:t>
            </w:r>
            <w:bookmarkEnd w:id="29"/>
          </w:p>
        </w:tc>
      </w:tr>
    </w:tbl>
    <w:p w:rsidR="00A46784" w:rsidRPr="001E0176" w:rsidRDefault="00A46784" w:rsidP="00102A57">
      <w:pPr>
        <w:rPr>
          <w:rFonts w:ascii="Calibri" w:hAnsi="Calibri" w:cs="Arial"/>
          <w:b/>
          <w:sz w:val="22"/>
          <w:szCs w:val="22"/>
          <w:highlight w:val="yellow"/>
          <w:u w:val="single"/>
        </w:rPr>
      </w:pPr>
    </w:p>
    <w:p w:rsidR="00102A57" w:rsidRPr="001E0176" w:rsidRDefault="00A46784" w:rsidP="00102A57">
      <w:pPr>
        <w:rPr>
          <w:rFonts w:ascii="Calibri" w:hAnsi="Calibri" w:cs="Arial"/>
          <w:b/>
          <w:sz w:val="22"/>
          <w:szCs w:val="22"/>
        </w:rPr>
      </w:pPr>
      <w:r w:rsidRPr="001E0176">
        <w:rPr>
          <w:rFonts w:ascii="Calibri" w:hAnsi="Calibri" w:cs="Arial"/>
          <w:b/>
          <w:sz w:val="22"/>
          <w:szCs w:val="22"/>
          <w:highlight w:val="yellow"/>
        </w:rPr>
        <w:t>To be provided during May 2012</w:t>
      </w:r>
    </w:p>
    <w:p w:rsidR="00102A57" w:rsidRPr="001E0176" w:rsidRDefault="00102A57" w:rsidP="00102A57">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242"/>
      </w:tblGrid>
      <w:tr w:rsidR="00102A57" w:rsidRPr="001E0176" w:rsidTr="00A46784">
        <w:tc>
          <w:tcPr>
            <w:tcW w:w="9242" w:type="dxa"/>
            <w:shd w:val="clear" w:color="auto" w:fill="0070C0"/>
          </w:tcPr>
          <w:p w:rsidR="00102A57" w:rsidRPr="001E0176" w:rsidRDefault="00102A57" w:rsidP="00102A57">
            <w:pPr>
              <w:pStyle w:val="Heading2"/>
            </w:pPr>
            <w:bookmarkStart w:id="30" w:name="_Toc323284010"/>
            <w:r w:rsidRPr="001E0176">
              <w:t>Buckinghamshire Health Overview and Scrutiny Committee</w:t>
            </w:r>
            <w:bookmarkEnd w:id="30"/>
            <w:r w:rsidRPr="001E0176">
              <w:t xml:space="preserve"> </w:t>
            </w:r>
          </w:p>
        </w:tc>
      </w:tr>
    </w:tbl>
    <w:p w:rsidR="001E0176" w:rsidRDefault="001E0176" w:rsidP="00102A57">
      <w:pPr>
        <w:rPr>
          <w:rFonts w:ascii="Calibri" w:hAnsi="Calibri" w:cs="Arial"/>
          <w:b/>
          <w:sz w:val="22"/>
          <w:szCs w:val="22"/>
          <w:highlight w:val="yellow"/>
          <w:u w:val="single"/>
        </w:rPr>
      </w:pPr>
    </w:p>
    <w:p w:rsidR="00102A57" w:rsidRPr="001E0176" w:rsidRDefault="00A46784" w:rsidP="00102A57">
      <w:pPr>
        <w:rPr>
          <w:rFonts w:ascii="Calibri" w:hAnsi="Calibri" w:cs="Arial"/>
          <w:b/>
          <w:sz w:val="22"/>
          <w:szCs w:val="22"/>
        </w:rPr>
      </w:pPr>
      <w:r w:rsidRPr="001E0176">
        <w:rPr>
          <w:rFonts w:ascii="Calibri" w:hAnsi="Calibri" w:cs="Arial"/>
          <w:b/>
          <w:sz w:val="22"/>
          <w:szCs w:val="22"/>
          <w:highlight w:val="yellow"/>
        </w:rPr>
        <w:t>To be provided during May 2012</w:t>
      </w:r>
    </w:p>
    <w:p w:rsidR="00102A57" w:rsidRPr="001E0176" w:rsidRDefault="00102A57" w:rsidP="00102A57">
      <w:pPr>
        <w:rPr>
          <w:rFonts w:ascii="Calibri" w:hAnsi="Calibri" w:cs="Arial"/>
          <w:b/>
          <w:sz w:val="22"/>
          <w:szCs w:val="22"/>
          <w:u w:val="single"/>
        </w:rPr>
      </w:pPr>
    </w:p>
    <w:p w:rsidR="00A46784" w:rsidRPr="001E0176" w:rsidRDefault="00A46784" w:rsidP="00102A57">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242"/>
      </w:tblGrid>
      <w:tr w:rsidR="00102A57" w:rsidRPr="001E0176" w:rsidTr="00A46784">
        <w:tc>
          <w:tcPr>
            <w:tcW w:w="9242" w:type="dxa"/>
            <w:shd w:val="clear" w:color="auto" w:fill="0070C0"/>
          </w:tcPr>
          <w:p w:rsidR="00102A57" w:rsidRPr="001E0176" w:rsidRDefault="00102A57" w:rsidP="00102A57">
            <w:pPr>
              <w:pStyle w:val="Heading2"/>
            </w:pPr>
            <w:bookmarkStart w:id="31" w:name="_Toc323284011"/>
            <w:r w:rsidRPr="001E0176">
              <w:t>Buckinghamshire Local Involvement Network (</w:t>
            </w:r>
            <w:proofErr w:type="spellStart"/>
            <w:r w:rsidRPr="001E0176">
              <w:t>LINk</w:t>
            </w:r>
            <w:proofErr w:type="spellEnd"/>
            <w:r w:rsidRPr="001E0176">
              <w:t>)</w:t>
            </w:r>
            <w:bookmarkEnd w:id="31"/>
          </w:p>
        </w:tc>
      </w:tr>
    </w:tbl>
    <w:p w:rsidR="00A46784" w:rsidRPr="001E0176" w:rsidRDefault="00A46784" w:rsidP="00102A57">
      <w:pPr>
        <w:rPr>
          <w:rFonts w:ascii="Calibri" w:hAnsi="Calibri" w:cs="Arial"/>
          <w:b/>
          <w:sz w:val="22"/>
          <w:szCs w:val="22"/>
          <w:highlight w:val="yellow"/>
          <w:u w:val="single"/>
        </w:rPr>
      </w:pPr>
    </w:p>
    <w:p w:rsidR="00102A57" w:rsidRPr="001E0176" w:rsidRDefault="00A46784" w:rsidP="00102A57">
      <w:pPr>
        <w:rPr>
          <w:rFonts w:ascii="Calibri" w:hAnsi="Calibri" w:cs="Arial"/>
          <w:b/>
          <w:sz w:val="22"/>
          <w:szCs w:val="22"/>
        </w:rPr>
      </w:pPr>
      <w:r w:rsidRPr="001E0176">
        <w:rPr>
          <w:rFonts w:ascii="Calibri" w:hAnsi="Calibri" w:cs="Arial"/>
          <w:b/>
          <w:sz w:val="22"/>
          <w:szCs w:val="22"/>
          <w:highlight w:val="yellow"/>
        </w:rPr>
        <w:t>To be provided during May 2012</w:t>
      </w:r>
    </w:p>
    <w:p w:rsidR="00102A57" w:rsidRPr="001E0176" w:rsidRDefault="00102A57" w:rsidP="00102A57">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242"/>
      </w:tblGrid>
      <w:tr w:rsidR="00102A57" w:rsidRPr="001E0176" w:rsidTr="00102A57">
        <w:tc>
          <w:tcPr>
            <w:tcW w:w="9689" w:type="dxa"/>
            <w:shd w:val="clear" w:color="auto" w:fill="0070C0"/>
          </w:tcPr>
          <w:p w:rsidR="00102A57" w:rsidRPr="001E0176" w:rsidRDefault="00102A57" w:rsidP="00102A57">
            <w:pPr>
              <w:pStyle w:val="Heading2"/>
            </w:pPr>
            <w:bookmarkStart w:id="32" w:name="_Toc323284012"/>
            <w:r w:rsidRPr="001E0176">
              <w:t>Oxfordshire</w:t>
            </w:r>
            <w:r w:rsidR="00B57559" w:rsidRPr="001E0176">
              <w:t xml:space="preserve"> Local Involvement Network (</w:t>
            </w:r>
            <w:proofErr w:type="spellStart"/>
            <w:r w:rsidR="00B57559" w:rsidRPr="001E0176">
              <w:t>LINk</w:t>
            </w:r>
            <w:proofErr w:type="spellEnd"/>
            <w:r w:rsidR="00B57559" w:rsidRPr="001E0176">
              <w:t>)</w:t>
            </w:r>
            <w:bookmarkEnd w:id="32"/>
          </w:p>
        </w:tc>
      </w:tr>
    </w:tbl>
    <w:p w:rsidR="00102A57" w:rsidRPr="001E0176" w:rsidRDefault="00102A57" w:rsidP="00102A57">
      <w:pPr>
        <w:rPr>
          <w:rFonts w:ascii="Calibri" w:hAnsi="Calibri" w:cs="Arial"/>
          <w:b/>
          <w:sz w:val="22"/>
          <w:szCs w:val="22"/>
          <w:u w:val="single"/>
        </w:rPr>
      </w:pPr>
    </w:p>
    <w:p w:rsidR="00962A54" w:rsidRDefault="00A46784">
      <w:pPr>
        <w:rPr>
          <w:rFonts w:ascii="Calibri" w:hAnsi="Calibri" w:cs="Arial"/>
          <w:b/>
          <w:sz w:val="22"/>
          <w:szCs w:val="22"/>
        </w:rPr>
      </w:pPr>
      <w:r w:rsidRPr="001E0176">
        <w:rPr>
          <w:rFonts w:ascii="Calibri" w:hAnsi="Calibri" w:cs="Arial"/>
          <w:b/>
          <w:sz w:val="22"/>
          <w:szCs w:val="22"/>
          <w:highlight w:val="yellow"/>
        </w:rPr>
        <w:t>To be provided during May 2012</w:t>
      </w:r>
    </w:p>
    <w:p w:rsidR="0023741E" w:rsidRPr="001E0176" w:rsidRDefault="0023741E">
      <w:pPr>
        <w:rPr>
          <w:rFonts w:ascii="Calibri" w:hAnsi="Calibri" w:cs="Arial"/>
          <w:color w:val="0070C0"/>
        </w:rPr>
      </w:pPr>
      <w:r w:rsidRPr="001E0176">
        <w:rPr>
          <w:rFonts w:ascii="Calibri" w:hAnsi="Calibri" w:cs="Arial"/>
          <w:color w:val="0070C0"/>
        </w:rPr>
        <w:br w:type="page"/>
      </w:r>
    </w:p>
    <w:p w:rsidR="00B57559" w:rsidRPr="00FA2D48" w:rsidRDefault="00B57559" w:rsidP="00B57559">
      <w:pPr>
        <w:pStyle w:val="Heading1"/>
      </w:pPr>
    </w:p>
    <w:tbl>
      <w:tblPr>
        <w:tblStyle w:val="TableGrid"/>
        <w:tblW w:w="0" w:type="auto"/>
        <w:tblBorders>
          <w:top w:val="single" w:sz="4" w:space="0" w:color="0070C0"/>
          <w:left w:val="none" w:sz="0" w:space="0" w:color="auto"/>
          <w:bottom w:val="double" w:sz="4" w:space="0" w:color="0070C0"/>
          <w:right w:val="none" w:sz="0" w:space="0" w:color="auto"/>
          <w:insideH w:val="none" w:sz="0" w:space="0" w:color="auto"/>
          <w:insideV w:val="none" w:sz="0" w:space="0" w:color="auto"/>
        </w:tblBorders>
        <w:tblLook w:val="04A0"/>
      </w:tblPr>
      <w:tblGrid>
        <w:gridCol w:w="9242"/>
      </w:tblGrid>
      <w:tr w:rsidR="00B57559" w:rsidTr="00B57559">
        <w:tc>
          <w:tcPr>
            <w:tcW w:w="9689" w:type="dxa"/>
          </w:tcPr>
          <w:p w:rsidR="00B57559" w:rsidRPr="004A026F" w:rsidRDefault="00B57559" w:rsidP="00B57559">
            <w:pPr>
              <w:pStyle w:val="Heading1"/>
              <w:rPr>
                <w:rFonts w:ascii="Calibri" w:hAnsi="Calibri"/>
                <w:u w:val="single"/>
              </w:rPr>
            </w:pPr>
            <w:bookmarkStart w:id="33" w:name="_Toc323284013"/>
            <w:r w:rsidRPr="00544356">
              <w:t>Annex 2. Statement of Directors’ Responsibilities in Respect of the Quality Report</w:t>
            </w:r>
            <w:bookmarkEnd w:id="33"/>
            <w:r w:rsidRPr="00544356">
              <w:t xml:space="preserve"> </w:t>
            </w:r>
          </w:p>
        </w:tc>
      </w:tr>
    </w:tbl>
    <w:p w:rsidR="00B57559" w:rsidRDefault="00B57559" w:rsidP="00B57559">
      <w:pPr>
        <w:rPr>
          <w:rFonts w:ascii="Calibri" w:hAnsi="Calibri" w:cs="Arial"/>
          <w:b/>
          <w:sz w:val="22"/>
          <w:szCs w:val="22"/>
          <w:u w:val="single"/>
        </w:rPr>
      </w:pPr>
    </w:p>
    <w:p w:rsidR="0023741E" w:rsidRPr="00544356" w:rsidRDefault="0023741E" w:rsidP="00DE56CB">
      <w:pPr>
        <w:pStyle w:val="Default"/>
        <w:rPr>
          <w:rFonts w:ascii="Calibri" w:hAnsi="Calibri" w:cs="Arial"/>
          <w:color w:val="0070C0"/>
        </w:rPr>
      </w:pPr>
    </w:p>
    <w:p w:rsidR="0023741E" w:rsidRPr="006331EE" w:rsidRDefault="0023741E" w:rsidP="007965B9">
      <w:pPr>
        <w:autoSpaceDE w:val="0"/>
        <w:autoSpaceDN w:val="0"/>
        <w:adjustRightInd w:val="0"/>
        <w:rPr>
          <w:rFonts w:ascii="Calibri" w:hAnsi="Calibri"/>
          <w:iCs/>
        </w:rPr>
      </w:pPr>
      <w:r w:rsidRPr="006331EE">
        <w:rPr>
          <w:rFonts w:ascii="Calibri" w:hAnsi="Calibri"/>
          <w:iCs/>
        </w:rPr>
        <w:t>The directors are required under the Health Act 2009 and the National Health Service (Quality Accounts) Regulations 2010 to prepare Quality Accounts for each financial year.</w:t>
      </w:r>
    </w:p>
    <w:p w:rsidR="0023741E" w:rsidRPr="006331EE" w:rsidRDefault="0023741E" w:rsidP="007965B9">
      <w:pPr>
        <w:autoSpaceDE w:val="0"/>
        <w:autoSpaceDN w:val="0"/>
        <w:adjustRightInd w:val="0"/>
        <w:rPr>
          <w:rFonts w:ascii="Calibri" w:hAnsi="Calibri"/>
          <w:iCs/>
        </w:rPr>
      </w:pPr>
    </w:p>
    <w:p w:rsidR="0023741E" w:rsidRPr="006331EE" w:rsidRDefault="0023741E" w:rsidP="007965B9">
      <w:pPr>
        <w:autoSpaceDE w:val="0"/>
        <w:autoSpaceDN w:val="0"/>
        <w:adjustRightInd w:val="0"/>
        <w:rPr>
          <w:rFonts w:ascii="Calibri" w:hAnsi="Calibri"/>
          <w:iCs/>
        </w:rPr>
      </w:pPr>
      <w:r w:rsidRPr="006331EE">
        <w:rPr>
          <w:rFonts w:ascii="Calibri" w:hAnsi="Calibri"/>
          <w:iCs/>
        </w:rPr>
        <w:t>Monitor has issued guidance to NHS foundation trust boards on the form and content of annual quality reports (which incorporate the above legal requirements) and on the arrangements that foundation trust boards should put in place to support the data quality for the preparation of the quality report.</w:t>
      </w:r>
    </w:p>
    <w:p w:rsidR="0023741E" w:rsidRPr="006331EE" w:rsidRDefault="0023741E" w:rsidP="007965B9">
      <w:pPr>
        <w:autoSpaceDE w:val="0"/>
        <w:autoSpaceDN w:val="0"/>
        <w:adjustRightInd w:val="0"/>
        <w:rPr>
          <w:rFonts w:ascii="Calibri" w:hAnsi="Calibri"/>
          <w:iCs/>
        </w:rPr>
      </w:pPr>
    </w:p>
    <w:p w:rsidR="0023741E" w:rsidRPr="006331EE" w:rsidRDefault="0023741E" w:rsidP="007965B9">
      <w:pPr>
        <w:autoSpaceDE w:val="0"/>
        <w:autoSpaceDN w:val="0"/>
        <w:adjustRightInd w:val="0"/>
        <w:rPr>
          <w:rFonts w:ascii="Calibri" w:hAnsi="Calibri"/>
          <w:iCs/>
        </w:rPr>
      </w:pPr>
      <w:r w:rsidRPr="006331EE">
        <w:rPr>
          <w:rFonts w:ascii="Calibri" w:hAnsi="Calibri"/>
          <w:iCs/>
        </w:rPr>
        <w:t>In preparing the quality report, directors are required to take steps to satisfy themselves that:</w:t>
      </w:r>
    </w:p>
    <w:p w:rsidR="0023741E" w:rsidRPr="006331EE" w:rsidRDefault="0023741E" w:rsidP="007965B9">
      <w:pPr>
        <w:autoSpaceDE w:val="0"/>
        <w:autoSpaceDN w:val="0"/>
        <w:adjustRightInd w:val="0"/>
        <w:rPr>
          <w:rFonts w:ascii="Calibri" w:hAnsi="Calibri"/>
          <w:iCs/>
        </w:rPr>
      </w:pPr>
    </w:p>
    <w:p w:rsidR="0023741E" w:rsidRPr="006331EE" w:rsidRDefault="0023741E" w:rsidP="00AE6CD0">
      <w:pPr>
        <w:numPr>
          <w:ilvl w:val="0"/>
          <w:numId w:val="14"/>
        </w:numPr>
        <w:autoSpaceDE w:val="0"/>
        <w:autoSpaceDN w:val="0"/>
        <w:adjustRightInd w:val="0"/>
        <w:ind w:left="426" w:hanging="426"/>
        <w:rPr>
          <w:rFonts w:ascii="Calibri" w:hAnsi="Calibri" w:cs="Arial,Italic"/>
          <w:iCs/>
        </w:rPr>
      </w:pPr>
      <w:r w:rsidRPr="006331EE">
        <w:rPr>
          <w:rFonts w:ascii="Calibri" w:hAnsi="Calibri" w:cs="Arial,Italic"/>
          <w:iCs/>
        </w:rPr>
        <w:t>the content of the quality report meets the requirements set out in the NHS Foundation Trust Annual Reporting Manual 201</w:t>
      </w:r>
      <w:r w:rsidR="00122C0E" w:rsidRPr="006331EE">
        <w:rPr>
          <w:rFonts w:ascii="Calibri" w:hAnsi="Calibri" w:cs="Arial,Italic"/>
          <w:iCs/>
        </w:rPr>
        <w:t>1</w:t>
      </w:r>
      <w:r w:rsidRPr="006331EE">
        <w:rPr>
          <w:rFonts w:ascii="Calibri" w:hAnsi="Calibri" w:cs="Arial,Italic"/>
          <w:iCs/>
        </w:rPr>
        <w:t>-1</w:t>
      </w:r>
      <w:r w:rsidR="00122C0E" w:rsidRPr="006331EE">
        <w:rPr>
          <w:rFonts w:ascii="Calibri" w:hAnsi="Calibri" w:cs="Arial,Italic"/>
          <w:iCs/>
        </w:rPr>
        <w:t>2</w:t>
      </w:r>
      <w:r w:rsidRPr="006331EE">
        <w:rPr>
          <w:rFonts w:ascii="Calibri" w:hAnsi="Calibri" w:cs="Arial,Italic"/>
          <w:iCs/>
        </w:rPr>
        <w:t>;</w:t>
      </w:r>
    </w:p>
    <w:p w:rsidR="0023741E" w:rsidRPr="006331EE" w:rsidRDefault="0023741E" w:rsidP="00AE6CD0">
      <w:pPr>
        <w:numPr>
          <w:ilvl w:val="0"/>
          <w:numId w:val="14"/>
        </w:numPr>
        <w:autoSpaceDE w:val="0"/>
        <w:autoSpaceDN w:val="0"/>
        <w:adjustRightInd w:val="0"/>
        <w:ind w:left="426" w:hanging="426"/>
        <w:rPr>
          <w:rFonts w:ascii="Calibri" w:hAnsi="Calibri" w:cs="Arial,Italic"/>
          <w:iCs/>
        </w:rPr>
      </w:pPr>
      <w:r w:rsidRPr="006331EE">
        <w:rPr>
          <w:rFonts w:ascii="Calibri" w:hAnsi="Calibri" w:cs="Arial,Italic"/>
          <w:iCs/>
        </w:rPr>
        <w:t>the content of the Quality Report is not inconsistent with internal and external sources of information including:</w:t>
      </w:r>
    </w:p>
    <w:p w:rsidR="0023741E" w:rsidRPr="006331EE" w:rsidRDefault="0023741E" w:rsidP="007965B9">
      <w:pPr>
        <w:autoSpaceDE w:val="0"/>
        <w:autoSpaceDN w:val="0"/>
        <w:adjustRightInd w:val="0"/>
        <w:rPr>
          <w:rFonts w:ascii="Calibri" w:hAnsi="Calibri"/>
          <w:iCs/>
        </w:rPr>
      </w:pPr>
    </w:p>
    <w:p w:rsidR="0023741E" w:rsidRPr="006331EE" w:rsidRDefault="0023741E" w:rsidP="00AE6CD0">
      <w:pPr>
        <w:numPr>
          <w:ilvl w:val="0"/>
          <w:numId w:val="13"/>
        </w:numPr>
        <w:autoSpaceDE w:val="0"/>
        <w:autoSpaceDN w:val="0"/>
        <w:adjustRightInd w:val="0"/>
        <w:rPr>
          <w:rFonts w:ascii="Calibri" w:hAnsi="Calibri"/>
          <w:iCs/>
        </w:rPr>
      </w:pPr>
      <w:r w:rsidRPr="006331EE">
        <w:rPr>
          <w:rFonts w:ascii="Calibri" w:hAnsi="Calibri"/>
          <w:iCs/>
        </w:rPr>
        <w:t>Board minutes and papers for the period April 201</w:t>
      </w:r>
      <w:r w:rsidR="00122C0E" w:rsidRPr="006331EE">
        <w:rPr>
          <w:rFonts w:ascii="Calibri" w:hAnsi="Calibri"/>
          <w:iCs/>
        </w:rPr>
        <w:t>1</w:t>
      </w:r>
      <w:r w:rsidRPr="006331EE">
        <w:rPr>
          <w:rFonts w:ascii="Calibri" w:hAnsi="Calibri"/>
          <w:iCs/>
        </w:rPr>
        <w:t xml:space="preserve"> to June 201</w:t>
      </w:r>
      <w:r w:rsidR="00122C0E" w:rsidRPr="006331EE">
        <w:rPr>
          <w:rFonts w:ascii="Calibri" w:hAnsi="Calibri"/>
          <w:iCs/>
        </w:rPr>
        <w:t>2</w:t>
      </w:r>
    </w:p>
    <w:p w:rsidR="0023741E" w:rsidRPr="006331EE" w:rsidRDefault="0023741E" w:rsidP="00AE6CD0">
      <w:pPr>
        <w:numPr>
          <w:ilvl w:val="0"/>
          <w:numId w:val="13"/>
        </w:numPr>
        <w:autoSpaceDE w:val="0"/>
        <w:autoSpaceDN w:val="0"/>
        <w:adjustRightInd w:val="0"/>
        <w:rPr>
          <w:rFonts w:ascii="Calibri" w:hAnsi="Calibri"/>
          <w:iCs/>
        </w:rPr>
      </w:pPr>
      <w:r w:rsidRPr="006331EE">
        <w:rPr>
          <w:rFonts w:ascii="Calibri" w:hAnsi="Calibri"/>
          <w:iCs/>
        </w:rPr>
        <w:t>Papers relating to Quality reported to the Board of Directors over the period April 201</w:t>
      </w:r>
      <w:r w:rsidR="00122C0E" w:rsidRPr="006331EE">
        <w:rPr>
          <w:rFonts w:ascii="Calibri" w:hAnsi="Calibri"/>
          <w:iCs/>
        </w:rPr>
        <w:t>1</w:t>
      </w:r>
      <w:r w:rsidRPr="006331EE">
        <w:rPr>
          <w:rFonts w:ascii="Calibri" w:hAnsi="Calibri"/>
          <w:iCs/>
        </w:rPr>
        <w:t xml:space="preserve"> to June 201</w:t>
      </w:r>
      <w:r w:rsidR="00122C0E" w:rsidRPr="006331EE">
        <w:rPr>
          <w:rFonts w:ascii="Calibri" w:hAnsi="Calibri"/>
          <w:iCs/>
        </w:rPr>
        <w:t>2</w:t>
      </w:r>
    </w:p>
    <w:p w:rsidR="0023741E" w:rsidRPr="006331EE" w:rsidRDefault="0023741E" w:rsidP="00AE6CD0">
      <w:pPr>
        <w:numPr>
          <w:ilvl w:val="0"/>
          <w:numId w:val="13"/>
        </w:numPr>
        <w:autoSpaceDE w:val="0"/>
        <w:autoSpaceDN w:val="0"/>
        <w:adjustRightInd w:val="0"/>
        <w:rPr>
          <w:rFonts w:ascii="Calibri" w:hAnsi="Calibri"/>
          <w:iCs/>
        </w:rPr>
      </w:pPr>
      <w:r w:rsidRPr="006331EE">
        <w:rPr>
          <w:rFonts w:ascii="Calibri" w:hAnsi="Calibri"/>
          <w:iCs/>
        </w:rPr>
        <w:t xml:space="preserve">Feedback from the commissioners dated </w:t>
      </w:r>
      <w:r w:rsidR="00122C0E" w:rsidRPr="006331EE">
        <w:rPr>
          <w:rFonts w:ascii="Calibri" w:hAnsi="Calibri"/>
          <w:iCs/>
          <w:highlight w:val="yellow"/>
        </w:rPr>
        <w:t>XX/XX</w:t>
      </w:r>
      <w:r w:rsidRPr="006331EE">
        <w:rPr>
          <w:rFonts w:ascii="Calibri" w:hAnsi="Calibri"/>
          <w:iCs/>
          <w:highlight w:val="yellow"/>
        </w:rPr>
        <w:t>/201</w:t>
      </w:r>
      <w:r w:rsidR="00122C0E" w:rsidRPr="006331EE">
        <w:rPr>
          <w:rFonts w:ascii="Calibri" w:hAnsi="Calibri"/>
          <w:iCs/>
          <w:highlight w:val="yellow"/>
        </w:rPr>
        <w:t>2</w:t>
      </w:r>
    </w:p>
    <w:p w:rsidR="0023741E" w:rsidRPr="006331EE" w:rsidRDefault="0023741E" w:rsidP="00AE6CD0">
      <w:pPr>
        <w:numPr>
          <w:ilvl w:val="0"/>
          <w:numId w:val="13"/>
        </w:numPr>
        <w:autoSpaceDE w:val="0"/>
        <w:autoSpaceDN w:val="0"/>
        <w:adjustRightInd w:val="0"/>
        <w:rPr>
          <w:rFonts w:ascii="Calibri" w:hAnsi="Calibri"/>
          <w:iCs/>
        </w:rPr>
      </w:pPr>
      <w:r w:rsidRPr="006331EE">
        <w:rPr>
          <w:rFonts w:ascii="Calibri" w:hAnsi="Calibri"/>
          <w:iCs/>
        </w:rPr>
        <w:t xml:space="preserve">Feedback from governors dated </w:t>
      </w:r>
      <w:r w:rsidR="00122C0E" w:rsidRPr="006331EE">
        <w:rPr>
          <w:rFonts w:ascii="Calibri" w:hAnsi="Calibri"/>
          <w:iCs/>
          <w:highlight w:val="yellow"/>
        </w:rPr>
        <w:t>XX</w:t>
      </w:r>
      <w:r w:rsidRPr="006331EE">
        <w:rPr>
          <w:rFonts w:ascii="Calibri" w:hAnsi="Calibri"/>
          <w:iCs/>
          <w:highlight w:val="yellow"/>
        </w:rPr>
        <w:t>/</w:t>
      </w:r>
      <w:r w:rsidR="00122C0E" w:rsidRPr="006331EE">
        <w:rPr>
          <w:rFonts w:ascii="Calibri" w:hAnsi="Calibri"/>
          <w:iCs/>
          <w:highlight w:val="yellow"/>
        </w:rPr>
        <w:t>XX</w:t>
      </w:r>
      <w:r w:rsidRPr="006331EE">
        <w:rPr>
          <w:rFonts w:ascii="Calibri" w:hAnsi="Calibri"/>
          <w:iCs/>
          <w:highlight w:val="yellow"/>
        </w:rPr>
        <w:t>/201</w:t>
      </w:r>
      <w:r w:rsidR="00122C0E" w:rsidRPr="006331EE">
        <w:rPr>
          <w:rFonts w:ascii="Calibri" w:hAnsi="Calibri"/>
          <w:iCs/>
          <w:highlight w:val="yellow"/>
        </w:rPr>
        <w:t>2</w:t>
      </w:r>
    </w:p>
    <w:p w:rsidR="0023741E" w:rsidRPr="006331EE" w:rsidRDefault="0023741E" w:rsidP="00AE6CD0">
      <w:pPr>
        <w:numPr>
          <w:ilvl w:val="0"/>
          <w:numId w:val="13"/>
        </w:numPr>
        <w:autoSpaceDE w:val="0"/>
        <w:autoSpaceDN w:val="0"/>
        <w:adjustRightInd w:val="0"/>
        <w:rPr>
          <w:rFonts w:ascii="Calibri" w:hAnsi="Calibri"/>
          <w:iCs/>
        </w:rPr>
      </w:pPr>
      <w:r w:rsidRPr="006331EE">
        <w:rPr>
          <w:rFonts w:ascii="Calibri" w:hAnsi="Calibri"/>
          <w:iCs/>
        </w:rPr>
        <w:t xml:space="preserve">Feedback from </w:t>
      </w:r>
      <w:r w:rsidR="00FE300A">
        <w:rPr>
          <w:rFonts w:ascii="Calibri" w:hAnsi="Calibri"/>
          <w:iCs/>
        </w:rPr>
        <w:t xml:space="preserve">Oxfordshire </w:t>
      </w:r>
      <w:proofErr w:type="spellStart"/>
      <w:r w:rsidRPr="006331EE">
        <w:rPr>
          <w:rFonts w:ascii="Calibri" w:hAnsi="Calibri"/>
          <w:iCs/>
        </w:rPr>
        <w:t>LINks</w:t>
      </w:r>
      <w:proofErr w:type="spellEnd"/>
      <w:r w:rsidRPr="006331EE">
        <w:rPr>
          <w:rFonts w:ascii="Calibri" w:hAnsi="Calibri"/>
          <w:iCs/>
        </w:rPr>
        <w:t xml:space="preserve"> dated </w:t>
      </w:r>
      <w:r w:rsidR="00122C0E" w:rsidRPr="006331EE">
        <w:rPr>
          <w:rFonts w:ascii="Calibri" w:hAnsi="Calibri"/>
          <w:iCs/>
          <w:highlight w:val="yellow"/>
        </w:rPr>
        <w:t>XX</w:t>
      </w:r>
      <w:r w:rsidRPr="006331EE">
        <w:rPr>
          <w:rFonts w:ascii="Calibri" w:hAnsi="Calibri"/>
          <w:iCs/>
          <w:highlight w:val="yellow"/>
        </w:rPr>
        <w:t>/</w:t>
      </w:r>
      <w:r w:rsidR="00122C0E" w:rsidRPr="006331EE">
        <w:rPr>
          <w:rFonts w:ascii="Calibri" w:hAnsi="Calibri"/>
          <w:iCs/>
          <w:highlight w:val="yellow"/>
        </w:rPr>
        <w:t>XX</w:t>
      </w:r>
      <w:r w:rsidRPr="006331EE">
        <w:rPr>
          <w:rFonts w:ascii="Calibri" w:hAnsi="Calibri"/>
          <w:iCs/>
          <w:highlight w:val="yellow"/>
        </w:rPr>
        <w:t>/201</w:t>
      </w:r>
      <w:r w:rsidR="00122C0E" w:rsidRPr="006331EE">
        <w:rPr>
          <w:rFonts w:ascii="Calibri" w:hAnsi="Calibri"/>
          <w:iCs/>
          <w:highlight w:val="yellow"/>
        </w:rPr>
        <w:t>2</w:t>
      </w:r>
    </w:p>
    <w:p w:rsidR="00FE300A" w:rsidRPr="006331EE" w:rsidRDefault="00FE300A" w:rsidP="00FE300A">
      <w:pPr>
        <w:numPr>
          <w:ilvl w:val="0"/>
          <w:numId w:val="13"/>
        </w:numPr>
        <w:autoSpaceDE w:val="0"/>
        <w:autoSpaceDN w:val="0"/>
        <w:adjustRightInd w:val="0"/>
        <w:rPr>
          <w:rFonts w:ascii="Calibri" w:hAnsi="Calibri"/>
          <w:iCs/>
        </w:rPr>
      </w:pPr>
      <w:r w:rsidRPr="006331EE">
        <w:rPr>
          <w:rFonts w:ascii="Calibri" w:hAnsi="Calibri"/>
          <w:iCs/>
        </w:rPr>
        <w:t xml:space="preserve">Feedback from </w:t>
      </w:r>
      <w:r>
        <w:rPr>
          <w:rFonts w:ascii="Calibri" w:hAnsi="Calibri"/>
          <w:iCs/>
        </w:rPr>
        <w:t xml:space="preserve">Buckinghamshire </w:t>
      </w:r>
      <w:proofErr w:type="spellStart"/>
      <w:r w:rsidRPr="006331EE">
        <w:rPr>
          <w:rFonts w:ascii="Calibri" w:hAnsi="Calibri"/>
          <w:iCs/>
        </w:rPr>
        <w:t>LINks</w:t>
      </w:r>
      <w:proofErr w:type="spellEnd"/>
      <w:r w:rsidRPr="006331EE">
        <w:rPr>
          <w:rFonts w:ascii="Calibri" w:hAnsi="Calibri"/>
          <w:iCs/>
        </w:rPr>
        <w:t xml:space="preserve"> dated </w:t>
      </w:r>
      <w:r w:rsidRPr="006331EE">
        <w:rPr>
          <w:rFonts w:ascii="Calibri" w:hAnsi="Calibri"/>
          <w:iCs/>
          <w:highlight w:val="yellow"/>
        </w:rPr>
        <w:t>XX/XX/2012</w:t>
      </w:r>
    </w:p>
    <w:p w:rsidR="0023741E" w:rsidRPr="006331EE" w:rsidRDefault="0023741E" w:rsidP="00AE6CD0">
      <w:pPr>
        <w:numPr>
          <w:ilvl w:val="0"/>
          <w:numId w:val="13"/>
        </w:numPr>
        <w:autoSpaceDE w:val="0"/>
        <w:autoSpaceDN w:val="0"/>
        <w:adjustRightInd w:val="0"/>
        <w:rPr>
          <w:rFonts w:ascii="Calibri" w:hAnsi="Calibri"/>
          <w:iCs/>
        </w:rPr>
      </w:pPr>
      <w:r w:rsidRPr="006331EE">
        <w:rPr>
          <w:rFonts w:ascii="Calibri" w:hAnsi="Calibri" w:cs="Arial,Italic"/>
          <w:iCs/>
        </w:rPr>
        <w:t>The Trust</w:t>
      </w:r>
      <w:r w:rsidRPr="006331EE">
        <w:rPr>
          <w:rFonts w:ascii="Calibri" w:hAnsi="Calibri" w:cs="Cambria Math"/>
          <w:iCs/>
        </w:rPr>
        <w:t>’</w:t>
      </w:r>
      <w:r w:rsidRPr="006331EE">
        <w:rPr>
          <w:rFonts w:ascii="Calibri" w:hAnsi="Calibri" w:cs="Arial,Italic"/>
          <w:iCs/>
        </w:rPr>
        <w:t xml:space="preserve">s complaints report published under regulation 18 of the Local Authority </w:t>
      </w:r>
      <w:r w:rsidRPr="006331EE">
        <w:rPr>
          <w:rFonts w:ascii="Calibri" w:hAnsi="Calibri"/>
          <w:iCs/>
        </w:rPr>
        <w:t>Social Services and NHS Complaints Regulations 2009</w:t>
      </w:r>
      <w:r w:rsidR="00122C0E" w:rsidRPr="006331EE">
        <w:rPr>
          <w:rFonts w:ascii="Calibri" w:hAnsi="Calibri"/>
          <w:iCs/>
        </w:rPr>
        <w:t xml:space="preserve">, dated </w:t>
      </w:r>
      <w:r w:rsidR="00FE300A" w:rsidRPr="00FE300A">
        <w:rPr>
          <w:rFonts w:ascii="Calibri" w:hAnsi="Calibri"/>
          <w:iCs/>
        </w:rPr>
        <w:t>16/04/2012</w:t>
      </w:r>
      <w:r w:rsidRPr="00FE300A">
        <w:rPr>
          <w:rFonts w:ascii="Calibri" w:hAnsi="Calibri"/>
          <w:iCs/>
        </w:rPr>
        <w:t xml:space="preserve"> </w:t>
      </w:r>
    </w:p>
    <w:p w:rsidR="0023741E" w:rsidRPr="006331EE" w:rsidRDefault="0023741E" w:rsidP="00AE6CD0">
      <w:pPr>
        <w:numPr>
          <w:ilvl w:val="0"/>
          <w:numId w:val="13"/>
        </w:numPr>
        <w:autoSpaceDE w:val="0"/>
        <w:autoSpaceDN w:val="0"/>
        <w:adjustRightInd w:val="0"/>
        <w:rPr>
          <w:rFonts w:ascii="Calibri" w:hAnsi="Calibri"/>
          <w:iCs/>
        </w:rPr>
      </w:pPr>
      <w:r w:rsidRPr="006331EE">
        <w:rPr>
          <w:rFonts w:ascii="Calibri" w:hAnsi="Calibri"/>
          <w:iCs/>
        </w:rPr>
        <w:t>The 201</w:t>
      </w:r>
      <w:r w:rsidR="00122C0E" w:rsidRPr="006331EE">
        <w:rPr>
          <w:rFonts w:ascii="Calibri" w:hAnsi="Calibri"/>
          <w:iCs/>
        </w:rPr>
        <w:t>1</w:t>
      </w:r>
      <w:r w:rsidRPr="006331EE">
        <w:rPr>
          <w:rFonts w:ascii="Calibri" w:hAnsi="Calibri"/>
          <w:iCs/>
        </w:rPr>
        <w:t xml:space="preserve"> national patient survey </w:t>
      </w:r>
      <w:r w:rsidR="007F40AE">
        <w:rPr>
          <w:rFonts w:ascii="Calibri" w:hAnsi="Calibri"/>
          <w:iCs/>
        </w:rPr>
        <w:t>August 2011</w:t>
      </w:r>
    </w:p>
    <w:p w:rsidR="0023741E" w:rsidRPr="006331EE" w:rsidRDefault="0023741E" w:rsidP="00AE6CD0">
      <w:pPr>
        <w:numPr>
          <w:ilvl w:val="0"/>
          <w:numId w:val="13"/>
        </w:numPr>
        <w:autoSpaceDE w:val="0"/>
        <w:autoSpaceDN w:val="0"/>
        <w:adjustRightInd w:val="0"/>
        <w:rPr>
          <w:rFonts w:ascii="Calibri" w:hAnsi="Calibri" w:cs="Arial,Italic"/>
          <w:iCs/>
        </w:rPr>
      </w:pPr>
      <w:r w:rsidRPr="006331EE">
        <w:rPr>
          <w:rFonts w:ascii="Calibri" w:hAnsi="Calibri"/>
          <w:iCs/>
        </w:rPr>
        <w:t>The 201</w:t>
      </w:r>
      <w:r w:rsidR="00122C0E" w:rsidRPr="006331EE">
        <w:rPr>
          <w:rFonts w:ascii="Calibri" w:hAnsi="Calibri"/>
          <w:iCs/>
        </w:rPr>
        <w:t>1</w:t>
      </w:r>
      <w:r w:rsidRPr="006331EE">
        <w:rPr>
          <w:rFonts w:ascii="Calibri" w:hAnsi="Calibri"/>
          <w:iCs/>
        </w:rPr>
        <w:t xml:space="preserve"> national staff survey </w:t>
      </w:r>
      <w:r w:rsidR="0092774D">
        <w:rPr>
          <w:rFonts w:ascii="Calibri" w:hAnsi="Calibri"/>
          <w:iCs/>
        </w:rPr>
        <w:t>issued March 2012</w:t>
      </w:r>
    </w:p>
    <w:p w:rsidR="0023741E" w:rsidRPr="006331EE" w:rsidRDefault="0023741E" w:rsidP="00AE6CD0">
      <w:pPr>
        <w:numPr>
          <w:ilvl w:val="0"/>
          <w:numId w:val="13"/>
        </w:numPr>
        <w:autoSpaceDE w:val="0"/>
        <w:autoSpaceDN w:val="0"/>
        <w:adjustRightInd w:val="0"/>
        <w:rPr>
          <w:rFonts w:ascii="Calibri" w:hAnsi="Calibri"/>
          <w:iCs/>
        </w:rPr>
      </w:pPr>
      <w:r w:rsidRPr="006331EE">
        <w:rPr>
          <w:rFonts w:ascii="Calibri" w:hAnsi="Calibri" w:cs="Arial,Italic"/>
          <w:iCs/>
        </w:rPr>
        <w:t>The Head of Internal Audit</w:t>
      </w:r>
      <w:r w:rsidRPr="006331EE">
        <w:rPr>
          <w:rFonts w:ascii="Calibri" w:hAnsi="Calibri" w:cs="Cambria Math"/>
          <w:iCs/>
        </w:rPr>
        <w:t>’</w:t>
      </w:r>
      <w:r w:rsidRPr="006331EE">
        <w:rPr>
          <w:rFonts w:ascii="Calibri" w:hAnsi="Calibri" w:cs="Arial,Italic"/>
          <w:iCs/>
        </w:rPr>
        <w:t>s annual opinion over the Trust</w:t>
      </w:r>
      <w:r w:rsidRPr="006331EE">
        <w:rPr>
          <w:rFonts w:ascii="Calibri" w:hAnsi="Calibri" w:cs="Cambria Math"/>
          <w:iCs/>
        </w:rPr>
        <w:t>’</w:t>
      </w:r>
      <w:r w:rsidRPr="006331EE">
        <w:rPr>
          <w:rFonts w:ascii="Calibri" w:hAnsi="Calibri" w:cs="Arial,Italic"/>
          <w:iCs/>
        </w:rPr>
        <w:t xml:space="preserve">s control environment </w:t>
      </w:r>
      <w:r w:rsidRPr="006331EE">
        <w:rPr>
          <w:rFonts w:ascii="Calibri" w:hAnsi="Calibri"/>
          <w:iCs/>
        </w:rPr>
        <w:t xml:space="preserve">dated </w:t>
      </w:r>
      <w:r w:rsidRPr="006331EE">
        <w:rPr>
          <w:rFonts w:ascii="Calibri" w:hAnsi="Calibri"/>
          <w:iCs/>
          <w:highlight w:val="yellow"/>
        </w:rPr>
        <w:t>XX/XX/20XX</w:t>
      </w:r>
    </w:p>
    <w:p w:rsidR="0023741E" w:rsidRPr="006331EE" w:rsidRDefault="0023741E" w:rsidP="00AE6CD0">
      <w:pPr>
        <w:numPr>
          <w:ilvl w:val="0"/>
          <w:numId w:val="13"/>
        </w:numPr>
        <w:autoSpaceDE w:val="0"/>
        <w:autoSpaceDN w:val="0"/>
        <w:adjustRightInd w:val="0"/>
        <w:rPr>
          <w:rFonts w:ascii="Calibri" w:hAnsi="Calibri"/>
          <w:iCs/>
        </w:rPr>
      </w:pPr>
      <w:r w:rsidRPr="006331EE">
        <w:rPr>
          <w:rFonts w:ascii="Calibri" w:hAnsi="Calibri"/>
          <w:iCs/>
        </w:rPr>
        <w:t xml:space="preserve">CQC quality and risk profiles dated </w:t>
      </w:r>
      <w:r w:rsidR="007F40AE">
        <w:rPr>
          <w:rFonts w:ascii="Calibri" w:hAnsi="Calibri"/>
          <w:iCs/>
        </w:rPr>
        <w:t>02/04/2012</w:t>
      </w:r>
    </w:p>
    <w:p w:rsidR="0023741E" w:rsidRPr="006331EE" w:rsidRDefault="0023741E" w:rsidP="007965B9">
      <w:pPr>
        <w:autoSpaceDE w:val="0"/>
        <w:autoSpaceDN w:val="0"/>
        <w:adjustRightInd w:val="0"/>
        <w:rPr>
          <w:rFonts w:ascii="Calibri" w:hAnsi="Calibri"/>
          <w:iCs/>
        </w:rPr>
      </w:pPr>
    </w:p>
    <w:p w:rsidR="0023741E" w:rsidRPr="006331EE" w:rsidRDefault="0023741E" w:rsidP="00AE6CD0">
      <w:pPr>
        <w:numPr>
          <w:ilvl w:val="0"/>
          <w:numId w:val="14"/>
        </w:numPr>
        <w:autoSpaceDE w:val="0"/>
        <w:autoSpaceDN w:val="0"/>
        <w:adjustRightInd w:val="0"/>
        <w:ind w:left="426" w:hanging="426"/>
        <w:rPr>
          <w:rFonts w:ascii="Calibri" w:hAnsi="Calibri" w:cs="Arial,Italic"/>
          <w:iCs/>
        </w:rPr>
      </w:pPr>
      <w:r w:rsidRPr="006331EE">
        <w:rPr>
          <w:rFonts w:ascii="Calibri" w:hAnsi="Calibri" w:cs="Arial,Italic"/>
          <w:iCs/>
        </w:rPr>
        <w:t>the Quality Report presents a balanced picture of the NHS foundation trust’s performance over the period covered;</w:t>
      </w:r>
    </w:p>
    <w:p w:rsidR="0023741E" w:rsidRPr="006331EE" w:rsidRDefault="0023741E" w:rsidP="00AE6CD0">
      <w:pPr>
        <w:numPr>
          <w:ilvl w:val="0"/>
          <w:numId w:val="14"/>
        </w:numPr>
        <w:autoSpaceDE w:val="0"/>
        <w:autoSpaceDN w:val="0"/>
        <w:adjustRightInd w:val="0"/>
        <w:ind w:left="426" w:hanging="426"/>
        <w:rPr>
          <w:rFonts w:ascii="Calibri" w:hAnsi="Calibri" w:cs="Arial,Italic"/>
          <w:iCs/>
        </w:rPr>
      </w:pPr>
      <w:r w:rsidRPr="006331EE">
        <w:rPr>
          <w:rFonts w:ascii="Calibri" w:hAnsi="Calibri" w:cs="Arial,Italic"/>
          <w:iCs/>
        </w:rPr>
        <w:t>the performance information reported in the Quality Report is reliable and accurate;</w:t>
      </w:r>
    </w:p>
    <w:p w:rsidR="0023741E" w:rsidRPr="006331EE" w:rsidRDefault="0023741E" w:rsidP="00AE6CD0">
      <w:pPr>
        <w:numPr>
          <w:ilvl w:val="0"/>
          <w:numId w:val="14"/>
        </w:numPr>
        <w:autoSpaceDE w:val="0"/>
        <w:autoSpaceDN w:val="0"/>
        <w:adjustRightInd w:val="0"/>
        <w:ind w:left="426" w:hanging="426"/>
        <w:rPr>
          <w:rFonts w:ascii="Calibri" w:hAnsi="Calibri" w:cs="Arial,Italic"/>
          <w:iCs/>
        </w:rPr>
      </w:pPr>
      <w:r w:rsidRPr="006331EE">
        <w:rPr>
          <w:rFonts w:ascii="Calibri" w:hAnsi="Calibri" w:cs="Arial,Italic"/>
          <w:iCs/>
        </w:rPr>
        <w:t>there are proper internal controls over the collection and reporting of the measures of performance included in the Quality Report, and these controls are subject to review to confirm that they are working effectively in practice;</w:t>
      </w:r>
    </w:p>
    <w:p w:rsidR="0023741E" w:rsidRPr="006331EE" w:rsidRDefault="0023741E" w:rsidP="00AE6CD0">
      <w:pPr>
        <w:numPr>
          <w:ilvl w:val="0"/>
          <w:numId w:val="14"/>
        </w:numPr>
        <w:autoSpaceDE w:val="0"/>
        <w:autoSpaceDN w:val="0"/>
        <w:adjustRightInd w:val="0"/>
        <w:ind w:left="426" w:hanging="426"/>
        <w:rPr>
          <w:rFonts w:ascii="Calibri" w:hAnsi="Calibri"/>
          <w:iCs/>
        </w:rPr>
      </w:pPr>
      <w:r w:rsidRPr="006331EE">
        <w:rPr>
          <w:rFonts w:ascii="Calibri" w:hAnsi="Calibri" w:cs="Arial,Italic"/>
          <w:iCs/>
        </w:rPr>
        <w:t>the data underpinning the measures of performance reported in the Quality Report is robust and reliable, conf</w:t>
      </w:r>
      <w:r w:rsidRPr="006331EE">
        <w:rPr>
          <w:rFonts w:ascii="Calibri" w:hAnsi="Calibri"/>
          <w:iCs/>
        </w:rPr>
        <w:t xml:space="preserve">orms to specified data quality standards and prescribed definitions, is subject to appropriate scrutiny and review; and the Quality Report has been prepared in accordance </w:t>
      </w:r>
      <w:r w:rsidRPr="006331EE">
        <w:rPr>
          <w:rFonts w:ascii="Calibri" w:hAnsi="Calibri" w:cs="Arial,Italic"/>
          <w:iCs/>
        </w:rPr>
        <w:t>with Monitor</w:t>
      </w:r>
      <w:r w:rsidRPr="006331EE">
        <w:rPr>
          <w:rFonts w:ascii="Calibri" w:hAnsi="Calibri" w:cs="Cambria Math"/>
          <w:iCs/>
        </w:rPr>
        <w:t>’</w:t>
      </w:r>
      <w:r w:rsidRPr="006331EE">
        <w:rPr>
          <w:rFonts w:ascii="Calibri" w:hAnsi="Calibri" w:cs="Arial,Italic"/>
          <w:iCs/>
        </w:rPr>
        <w:t xml:space="preserve">s annual reporting guidance (which </w:t>
      </w:r>
      <w:r w:rsidRPr="006331EE">
        <w:rPr>
          <w:rFonts w:ascii="Calibri" w:hAnsi="Calibri"/>
          <w:iCs/>
        </w:rPr>
        <w:t xml:space="preserve">incorporates the Quality Accounts regulations) (published at </w:t>
      </w:r>
      <w:hyperlink r:id="rId39" w:history="1">
        <w:r w:rsidRPr="006331EE">
          <w:rPr>
            <w:rStyle w:val="Hyperlink"/>
            <w:rFonts w:ascii="Calibri" w:hAnsi="Calibri"/>
            <w:iCs/>
            <w:color w:val="auto"/>
          </w:rPr>
          <w:t>www.monitornhsft.gov.uk/annualreportingmanual</w:t>
        </w:r>
      </w:hyperlink>
      <w:r w:rsidRPr="006331EE">
        <w:rPr>
          <w:rFonts w:ascii="Calibri" w:hAnsi="Calibri"/>
          <w:iCs/>
        </w:rPr>
        <w:t xml:space="preserve">) as well as the standards to support data quality for the preparation of the Quality Report (available at </w:t>
      </w:r>
      <w:hyperlink r:id="rId40" w:history="1">
        <w:r w:rsidRPr="006331EE">
          <w:rPr>
            <w:rStyle w:val="Hyperlink"/>
            <w:rFonts w:ascii="Calibri" w:hAnsi="Calibri"/>
            <w:iCs/>
            <w:color w:val="auto"/>
          </w:rPr>
          <w:t>www.monitornhsft.gov.uk/annualreportingmanual</w:t>
        </w:r>
      </w:hyperlink>
      <w:r w:rsidRPr="006331EE">
        <w:rPr>
          <w:rFonts w:ascii="Calibri" w:hAnsi="Calibri"/>
          <w:iCs/>
        </w:rPr>
        <w:t>).</w:t>
      </w:r>
    </w:p>
    <w:p w:rsidR="0023741E" w:rsidRPr="006331EE" w:rsidRDefault="0023741E" w:rsidP="007965B9">
      <w:pPr>
        <w:autoSpaceDE w:val="0"/>
        <w:autoSpaceDN w:val="0"/>
        <w:adjustRightInd w:val="0"/>
        <w:rPr>
          <w:rFonts w:ascii="Calibri" w:hAnsi="Calibri"/>
        </w:rPr>
      </w:pPr>
    </w:p>
    <w:p w:rsidR="0023741E" w:rsidRPr="006331EE" w:rsidRDefault="0023741E" w:rsidP="007965B9">
      <w:pPr>
        <w:autoSpaceDE w:val="0"/>
        <w:autoSpaceDN w:val="0"/>
        <w:adjustRightInd w:val="0"/>
        <w:rPr>
          <w:rFonts w:ascii="Calibri" w:hAnsi="Calibri"/>
          <w:iCs/>
        </w:rPr>
      </w:pPr>
      <w:r w:rsidRPr="006331EE">
        <w:rPr>
          <w:rFonts w:ascii="Calibri" w:hAnsi="Calibri"/>
          <w:iCs/>
        </w:rPr>
        <w:t>The directors confirm to the best of their knowledge and belief they have complied with the above requirements in preparing the Quality Report.</w:t>
      </w:r>
    </w:p>
    <w:p w:rsidR="0023741E" w:rsidRPr="006331EE" w:rsidRDefault="0023741E" w:rsidP="007965B9">
      <w:pPr>
        <w:autoSpaceDE w:val="0"/>
        <w:autoSpaceDN w:val="0"/>
        <w:adjustRightInd w:val="0"/>
        <w:rPr>
          <w:rFonts w:ascii="Calibri" w:hAnsi="Calibri"/>
          <w:iCs/>
        </w:rPr>
      </w:pPr>
    </w:p>
    <w:p w:rsidR="0023741E" w:rsidRPr="006331EE" w:rsidRDefault="0023741E" w:rsidP="007965B9">
      <w:pPr>
        <w:autoSpaceDE w:val="0"/>
        <w:autoSpaceDN w:val="0"/>
        <w:adjustRightInd w:val="0"/>
        <w:rPr>
          <w:rFonts w:ascii="Calibri" w:hAnsi="Calibri"/>
          <w:iCs/>
        </w:rPr>
      </w:pPr>
      <w:r w:rsidRPr="006331EE">
        <w:rPr>
          <w:rFonts w:ascii="Calibri" w:hAnsi="Calibri"/>
          <w:iCs/>
        </w:rPr>
        <w:t>By order of the Board</w:t>
      </w:r>
    </w:p>
    <w:p w:rsidR="0023741E" w:rsidRPr="006331EE" w:rsidRDefault="0023741E" w:rsidP="007965B9">
      <w:pPr>
        <w:autoSpaceDE w:val="0"/>
        <w:autoSpaceDN w:val="0"/>
        <w:adjustRightInd w:val="0"/>
        <w:rPr>
          <w:rFonts w:ascii="Calibri" w:hAnsi="Calibri"/>
          <w:iCs/>
        </w:rPr>
      </w:pPr>
    </w:p>
    <w:p w:rsidR="0023741E" w:rsidRPr="006331EE" w:rsidRDefault="0023741E" w:rsidP="007965B9">
      <w:pPr>
        <w:autoSpaceDE w:val="0"/>
        <w:autoSpaceDN w:val="0"/>
        <w:adjustRightInd w:val="0"/>
        <w:rPr>
          <w:rFonts w:ascii="Calibri" w:hAnsi="Calibri"/>
          <w:iCs/>
        </w:rPr>
      </w:pPr>
    </w:p>
    <w:p w:rsidR="0023741E" w:rsidRPr="006331EE" w:rsidRDefault="0023741E" w:rsidP="004A5D4A">
      <w:pPr>
        <w:autoSpaceDE w:val="0"/>
        <w:autoSpaceDN w:val="0"/>
        <w:adjustRightInd w:val="0"/>
        <w:rPr>
          <w:rFonts w:ascii="Calibri" w:hAnsi="Calibri"/>
          <w:iCs/>
        </w:rPr>
      </w:pPr>
      <w:r w:rsidRPr="006331EE">
        <w:rPr>
          <w:rFonts w:ascii="Calibri" w:hAnsi="Calibri"/>
          <w:iCs/>
        </w:rPr>
        <w:t>.</w:t>
      </w:r>
      <w:r w:rsidR="0012483B" w:rsidRPr="006331EE">
        <w:rPr>
          <w:rFonts w:ascii="Calibri" w:hAnsi="Calibri"/>
          <w:noProof/>
        </w:rPr>
        <w:drawing>
          <wp:inline distT="0" distB="0" distL="0" distR="0">
            <wp:extent cx="1524000" cy="571500"/>
            <wp:effectExtent l="19050" t="0" r="0" b="0"/>
            <wp:docPr id="8" name="Picture 9" descr="martin'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tin's signature.JPG"/>
                    <pic:cNvPicPr>
                      <a:picLocks noChangeAspect="1" noChangeArrowheads="1"/>
                    </pic:cNvPicPr>
                  </pic:nvPicPr>
                  <pic:blipFill>
                    <a:blip r:embed="rId41"/>
                    <a:srcRect/>
                    <a:stretch>
                      <a:fillRect/>
                    </a:stretch>
                  </pic:blipFill>
                  <pic:spPr bwMode="auto">
                    <a:xfrm>
                      <a:off x="0" y="0"/>
                      <a:ext cx="1524000" cy="571500"/>
                    </a:xfrm>
                    <a:prstGeom prst="rect">
                      <a:avLst/>
                    </a:prstGeom>
                    <a:noFill/>
                    <a:ln w="9525">
                      <a:noFill/>
                      <a:miter lim="800000"/>
                      <a:headEnd/>
                      <a:tailEnd/>
                    </a:ln>
                  </pic:spPr>
                </pic:pic>
              </a:graphicData>
            </a:graphic>
          </wp:inline>
        </w:drawing>
      </w:r>
      <w:r w:rsidRPr="006331EE">
        <w:rPr>
          <w:rFonts w:ascii="Calibri" w:hAnsi="Calibri"/>
          <w:iCs/>
        </w:rPr>
        <w:tab/>
      </w:r>
      <w:r w:rsidRPr="006331EE">
        <w:rPr>
          <w:rFonts w:ascii="Calibri" w:hAnsi="Calibri"/>
          <w:iCs/>
        </w:rPr>
        <w:tab/>
      </w:r>
      <w:r w:rsidR="00943DEC">
        <w:rPr>
          <w:rFonts w:ascii="Calibri" w:hAnsi="Calibri"/>
          <w:iCs/>
        </w:rPr>
        <w:t>30</w:t>
      </w:r>
      <w:r w:rsidR="00943DEC" w:rsidRPr="00943DEC">
        <w:rPr>
          <w:rFonts w:ascii="Calibri" w:hAnsi="Calibri"/>
          <w:iCs/>
          <w:vertAlign w:val="superscript"/>
        </w:rPr>
        <w:t>th</w:t>
      </w:r>
      <w:r w:rsidR="00943DEC">
        <w:rPr>
          <w:rFonts w:ascii="Calibri" w:hAnsi="Calibri"/>
          <w:iCs/>
        </w:rPr>
        <w:t xml:space="preserve"> May 2012</w:t>
      </w:r>
      <w:r w:rsidRPr="006331EE">
        <w:rPr>
          <w:rFonts w:ascii="Calibri" w:hAnsi="Calibri"/>
          <w:iCs/>
        </w:rPr>
        <w:tab/>
      </w:r>
      <w:r w:rsidRPr="006331EE">
        <w:rPr>
          <w:rFonts w:ascii="Calibri" w:hAnsi="Calibri"/>
          <w:iCs/>
        </w:rPr>
        <w:tab/>
        <w:t>Chairman</w:t>
      </w:r>
      <w:r w:rsidRPr="006331EE">
        <w:rPr>
          <w:rFonts w:ascii="Calibri" w:hAnsi="Calibri"/>
          <w:iCs/>
        </w:rPr>
        <w:tab/>
      </w:r>
      <w:r w:rsidRPr="006331EE">
        <w:rPr>
          <w:rFonts w:ascii="Calibri" w:hAnsi="Calibri"/>
          <w:iCs/>
        </w:rPr>
        <w:tab/>
        <w:t xml:space="preserve">  </w:t>
      </w:r>
    </w:p>
    <w:p w:rsidR="0023741E" w:rsidRPr="006331EE" w:rsidRDefault="0023741E" w:rsidP="004A5D4A">
      <w:pPr>
        <w:autoSpaceDE w:val="0"/>
        <w:autoSpaceDN w:val="0"/>
        <w:adjustRightInd w:val="0"/>
        <w:rPr>
          <w:rFonts w:ascii="Calibri" w:hAnsi="Calibri"/>
          <w:iCs/>
        </w:rPr>
      </w:pPr>
    </w:p>
    <w:p w:rsidR="0023741E" w:rsidRPr="006331EE" w:rsidRDefault="0023741E" w:rsidP="004A5D4A">
      <w:pPr>
        <w:autoSpaceDE w:val="0"/>
        <w:autoSpaceDN w:val="0"/>
        <w:adjustRightInd w:val="0"/>
        <w:rPr>
          <w:rFonts w:ascii="Calibri" w:hAnsi="Calibri"/>
          <w:iCs/>
        </w:rPr>
      </w:pPr>
      <w:r w:rsidRPr="006331EE">
        <w:rPr>
          <w:rFonts w:ascii="Calibri" w:hAnsi="Calibri"/>
          <w:iCs/>
        </w:rPr>
        <w:t xml:space="preserve">  </w:t>
      </w:r>
      <w:r w:rsidRPr="006331EE">
        <w:rPr>
          <w:rFonts w:ascii="Calibri" w:hAnsi="Calibri"/>
          <w:iCs/>
        </w:rPr>
        <w:tab/>
      </w:r>
      <w:r w:rsidRPr="006331EE">
        <w:rPr>
          <w:rFonts w:ascii="Calibri" w:hAnsi="Calibri"/>
          <w:iCs/>
        </w:rPr>
        <w:tab/>
      </w:r>
      <w:r w:rsidRPr="006331EE">
        <w:rPr>
          <w:rFonts w:ascii="Calibri" w:hAnsi="Calibri"/>
          <w:iCs/>
        </w:rPr>
        <w:tab/>
        <w:t xml:space="preserve">       </w:t>
      </w:r>
    </w:p>
    <w:p w:rsidR="0023741E" w:rsidRPr="006331EE" w:rsidRDefault="0012483B" w:rsidP="007965B9">
      <w:pPr>
        <w:rPr>
          <w:rFonts w:ascii="Calibri" w:hAnsi="Calibri"/>
          <w:iCs/>
        </w:rPr>
      </w:pPr>
      <w:r w:rsidRPr="006331EE">
        <w:rPr>
          <w:rFonts w:ascii="Calibri" w:hAnsi="Calibri"/>
          <w:noProof/>
        </w:rPr>
        <w:drawing>
          <wp:inline distT="0" distB="0" distL="0" distR="0">
            <wp:extent cx="1466850" cy="285750"/>
            <wp:effectExtent l="19050" t="0" r="0" b="0"/>
            <wp:docPr id="9" name="Picture 11" descr="julie'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ulie's signature.JPG"/>
                    <pic:cNvPicPr>
                      <a:picLocks noChangeAspect="1" noChangeArrowheads="1"/>
                    </pic:cNvPicPr>
                  </pic:nvPicPr>
                  <pic:blipFill>
                    <a:blip r:embed="rId14"/>
                    <a:srcRect/>
                    <a:stretch>
                      <a:fillRect/>
                    </a:stretch>
                  </pic:blipFill>
                  <pic:spPr bwMode="auto">
                    <a:xfrm>
                      <a:off x="0" y="0"/>
                      <a:ext cx="1466850" cy="285750"/>
                    </a:xfrm>
                    <a:prstGeom prst="rect">
                      <a:avLst/>
                    </a:prstGeom>
                    <a:noFill/>
                    <a:ln w="9525">
                      <a:noFill/>
                      <a:miter lim="800000"/>
                      <a:headEnd/>
                      <a:tailEnd/>
                    </a:ln>
                  </pic:spPr>
                </pic:pic>
              </a:graphicData>
            </a:graphic>
          </wp:inline>
        </w:drawing>
      </w:r>
      <w:r w:rsidR="0023741E" w:rsidRPr="006331EE">
        <w:rPr>
          <w:rFonts w:ascii="Calibri" w:hAnsi="Calibri"/>
          <w:iCs/>
        </w:rPr>
        <w:tab/>
      </w:r>
      <w:r w:rsidR="0023741E" w:rsidRPr="006331EE">
        <w:rPr>
          <w:rFonts w:ascii="Calibri" w:hAnsi="Calibri"/>
          <w:iCs/>
        </w:rPr>
        <w:tab/>
      </w:r>
      <w:r w:rsidR="00943DEC">
        <w:rPr>
          <w:rFonts w:ascii="Calibri" w:hAnsi="Calibri"/>
          <w:iCs/>
        </w:rPr>
        <w:t>30</w:t>
      </w:r>
      <w:r w:rsidR="00943DEC" w:rsidRPr="00943DEC">
        <w:rPr>
          <w:rFonts w:ascii="Calibri" w:hAnsi="Calibri"/>
          <w:iCs/>
          <w:vertAlign w:val="superscript"/>
        </w:rPr>
        <w:t>th</w:t>
      </w:r>
      <w:r w:rsidR="00943DEC">
        <w:rPr>
          <w:rFonts w:ascii="Calibri" w:hAnsi="Calibri"/>
          <w:iCs/>
        </w:rPr>
        <w:t xml:space="preserve"> May 2012</w:t>
      </w:r>
      <w:r w:rsidR="0023741E" w:rsidRPr="006331EE">
        <w:rPr>
          <w:rFonts w:ascii="Calibri" w:hAnsi="Calibri"/>
          <w:iCs/>
        </w:rPr>
        <w:tab/>
      </w:r>
      <w:r w:rsidR="0023741E" w:rsidRPr="006331EE">
        <w:rPr>
          <w:rFonts w:ascii="Calibri" w:hAnsi="Calibri"/>
          <w:iCs/>
        </w:rPr>
        <w:tab/>
        <w:t>Chief Executive</w:t>
      </w:r>
    </w:p>
    <w:p w:rsidR="0023741E" w:rsidRPr="006331EE" w:rsidRDefault="0023741E">
      <w:pPr>
        <w:rPr>
          <w:rFonts w:ascii="Calibri" w:hAnsi="Calibri" w:cs="Arial"/>
          <w:b/>
          <w:u w:val="single"/>
        </w:rPr>
      </w:pPr>
    </w:p>
    <w:p w:rsidR="0023741E" w:rsidRPr="006331EE" w:rsidRDefault="0023741E">
      <w:pPr>
        <w:rPr>
          <w:rFonts w:ascii="Calibri" w:hAnsi="Calibri" w:cs="Arial"/>
        </w:rPr>
      </w:pPr>
      <w:r w:rsidRPr="006331EE">
        <w:rPr>
          <w:rFonts w:ascii="Calibri" w:hAnsi="Calibri" w:cs="Arial"/>
        </w:rPr>
        <w:br w:type="page"/>
      </w:r>
    </w:p>
    <w:p w:rsidR="00B57559" w:rsidRPr="00FA2D48" w:rsidRDefault="00B57559" w:rsidP="00B57559">
      <w:pPr>
        <w:pStyle w:val="Heading1"/>
      </w:pPr>
      <w:bookmarkStart w:id="34" w:name="_Toc293492479"/>
      <w:bookmarkStart w:id="35" w:name="_Toc291673529"/>
    </w:p>
    <w:tbl>
      <w:tblPr>
        <w:tblStyle w:val="TableGrid"/>
        <w:tblW w:w="0" w:type="auto"/>
        <w:tblBorders>
          <w:top w:val="single" w:sz="4" w:space="0" w:color="0070C0"/>
          <w:left w:val="none" w:sz="0" w:space="0" w:color="auto"/>
          <w:bottom w:val="double" w:sz="4" w:space="0" w:color="0070C0"/>
          <w:right w:val="none" w:sz="0" w:space="0" w:color="auto"/>
          <w:insideH w:val="none" w:sz="0" w:space="0" w:color="auto"/>
          <w:insideV w:val="none" w:sz="0" w:space="0" w:color="auto"/>
        </w:tblBorders>
        <w:tblLook w:val="04A0"/>
      </w:tblPr>
      <w:tblGrid>
        <w:gridCol w:w="9242"/>
      </w:tblGrid>
      <w:tr w:rsidR="00B57559" w:rsidTr="00D97900">
        <w:tc>
          <w:tcPr>
            <w:tcW w:w="9242" w:type="dxa"/>
          </w:tcPr>
          <w:p w:rsidR="00B57559" w:rsidRPr="004A026F" w:rsidRDefault="00B57559" w:rsidP="00B57559">
            <w:pPr>
              <w:pStyle w:val="Heading1"/>
              <w:rPr>
                <w:rFonts w:ascii="Calibri" w:hAnsi="Calibri"/>
                <w:u w:val="single"/>
              </w:rPr>
            </w:pPr>
            <w:bookmarkStart w:id="36" w:name="_Toc323284014"/>
            <w:r w:rsidRPr="00544356">
              <w:t>Annex 3. Examples of Actions taken following Trust Internal Clinical Audits 201</w:t>
            </w:r>
            <w:r>
              <w:t>1</w:t>
            </w:r>
            <w:r w:rsidRPr="00544356">
              <w:t>-201</w:t>
            </w:r>
            <w:r>
              <w:t>2</w:t>
            </w:r>
            <w:bookmarkEnd w:id="36"/>
          </w:p>
        </w:tc>
      </w:tr>
      <w:bookmarkEnd w:id="34"/>
    </w:tbl>
    <w:p w:rsidR="00D97900" w:rsidRDefault="00D97900" w:rsidP="00D97900">
      <w:pPr>
        <w:rPr>
          <w:rFonts w:ascii="Calibri" w:hAnsi="Calibri" w:cs="Arial"/>
          <w:b/>
          <w:bCs/>
          <w:i/>
          <w:color w:val="0070C0"/>
          <w:u w:val="single"/>
        </w:rPr>
      </w:pPr>
    </w:p>
    <w:p w:rsidR="00CE361A" w:rsidRPr="00CE361A" w:rsidRDefault="00CE361A" w:rsidP="00D97900">
      <w:pPr>
        <w:rPr>
          <w:rFonts w:ascii="Calibri" w:hAnsi="Calibri" w:cs="Arial"/>
          <w:bCs/>
        </w:rPr>
      </w:pPr>
      <w:r w:rsidRPr="00CE361A">
        <w:rPr>
          <w:rFonts w:ascii="Calibri" w:hAnsi="Calibri" w:cs="Arial"/>
          <w:bCs/>
          <w:highlight w:val="yellow"/>
        </w:rPr>
        <w:t>To be provided</w:t>
      </w:r>
    </w:p>
    <w:p w:rsidR="00CE361A" w:rsidRDefault="00CE361A" w:rsidP="00D97900">
      <w:pPr>
        <w:rPr>
          <w:rFonts w:ascii="Calibri" w:hAnsi="Calibri" w:cs="Arial"/>
          <w:b/>
          <w:bCs/>
          <w:i/>
          <w:color w:val="0070C0"/>
          <w:u w:val="single"/>
        </w:rPr>
      </w:pPr>
    </w:p>
    <w:p w:rsidR="00D97900" w:rsidRPr="00544356" w:rsidRDefault="00D97900" w:rsidP="00D97900">
      <w:pPr>
        <w:rPr>
          <w:rFonts w:ascii="Calibri" w:hAnsi="Calibri" w:cs="Arial"/>
          <w:b/>
          <w:bCs/>
          <w:i/>
          <w:color w:val="0070C0"/>
          <w:u w:val="single"/>
        </w:rPr>
      </w:pPr>
      <w:r w:rsidRPr="00544356">
        <w:rPr>
          <w:rFonts w:ascii="Calibri" w:hAnsi="Calibri" w:cs="Arial"/>
          <w:b/>
          <w:bCs/>
          <w:i/>
          <w:color w:val="0070C0"/>
          <w:u w:val="single"/>
        </w:rPr>
        <w:t xml:space="preserve">Table </w:t>
      </w:r>
      <w:r>
        <w:rPr>
          <w:rFonts w:ascii="Calibri" w:hAnsi="Calibri" w:cs="Arial"/>
          <w:b/>
          <w:bCs/>
          <w:i/>
          <w:color w:val="0070C0"/>
          <w:u w:val="single"/>
        </w:rPr>
        <w:t>7</w:t>
      </w:r>
    </w:p>
    <w:tbl>
      <w:tblPr>
        <w:tblW w:w="9889" w:type="dxa"/>
        <w:tblInd w:w="-98" w:type="dxa"/>
        <w:tblCellMar>
          <w:left w:w="0" w:type="dxa"/>
          <w:right w:w="0" w:type="dxa"/>
        </w:tblCellMar>
        <w:tblLook w:val="0000"/>
      </w:tblPr>
      <w:tblGrid>
        <w:gridCol w:w="392"/>
        <w:gridCol w:w="1996"/>
        <w:gridCol w:w="7501"/>
      </w:tblGrid>
      <w:tr w:rsidR="0023741E" w:rsidRPr="00544356" w:rsidTr="004F189F">
        <w:trPr>
          <w:tblHeader/>
        </w:trPr>
        <w:tc>
          <w:tcPr>
            <w:tcW w:w="392" w:type="dxa"/>
            <w:tcBorders>
              <w:top w:val="nil"/>
              <w:left w:val="single" w:sz="8" w:space="0" w:color="auto"/>
              <w:bottom w:val="single" w:sz="8" w:space="0" w:color="auto"/>
              <w:right w:val="single" w:sz="8" w:space="0" w:color="auto"/>
            </w:tcBorders>
            <w:shd w:val="clear" w:color="auto" w:fill="000080"/>
          </w:tcPr>
          <w:p w:rsidR="0023741E" w:rsidRPr="006331EE" w:rsidRDefault="0023741E" w:rsidP="004F189F">
            <w:pPr>
              <w:rPr>
                <w:rFonts w:ascii="Calibri" w:hAnsi="Calibri" w:cs="Arial"/>
                <w:color w:val="FFFFFF" w:themeColor="background1"/>
              </w:rPr>
            </w:pPr>
          </w:p>
        </w:tc>
        <w:tc>
          <w:tcPr>
            <w:tcW w:w="1996" w:type="dxa"/>
            <w:tcBorders>
              <w:top w:val="nil"/>
              <w:left w:val="single" w:sz="8" w:space="0" w:color="auto"/>
              <w:bottom w:val="single" w:sz="8" w:space="0" w:color="auto"/>
              <w:right w:val="single" w:sz="8" w:space="0" w:color="auto"/>
            </w:tcBorders>
            <w:shd w:val="clear" w:color="auto" w:fill="000080"/>
            <w:tcMar>
              <w:top w:w="0" w:type="dxa"/>
              <w:left w:w="108" w:type="dxa"/>
              <w:bottom w:w="0" w:type="dxa"/>
              <w:right w:w="108" w:type="dxa"/>
            </w:tcMar>
          </w:tcPr>
          <w:p w:rsidR="0023741E" w:rsidRPr="006331EE" w:rsidRDefault="0023741E" w:rsidP="004F189F">
            <w:pPr>
              <w:rPr>
                <w:rFonts w:ascii="Calibri" w:hAnsi="Calibri" w:cs="Arial"/>
                <w:color w:val="FFFFFF" w:themeColor="background1"/>
              </w:rPr>
            </w:pPr>
            <w:r w:rsidRPr="006331EE">
              <w:rPr>
                <w:rFonts w:ascii="Calibri" w:hAnsi="Calibri" w:cs="Arial"/>
                <w:color w:val="FFFFFF" w:themeColor="background1"/>
              </w:rPr>
              <w:t>Title of Audit</w:t>
            </w:r>
          </w:p>
        </w:tc>
        <w:tc>
          <w:tcPr>
            <w:tcW w:w="7501" w:type="dxa"/>
            <w:tcBorders>
              <w:top w:val="nil"/>
              <w:left w:val="nil"/>
              <w:bottom w:val="single" w:sz="8" w:space="0" w:color="auto"/>
              <w:right w:val="single" w:sz="8" w:space="0" w:color="auto"/>
            </w:tcBorders>
            <w:shd w:val="clear" w:color="auto" w:fill="000080"/>
            <w:tcMar>
              <w:top w:w="0" w:type="dxa"/>
              <w:left w:w="108" w:type="dxa"/>
              <w:bottom w:w="0" w:type="dxa"/>
              <w:right w:w="108" w:type="dxa"/>
            </w:tcMar>
          </w:tcPr>
          <w:p w:rsidR="0023741E" w:rsidRPr="006331EE" w:rsidRDefault="0023741E" w:rsidP="004F189F">
            <w:pPr>
              <w:rPr>
                <w:rFonts w:ascii="Calibri" w:hAnsi="Calibri" w:cs="Arial"/>
                <w:color w:val="FFFFFF" w:themeColor="background1"/>
              </w:rPr>
            </w:pPr>
            <w:r w:rsidRPr="006331EE">
              <w:rPr>
                <w:rFonts w:ascii="Calibri" w:hAnsi="Calibri" w:cs="Arial"/>
                <w:color w:val="FFFFFF" w:themeColor="background1"/>
              </w:rPr>
              <w:t xml:space="preserve">Key Actions </w:t>
            </w: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r w:rsidR="0023741E" w:rsidRPr="00544356" w:rsidTr="004F189F">
        <w:tc>
          <w:tcPr>
            <w:tcW w:w="392" w:type="dxa"/>
            <w:tcBorders>
              <w:top w:val="nil"/>
              <w:left w:val="single" w:sz="8" w:space="0" w:color="auto"/>
              <w:bottom w:val="single" w:sz="8" w:space="0" w:color="auto"/>
              <w:right w:val="single" w:sz="8" w:space="0" w:color="auto"/>
            </w:tcBorders>
          </w:tcPr>
          <w:p w:rsidR="0023741E" w:rsidRPr="00544356" w:rsidRDefault="0023741E" w:rsidP="004F189F">
            <w:pPr>
              <w:rPr>
                <w:rFonts w:ascii="Calibri" w:hAnsi="Calibri" w:cs="Arial"/>
                <w:color w:val="0070C0"/>
              </w:rPr>
            </w:pPr>
          </w:p>
        </w:tc>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rsidR="0023741E" w:rsidRPr="00544356" w:rsidRDefault="0023741E" w:rsidP="004F189F">
            <w:pPr>
              <w:rPr>
                <w:rFonts w:ascii="Calibri" w:hAnsi="Calibri" w:cs="Arial"/>
                <w:color w:val="0070C0"/>
              </w:rPr>
            </w:pPr>
          </w:p>
        </w:tc>
      </w:tr>
    </w:tbl>
    <w:p w:rsidR="0023741E" w:rsidRPr="00544356" w:rsidRDefault="0023741E" w:rsidP="009E4ECF">
      <w:pPr>
        <w:rPr>
          <w:color w:val="0070C0"/>
        </w:rPr>
      </w:pPr>
    </w:p>
    <w:p w:rsidR="00ED063D" w:rsidRDefault="00ED063D">
      <w:pPr>
        <w:rPr>
          <w:b/>
          <w:bCs/>
          <w:color w:val="0070C0"/>
        </w:rPr>
      </w:pPr>
      <w:r>
        <w:rPr>
          <w:b/>
          <w:bCs/>
          <w:color w:val="0070C0"/>
        </w:rPr>
        <w:br w:type="page"/>
      </w:r>
    </w:p>
    <w:p w:rsidR="00ED063D" w:rsidRPr="00FA2D48" w:rsidRDefault="00ED063D" w:rsidP="00ED063D">
      <w:pPr>
        <w:pStyle w:val="Heading1"/>
      </w:pPr>
    </w:p>
    <w:tbl>
      <w:tblPr>
        <w:tblStyle w:val="TableGrid"/>
        <w:tblW w:w="0" w:type="auto"/>
        <w:tblBorders>
          <w:top w:val="single" w:sz="4" w:space="0" w:color="0070C0"/>
          <w:left w:val="none" w:sz="0" w:space="0" w:color="auto"/>
          <w:bottom w:val="double" w:sz="4" w:space="0" w:color="0070C0"/>
          <w:right w:val="none" w:sz="0" w:space="0" w:color="auto"/>
          <w:insideH w:val="none" w:sz="0" w:space="0" w:color="auto"/>
          <w:insideV w:val="none" w:sz="0" w:space="0" w:color="auto"/>
        </w:tblBorders>
        <w:tblLook w:val="04A0"/>
      </w:tblPr>
      <w:tblGrid>
        <w:gridCol w:w="9242"/>
      </w:tblGrid>
      <w:tr w:rsidR="00ED063D" w:rsidTr="00ED063D">
        <w:tc>
          <w:tcPr>
            <w:tcW w:w="9689" w:type="dxa"/>
          </w:tcPr>
          <w:p w:rsidR="00ED063D" w:rsidRPr="004A026F" w:rsidRDefault="00ED063D" w:rsidP="002379FA">
            <w:pPr>
              <w:pStyle w:val="Heading1"/>
              <w:rPr>
                <w:rFonts w:ascii="Calibri" w:hAnsi="Calibri"/>
                <w:u w:val="single"/>
              </w:rPr>
            </w:pPr>
            <w:bookmarkStart w:id="37" w:name="_Toc323284015"/>
            <w:r w:rsidRPr="00544356">
              <w:t xml:space="preserve">Annex 4. </w:t>
            </w:r>
            <w:r>
              <w:t xml:space="preserve">CQUIN </w:t>
            </w:r>
            <w:r w:rsidR="002379FA">
              <w:t>Details for 2011/12 with Year End Position</w:t>
            </w:r>
            <w:bookmarkEnd w:id="37"/>
          </w:p>
        </w:tc>
      </w:tr>
    </w:tbl>
    <w:p w:rsidR="00ED063D" w:rsidRDefault="00ED063D" w:rsidP="00ED063D">
      <w:pPr>
        <w:rPr>
          <w:rFonts w:ascii="Calibri" w:hAnsi="Calibri" w:cs="Arial"/>
          <w:b/>
          <w:sz w:val="22"/>
          <w:szCs w:val="22"/>
          <w:u w:val="single"/>
        </w:rPr>
      </w:pPr>
    </w:p>
    <w:p w:rsidR="00D97900" w:rsidRPr="00D97900" w:rsidRDefault="00D97900" w:rsidP="00ED063D">
      <w:pPr>
        <w:rPr>
          <w:rFonts w:ascii="Calibri" w:hAnsi="Calibri" w:cs="Arial"/>
          <w:b/>
          <w:bCs/>
          <w:i/>
          <w:color w:val="0070C0"/>
          <w:u w:val="single"/>
        </w:rPr>
      </w:pPr>
      <w:r w:rsidRPr="00544356">
        <w:rPr>
          <w:rFonts w:ascii="Calibri" w:hAnsi="Calibri" w:cs="Arial"/>
          <w:b/>
          <w:bCs/>
          <w:i/>
          <w:color w:val="0070C0"/>
          <w:u w:val="single"/>
        </w:rPr>
        <w:t xml:space="preserve">Table </w:t>
      </w:r>
      <w:r>
        <w:rPr>
          <w:rFonts w:ascii="Calibri" w:hAnsi="Calibri" w:cs="Arial"/>
          <w:b/>
          <w:bCs/>
          <w:i/>
          <w:color w:val="0070C0"/>
          <w:u w:val="single"/>
        </w:rPr>
        <w:t>8</w:t>
      </w:r>
    </w:p>
    <w:tbl>
      <w:tblPr>
        <w:tblW w:w="822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09"/>
        <w:gridCol w:w="1418"/>
      </w:tblGrid>
      <w:tr w:rsidR="00771B49" w:rsidRPr="00823420" w:rsidTr="00A50B99">
        <w:trPr>
          <w:trHeight w:val="300"/>
        </w:trPr>
        <w:tc>
          <w:tcPr>
            <w:tcW w:w="6809" w:type="dxa"/>
            <w:shd w:val="clear" w:color="000000" w:fill="C0C0C0"/>
            <w:noWrap/>
          </w:tcPr>
          <w:p w:rsidR="00771B49" w:rsidRPr="00ED063D" w:rsidRDefault="00771B49" w:rsidP="00ED063D">
            <w:pPr>
              <w:rPr>
                <w:rFonts w:asciiTheme="minorHAnsi" w:hAnsiTheme="minorHAnsi" w:cs="Arial"/>
              </w:rPr>
            </w:pPr>
          </w:p>
        </w:tc>
        <w:tc>
          <w:tcPr>
            <w:tcW w:w="1418" w:type="dxa"/>
            <w:shd w:val="clear" w:color="000000" w:fill="C0C0C0"/>
            <w:noWrap/>
          </w:tcPr>
          <w:p w:rsidR="00771B49" w:rsidRPr="00ED063D" w:rsidRDefault="00A50B99" w:rsidP="00ED063D">
            <w:pPr>
              <w:rPr>
                <w:rFonts w:asciiTheme="minorHAnsi" w:hAnsiTheme="minorHAnsi" w:cs="Arial"/>
                <w:b/>
              </w:rPr>
            </w:pPr>
            <w:r>
              <w:rPr>
                <w:rFonts w:asciiTheme="minorHAnsi" w:hAnsiTheme="minorHAnsi" w:cs="Arial"/>
                <w:b/>
              </w:rPr>
              <w:t>Year End</w:t>
            </w:r>
            <w:r w:rsidR="00771B49" w:rsidRPr="00ED063D">
              <w:rPr>
                <w:rFonts w:asciiTheme="minorHAnsi" w:hAnsiTheme="minorHAnsi" w:cs="Arial"/>
                <w:b/>
              </w:rPr>
              <w:t xml:space="preserve"> Milestone</w:t>
            </w:r>
          </w:p>
        </w:tc>
      </w:tr>
      <w:tr w:rsidR="00771B49" w:rsidRPr="00823420" w:rsidTr="00A50B99">
        <w:trPr>
          <w:trHeight w:val="300"/>
        </w:trPr>
        <w:tc>
          <w:tcPr>
            <w:tcW w:w="8227" w:type="dxa"/>
            <w:gridSpan w:val="2"/>
            <w:shd w:val="clear" w:color="000000" w:fill="C0C0C0"/>
          </w:tcPr>
          <w:p w:rsidR="00771B49" w:rsidRPr="00ED063D" w:rsidRDefault="00771B49" w:rsidP="00ED063D">
            <w:pPr>
              <w:rPr>
                <w:rFonts w:asciiTheme="minorHAnsi" w:hAnsiTheme="minorHAnsi" w:cs="Arial"/>
                <w:b/>
              </w:rPr>
            </w:pPr>
            <w:r w:rsidRPr="00ED063D">
              <w:rPr>
                <w:rFonts w:asciiTheme="minorHAnsi" w:hAnsiTheme="minorHAnsi" w:cs="Arial"/>
                <w:b/>
              </w:rPr>
              <w:t>Oxfordshire and Buckinghamshire Adult and Older Adult</w:t>
            </w:r>
          </w:p>
        </w:tc>
      </w:tr>
      <w:tr w:rsidR="00771B49" w:rsidRPr="00144F30" w:rsidTr="00A50B99">
        <w:trPr>
          <w:trHeight w:val="551"/>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To participate in the Leading Improvements in Patient Safety Programme and agreement of action plan to deliver project</w:t>
            </w:r>
          </w:p>
        </w:tc>
        <w:tc>
          <w:tcPr>
            <w:tcW w:w="1418" w:type="dxa"/>
            <w:noWrap/>
          </w:tcPr>
          <w:p w:rsidR="00771B49" w:rsidRPr="00A50B99" w:rsidRDefault="00771B49" w:rsidP="00ED063D">
            <w:pPr>
              <w:rPr>
                <w:rFonts w:asciiTheme="minorHAnsi" w:hAnsiTheme="minorHAnsi" w:cs="Arial"/>
                <w:sz w:val="20"/>
                <w:szCs w:val="20"/>
              </w:rPr>
            </w:pPr>
            <w:r w:rsidRPr="00A50B99">
              <w:rPr>
                <w:rFonts w:asciiTheme="minorHAnsi" w:hAnsiTheme="minorHAnsi" w:cs="Arial"/>
                <w:sz w:val="20"/>
                <w:szCs w:val="20"/>
              </w:rPr>
              <w:t>Met</w:t>
            </w:r>
          </w:p>
        </w:tc>
      </w:tr>
      <w:tr w:rsidR="00771B49" w:rsidRPr="00144F30" w:rsidTr="00A50B99">
        <w:trPr>
          <w:trHeight w:val="548"/>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Audit risk assessment of patients who have presented to A&amp;E hospital for self harm against key recommendations in Self Harm NICE Clinical Guideline</w:t>
            </w:r>
          </w:p>
        </w:tc>
        <w:tc>
          <w:tcPr>
            <w:tcW w:w="1418" w:type="dxa"/>
            <w:noWrap/>
          </w:tcPr>
          <w:p w:rsidR="00771B49" w:rsidRPr="00A50B99" w:rsidRDefault="00771B49" w:rsidP="00ED063D">
            <w:pPr>
              <w:rPr>
                <w:rFonts w:asciiTheme="minorHAnsi" w:hAnsiTheme="minorHAnsi" w:cs="Arial"/>
                <w:sz w:val="20"/>
                <w:szCs w:val="20"/>
              </w:rPr>
            </w:pPr>
            <w:r w:rsidRPr="00A50B99">
              <w:rPr>
                <w:rFonts w:asciiTheme="minorHAnsi" w:hAnsiTheme="minorHAnsi" w:cs="Arial"/>
                <w:sz w:val="20"/>
                <w:szCs w:val="20"/>
              </w:rPr>
              <w:t>Met</w:t>
            </w:r>
          </w:p>
        </w:tc>
      </w:tr>
      <w:tr w:rsidR="00771B49" w:rsidRPr="00144F30" w:rsidTr="00A50B99">
        <w:trPr>
          <w:trHeight w:val="556"/>
        </w:trPr>
        <w:tc>
          <w:tcPr>
            <w:tcW w:w="6809" w:type="dxa"/>
          </w:tcPr>
          <w:p w:rsidR="00771B49" w:rsidRPr="00ED063D" w:rsidRDefault="00771B49" w:rsidP="00F11B8C">
            <w:pPr>
              <w:rPr>
                <w:rFonts w:asciiTheme="minorHAnsi" w:hAnsiTheme="minorHAnsi" w:cs="Arial"/>
                <w:color w:val="002060"/>
                <w:sz w:val="20"/>
                <w:szCs w:val="20"/>
              </w:rPr>
            </w:pPr>
            <w:r w:rsidRPr="00ED063D">
              <w:rPr>
                <w:rFonts w:asciiTheme="minorHAnsi" w:hAnsiTheme="minorHAnsi" w:cs="Arial"/>
                <w:color w:val="002060"/>
                <w:sz w:val="20"/>
                <w:szCs w:val="20"/>
              </w:rPr>
              <w:t xml:space="preserve">Each </w:t>
            </w:r>
            <w:r>
              <w:rPr>
                <w:rFonts w:asciiTheme="minorHAnsi" w:hAnsiTheme="minorHAnsi" w:cs="Arial"/>
                <w:color w:val="002060"/>
                <w:sz w:val="20"/>
                <w:szCs w:val="20"/>
              </w:rPr>
              <w:t>Community Mental Health Team (</w:t>
            </w:r>
            <w:r w:rsidRPr="00ED063D">
              <w:rPr>
                <w:rFonts w:asciiTheme="minorHAnsi" w:hAnsiTheme="minorHAnsi" w:cs="Arial"/>
                <w:color w:val="002060"/>
                <w:sz w:val="20"/>
                <w:szCs w:val="20"/>
              </w:rPr>
              <w:t>CMHT</w:t>
            </w:r>
            <w:r>
              <w:rPr>
                <w:rFonts w:asciiTheme="minorHAnsi" w:hAnsiTheme="minorHAnsi" w:cs="Arial"/>
                <w:color w:val="002060"/>
                <w:sz w:val="20"/>
                <w:szCs w:val="20"/>
              </w:rPr>
              <w:t>)</w:t>
            </w:r>
            <w:r w:rsidRPr="00ED063D">
              <w:rPr>
                <w:rFonts w:asciiTheme="minorHAnsi" w:hAnsiTheme="minorHAnsi" w:cs="Arial"/>
                <w:color w:val="002060"/>
                <w:sz w:val="20"/>
                <w:szCs w:val="20"/>
              </w:rPr>
              <w:t xml:space="preserve"> to implement one new service improvement to reduce community deaths.</w:t>
            </w:r>
          </w:p>
        </w:tc>
        <w:tc>
          <w:tcPr>
            <w:tcW w:w="1418" w:type="dxa"/>
            <w:noWrap/>
          </w:tcPr>
          <w:p w:rsidR="00771B49" w:rsidRPr="00A50B99" w:rsidRDefault="00771B49" w:rsidP="00ED063D">
            <w:pPr>
              <w:rPr>
                <w:rFonts w:asciiTheme="minorHAnsi" w:hAnsiTheme="minorHAnsi" w:cs="Arial"/>
                <w:sz w:val="20"/>
                <w:szCs w:val="20"/>
              </w:rPr>
            </w:pPr>
            <w:r w:rsidRPr="00A50B99">
              <w:rPr>
                <w:rFonts w:asciiTheme="minorHAnsi" w:hAnsiTheme="minorHAnsi" w:cs="Arial"/>
                <w:sz w:val="20"/>
                <w:szCs w:val="20"/>
              </w:rPr>
              <w:t>Met</w:t>
            </w:r>
          </w:p>
        </w:tc>
      </w:tr>
      <w:tr w:rsidR="00771B49" w:rsidRPr="00144F30" w:rsidTr="00A50B99">
        <w:trPr>
          <w:trHeight w:val="564"/>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Review through patient interview the person’s experience of being cared for while on level 2, 3 or 4 patient observations.</w:t>
            </w:r>
          </w:p>
        </w:tc>
        <w:tc>
          <w:tcPr>
            <w:tcW w:w="1418" w:type="dxa"/>
            <w:noWrap/>
          </w:tcPr>
          <w:p w:rsidR="00771B49" w:rsidRPr="00A50B99" w:rsidRDefault="00771B49" w:rsidP="00ED063D">
            <w:pPr>
              <w:rPr>
                <w:rFonts w:asciiTheme="minorHAnsi" w:hAnsiTheme="minorHAnsi" w:cs="Arial"/>
                <w:sz w:val="20"/>
                <w:szCs w:val="20"/>
              </w:rPr>
            </w:pPr>
            <w:r w:rsidRPr="00A50B99">
              <w:rPr>
                <w:rFonts w:asciiTheme="minorHAnsi" w:hAnsiTheme="minorHAnsi" w:cs="Arial"/>
                <w:sz w:val="20"/>
                <w:szCs w:val="20"/>
              </w:rPr>
              <w:t>Met</w:t>
            </w:r>
          </w:p>
        </w:tc>
      </w:tr>
      <w:tr w:rsidR="00771B49" w:rsidRPr="00144F30" w:rsidTr="00A50B99">
        <w:trPr>
          <w:trHeight w:val="700"/>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 xml:space="preserve">% of patients who have 2 HoNOS scores </w:t>
            </w:r>
            <w:r w:rsidRPr="00ED063D">
              <w:rPr>
                <w:rFonts w:asciiTheme="minorHAnsi" w:hAnsiTheme="minorHAnsi" w:cs="Arial"/>
                <w:color w:val="002060"/>
                <w:sz w:val="20"/>
                <w:szCs w:val="20"/>
                <w:u w:val="single"/>
              </w:rPr>
              <w:t>within the last 12 months</w:t>
            </w:r>
            <w:r w:rsidRPr="00ED063D">
              <w:rPr>
                <w:rFonts w:asciiTheme="minorHAnsi" w:hAnsiTheme="minorHAnsi" w:cs="Arial"/>
                <w:color w:val="002060"/>
                <w:sz w:val="20"/>
                <w:szCs w:val="20"/>
              </w:rPr>
              <w:t xml:space="preserve"> as part of mental health clustering tool following being open for 9 months or more</w:t>
            </w:r>
          </w:p>
        </w:tc>
        <w:tc>
          <w:tcPr>
            <w:tcW w:w="1418" w:type="dxa"/>
          </w:tcPr>
          <w:p w:rsidR="00771B49" w:rsidRPr="00A50B99" w:rsidRDefault="00A50B99" w:rsidP="00ED063D">
            <w:pPr>
              <w:rPr>
                <w:rFonts w:asciiTheme="minorHAnsi" w:hAnsiTheme="minorHAnsi" w:cs="Arial"/>
                <w:sz w:val="20"/>
                <w:szCs w:val="20"/>
              </w:rPr>
            </w:pPr>
            <w:r w:rsidRPr="00A50B99">
              <w:rPr>
                <w:rFonts w:asciiTheme="minorHAnsi" w:hAnsiTheme="minorHAnsi" w:cs="Arial"/>
                <w:sz w:val="20"/>
                <w:szCs w:val="20"/>
              </w:rPr>
              <w:t>Met</w:t>
            </w:r>
          </w:p>
        </w:tc>
      </w:tr>
      <w:tr w:rsidR="00771B49" w:rsidRPr="00144F30" w:rsidTr="00A50B99">
        <w:trPr>
          <w:trHeight w:val="513"/>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 of patients open to Trust for longer than 2 months identified to a mental health cluster</w:t>
            </w:r>
          </w:p>
        </w:tc>
        <w:tc>
          <w:tcPr>
            <w:tcW w:w="1418" w:type="dxa"/>
          </w:tcPr>
          <w:p w:rsidR="00771B49" w:rsidRPr="00A50B99" w:rsidRDefault="00771B49" w:rsidP="00ED063D">
            <w:pPr>
              <w:rPr>
                <w:rFonts w:asciiTheme="minorHAnsi" w:hAnsiTheme="minorHAnsi" w:cs="Arial"/>
                <w:sz w:val="20"/>
                <w:szCs w:val="20"/>
              </w:rPr>
            </w:pPr>
            <w:r w:rsidRPr="00A50B99">
              <w:rPr>
                <w:rFonts w:asciiTheme="minorHAnsi" w:hAnsiTheme="minorHAnsi" w:cs="Arial"/>
                <w:sz w:val="20"/>
                <w:szCs w:val="20"/>
              </w:rPr>
              <w:t>Met</w:t>
            </w:r>
          </w:p>
        </w:tc>
      </w:tr>
      <w:tr w:rsidR="00771B49" w:rsidRPr="00144F30" w:rsidTr="00A50B99">
        <w:trPr>
          <w:trHeight w:val="900"/>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Urgent community referrals from GPs for people with Dementia are seen and assessed within 48 hours and accepted referrals plan of care in place within 1 week of assessment</w:t>
            </w:r>
          </w:p>
        </w:tc>
        <w:tc>
          <w:tcPr>
            <w:tcW w:w="1418" w:type="dxa"/>
          </w:tcPr>
          <w:p w:rsidR="00771B49" w:rsidRPr="00A50B99" w:rsidRDefault="00771B49" w:rsidP="00ED063D">
            <w:pPr>
              <w:rPr>
                <w:rFonts w:asciiTheme="minorHAnsi" w:hAnsiTheme="minorHAnsi" w:cs="Arial"/>
                <w:sz w:val="20"/>
                <w:szCs w:val="20"/>
              </w:rPr>
            </w:pPr>
            <w:r w:rsidRPr="00A50B99">
              <w:rPr>
                <w:rFonts w:asciiTheme="minorHAnsi" w:hAnsiTheme="minorHAnsi" w:cs="Arial"/>
                <w:sz w:val="20"/>
                <w:szCs w:val="20"/>
              </w:rPr>
              <w:t>Met</w:t>
            </w:r>
          </w:p>
        </w:tc>
      </w:tr>
      <w:tr w:rsidR="00771B49" w:rsidRPr="00144F30" w:rsidTr="00A50B99">
        <w:trPr>
          <w:trHeight w:val="600"/>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Asking carers/ relatives for the preferences of the person they care for with dementia whilst they are on the ward</w:t>
            </w:r>
          </w:p>
        </w:tc>
        <w:tc>
          <w:tcPr>
            <w:tcW w:w="1418" w:type="dxa"/>
          </w:tcPr>
          <w:p w:rsidR="00771B49" w:rsidRPr="00A50B99" w:rsidRDefault="00771B49" w:rsidP="00ED063D">
            <w:pPr>
              <w:rPr>
                <w:rFonts w:asciiTheme="minorHAnsi" w:hAnsiTheme="minorHAnsi" w:cs="Arial"/>
                <w:sz w:val="20"/>
                <w:szCs w:val="20"/>
              </w:rPr>
            </w:pPr>
            <w:r w:rsidRPr="00A50B99">
              <w:rPr>
                <w:rFonts w:asciiTheme="minorHAnsi" w:hAnsiTheme="minorHAnsi" w:cs="Arial"/>
                <w:sz w:val="20"/>
                <w:szCs w:val="20"/>
              </w:rPr>
              <w:t>Met</w:t>
            </w:r>
          </w:p>
        </w:tc>
      </w:tr>
      <w:tr w:rsidR="00771B49" w:rsidRPr="00144F30" w:rsidTr="00A50B99">
        <w:trPr>
          <w:trHeight w:val="598"/>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Carry out POMH-UK audit on use of antipsychotics in older adult CMHTs and implement an action plan around identified areas</w:t>
            </w:r>
          </w:p>
        </w:tc>
        <w:tc>
          <w:tcPr>
            <w:tcW w:w="1418" w:type="dxa"/>
          </w:tcPr>
          <w:p w:rsidR="00771B49" w:rsidRPr="00A50B99" w:rsidRDefault="00771B49" w:rsidP="00ED063D">
            <w:pPr>
              <w:rPr>
                <w:rFonts w:asciiTheme="minorHAnsi" w:hAnsiTheme="minorHAnsi" w:cs="Arial"/>
                <w:sz w:val="20"/>
                <w:szCs w:val="20"/>
              </w:rPr>
            </w:pPr>
            <w:r w:rsidRPr="00A50B99">
              <w:rPr>
                <w:rFonts w:asciiTheme="minorHAnsi" w:hAnsiTheme="minorHAnsi" w:cs="Arial"/>
                <w:sz w:val="20"/>
                <w:szCs w:val="20"/>
              </w:rPr>
              <w:t>Completed</w:t>
            </w:r>
          </w:p>
        </w:tc>
      </w:tr>
      <w:tr w:rsidR="00771B49" w:rsidRPr="00144F30" w:rsidTr="00A50B99">
        <w:trPr>
          <w:trHeight w:val="422"/>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Purpose of admission documented within 72 hours of admission date.</w:t>
            </w:r>
          </w:p>
        </w:tc>
        <w:tc>
          <w:tcPr>
            <w:tcW w:w="1418" w:type="dxa"/>
          </w:tcPr>
          <w:p w:rsidR="00771B49" w:rsidRPr="00A50B99" w:rsidRDefault="00771B49" w:rsidP="00ED063D">
            <w:pPr>
              <w:rPr>
                <w:rFonts w:asciiTheme="minorHAnsi" w:hAnsiTheme="minorHAnsi" w:cs="Arial"/>
                <w:sz w:val="20"/>
                <w:szCs w:val="20"/>
              </w:rPr>
            </w:pPr>
            <w:r w:rsidRPr="00A50B99">
              <w:rPr>
                <w:rFonts w:asciiTheme="minorHAnsi" w:hAnsiTheme="minorHAnsi" w:cs="Arial"/>
                <w:sz w:val="20"/>
                <w:szCs w:val="20"/>
              </w:rPr>
              <w:t>Met</w:t>
            </w:r>
          </w:p>
        </w:tc>
      </w:tr>
      <w:tr w:rsidR="00771B49" w:rsidRPr="00144F30" w:rsidTr="00A50B99">
        <w:trPr>
          <w:trHeight w:val="588"/>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Inpatient discharge summaries/ letter to GP within 1 week of discharge date and that contain the basic requirements as set out in the SIGN Guidance 65</w:t>
            </w:r>
          </w:p>
        </w:tc>
        <w:tc>
          <w:tcPr>
            <w:tcW w:w="1418" w:type="dxa"/>
          </w:tcPr>
          <w:p w:rsidR="00771B49" w:rsidRPr="00A50B99" w:rsidRDefault="00771B49" w:rsidP="00ED063D">
            <w:pPr>
              <w:rPr>
                <w:rFonts w:asciiTheme="minorHAnsi" w:hAnsiTheme="minorHAnsi" w:cs="Arial"/>
                <w:sz w:val="20"/>
                <w:szCs w:val="20"/>
              </w:rPr>
            </w:pPr>
            <w:r w:rsidRPr="00A50B99">
              <w:rPr>
                <w:rFonts w:asciiTheme="minorHAnsi" w:hAnsiTheme="minorHAnsi" w:cs="Arial"/>
                <w:sz w:val="20"/>
                <w:szCs w:val="20"/>
              </w:rPr>
              <w:t>Met</w:t>
            </w:r>
          </w:p>
        </w:tc>
      </w:tr>
      <w:tr w:rsidR="00771B49" w:rsidRPr="00144F30" w:rsidTr="00A50B99">
        <w:trPr>
          <w:trHeight w:val="398"/>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Evidence of improving the services following feedback from service users</w:t>
            </w:r>
          </w:p>
        </w:tc>
        <w:tc>
          <w:tcPr>
            <w:tcW w:w="1418" w:type="dxa"/>
          </w:tcPr>
          <w:p w:rsidR="00771B49" w:rsidRPr="00A50B99" w:rsidRDefault="00FA56BA" w:rsidP="00ED063D">
            <w:pPr>
              <w:rPr>
                <w:rFonts w:asciiTheme="minorHAnsi" w:hAnsiTheme="minorHAnsi" w:cs="Arial"/>
                <w:sz w:val="20"/>
                <w:szCs w:val="20"/>
              </w:rPr>
            </w:pPr>
            <w:r w:rsidRPr="00FA56BA">
              <w:rPr>
                <w:rFonts w:asciiTheme="minorHAnsi" w:hAnsiTheme="minorHAnsi" w:cs="Arial"/>
                <w:sz w:val="20"/>
                <w:szCs w:val="20"/>
                <w:highlight w:val="yellow"/>
              </w:rPr>
              <w:t>TBA</w:t>
            </w:r>
          </w:p>
        </w:tc>
      </w:tr>
      <w:tr w:rsidR="00771B49" w:rsidRPr="00190767" w:rsidTr="00A50B99">
        <w:trPr>
          <w:trHeight w:val="300"/>
        </w:trPr>
        <w:tc>
          <w:tcPr>
            <w:tcW w:w="8227" w:type="dxa"/>
            <w:gridSpan w:val="2"/>
            <w:shd w:val="clear" w:color="000000" w:fill="C0C0C0"/>
          </w:tcPr>
          <w:p w:rsidR="00771B49" w:rsidRPr="00ED063D" w:rsidRDefault="00771B49" w:rsidP="00ED063D">
            <w:pPr>
              <w:rPr>
                <w:rFonts w:asciiTheme="minorHAnsi" w:hAnsiTheme="minorHAnsi" w:cs="Arial"/>
                <w:b/>
              </w:rPr>
            </w:pPr>
            <w:r w:rsidRPr="00ED063D">
              <w:rPr>
                <w:rFonts w:asciiTheme="minorHAnsi" w:hAnsiTheme="minorHAnsi" w:cs="Arial"/>
                <w:b/>
              </w:rPr>
              <w:t>Forensic Specialist Commissioning Group</w:t>
            </w:r>
          </w:p>
        </w:tc>
      </w:tr>
      <w:tr w:rsidR="00771B49" w:rsidRPr="00144F30" w:rsidTr="00A50B99">
        <w:trPr>
          <w:trHeight w:val="263"/>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Continue to implement ESSEN Scale</w:t>
            </w:r>
          </w:p>
        </w:tc>
        <w:tc>
          <w:tcPr>
            <w:tcW w:w="1418" w:type="dxa"/>
            <w:noWrap/>
          </w:tcPr>
          <w:p w:rsidR="00771B49" w:rsidRPr="00FA56BA" w:rsidRDefault="00771B49" w:rsidP="00ED063D">
            <w:pPr>
              <w:rPr>
                <w:rFonts w:asciiTheme="minorHAnsi" w:hAnsiTheme="minorHAnsi" w:cs="Arial"/>
                <w:color w:val="0070C0"/>
                <w:sz w:val="20"/>
                <w:szCs w:val="20"/>
                <w:highlight w:val="yellow"/>
              </w:rPr>
            </w:pPr>
            <w:r w:rsidRPr="00FA56BA">
              <w:rPr>
                <w:rFonts w:asciiTheme="minorHAnsi" w:hAnsiTheme="minorHAnsi" w:cs="Arial"/>
                <w:color w:val="0070C0"/>
                <w:sz w:val="20"/>
                <w:szCs w:val="20"/>
                <w:highlight w:val="yellow"/>
              </w:rPr>
              <w:t>Met</w:t>
            </w:r>
          </w:p>
        </w:tc>
      </w:tr>
      <w:tr w:rsidR="00771B49" w:rsidRPr="00144F30" w:rsidTr="00A50B99">
        <w:trPr>
          <w:trHeight w:val="556"/>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HoNOS – patient level detail of scores and reporting to allow 6 monthly monitoring of improvements, same and worsening scores</w:t>
            </w:r>
          </w:p>
        </w:tc>
        <w:tc>
          <w:tcPr>
            <w:tcW w:w="1418" w:type="dxa"/>
            <w:noWrap/>
          </w:tcPr>
          <w:p w:rsidR="00771B49" w:rsidRPr="00FA56BA" w:rsidRDefault="00771B49" w:rsidP="00ED063D">
            <w:pPr>
              <w:rPr>
                <w:rFonts w:asciiTheme="minorHAnsi" w:hAnsiTheme="minorHAnsi" w:cs="Arial"/>
                <w:color w:val="0070C0"/>
                <w:sz w:val="20"/>
                <w:szCs w:val="20"/>
                <w:highlight w:val="yellow"/>
              </w:rPr>
            </w:pPr>
            <w:r w:rsidRPr="00FA56BA">
              <w:rPr>
                <w:rFonts w:asciiTheme="minorHAnsi" w:hAnsiTheme="minorHAnsi" w:cs="Arial"/>
                <w:color w:val="0070C0"/>
                <w:sz w:val="20"/>
                <w:szCs w:val="20"/>
                <w:highlight w:val="yellow"/>
              </w:rPr>
              <w:t>Met</w:t>
            </w:r>
          </w:p>
        </w:tc>
      </w:tr>
      <w:tr w:rsidR="00771B49" w:rsidRPr="00144F30" w:rsidTr="00A50B99">
        <w:trPr>
          <w:trHeight w:val="266"/>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Length of Stay</w:t>
            </w:r>
          </w:p>
        </w:tc>
        <w:tc>
          <w:tcPr>
            <w:tcW w:w="1418" w:type="dxa"/>
            <w:noWrap/>
          </w:tcPr>
          <w:p w:rsidR="00771B49" w:rsidRPr="00FA56BA" w:rsidRDefault="00771B49" w:rsidP="00ED063D">
            <w:pPr>
              <w:rPr>
                <w:rFonts w:asciiTheme="minorHAnsi" w:hAnsiTheme="minorHAnsi" w:cs="Arial"/>
                <w:color w:val="0070C0"/>
                <w:sz w:val="20"/>
                <w:szCs w:val="20"/>
                <w:highlight w:val="yellow"/>
              </w:rPr>
            </w:pPr>
            <w:r w:rsidRPr="00FA56BA">
              <w:rPr>
                <w:rFonts w:asciiTheme="minorHAnsi" w:hAnsiTheme="minorHAnsi" w:cs="Arial"/>
                <w:color w:val="0070C0"/>
                <w:sz w:val="20"/>
                <w:szCs w:val="20"/>
                <w:highlight w:val="yellow"/>
              </w:rPr>
              <w:t xml:space="preserve">Completed </w:t>
            </w:r>
          </w:p>
        </w:tc>
      </w:tr>
      <w:tr w:rsidR="00771B49" w:rsidRPr="00144F30" w:rsidTr="00A50B99">
        <w:trPr>
          <w:trHeight w:val="271"/>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25 hours of meaningful activity</w:t>
            </w:r>
          </w:p>
        </w:tc>
        <w:tc>
          <w:tcPr>
            <w:tcW w:w="1418" w:type="dxa"/>
            <w:noWrap/>
          </w:tcPr>
          <w:p w:rsidR="00771B49" w:rsidRPr="00FC5B57" w:rsidRDefault="00771B49" w:rsidP="00ED063D">
            <w:pPr>
              <w:rPr>
                <w:rFonts w:asciiTheme="minorHAnsi" w:hAnsiTheme="minorHAnsi" w:cs="Arial"/>
                <w:sz w:val="20"/>
                <w:szCs w:val="20"/>
              </w:rPr>
            </w:pPr>
            <w:r w:rsidRPr="00FC5B57">
              <w:rPr>
                <w:rFonts w:asciiTheme="minorHAnsi" w:hAnsiTheme="minorHAnsi" w:cs="Arial"/>
                <w:sz w:val="20"/>
                <w:szCs w:val="20"/>
              </w:rPr>
              <w:t>Met</w:t>
            </w:r>
          </w:p>
        </w:tc>
      </w:tr>
      <w:tr w:rsidR="00771B49" w:rsidRPr="00144F30" w:rsidTr="00A50B99">
        <w:trPr>
          <w:trHeight w:val="371"/>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Involvement, Choice and Responsibility</w:t>
            </w:r>
          </w:p>
        </w:tc>
        <w:tc>
          <w:tcPr>
            <w:tcW w:w="1418" w:type="dxa"/>
            <w:noWrap/>
          </w:tcPr>
          <w:p w:rsidR="00771B49" w:rsidRPr="00FC5B57" w:rsidRDefault="00771B49" w:rsidP="00ED063D">
            <w:pPr>
              <w:rPr>
                <w:rFonts w:asciiTheme="minorHAnsi" w:hAnsiTheme="minorHAnsi" w:cs="Arial"/>
                <w:sz w:val="20"/>
                <w:szCs w:val="20"/>
              </w:rPr>
            </w:pPr>
            <w:r w:rsidRPr="00FC5B57">
              <w:rPr>
                <w:rFonts w:asciiTheme="minorHAnsi" w:hAnsiTheme="minorHAnsi" w:cs="Arial"/>
                <w:sz w:val="20"/>
                <w:szCs w:val="20"/>
              </w:rPr>
              <w:t>Met</w:t>
            </w:r>
          </w:p>
        </w:tc>
      </w:tr>
      <w:tr w:rsidR="00771B49" w:rsidRPr="00144F30" w:rsidTr="00A50B99">
        <w:trPr>
          <w:trHeight w:val="323"/>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Recovery planning</w:t>
            </w:r>
          </w:p>
        </w:tc>
        <w:tc>
          <w:tcPr>
            <w:tcW w:w="1418" w:type="dxa"/>
          </w:tcPr>
          <w:p w:rsidR="00771B49" w:rsidRPr="00FC5B57" w:rsidRDefault="00771B49" w:rsidP="00ED063D">
            <w:pPr>
              <w:rPr>
                <w:rFonts w:asciiTheme="minorHAnsi" w:hAnsiTheme="minorHAnsi" w:cs="Arial"/>
                <w:sz w:val="20"/>
                <w:szCs w:val="20"/>
              </w:rPr>
            </w:pPr>
            <w:r w:rsidRPr="00FC5B57">
              <w:rPr>
                <w:rFonts w:asciiTheme="minorHAnsi" w:hAnsiTheme="minorHAnsi" w:cs="Arial"/>
                <w:sz w:val="20"/>
                <w:szCs w:val="20"/>
              </w:rPr>
              <w:t>Met</w:t>
            </w:r>
          </w:p>
        </w:tc>
      </w:tr>
      <w:tr w:rsidR="00A50B99" w:rsidRPr="00190767" w:rsidTr="00A50B99">
        <w:trPr>
          <w:trHeight w:val="300"/>
        </w:trPr>
        <w:tc>
          <w:tcPr>
            <w:tcW w:w="8227" w:type="dxa"/>
            <w:gridSpan w:val="2"/>
            <w:shd w:val="clear" w:color="000000" w:fill="C0C0C0"/>
          </w:tcPr>
          <w:p w:rsidR="00A50B99" w:rsidRPr="00ED063D" w:rsidRDefault="00A50B99" w:rsidP="00ED063D">
            <w:pPr>
              <w:rPr>
                <w:rFonts w:asciiTheme="minorHAnsi" w:hAnsiTheme="minorHAnsi" w:cs="Arial"/>
                <w:b/>
                <w:color w:val="002060"/>
              </w:rPr>
            </w:pPr>
            <w:r w:rsidRPr="00ED063D">
              <w:rPr>
                <w:rFonts w:asciiTheme="minorHAnsi" w:hAnsiTheme="minorHAnsi" w:cs="Arial"/>
                <w:b/>
                <w:color w:val="002060"/>
              </w:rPr>
              <w:t xml:space="preserve">Wiltshire and </w:t>
            </w:r>
            <w:proofErr w:type="spellStart"/>
            <w:r w:rsidRPr="00ED063D">
              <w:rPr>
                <w:rFonts w:asciiTheme="minorHAnsi" w:hAnsiTheme="minorHAnsi" w:cs="Arial"/>
                <w:b/>
                <w:color w:val="002060"/>
              </w:rPr>
              <w:t>BaNES</w:t>
            </w:r>
            <w:proofErr w:type="spellEnd"/>
            <w:r w:rsidRPr="00ED063D">
              <w:rPr>
                <w:rFonts w:asciiTheme="minorHAnsi" w:hAnsiTheme="minorHAnsi" w:cs="Arial"/>
                <w:b/>
                <w:color w:val="002060"/>
              </w:rPr>
              <w:t xml:space="preserve"> CAMHS</w:t>
            </w:r>
          </w:p>
        </w:tc>
      </w:tr>
      <w:tr w:rsidR="00771B49" w:rsidRPr="00144F30" w:rsidTr="00A50B99">
        <w:trPr>
          <w:trHeight w:val="383"/>
        </w:trPr>
        <w:tc>
          <w:tcPr>
            <w:tcW w:w="6809" w:type="dxa"/>
            <w:noWrap/>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Using patient experience to directly influence service provision</w:t>
            </w:r>
          </w:p>
        </w:tc>
        <w:tc>
          <w:tcPr>
            <w:tcW w:w="1418" w:type="dxa"/>
          </w:tcPr>
          <w:p w:rsidR="00771B49" w:rsidRPr="00FA56BA" w:rsidRDefault="00771B49" w:rsidP="00ED063D">
            <w:pPr>
              <w:rPr>
                <w:rFonts w:asciiTheme="minorHAnsi" w:eastAsiaTheme="minorHAnsi" w:hAnsiTheme="minorHAnsi"/>
                <w:color w:val="0070C0"/>
                <w:sz w:val="20"/>
                <w:szCs w:val="20"/>
                <w:highlight w:val="yellow"/>
              </w:rPr>
            </w:pPr>
            <w:r w:rsidRPr="00FA56BA">
              <w:rPr>
                <w:rFonts w:asciiTheme="minorHAnsi" w:hAnsiTheme="minorHAnsi"/>
                <w:color w:val="0070C0"/>
                <w:sz w:val="20"/>
                <w:szCs w:val="20"/>
                <w:highlight w:val="yellow"/>
              </w:rPr>
              <w:t>Met</w:t>
            </w:r>
          </w:p>
        </w:tc>
      </w:tr>
      <w:tr w:rsidR="00771B49" w:rsidRPr="00144F30" w:rsidTr="00A50B99">
        <w:trPr>
          <w:trHeight w:val="274"/>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 of discharge summaries/ notifications audited that have 90% of recommended dataset and sent out within 24 hours of discharge to the GP.</w:t>
            </w:r>
          </w:p>
        </w:tc>
        <w:tc>
          <w:tcPr>
            <w:tcW w:w="1418" w:type="dxa"/>
          </w:tcPr>
          <w:p w:rsidR="00771B49" w:rsidRPr="00FA56BA" w:rsidRDefault="00771B49" w:rsidP="00ED063D">
            <w:pPr>
              <w:rPr>
                <w:rFonts w:asciiTheme="minorHAnsi" w:eastAsiaTheme="minorHAnsi" w:hAnsiTheme="minorHAnsi"/>
                <w:color w:val="0070C0"/>
                <w:sz w:val="20"/>
                <w:szCs w:val="20"/>
                <w:highlight w:val="yellow"/>
              </w:rPr>
            </w:pPr>
            <w:r w:rsidRPr="00FA56BA">
              <w:rPr>
                <w:rFonts w:asciiTheme="minorHAnsi" w:hAnsiTheme="minorHAnsi"/>
                <w:color w:val="0070C0"/>
                <w:sz w:val="20"/>
                <w:szCs w:val="20"/>
                <w:highlight w:val="yellow"/>
              </w:rPr>
              <w:t>Met</w:t>
            </w:r>
          </w:p>
        </w:tc>
      </w:tr>
      <w:tr w:rsidR="00771B49" w:rsidRPr="00144F30" w:rsidTr="00A50B99">
        <w:trPr>
          <w:trHeight w:val="1200"/>
        </w:trPr>
        <w:tc>
          <w:tcPr>
            <w:tcW w:w="6809" w:type="dxa"/>
          </w:tcPr>
          <w:p w:rsidR="00771B49" w:rsidRPr="00500FE1" w:rsidRDefault="00771B49" w:rsidP="00ED063D">
            <w:pPr>
              <w:rPr>
                <w:rFonts w:asciiTheme="minorHAnsi" w:hAnsiTheme="minorHAnsi" w:cs="Arial"/>
                <w:sz w:val="20"/>
                <w:szCs w:val="20"/>
              </w:rPr>
            </w:pPr>
            <w:r w:rsidRPr="00500FE1">
              <w:rPr>
                <w:rFonts w:asciiTheme="minorHAnsi" w:hAnsiTheme="minorHAnsi" w:cs="Arial"/>
                <w:sz w:val="20"/>
                <w:szCs w:val="20"/>
              </w:rPr>
              <w:lastRenderedPageBreak/>
              <w:t xml:space="preserve">Reduction </w:t>
            </w:r>
            <w:proofErr w:type="gramStart"/>
            <w:r w:rsidRPr="00500FE1">
              <w:rPr>
                <w:rFonts w:asciiTheme="minorHAnsi" w:hAnsiTheme="minorHAnsi" w:cs="Arial"/>
                <w:sz w:val="20"/>
                <w:szCs w:val="20"/>
              </w:rPr>
              <w:t xml:space="preserve">of </w:t>
            </w:r>
            <w:r>
              <w:rPr>
                <w:rFonts w:asciiTheme="minorHAnsi" w:hAnsiTheme="minorHAnsi" w:cs="Arial"/>
                <w:sz w:val="20"/>
                <w:szCs w:val="20"/>
              </w:rPr>
              <w:t xml:space="preserve"> Average</w:t>
            </w:r>
            <w:proofErr w:type="gramEnd"/>
            <w:r>
              <w:rPr>
                <w:rFonts w:asciiTheme="minorHAnsi" w:hAnsiTheme="minorHAnsi" w:cs="Arial"/>
                <w:sz w:val="20"/>
                <w:szCs w:val="20"/>
              </w:rPr>
              <w:t xml:space="preserve"> Length of Stay (</w:t>
            </w:r>
            <w:r w:rsidRPr="00500FE1">
              <w:rPr>
                <w:rFonts w:asciiTheme="minorHAnsi" w:hAnsiTheme="minorHAnsi" w:cs="Arial"/>
                <w:sz w:val="20"/>
                <w:szCs w:val="20"/>
              </w:rPr>
              <w:t>ALOS</w:t>
            </w:r>
            <w:r>
              <w:rPr>
                <w:rFonts w:asciiTheme="minorHAnsi" w:hAnsiTheme="minorHAnsi" w:cs="Arial"/>
                <w:sz w:val="20"/>
                <w:szCs w:val="20"/>
              </w:rPr>
              <w:t>) of patient/service user in hospital</w:t>
            </w:r>
            <w:r w:rsidRPr="00500FE1">
              <w:rPr>
                <w:rFonts w:asciiTheme="minorHAnsi" w:hAnsiTheme="minorHAnsi" w:cs="Arial"/>
                <w:sz w:val="20"/>
                <w:szCs w:val="20"/>
              </w:rPr>
              <w:t xml:space="preserve"> from contract commencement- through working with the Level 3 teams to ensure effective and timely transition back to local community services (work towards 50 days).</w:t>
            </w:r>
          </w:p>
        </w:tc>
        <w:tc>
          <w:tcPr>
            <w:tcW w:w="1418" w:type="dxa"/>
          </w:tcPr>
          <w:p w:rsidR="00771B49" w:rsidRPr="00CF2633" w:rsidRDefault="00771B49" w:rsidP="00500FE1">
            <w:pPr>
              <w:rPr>
                <w:rFonts w:eastAsiaTheme="minorHAnsi"/>
                <w:sz w:val="20"/>
                <w:szCs w:val="20"/>
              </w:rPr>
            </w:pPr>
            <w:r w:rsidRPr="00A50B99">
              <w:rPr>
                <w:rFonts w:asciiTheme="minorHAnsi" w:hAnsiTheme="minorHAnsi" w:cs="Arial"/>
                <w:sz w:val="20"/>
                <w:szCs w:val="20"/>
              </w:rPr>
              <w:t>Met</w:t>
            </w:r>
          </w:p>
        </w:tc>
      </w:tr>
      <w:tr w:rsidR="00A50B99" w:rsidRPr="00190767" w:rsidTr="00A50B99">
        <w:trPr>
          <w:trHeight w:val="300"/>
        </w:trPr>
        <w:tc>
          <w:tcPr>
            <w:tcW w:w="8227" w:type="dxa"/>
            <w:gridSpan w:val="2"/>
            <w:shd w:val="clear" w:color="auto" w:fill="BFBFBF"/>
          </w:tcPr>
          <w:p w:rsidR="00A50B99" w:rsidRPr="00ED063D" w:rsidRDefault="00A50B99" w:rsidP="00ED063D">
            <w:pPr>
              <w:rPr>
                <w:rFonts w:asciiTheme="minorHAnsi" w:hAnsiTheme="minorHAnsi" w:cs="Arial"/>
                <w:b/>
                <w:color w:val="002060"/>
              </w:rPr>
            </w:pPr>
            <w:r w:rsidRPr="00ED063D">
              <w:rPr>
                <w:rFonts w:asciiTheme="minorHAnsi" w:hAnsiTheme="minorHAnsi" w:cs="Arial"/>
                <w:b/>
                <w:color w:val="002060"/>
              </w:rPr>
              <w:t>Swindon CAMHS</w:t>
            </w:r>
          </w:p>
        </w:tc>
      </w:tr>
      <w:tr w:rsidR="00771B49" w:rsidRPr="00144F30" w:rsidTr="00A50B99">
        <w:trPr>
          <w:trHeight w:val="378"/>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Audit inpatient physical health assessments and identify any improvements</w:t>
            </w:r>
          </w:p>
        </w:tc>
        <w:tc>
          <w:tcPr>
            <w:tcW w:w="1418" w:type="dxa"/>
          </w:tcPr>
          <w:p w:rsidR="00771B49" w:rsidRPr="00FA56BA" w:rsidRDefault="00771B49" w:rsidP="00ED063D">
            <w:pPr>
              <w:rPr>
                <w:rFonts w:asciiTheme="minorHAnsi" w:hAnsiTheme="minorHAnsi" w:cs="Arial"/>
                <w:color w:val="0070C0"/>
                <w:sz w:val="20"/>
                <w:szCs w:val="20"/>
                <w:highlight w:val="yellow"/>
              </w:rPr>
            </w:pPr>
            <w:r w:rsidRPr="00FA56BA">
              <w:rPr>
                <w:rFonts w:asciiTheme="minorHAnsi" w:hAnsiTheme="minorHAnsi" w:cs="Arial"/>
                <w:color w:val="0070C0"/>
                <w:sz w:val="20"/>
                <w:szCs w:val="20"/>
                <w:highlight w:val="yellow"/>
              </w:rPr>
              <w:t>Completed</w:t>
            </w:r>
          </w:p>
        </w:tc>
      </w:tr>
      <w:tr w:rsidR="00771B49" w:rsidRPr="00144F30" w:rsidTr="00A50B99">
        <w:trPr>
          <w:trHeight w:val="403"/>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Community audit against Consent and Confidentiality Policy</w:t>
            </w:r>
          </w:p>
        </w:tc>
        <w:tc>
          <w:tcPr>
            <w:tcW w:w="1418" w:type="dxa"/>
          </w:tcPr>
          <w:p w:rsidR="00771B49" w:rsidRPr="00FA56BA" w:rsidRDefault="00771B49" w:rsidP="00ED063D">
            <w:pPr>
              <w:rPr>
                <w:rFonts w:asciiTheme="minorHAnsi" w:hAnsiTheme="minorHAnsi" w:cs="Arial"/>
                <w:color w:val="0070C0"/>
                <w:sz w:val="20"/>
                <w:szCs w:val="20"/>
                <w:highlight w:val="yellow"/>
              </w:rPr>
            </w:pPr>
            <w:r w:rsidRPr="00FA56BA">
              <w:rPr>
                <w:rFonts w:asciiTheme="minorHAnsi" w:hAnsiTheme="minorHAnsi" w:cs="Arial"/>
                <w:color w:val="0070C0"/>
                <w:sz w:val="20"/>
                <w:szCs w:val="20"/>
                <w:highlight w:val="yellow"/>
              </w:rPr>
              <w:t>Completed</w:t>
            </w:r>
          </w:p>
        </w:tc>
      </w:tr>
      <w:tr w:rsidR="00771B49" w:rsidRPr="00144F30" w:rsidTr="00A50B99">
        <w:trPr>
          <w:trHeight w:val="422"/>
        </w:trPr>
        <w:tc>
          <w:tcPr>
            <w:tcW w:w="6809" w:type="dxa"/>
            <w:noWrap/>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Copying letters to patients, parents and GPs</w:t>
            </w:r>
          </w:p>
        </w:tc>
        <w:tc>
          <w:tcPr>
            <w:tcW w:w="1418" w:type="dxa"/>
          </w:tcPr>
          <w:p w:rsidR="00771B49" w:rsidRPr="00FA56BA" w:rsidRDefault="00771B49" w:rsidP="00ED063D">
            <w:pPr>
              <w:rPr>
                <w:rFonts w:asciiTheme="minorHAnsi" w:hAnsiTheme="minorHAnsi" w:cs="Arial"/>
                <w:color w:val="0070C0"/>
                <w:sz w:val="20"/>
                <w:szCs w:val="20"/>
                <w:highlight w:val="yellow"/>
              </w:rPr>
            </w:pPr>
            <w:r w:rsidRPr="00FA56BA">
              <w:rPr>
                <w:rFonts w:asciiTheme="minorHAnsi" w:hAnsiTheme="minorHAnsi" w:cs="Arial"/>
                <w:color w:val="0070C0"/>
                <w:sz w:val="20"/>
                <w:szCs w:val="20"/>
                <w:highlight w:val="yellow"/>
              </w:rPr>
              <w:t>Met</w:t>
            </w:r>
          </w:p>
        </w:tc>
      </w:tr>
      <w:tr w:rsidR="00771B49" w:rsidRPr="00144F30" w:rsidTr="00A50B99">
        <w:trPr>
          <w:trHeight w:val="556"/>
        </w:trPr>
        <w:tc>
          <w:tcPr>
            <w:tcW w:w="6809" w:type="dxa"/>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Quality and timeliness of inpatient discharge summaries</w:t>
            </w:r>
            <w:r w:rsidRPr="00ED063D">
              <w:rPr>
                <w:rFonts w:asciiTheme="minorHAnsi" w:hAnsiTheme="minorHAnsi" w:cs="Arial"/>
                <w:color w:val="002060"/>
                <w:sz w:val="20"/>
                <w:szCs w:val="20"/>
              </w:rPr>
              <w:br/>
              <w:t xml:space="preserve">(see Wiltshire and </w:t>
            </w:r>
            <w:proofErr w:type="spellStart"/>
            <w:r w:rsidRPr="00ED063D">
              <w:rPr>
                <w:rFonts w:asciiTheme="minorHAnsi" w:hAnsiTheme="minorHAnsi" w:cs="Arial"/>
                <w:color w:val="002060"/>
                <w:sz w:val="20"/>
                <w:szCs w:val="20"/>
              </w:rPr>
              <w:t>BaNES</w:t>
            </w:r>
            <w:proofErr w:type="spellEnd"/>
            <w:r w:rsidRPr="00ED063D">
              <w:rPr>
                <w:rFonts w:asciiTheme="minorHAnsi" w:hAnsiTheme="minorHAnsi" w:cs="Arial"/>
                <w:color w:val="002060"/>
                <w:sz w:val="20"/>
                <w:szCs w:val="20"/>
              </w:rPr>
              <w:t xml:space="preserve"> CQUIN goal)</w:t>
            </w:r>
          </w:p>
        </w:tc>
        <w:tc>
          <w:tcPr>
            <w:tcW w:w="1418" w:type="dxa"/>
          </w:tcPr>
          <w:p w:rsidR="00771B49" w:rsidRPr="00FA56BA" w:rsidRDefault="00771B49" w:rsidP="00ED063D">
            <w:pPr>
              <w:rPr>
                <w:rFonts w:asciiTheme="minorHAnsi" w:hAnsiTheme="minorHAnsi" w:cs="Arial"/>
                <w:color w:val="0070C0"/>
                <w:sz w:val="20"/>
                <w:szCs w:val="20"/>
                <w:highlight w:val="yellow"/>
              </w:rPr>
            </w:pPr>
            <w:r w:rsidRPr="00FA56BA">
              <w:rPr>
                <w:rFonts w:asciiTheme="minorHAnsi" w:hAnsiTheme="minorHAnsi" w:cs="Arial"/>
                <w:color w:val="0070C0"/>
                <w:sz w:val="20"/>
                <w:szCs w:val="20"/>
                <w:highlight w:val="yellow"/>
              </w:rPr>
              <w:t>Completed</w:t>
            </w:r>
          </w:p>
        </w:tc>
      </w:tr>
      <w:tr w:rsidR="00771B49" w:rsidRPr="00144F30" w:rsidTr="00A50B99">
        <w:trPr>
          <w:trHeight w:val="431"/>
        </w:trPr>
        <w:tc>
          <w:tcPr>
            <w:tcW w:w="6809" w:type="dxa"/>
            <w:noWrap/>
          </w:tcPr>
          <w:p w:rsidR="00771B49" w:rsidRPr="00ED063D" w:rsidRDefault="00771B49" w:rsidP="00ED063D">
            <w:pPr>
              <w:rPr>
                <w:rFonts w:asciiTheme="minorHAnsi" w:hAnsiTheme="minorHAnsi" w:cs="Arial"/>
                <w:color w:val="002060"/>
                <w:sz w:val="20"/>
                <w:szCs w:val="20"/>
              </w:rPr>
            </w:pPr>
            <w:r w:rsidRPr="00ED063D">
              <w:rPr>
                <w:rFonts w:asciiTheme="minorHAnsi" w:hAnsiTheme="minorHAnsi" w:cs="Arial"/>
                <w:color w:val="002060"/>
                <w:sz w:val="20"/>
                <w:szCs w:val="20"/>
              </w:rPr>
              <w:t>Timeliness of clinic letters sent to GP/ patients</w:t>
            </w:r>
          </w:p>
        </w:tc>
        <w:tc>
          <w:tcPr>
            <w:tcW w:w="1418" w:type="dxa"/>
          </w:tcPr>
          <w:p w:rsidR="00771B49" w:rsidRPr="00FA56BA" w:rsidRDefault="00771B49" w:rsidP="00ED063D">
            <w:pPr>
              <w:rPr>
                <w:rFonts w:asciiTheme="minorHAnsi" w:hAnsiTheme="minorHAnsi" w:cs="Arial"/>
                <w:color w:val="0070C0"/>
                <w:sz w:val="20"/>
                <w:szCs w:val="20"/>
                <w:highlight w:val="yellow"/>
              </w:rPr>
            </w:pPr>
            <w:r w:rsidRPr="00FA56BA">
              <w:rPr>
                <w:rFonts w:asciiTheme="minorHAnsi" w:hAnsiTheme="minorHAnsi" w:cs="Arial"/>
                <w:color w:val="0070C0"/>
                <w:sz w:val="20"/>
                <w:szCs w:val="20"/>
                <w:highlight w:val="yellow"/>
              </w:rPr>
              <w:t>Completed</w:t>
            </w:r>
          </w:p>
        </w:tc>
      </w:tr>
    </w:tbl>
    <w:p w:rsidR="0023741E" w:rsidRPr="00544356" w:rsidRDefault="0023741E">
      <w:pPr>
        <w:rPr>
          <w:color w:val="0070C0"/>
        </w:rPr>
      </w:pPr>
      <w:r w:rsidRPr="00544356">
        <w:rPr>
          <w:b/>
          <w:bCs/>
          <w:color w:val="0070C0"/>
        </w:rPr>
        <w:br w:type="page"/>
      </w:r>
    </w:p>
    <w:p w:rsidR="00B57559" w:rsidRPr="00FA2D48" w:rsidRDefault="00B57559" w:rsidP="00B57559">
      <w:pPr>
        <w:pStyle w:val="Heading1"/>
      </w:pPr>
    </w:p>
    <w:tbl>
      <w:tblPr>
        <w:tblStyle w:val="TableGrid"/>
        <w:tblW w:w="0" w:type="auto"/>
        <w:tblBorders>
          <w:top w:val="single" w:sz="4" w:space="0" w:color="0070C0"/>
          <w:left w:val="none" w:sz="0" w:space="0" w:color="auto"/>
          <w:bottom w:val="double" w:sz="4" w:space="0" w:color="0070C0"/>
          <w:right w:val="none" w:sz="0" w:space="0" w:color="auto"/>
          <w:insideH w:val="none" w:sz="0" w:space="0" w:color="auto"/>
          <w:insideV w:val="none" w:sz="0" w:space="0" w:color="auto"/>
        </w:tblBorders>
        <w:tblLook w:val="04A0"/>
      </w:tblPr>
      <w:tblGrid>
        <w:gridCol w:w="9242"/>
      </w:tblGrid>
      <w:tr w:rsidR="00B57559" w:rsidTr="00B57559">
        <w:tc>
          <w:tcPr>
            <w:tcW w:w="9689" w:type="dxa"/>
          </w:tcPr>
          <w:p w:rsidR="00B57559" w:rsidRPr="004A026F" w:rsidRDefault="00B57559" w:rsidP="00ED063D">
            <w:pPr>
              <w:pStyle w:val="Heading1"/>
              <w:rPr>
                <w:rFonts w:ascii="Calibri" w:hAnsi="Calibri"/>
                <w:u w:val="single"/>
              </w:rPr>
            </w:pPr>
            <w:bookmarkStart w:id="38" w:name="_Toc323284016"/>
            <w:r w:rsidRPr="00544356">
              <w:t xml:space="preserve">Annex </w:t>
            </w:r>
            <w:r w:rsidR="00ED063D">
              <w:t>5</w:t>
            </w:r>
            <w:r w:rsidRPr="00544356">
              <w:t>. Glossary of Terms</w:t>
            </w:r>
            <w:bookmarkEnd w:id="38"/>
          </w:p>
        </w:tc>
      </w:tr>
    </w:tbl>
    <w:p w:rsidR="00B57559" w:rsidRDefault="00B57559" w:rsidP="00B57559">
      <w:pPr>
        <w:rPr>
          <w:rFonts w:ascii="Calibri" w:hAnsi="Calibri" w:cs="Arial"/>
          <w:b/>
          <w:sz w:val="22"/>
          <w:szCs w:val="22"/>
          <w:u w:val="single"/>
        </w:rPr>
      </w:pPr>
    </w:p>
    <w:p w:rsidR="00B57559" w:rsidRPr="00544356" w:rsidRDefault="00B57559" w:rsidP="00911F14">
      <w:pPr>
        <w:rPr>
          <w:rFonts w:ascii="Calibri" w:hAnsi="Calibri" w:cs="Arial"/>
          <w:b/>
          <w:color w:val="0070C0"/>
          <w:u w:val="single"/>
        </w:rPr>
      </w:pPr>
    </w:p>
    <w:tbl>
      <w:tblPr>
        <w:tblW w:w="0" w:type="auto"/>
        <w:tblLook w:val="00A0"/>
      </w:tblPr>
      <w:tblGrid>
        <w:gridCol w:w="1576"/>
        <w:gridCol w:w="7229"/>
      </w:tblGrid>
      <w:tr w:rsidR="0023741E" w:rsidRPr="00544356" w:rsidTr="00A66D9D">
        <w:tc>
          <w:tcPr>
            <w:tcW w:w="1576" w:type="dxa"/>
            <w:shd w:val="clear" w:color="auto" w:fill="D9D9D9"/>
          </w:tcPr>
          <w:p w:rsidR="0023741E" w:rsidRPr="00544356" w:rsidRDefault="0023741E" w:rsidP="00513CE6">
            <w:pPr>
              <w:rPr>
                <w:rFonts w:ascii="Calibri" w:hAnsi="Calibri" w:cs="Arial"/>
                <w:b/>
                <w:color w:val="0070C0"/>
              </w:rPr>
            </w:pPr>
            <w:r w:rsidRPr="00544356">
              <w:rPr>
                <w:rFonts w:ascii="Calibri" w:hAnsi="Calibri" w:cs="Arial"/>
                <w:b/>
                <w:color w:val="0070C0"/>
              </w:rPr>
              <w:t>Abbreviation</w:t>
            </w:r>
          </w:p>
        </w:tc>
        <w:tc>
          <w:tcPr>
            <w:tcW w:w="7229" w:type="dxa"/>
            <w:shd w:val="clear" w:color="auto" w:fill="D9D9D9"/>
          </w:tcPr>
          <w:p w:rsidR="0023741E" w:rsidRPr="00544356" w:rsidRDefault="0023741E" w:rsidP="00513CE6">
            <w:pPr>
              <w:rPr>
                <w:rFonts w:ascii="Calibri" w:hAnsi="Calibri" w:cs="Arial"/>
                <w:b/>
                <w:color w:val="0070C0"/>
              </w:rPr>
            </w:pPr>
            <w:r w:rsidRPr="00544356">
              <w:rPr>
                <w:rFonts w:ascii="Calibri" w:hAnsi="Calibri" w:cs="Arial"/>
                <w:b/>
                <w:color w:val="0070C0"/>
              </w:rPr>
              <w:t>Term</w:t>
            </w:r>
          </w:p>
        </w:tc>
      </w:tr>
      <w:tr w:rsidR="0023741E" w:rsidRPr="00544356" w:rsidTr="00A66D9D">
        <w:tc>
          <w:tcPr>
            <w:tcW w:w="1576" w:type="dxa"/>
          </w:tcPr>
          <w:p w:rsidR="0023741E" w:rsidRPr="00DA1C83" w:rsidRDefault="0023741E" w:rsidP="00E96B41">
            <w:pPr>
              <w:rPr>
                <w:rFonts w:ascii="Calibri" w:hAnsi="Calibri" w:cs="Arial"/>
              </w:rPr>
            </w:pPr>
            <w:r w:rsidRPr="00DA1C83">
              <w:rPr>
                <w:rFonts w:ascii="Calibri" w:hAnsi="Calibri" w:cs="Arial"/>
              </w:rPr>
              <w:t>A&amp;E</w:t>
            </w:r>
          </w:p>
        </w:tc>
        <w:tc>
          <w:tcPr>
            <w:tcW w:w="7229" w:type="dxa"/>
          </w:tcPr>
          <w:p w:rsidR="0023741E" w:rsidRPr="00DA1C83" w:rsidRDefault="0023741E" w:rsidP="00E96B41">
            <w:pPr>
              <w:rPr>
                <w:rFonts w:ascii="Calibri" w:hAnsi="Calibri" w:cs="Arial"/>
              </w:rPr>
            </w:pPr>
            <w:r w:rsidRPr="00DA1C83">
              <w:rPr>
                <w:rFonts w:ascii="Calibri" w:hAnsi="Calibri" w:cs="Arial"/>
              </w:rPr>
              <w:t>Accident and Emergency</w:t>
            </w:r>
          </w:p>
        </w:tc>
      </w:tr>
      <w:tr w:rsidR="00600D55" w:rsidRPr="00544356" w:rsidTr="00A66D9D">
        <w:tc>
          <w:tcPr>
            <w:tcW w:w="1576" w:type="dxa"/>
          </w:tcPr>
          <w:p w:rsidR="00600D55" w:rsidRPr="00DA1C83" w:rsidRDefault="00600D55" w:rsidP="00600D55">
            <w:pPr>
              <w:rPr>
                <w:rFonts w:ascii="Calibri" w:hAnsi="Calibri" w:cs="Arial"/>
              </w:rPr>
            </w:pPr>
            <w:r w:rsidRPr="00DA1C83">
              <w:rPr>
                <w:rFonts w:ascii="Calibri" w:hAnsi="Calibri" w:cs="Arial"/>
              </w:rPr>
              <w:t>Advanced Statements</w:t>
            </w:r>
          </w:p>
        </w:tc>
        <w:tc>
          <w:tcPr>
            <w:tcW w:w="7229" w:type="dxa"/>
          </w:tcPr>
          <w:p w:rsidR="00600D55" w:rsidRPr="00DA1C83" w:rsidRDefault="00600D55" w:rsidP="00DA1C83">
            <w:pPr>
              <w:rPr>
                <w:rFonts w:ascii="Calibri" w:hAnsi="Calibri" w:cs="Arial"/>
              </w:rPr>
            </w:pPr>
            <w:r w:rsidRPr="00DA1C83">
              <w:rPr>
                <w:rFonts w:ascii="Calibri" w:hAnsi="Calibri" w:cs="Arial"/>
              </w:rPr>
              <w:t xml:space="preserve">These are statements by a patient/service user in advance describing what level and nature of care they would like the event that they </w:t>
            </w:r>
            <w:r w:rsidR="00DA1C83">
              <w:rPr>
                <w:rFonts w:ascii="Calibri" w:hAnsi="Calibri" w:cs="Arial"/>
              </w:rPr>
              <w:t>might</w:t>
            </w:r>
            <w:r w:rsidRPr="00DA1C83">
              <w:rPr>
                <w:rFonts w:ascii="Calibri" w:hAnsi="Calibri" w:cs="Arial"/>
              </w:rPr>
              <w:t xml:space="preserve"> subsequently lose the capacity to make or express such decisions</w:t>
            </w:r>
          </w:p>
        </w:tc>
      </w:tr>
      <w:tr w:rsidR="00500FE1" w:rsidRPr="00544356" w:rsidTr="00A66D9D">
        <w:tc>
          <w:tcPr>
            <w:tcW w:w="1576" w:type="dxa"/>
          </w:tcPr>
          <w:p w:rsidR="00500FE1" w:rsidRPr="00DA1C83" w:rsidRDefault="00500FE1" w:rsidP="00E96B41">
            <w:pPr>
              <w:rPr>
                <w:rFonts w:ascii="Calibri" w:hAnsi="Calibri" w:cs="Arial"/>
              </w:rPr>
            </w:pPr>
            <w:r w:rsidRPr="00DA1C83">
              <w:rPr>
                <w:rFonts w:ascii="Calibri" w:hAnsi="Calibri" w:cs="Arial"/>
              </w:rPr>
              <w:t>ALOS</w:t>
            </w:r>
          </w:p>
        </w:tc>
        <w:tc>
          <w:tcPr>
            <w:tcW w:w="7229" w:type="dxa"/>
          </w:tcPr>
          <w:p w:rsidR="00500FE1" w:rsidRPr="00DA1C83" w:rsidRDefault="00DA1C83" w:rsidP="00E96B41">
            <w:pPr>
              <w:rPr>
                <w:rFonts w:ascii="Calibri" w:hAnsi="Calibri" w:cs="Arial"/>
              </w:rPr>
            </w:pPr>
            <w:r w:rsidRPr="00DA1C83">
              <w:rPr>
                <w:rFonts w:ascii="Calibri" w:hAnsi="Calibri" w:cs="Arial"/>
              </w:rPr>
              <w:t>Average Length of Stay of a patient/service user in hospital</w:t>
            </w:r>
          </w:p>
        </w:tc>
      </w:tr>
      <w:tr w:rsidR="00BA01DB" w:rsidRPr="00544356" w:rsidTr="00A66D9D">
        <w:tc>
          <w:tcPr>
            <w:tcW w:w="1576" w:type="dxa"/>
          </w:tcPr>
          <w:p w:rsidR="00BA01DB" w:rsidRPr="00DA1C83" w:rsidRDefault="00BA01DB" w:rsidP="00E96B41">
            <w:pPr>
              <w:rPr>
                <w:rFonts w:ascii="Calibri" w:hAnsi="Calibri" w:cs="Arial"/>
              </w:rPr>
            </w:pPr>
            <w:r w:rsidRPr="00DA1C83">
              <w:rPr>
                <w:rFonts w:ascii="Calibri" w:hAnsi="Calibri" w:cs="Arial"/>
              </w:rPr>
              <w:t>CAMHS</w:t>
            </w:r>
          </w:p>
        </w:tc>
        <w:tc>
          <w:tcPr>
            <w:tcW w:w="7229" w:type="dxa"/>
          </w:tcPr>
          <w:p w:rsidR="00BA01DB" w:rsidRPr="00DA1C83" w:rsidRDefault="00BA01DB" w:rsidP="00E96B41">
            <w:pPr>
              <w:rPr>
                <w:rFonts w:ascii="Calibri" w:hAnsi="Calibri" w:cs="Arial"/>
              </w:rPr>
            </w:pPr>
            <w:r w:rsidRPr="00DA1C83">
              <w:rPr>
                <w:rFonts w:ascii="Calibri" w:hAnsi="Calibri" w:cs="Arial"/>
              </w:rPr>
              <w:t>Children and Adolescent Mental Health Services</w:t>
            </w:r>
          </w:p>
        </w:tc>
      </w:tr>
      <w:tr w:rsidR="00750BA5" w:rsidRPr="00544356" w:rsidTr="00A66D9D">
        <w:tc>
          <w:tcPr>
            <w:tcW w:w="1576" w:type="dxa"/>
          </w:tcPr>
          <w:p w:rsidR="00750BA5" w:rsidRPr="00DA1C83" w:rsidRDefault="00750BA5" w:rsidP="00E96B41">
            <w:pPr>
              <w:rPr>
                <w:rFonts w:ascii="Calibri" w:hAnsi="Calibri" w:cs="Arial"/>
              </w:rPr>
            </w:pPr>
            <w:r>
              <w:rPr>
                <w:rFonts w:ascii="Calibri" w:hAnsi="Calibri" w:cs="Arial"/>
              </w:rPr>
              <w:t>Care Cluster</w:t>
            </w:r>
          </w:p>
        </w:tc>
        <w:tc>
          <w:tcPr>
            <w:tcW w:w="7229" w:type="dxa"/>
          </w:tcPr>
          <w:p w:rsidR="00750BA5" w:rsidRPr="00DA1C83" w:rsidRDefault="00750BA5" w:rsidP="00A66D9D">
            <w:pPr>
              <w:rPr>
                <w:rFonts w:ascii="Calibri" w:hAnsi="Calibri" w:cs="Arial"/>
              </w:rPr>
            </w:pPr>
            <w:r>
              <w:rPr>
                <w:rFonts w:ascii="Calibri" w:hAnsi="Calibri" w:cs="Arial"/>
              </w:rPr>
              <w:t xml:space="preserve">A Care Cluster is a </w:t>
            </w:r>
            <w:r w:rsidR="00A66D9D">
              <w:rPr>
                <w:rFonts w:ascii="Calibri" w:hAnsi="Calibri" w:cs="Arial"/>
              </w:rPr>
              <w:t>classification</w:t>
            </w:r>
            <w:r>
              <w:rPr>
                <w:rFonts w:ascii="Calibri" w:hAnsi="Calibri" w:cs="Arial"/>
              </w:rPr>
              <w:t xml:space="preserve"> of a mental health service user based on their individual characteristics</w:t>
            </w:r>
            <w:r w:rsidR="00A66D9D">
              <w:rPr>
                <w:rFonts w:ascii="Calibri" w:hAnsi="Calibri" w:cs="Arial"/>
              </w:rPr>
              <w:t>, condition</w:t>
            </w:r>
            <w:r>
              <w:rPr>
                <w:rFonts w:ascii="Calibri" w:hAnsi="Calibri" w:cs="Arial"/>
              </w:rPr>
              <w:t xml:space="preserve"> and behaviours.  There are 21 such Care Clusters.</w:t>
            </w:r>
          </w:p>
        </w:tc>
      </w:tr>
      <w:tr w:rsidR="00A66D9D" w:rsidRPr="00544356" w:rsidTr="00A66D9D">
        <w:tc>
          <w:tcPr>
            <w:tcW w:w="1576" w:type="dxa"/>
          </w:tcPr>
          <w:p w:rsidR="00A66D9D" w:rsidRDefault="00A66D9D" w:rsidP="00E96B41">
            <w:pPr>
              <w:rPr>
                <w:rFonts w:ascii="Calibri" w:hAnsi="Calibri" w:cs="Arial"/>
              </w:rPr>
            </w:pPr>
            <w:r>
              <w:rPr>
                <w:rFonts w:ascii="Calibri" w:hAnsi="Calibri" w:cs="Arial"/>
              </w:rPr>
              <w:t>Care Package</w:t>
            </w:r>
          </w:p>
        </w:tc>
        <w:tc>
          <w:tcPr>
            <w:tcW w:w="7229" w:type="dxa"/>
          </w:tcPr>
          <w:p w:rsidR="00A66D9D" w:rsidRDefault="00A66D9D" w:rsidP="00750BA5">
            <w:pPr>
              <w:rPr>
                <w:rFonts w:ascii="Calibri" w:hAnsi="Calibri" w:cs="Arial"/>
              </w:rPr>
            </w:pPr>
            <w:r>
              <w:rPr>
                <w:rFonts w:ascii="Calibri" w:hAnsi="Calibri" w:cs="Arial"/>
              </w:rPr>
              <w:t xml:space="preserve">The sum total of services provided to a patient/service user as part of their </w:t>
            </w:r>
            <w:proofErr w:type="gramStart"/>
            <w:r>
              <w:rPr>
                <w:rFonts w:ascii="Calibri" w:hAnsi="Calibri" w:cs="Arial"/>
              </w:rPr>
              <w:t>care,</w:t>
            </w:r>
            <w:proofErr w:type="gramEnd"/>
            <w:r>
              <w:rPr>
                <w:rFonts w:ascii="Calibri" w:hAnsi="Calibri" w:cs="Arial"/>
              </w:rPr>
              <w:t xml:space="preserve"> be it social, clinical or otherwise.</w:t>
            </w:r>
          </w:p>
        </w:tc>
      </w:tr>
      <w:tr w:rsidR="00A66D9D" w:rsidRPr="00544356" w:rsidTr="00A66D9D">
        <w:tc>
          <w:tcPr>
            <w:tcW w:w="1576" w:type="dxa"/>
          </w:tcPr>
          <w:p w:rsidR="00A66D9D" w:rsidRPr="00DA1C83" w:rsidRDefault="00A66D9D" w:rsidP="00E96B41">
            <w:pPr>
              <w:rPr>
                <w:rFonts w:ascii="Calibri" w:hAnsi="Calibri" w:cs="Arial"/>
              </w:rPr>
            </w:pPr>
            <w:r>
              <w:rPr>
                <w:rFonts w:ascii="Calibri" w:hAnsi="Calibri" w:cs="Arial"/>
              </w:rPr>
              <w:t>C. diff</w:t>
            </w:r>
          </w:p>
        </w:tc>
        <w:tc>
          <w:tcPr>
            <w:tcW w:w="7229" w:type="dxa"/>
          </w:tcPr>
          <w:p w:rsidR="00A66D9D" w:rsidRPr="00DA1C83" w:rsidRDefault="00A66D9D" w:rsidP="00FD447C">
            <w:pPr>
              <w:rPr>
                <w:rFonts w:ascii="Calibri" w:hAnsi="Calibri" w:cs="Arial"/>
              </w:rPr>
            </w:pPr>
            <w:r>
              <w:rPr>
                <w:rFonts w:ascii="Calibri" w:hAnsi="Calibri" w:cs="Arial"/>
              </w:rPr>
              <w:t xml:space="preserve">Clostridium </w:t>
            </w:r>
            <w:proofErr w:type="spellStart"/>
            <w:r>
              <w:rPr>
                <w:rFonts w:ascii="Calibri" w:hAnsi="Calibri" w:cs="Arial"/>
              </w:rPr>
              <w:t>difficile</w:t>
            </w:r>
            <w:proofErr w:type="spellEnd"/>
            <w:r>
              <w:rPr>
                <w:rFonts w:ascii="Calibri" w:hAnsi="Calibri" w:cs="Arial"/>
              </w:rPr>
              <w:t xml:space="preserve"> is a bacterium that is the </w:t>
            </w:r>
            <w:r w:rsidRPr="00FD447C">
              <w:rPr>
                <w:rFonts w:ascii="Calibri" w:hAnsi="Calibri" w:cs="Arial"/>
              </w:rPr>
              <w:t xml:space="preserve">most serious cause of diarrhoea </w:t>
            </w:r>
            <w:r>
              <w:rPr>
                <w:rFonts w:ascii="Calibri" w:hAnsi="Calibri" w:cs="Arial"/>
              </w:rPr>
              <w:t xml:space="preserve">often associated with taking </w:t>
            </w:r>
            <w:r w:rsidRPr="00FD447C">
              <w:rPr>
                <w:rFonts w:ascii="Calibri" w:hAnsi="Calibri" w:cs="Arial"/>
              </w:rPr>
              <w:t>antibiotic</w:t>
            </w:r>
            <w:r>
              <w:rPr>
                <w:rFonts w:ascii="Calibri" w:hAnsi="Calibri" w:cs="Arial"/>
              </w:rPr>
              <w:t>s, making it particularly susceptible to people in hospitals</w:t>
            </w:r>
          </w:p>
        </w:tc>
      </w:tr>
      <w:tr w:rsidR="00A66D9D" w:rsidRPr="00544356" w:rsidTr="00A66D9D">
        <w:tc>
          <w:tcPr>
            <w:tcW w:w="1576" w:type="dxa"/>
          </w:tcPr>
          <w:p w:rsidR="00A66D9D" w:rsidRPr="00CF3B23" w:rsidRDefault="00A66D9D" w:rsidP="00513CE6">
            <w:pPr>
              <w:rPr>
                <w:rFonts w:ascii="Calibri" w:hAnsi="Calibri" w:cs="Arial"/>
              </w:rPr>
            </w:pPr>
            <w:r w:rsidRPr="00CF3B23">
              <w:rPr>
                <w:rFonts w:ascii="Calibri" w:hAnsi="Calibri" w:cs="Arial"/>
              </w:rPr>
              <w:t>CPA</w:t>
            </w:r>
          </w:p>
        </w:tc>
        <w:tc>
          <w:tcPr>
            <w:tcW w:w="7229" w:type="dxa"/>
          </w:tcPr>
          <w:p w:rsidR="00A66D9D" w:rsidRPr="00CF3B23" w:rsidRDefault="00A66D9D" w:rsidP="00513CE6">
            <w:pPr>
              <w:rPr>
                <w:rFonts w:ascii="Calibri" w:hAnsi="Calibri" w:cs="Arial"/>
              </w:rPr>
            </w:pPr>
            <w:r w:rsidRPr="00CF3B23">
              <w:rPr>
                <w:rFonts w:ascii="Calibri" w:hAnsi="Calibri" w:cs="Arial"/>
              </w:rPr>
              <w:t>Care Programme Approach: a system of delivering community services to those with mental illness</w:t>
            </w:r>
          </w:p>
        </w:tc>
      </w:tr>
      <w:tr w:rsidR="00A66D9D" w:rsidRPr="00544356" w:rsidTr="00A66D9D">
        <w:tc>
          <w:tcPr>
            <w:tcW w:w="1576" w:type="dxa"/>
          </w:tcPr>
          <w:p w:rsidR="00A66D9D" w:rsidRPr="00CF3B23" w:rsidRDefault="00A66D9D" w:rsidP="00513CE6">
            <w:pPr>
              <w:rPr>
                <w:rFonts w:ascii="Calibri" w:hAnsi="Calibri" w:cs="Arial"/>
              </w:rPr>
            </w:pPr>
            <w:r w:rsidRPr="00CF3B23">
              <w:rPr>
                <w:rFonts w:ascii="Calibri" w:hAnsi="Calibri" w:cs="Arial"/>
              </w:rPr>
              <w:t>CQC</w:t>
            </w:r>
          </w:p>
        </w:tc>
        <w:tc>
          <w:tcPr>
            <w:tcW w:w="7229" w:type="dxa"/>
          </w:tcPr>
          <w:p w:rsidR="00A66D9D" w:rsidRPr="00CF3B23" w:rsidRDefault="00A66D9D" w:rsidP="00513CE6">
            <w:pPr>
              <w:rPr>
                <w:rFonts w:ascii="Calibri" w:hAnsi="Calibri" w:cs="Arial"/>
              </w:rPr>
            </w:pPr>
            <w:r w:rsidRPr="00CF3B23">
              <w:rPr>
                <w:rFonts w:ascii="Calibri" w:hAnsi="Calibri" w:cs="Arial"/>
              </w:rPr>
              <w:t>Care Quality Commission: the government body that regulates the quality of services from all providers of NHS care</w:t>
            </w:r>
          </w:p>
        </w:tc>
      </w:tr>
      <w:tr w:rsidR="00A66D9D" w:rsidRPr="00544356" w:rsidTr="00A66D9D">
        <w:tc>
          <w:tcPr>
            <w:tcW w:w="1576" w:type="dxa"/>
          </w:tcPr>
          <w:p w:rsidR="00A66D9D" w:rsidRPr="00CF3B23" w:rsidRDefault="00A66D9D" w:rsidP="00BA01DB">
            <w:pPr>
              <w:rPr>
                <w:rFonts w:ascii="Calibri" w:hAnsi="Calibri" w:cs="Arial"/>
              </w:rPr>
            </w:pPr>
            <w:r w:rsidRPr="00CF3B23">
              <w:rPr>
                <w:rFonts w:ascii="Calibri" w:hAnsi="Calibri" w:cs="Arial"/>
              </w:rPr>
              <w:t>CHO</w:t>
            </w:r>
          </w:p>
        </w:tc>
        <w:tc>
          <w:tcPr>
            <w:tcW w:w="7229" w:type="dxa"/>
          </w:tcPr>
          <w:p w:rsidR="00A66D9D" w:rsidRPr="00CF3B23" w:rsidRDefault="00A66D9D" w:rsidP="00CF3B23">
            <w:pPr>
              <w:rPr>
                <w:rFonts w:ascii="Calibri" w:hAnsi="Calibri" w:cs="Arial"/>
              </w:rPr>
            </w:pPr>
            <w:r w:rsidRPr="00CF3B23">
              <w:rPr>
                <w:rFonts w:ascii="Calibri" w:hAnsi="Calibri" w:cs="Arial"/>
              </w:rPr>
              <w:t>Community Health Oxford: the body that looked after community care in Oxfordshire prior to its merger with Oxfordshire and Buckinghamshire NHS Mental Health Trust in 2011 to form Oxford Health NHS Foundation Trust</w:t>
            </w:r>
          </w:p>
        </w:tc>
      </w:tr>
      <w:tr w:rsidR="00A66D9D" w:rsidRPr="00544356" w:rsidTr="00A66D9D">
        <w:tc>
          <w:tcPr>
            <w:tcW w:w="1576" w:type="dxa"/>
          </w:tcPr>
          <w:p w:rsidR="00A66D9D" w:rsidRPr="00815136" w:rsidRDefault="00A66D9D" w:rsidP="00513CE6">
            <w:pPr>
              <w:rPr>
                <w:rFonts w:ascii="Calibri" w:hAnsi="Calibri" w:cs="Arial"/>
              </w:rPr>
            </w:pPr>
            <w:r w:rsidRPr="00815136">
              <w:rPr>
                <w:rFonts w:ascii="Calibri" w:hAnsi="Calibri" w:cs="Arial"/>
              </w:rPr>
              <w:t>CMHT</w:t>
            </w:r>
          </w:p>
        </w:tc>
        <w:tc>
          <w:tcPr>
            <w:tcW w:w="7229" w:type="dxa"/>
          </w:tcPr>
          <w:p w:rsidR="00A66D9D" w:rsidRPr="00815136" w:rsidRDefault="00A66D9D" w:rsidP="00513CE6">
            <w:pPr>
              <w:rPr>
                <w:rFonts w:ascii="Calibri" w:hAnsi="Calibri" w:cs="Arial"/>
              </w:rPr>
            </w:pPr>
            <w:r w:rsidRPr="00815136">
              <w:rPr>
                <w:rFonts w:ascii="Calibri" w:hAnsi="Calibri" w:cs="Arial"/>
              </w:rPr>
              <w:t>Community Mental Health Team</w:t>
            </w:r>
          </w:p>
        </w:tc>
      </w:tr>
      <w:tr w:rsidR="00A66D9D" w:rsidRPr="00544356" w:rsidTr="00A66D9D">
        <w:tc>
          <w:tcPr>
            <w:tcW w:w="1576" w:type="dxa"/>
          </w:tcPr>
          <w:p w:rsidR="00A66D9D" w:rsidRPr="00815136" w:rsidRDefault="00A66D9D" w:rsidP="00513CE6">
            <w:pPr>
              <w:rPr>
                <w:rFonts w:ascii="Calibri" w:hAnsi="Calibri" w:cs="Arial"/>
              </w:rPr>
            </w:pPr>
            <w:r w:rsidRPr="00815136">
              <w:rPr>
                <w:rFonts w:ascii="Calibri" w:hAnsi="Calibri" w:cs="Arial"/>
              </w:rPr>
              <w:t>CQUIN</w:t>
            </w:r>
          </w:p>
        </w:tc>
        <w:tc>
          <w:tcPr>
            <w:tcW w:w="7229" w:type="dxa"/>
          </w:tcPr>
          <w:p w:rsidR="00A66D9D" w:rsidRPr="00CF3B23" w:rsidRDefault="00A66D9D" w:rsidP="00513CE6">
            <w:pPr>
              <w:rPr>
                <w:rFonts w:ascii="Calibri" w:hAnsi="Calibri" w:cs="Arial"/>
              </w:rPr>
            </w:pPr>
            <w:r w:rsidRPr="00CF3B23">
              <w:rPr>
                <w:rFonts w:ascii="Calibri" w:hAnsi="Calibri" w:cs="Arial"/>
              </w:rPr>
              <w:t>Commissioning for Quality and Innovation: this is a way of incentivising NHS organisations by making part of their payments dependent on achieving specific quality goals and targets</w:t>
            </w:r>
          </w:p>
        </w:tc>
      </w:tr>
      <w:tr w:rsidR="00A66D9D" w:rsidRPr="00544356" w:rsidTr="00A66D9D">
        <w:tc>
          <w:tcPr>
            <w:tcW w:w="1576" w:type="dxa"/>
          </w:tcPr>
          <w:p w:rsidR="00A66D9D" w:rsidRPr="00CF3B23" w:rsidRDefault="00A66D9D" w:rsidP="00513CE6">
            <w:pPr>
              <w:rPr>
                <w:rFonts w:ascii="Calibri" w:hAnsi="Calibri" w:cs="Arial"/>
              </w:rPr>
            </w:pPr>
            <w:r w:rsidRPr="00CF3B23">
              <w:rPr>
                <w:rFonts w:ascii="Calibri" w:hAnsi="Calibri" w:cs="Arial"/>
              </w:rPr>
              <w:t>DoH</w:t>
            </w:r>
          </w:p>
        </w:tc>
        <w:tc>
          <w:tcPr>
            <w:tcW w:w="7229" w:type="dxa"/>
          </w:tcPr>
          <w:p w:rsidR="00A66D9D" w:rsidRPr="00CF3B23" w:rsidRDefault="00A66D9D" w:rsidP="00CF3B23">
            <w:pPr>
              <w:rPr>
                <w:rFonts w:ascii="Calibri" w:hAnsi="Calibri" w:cs="Arial"/>
              </w:rPr>
            </w:pPr>
            <w:r w:rsidRPr="00CF3B23">
              <w:rPr>
                <w:rFonts w:ascii="Calibri" w:hAnsi="Calibri" w:cs="Arial"/>
              </w:rPr>
              <w:t>Department of Health: the Government department responsible for health care in England and Wales</w:t>
            </w:r>
          </w:p>
        </w:tc>
      </w:tr>
      <w:tr w:rsidR="00A66D9D" w:rsidRPr="00544356" w:rsidTr="00A66D9D">
        <w:tc>
          <w:tcPr>
            <w:tcW w:w="1576" w:type="dxa"/>
          </w:tcPr>
          <w:p w:rsidR="00A66D9D" w:rsidRPr="00CF3B23" w:rsidRDefault="00A66D9D" w:rsidP="00513CE6">
            <w:pPr>
              <w:rPr>
                <w:rFonts w:ascii="Calibri" w:hAnsi="Calibri" w:cs="Arial"/>
              </w:rPr>
            </w:pPr>
            <w:r>
              <w:rPr>
                <w:rFonts w:ascii="Calibri" w:hAnsi="Calibri" w:cs="Arial"/>
              </w:rPr>
              <w:t>DSH</w:t>
            </w:r>
          </w:p>
        </w:tc>
        <w:tc>
          <w:tcPr>
            <w:tcW w:w="7229" w:type="dxa"/>
          </w:tcPr>
          <w:p w:rsidR="00A66D9D" w:rsidRPr="00CF3B23" w:rsidRDefault="00A66D9D" w:rsidP="00CF3B23">
            <w:pPr>
              <w:rPr>
                <w:rFonts w:ascii="Calibri" w:hAnsi="Calibri" w:cs="Arial"/>
              </w:rPr>
            </w:pPr>
            <w:r>
              <w:rPr>
                <w:rFonts w:ascii="Calibri" w:hAnsi="Calibri" w:cs="Arial"/>
              </w:rPr>
              <w:t>Deliberate self-harm</w:t>
            </w:r>
          </w:p>
        </w:tc>
      </w:tr>
      <w:tr w:rsidR="00A66D9D" w:rsidRPr="00544356" w:rsidTr="00A66D9D">
        <w:tc>
          <w:tcPr>
            <w:tcW w:w="1576" w:type="dxa"/>
          </w:tcPr>
          <w:p w:rsidR="00A66D9D" w:rsidRPr="00CF3B23" w:rsidRDefault="00A66D9D" w:rsidP="00513CE6">
            <w:pPr>
              <w:rPr>
                <w:rFonts w:ascii="Calibri" w:hAnsi="Calibri" w:cs="Arial"/>
              </w:rPr>
            </w:pPr>
            <w:r>
              <w:rPr>
                <w:rFonts w:ascii="Calibri" w:hAnsi="Calibri" w:cs="Arial"/>
              </w:rPr>
              <w:t>DTOC</w:t>
            </w:r>
          </w:p>
        </w:tc>
        <w:tc>
          <w:tcPr>
            <w:tcW w:w="7229" w:type="dxa"/>
          </w:tcPr>
          <w:p w:rsidR="00A66D9D" w:rsidRPr="00CF3B23" w:rsidRDefault="00A66D9D" w:rsidP="004C7A00">
            <w:pPr>
              <w:rPr>
                <w:rFonts w:ascii="Calibri" w:hAnsi="Calibri" w:cs="Arial"/>
              </w:rPr>
            </w:pPr>
            <w:r>
              <w:rPr>
                <w:rFonts w:ascii="Calibri" w:hAnsi="Calibri" w:cs="Arial"/>
              </w:rPr>
              <w:t>Delayed Transfer of Care occurs when a patient or service user is delayed in being discharged from hospital into the community</w:t>
            </w:r>
          </w:p>
        </w:tc>
      </w:tr>
      <w:tr w:rsidR="00A66D9D" w:rsidRPr="00544356" w:rsidTr="00A66D9D">
        <w:tc>
          <w:tcPr>
            <w:tcW w:w="1576" w:type="dxa"/>
          </w:tcPr>
          <w:p w:rsidR="00A66D9D" w:rsidRPr="00815136" w:rsidRDefault="00A66D9D" w:rsidP="00513CE6">
            <w:pPr>
              <w:rPr>
                <w:rFonts w:ascii="Calibri" w:hAnsi="Calibri" w:cs="Arial"/>
              </w:rPr>
            </w:pPr>
            <w:r w:rsidRPr="00815136">
              <w:rPr>
                <w:rFonts w:ascii="Calibri" w:hAnsi="Calibri" w:cs="Arial"/>
              </w:rPr>
              <w:t>FT</w:t>
            </w:r>
          </w:p>
        </w:tc>
        <w:tc>
          <w:tcPr>
            <w:tcW w:w="7229" w:type="dxa"/>
          </w:tcPr>
          <w:p w:rsidR="00A66D9D" w:rsidRPr="00815136" w:rsidRDefault="00A66D9D" w:rsidP="00815136">
            <w:pPr>
              <w:rPr>
                <w:rFonts w:ascii="Calibri" w:hAnsi="Calibri" w:cs="Arial"/>
              </w:rPr>
            </w:pPr>
            <w:r w:rsidRPr="00815136">
              <w:rPr>
                <w:rFonts w:ascii="Calibri" w:hAnsi="Calibri" w:cs="Arial"/>
              </w:rPr>
              <w:t xml:space="preserve">Foundation Trust – an NHS Trust that has  a degree of independence from the Department of Health and has a level of managerial and financial freedom </w:t>
            </w:r>
          </w:p>
        </w:tc>
      </w:tr>
      <w:tr w:rsidR="00A66D9D" w:rsidRPr="00544356" w:rsidTr="00A66D9D">
        <w:tc>
          <w:tcPr>
            <w:tcW w:w="1576" w:type="dxa"/>
          </w:tcPr>
          <w:p w:rsidR="00A66D9D" w:rsidRPr="004C369D" w:rsidRDefault="00A66D9D" w:rsidP="00BA01DB">
            <w:pPr>
              <w:rPr>
                <w:rFonts w:ascii="Calibri" w:hAnsi="Calibri" w:cs="Arial"/>
              </w:rPr>
            </w:pPr>
            <w:r w:rsidRPr="004C369D">
              <w:rPr>
                <w:rFonts w:ascii="Calibri" w:hAnsi="Calibri" w:cs="Arial"/>
              </w:rPr>
              <w:t>GP</w:t>
            </w:r>
          </w:p>
        </w:tc>
        <w:tc>
          <w:tcPr>
            <w:tcW w:w="7229" w:type="dxa"/>
          </w:tcPr>
          <w:p w:rsidR="00A66D9D" w:rsidRPr="004C369D" w:rsidRDefault="00A66D9D" w:rsidP="004C369D">
            <w:pPr>
              <w:rPr>
                <w:rFonts w:ascii="Calibri" w:hAnsi="Calibri" w:cs="Arial"/>
              </w:rPr>
            </w:pPr>
            <w:r w:rsidRPr="004C369D">
              <w:rPr>
                <w:rFonts w:ascii="Calibri" w:hAnsi="Calibri" w:cs="Arial"/>
              </w:rPr>
              <w:t>General Practitioner</w:t>
            </w:r>
            <w:r>
              <w:rPr>
                <w:rFonts w:ascii="Calibri" w:hAnsi="Calibri" w:cs="Arial"/>
              </w:rPr>
              <w:t xml:space="preserve"> – the doctor in the local practice with whom the patient/service user is registered</w:t>
            </w:r>
          </w:p>
        </w:tc>
      </w:tr>
      <w:tr w:rsidR="00A66D9D" w:rsidRPr="00544356" w:rsidTr="00A66D9D">
        <w:tc>
          <w:tcPr>
            <w:tcW w:w="1576" w:type="dxa"/>
          </w:tcPr>
          <w:p w:rsidR="00A66D9D" w:rsidRPr="00370935" w:rsidRDefault="00A66D9D" w:rsidP="00BA01DB">
            <w:pPr>
              <w:rPr>
                <w:rFonts w:ascii="Calibri" w:hAnsi="Calibri" w:cs="Arial"/>
              </w:rPr>
            </w:pPr>
            <w:r w:rsidRPr="00370935">
              <w:rPr>
                <w:rFonts w:ascii="Calibri" w:hAnsi="Calibri" w:cs="Arial"/>
              </w:rPr>
              <w:t>HoNOS</w:t>
            </w:r>
          </w:p>
        </w:tc>
        <w:tc>
          <w:tcPr>
            <w:tcW w:w="7229" w:type="dxa"/>
          </w:tcPr>
          <w:p w:rsidR="00A66D9D" w:rsidRPr="00370935" w:rsidRDefault="00A66D9D" w:rsidP="00CF3B23">
            <w:pPr>
              <w:rPr>
                <w:rFonts w:ascii="Calibri" w:hAnsi="Calibri" w:cs="Arial"/>
              </w:rPr>
            </w:pPr>
            <w:r w:rsidRPr="00370935">
              <w:rPr>
                <w:rFonts w:ascii="Calibri" w:hAnsi="Calibri" w:cs="Arial"/>
              </w:rPr>
              <w:t>Health of the Nation Outcome Scale: this is the most widely used routing measure of clinical outcome used by English mental health services</w:t>
            </w:r>
          </w:p>
        </w:tc>
      </w:tr>
      <w:tr w:rsidR="00825B25" w:rsidRPr="00544356" w:rsidTr="00A66D9D">
        <w:tc>
          <w:tcPr>
            <w:tcW w:w="1576" w:type="dxa"/>
          </w:tcPr>
          <w:p w:rsidR="00825B25" w:rsidRPr="00370935" w:rsidRDefault="00825B25" w:rsidP="00BA01DB">
            <w:pPr>
              <w:rPr>
                <w:rFonts w:ascii="Calibri" w:hAnsi="Calibri" w:cs="Arial"/>
              </w:rPr>
            </w:pPr>
            <w:r>
              <w:rPr>
                <w:rFonts w:ascii="Calibri" w:hAnsi="Calibri" w:cs="Arial"/>
              </w:rPr>
              <w:t>Hospital at Home</w:t>
            </w:r>
          </w:p>
        </w:tc>
        <w:tc>
          <w:tcPr>
            <w:tcW w:w="7229" w:type="dxa"/>
          </w:tcPr>
          <w:p w:rsidR="00825B25" w:rsidRPr="00370935" w:rsidRDefault="00825B25" w:rsidP="00825B25">
            <w:pPr>
              <w:rPr>
                <w:rFonts w:ascii="Calibri" w:hAnsi="Calibri" w:cs="Arial"/>
              </w:rPr>
            </w:pPr>
            <w:r w:rsidRPr="00825B25">
              <w:rPr>
                <w:rFonts w:ascii="Calibri" w:hAnsi="Calibri" w:cs="Arial"/>
              </w:rPr>
              <w:t>Hospital at Home</w:t>
            </w:r>
            <w:r>
              <w:rPr>
                <w:rFonts w:ascii="Calibri" w:hAnsi="Calibri" w:cs="Arial"/>
              </w:rPr>
              <w:t xml:space="preserve"> is a service </w:t>
            </w:r>
            <w:r w:rsidRPr="00825B25">
              <w:rPr>
                <w:rFonts w:ascii="Calibri" w:hAnsi="Calibri" w:cs="Arial"/>
              </w:rPr>
              <w:t>designed to give patients extra support so that they are not admitted to hospital or so that their admission is as short as possible.</w:t>
            </w:r>
          </w:p>
        </w:tc>
      </w:tr>
      <w:tr w:rsidR="00825B25" w:rsidRPr="00544356" w:rsidTr="00A66D9D">
        <w:tc>
          <w:tcPr>
            <w:tcW w:w="1576" w:type="dxa"/>
          </w:tcPr>
          <w:p w:rsidR="00825B25" w:rsidRPr="00370935" w:rsidRDefault="00825B25" w:rsidP="00BA01DB">
            <w:pPr>
              <w:rPr>
                <w:rFonts w:ascii="Calibri" w:hAnsi="Calibri" w:cs="Arial"/>
              </w:rPr>
            </w:pPr>
            <w:r>
              <w:rPr>
                <w:rFonts w:ascii="Calibri" w:hAnsi="Calibri" w:cs="Arial"/>
              </w:rPr>
              <w:lastRenderedPageBreak/>
              <w:t>IAPT</w:t>
            </w:r>
          </w:p>
        </w:tc>
        <w:tc>
          <w:tcPr>
            <w:tcW w:w="7229" w:type="dxa"/>
          </w:tcPr>
          <w:p w:rsidR="00825B25" w:rsidRPr="00370935" w:rsidRDefault="00825B25" w:rsidP="00CF3B23">
            <w:pPr>
              <w:rPr>
                <w:rFonts w:ascii="Calibri" w:hAnsi="Calibri" w:cs="Arial"/>
              </w:rPr>
            </w:pPr>
            <w:r>
              <w:rPr>
                <w:rFonts w:ascii="Calibri" w:hAnsi="Calibri" w:cs="Arial"/>
              </w:rPr>
              <w:t xml:space="preserve">Improving Access to Psychological Therapies </w:t>
            </w:r>
          </w:p>
        </w:tc>
      </w:tr>
      <w:tr w:rsidR="00825B25" w:rsidRPr="00544356" w:rsidTr="00A66D9D">
        <w:tc>
          <w:tcPr>
            <w:tcW w:w="1576" w:type="dxa"/>
          </w:tcPr>
          <w:p w:rsidR="00825B25" w:rsidRPr="00370935" w:rsidRDefault="00825B25" w:rsidP="00370935">
            <w:pPr>
              <w:rPr>
                <w:rFonts w:ascii="Calibri" w:hAnsi="Calibri" w:cs="Arial"/>
              </w:rPr>
            </w:pPr>
            <w:proofErr w:type="spellStart"/>
            <w:r w:rsidRPr="00370935">
              <w:rPr>
                <w:rFonts w:ascii="Calibri" w:hAnsi="Calibri" w:cs="Arial"/>
              </w:rPr>
              <w:t>LINk</w:t>
            </w:r>
            <w:proofErr w:type="spellEnd"/>
          </w:p>
        </w:tc>
        <w:tc>
          <w:tcPr>
            <w:tcW w:w="7229" w:type="dxa"/>
          </w:tcPr>
          <w:p w:rsidR="00825B25" w:rsidRPr="00370935" w:rsidRDefault="00825B25" w:rsidP="00370935">
            <w:pPr>
              <w:rPr>
                <w:rFonts w:ascii="Calibri" w:hAnsi="Calibri" w:cs="Arial"/>
              </w:rPr>
            </w:pPr>
            <w:r w:rsidRPr="00370935">
              <w:rPr>
                <w:rFonts w:ascii="Calibri" w:hAnsi="Calibri" w:cs="Arial"/>
              </w:rPr>
              <w:t>Local Involvement Networks (</w:t>
            </w:r>
            <w:proofErr w:type="spellStart"/>
            <w:r w:rsidRPr="00370935">
              <w:rPr>
                <w:rFonts w:ascii="Calibri" w:hAnsi="Calibri" w:cs="Arial"/>
              </w:rPr>
              <w:t>LINks</w:t>
            </w:r>
            <w:proofErr w:type="spellEnd"/>
            <w:r w:rsidRPr="00370935">
              <w:rPr>
                <w:rFonts w:ascii="Calibri" w:hAnsi="Calibri" w:cs="Arial"/>
              </w:rPr>
              <w:t>) are groups made up of individuals and community groups, such as faith groups and residents’ associations, working together to improve health and social care services</w:t>
            </w:r>
          </w:p>
        </w:tc>
      </w:tr>
      <w:tr w:rsidR="00825B25" w:rsidRPr="00544356" w:rsidTr="00A66D9D">
        <w:tc>
          <w:tcPr>
            <w:tcW w:w="1576" w:type="dxa"/>
          </w:tcPr>
          <w:p w:rsidR="00825B25" w:rsidRPr="00370935" w:rsidRDefault="00825B25" w:rsidP="00513CE6">
            <w:pPr>
              <w:rPr>
                <w:rFonts w:ascii="Calibri" w:hAnsi="Calibri" w:cs="Arial"/>
              </w:rPr>
            </w:pPr>
            <w:r w:rsidRPr="00370935">
              <w:rPr>
                <w:rFonts w:ascii="Calibri" w:hAnsi="Calibri" w:cs="Arial"/>
              </w:rPr>
              <w:t>LIPS</w:t>
            </w:r>
          </w:p>
        </w:tc>
        <w:tc>
          <w:tcPr>
            <w:tcW w:w="7229" w:type="dxa"/>
          </w:tcPr>
          <w:p w:rsidR="00825B25" w:rsidRPr="00370935" w:rsidRDefault="00825B25" w:rsidP="00370935">
            <w:pPr>
              <w:rPr>
                <w:rFonts w:ascii="Calibri" w:hAnsi="Calibri" w:cs="Arial"/>
              </w:rPr>
            </w:pPr>
            <w:r w:rsidRPr="00370935">
              <w:rPr>
                <w:rFonts w:ascii="Calibri" w:hAnsi="Calibri" w:cs="Arial"/>
              </w:rPr>
              <w:t>The Leading Improvements in Patient Safety programme (LIPS) is concerned with building capacity and capability within hospital teams to improve patient safety</w:t>
            </w:r>
          </w:p>
        </w:tc>
      </w:tr>
      <w:tr w:rsidR="00825B25" w:rsidRPr="00544356" w:rsidTr="00A66D9D">
        <w:tc>
          <w:tcPr>
            <w:tcW w:w="1576" w:type="dxa"/>
          </w:tcPr>
          <w:p w:rsidR="00825B25" w:rsidRPr="00370935" w:rsidRDefault="00825B25" w:rsidP="00513CE6">
            <w:pPr>
              <w:rPr>
                <w:rFonts w:ascii="Calibri" w:hAnsi="Calibri" w:cs="Arial"/>
              </w:rPr>
            </w:pPr>
            <w:r>
              <w:rPr>
                <w:rFonts w:ascii="Calibri" w:hAnsi="Calibri" w:cs="Arial"/>
              </w:rPr>
              <w:t>LTC</w:t>
            </w:r>
          </w:p>
        </w:tc>
        <w:tc>
          <w:tcPr>
            <w:tcW w:w="7229" w:type="dxa"/>
          </w:tcPr>
          <w:p w:rsidR="00825B25" w:rsidRPr="00370935" w:rsidRDefault="00825B25" w:rsidP="00370935">
            <w:pPr>
              <w:rPr>
                <w:rFonts w:ascii="Calibri" w:hAnsi="Calibri" w:cs="Arial"/>
              </w:rPr>
            </w:pPr>
            <w:r>
              <w:rPr>
                <w:rFonts w:ascii="Calibri" w:hAnsi="Calibri" w:cs="Arial"/>
              </w:rPr>
              <w:t>Long Term Conditions may include dementia, diabetes, medically unexplained symptoms, respiratory &amp; cardiac problems and strokes</w:t>
            </w:r>
          </w:p>
        </w:tc>
      </w:tr>
      <w:tr w:rsidR="00825B25" w:rsidRPr="00544356" w:rsidTr="00A66D9D">
        <w:tc>
          <w:tcPr>
            <w:tcW w:w="1576" w:type="dxa"/>
          </w:tcPr>
          <w:p w:rsidR="00825B25" w:rsidRPr="001958E8" w:rsidRDefault="00825B25" w:rsidP="00E96B41">
            <w:pPr>
              <w:rPr>
                <w:rFonts w:ascii="Calibri" w:hAnsi="Calibri" w:cs="Arial"/>
              </w:rPr>
            </w:pPr>
            <w:r w:rsidRPr="001958E8">
              <w:rPr>
                <w:rFonts w:ascii="Calibri" w:hAnsi="Calibri" w:cs="Arial"/>
              </w:rPr>
              <w:t>MRSA</w:t>
            </w:r>
          </w:p>
        </w:tc>
        <w:tc>
          <w:tcPr>
            <w:tcW w:w="7229" w:type="dxa"/>
          </w:tcPr>
          <w:p w:rsidR="00825B25" w:rsidRPr="001958E8" w:rsidRDefault="00825B25" w:rsidP="001958E8">
            <w:pPr>
              <w:rPr>
                <w:rFonts w:ascii="Calibri" w:hAnsi="Calibri" w:cs="Arial"/>
              </w:rPr>
            </w:pPr>
            <w:proofErr w:type="spellStart"/>
            <w:r w:rsidRPr="001958E8">
              <w:rPr>
                <w:rFonts w:ascii="Calibri" w:hAnsi="Calibri"/>
                <w:bCs/>
              </w:rPr>
              <w:t>Methicillin</w:t>
            </w:r>
            <w:proofErr w:type="spellEnd"/>
            <w:r w:rsidRPr="001958E8">
              <w:rPr>
                <w:rFonts w:ascii="Calibri" w:hAnsi="Calibri"/>
                <w:bCs/>
              </w:rPr>
              <w:t xml:space="preserve">-resistant </w:t>
            </w:r>
            <w:r w:rsidRPr="001958E8">
              <w:rPr>
                <w:rFonts w:ascii="Calibri" w:hAnsi="Calibri"/>
                <w:bCs/>
                <w:i/>
                <w:iCs/>
              </w:rPr>
              <w:t xml:space="preserve">Staphylococcus </w:t>
            </w:r>
            <w:proofErr w:type="spellStart"/>
            <w:r w:rsidRPr="001958E8">
              <w:rPr>
                <w:rFonts w:ascii="Calibri" w:hAnsi="Calibri"/>
                <w:bCs/>
                <w:i/>
                <w:iCs/>
              </w:rPr>
              <w:t>aureus</w:t>
            </w:r>
            <w:proofErr w:type="spellEnd"/>
            <w:r w:rsidRPr="001958E8">
              <w:rPr>
                <w:rFonts w:ascii="Calibri" w:hAnsi="Calibri"/>
                <w:bCs/>
                <w:iCs/>
              </w:rPr>
              <w:t xml:space="preserve"> is a bacterium that leads to several forms of illness and is characterised by being particularly resistant to treatment</w:t>
            </w:r>
            <w:r>
              <w:rPr>
                <w:rFonts w:ascii="Calibri" w:hAnsi="Calibri"/>
                <w:bCs/>
                <w:iCs/>
              </w:rPr>
              <w:t>.  Because of this, its presence in hospitals has resulted in a concerted campaign to eliminate it from such locations</w:t>
            </w:r>
          </w:p>
        </w:tc>
      </w:tr>
      <w:tr w:rsidR="00825B25" w:rsidRPr="00544356" w:rsidTr="00A66D9D">
        <w:tc>
          <w:tcPr>
            <w:tcW w:w="1576" w:type="dxa"/>
          </w:tcPr>
          <w:p w:rsidR="00825B25" w:rsidRPr="00052678" w:rsidRDefault="00825B25" w:rsidP="00513CE6">
            <w:pPr>
              <w:rPr>
                <w:rFonts w:asciiTheme="minorHAnsi" w:hAnsiTheme="minorHAnsi" w:cs="Arial"/>
              </w:rPr>
            </w:pPr>
            <w:r w:rsidRPr="00052678">
              <w:rPr>
                <w:rFonts w:asciiTheme="minorHAnsi" w:hAnsiTheme="minorHAnsi" w:cs="Arial"/>
              </w:rPr>
              <w:t>MUST</w:t>
            </w:r>
          </w:p>
        </w:tc>
        <w:tc>
          <w:tcPr>
            <w:tcW w:w="7229" w:type="dxa"/>
          </w:tcPr>
          <w:p w:rsidR="00825B25" w:rsidRPr="00052678" w:rsidRDefault="00825B25" w:rsidP="00052678">
            <w:pPr>
              <w:autoSpaceDE w:val="0"/>
              <w:autoSpaceDN w:val="0"/>
              <w:adjustRightInd w:val="0"/>
              <w:rPr>
                <w:rFonts w:asciiTheme="minorHAnsi" w:hAnsiTheme="minorHAnsi" w:cs="Arial"/>
              </w:rPr>
            </w:pPr>
            <w:r>
              <w:rPr>
                <w:rFonts w:asciiTheme="minorHAnsi" w:hAnsiTheme="minorHAnsi"/>
                <w:bCs/>
                <w:iCs/>
              </w:rPr>
              <w:t xml:space="preserve">The </w:t>
            </w:r>
            <w:r w:rsidRPr="00052678">
              <w:rPr>
                <w:rFonts w:asciiTheme="minorHAnsi" w:hAnsiTheme="minorHAnsi"/>
                <w:bCs/>
                <w:iCs/>
              </w:rPr>
              <w:t xml:space="preserve">Malnutrition Universal Screening Tool </w:t>
            </w:r>
            <w:r>
              <w:rPr>
                <w:rFonts w:asciiTheme="minorHAnsi" w:hAnsiTheme="minorHAnsi"/>
                <w:bCs/>
                <w:iCs/>
              </w:rPr>
              <w:t>is</w:t>
            </w:r>
            <w:r w:rsidRPr="00052678">
              <w:rPr>
                <w:rFonts w:asciiTheme="minorHAnsi" w:hAnsiTheme="minorHAnsi"/>
                <w:bCs/>
                <w:iCs/>
              </w:rPr>
              <w:t xml:space="preserve"> a tool </w:t>
            </w:r>
            <w:r w:rsidRPr="00052678">
              <w:rPr>
                <w:rFonts w:asciiTheme="minorHAnsi" w:hAnsiTheme="minorHAnsi" w:cs="Arial"/>
              </w:rPr>
              <w:t>to identify adults</w:t>
            </w:r>
            <w:r>
              <w:rPr>
                <w:rFonts w:asciiTheme="minorHAnsi" w:hAnsiTheme="minorHAnsi" w:cs="Arial"/>
              </w:rPr>
              <w:t xml:space="preserve">, who are </w:t>
            </w:r>
            <w:r w:rsidRPr="00052678">
              <w:rPr>
                <w:rFonts w:asciiTheme="minorHAnsi" w:hAnsiTheme="minorHAnsi" w:cs="Arial"/>
              </w:rPr>
              <w:t>malnourished, at risk of malnutrition or</w:t>
            </w:r>
            <w:r>
              <w:rPr>
                <w:rFonts w:asciiTheme="minorHAnsi" w:hAnsiTheme="minorHAnsi" w:cs="Arial"/>
              </w:rPr>
              <w:t xml:space="preserve"> </w:t>
            </w:r>
            <w:r w:rsidRPr="00052678">
              <w:rPr>
                <w:rFonts w:asciiTheme="minorHAnsi" w:hAnsiTheme="minorHAnsi" w:cs="Arial"/>
              </w:rPr>
              <w:t xml:space="preserve">obese. </w:t>
            </w:r>
          </w:p>
        </w:tc>
      </w:tr>
      <w:tr w:rsidR="00825B25" w:rsidRPr="00544356" w:rsidTr="00A66D9D">
        <w:tc>
          <w:tcPr>
            <w:tcW w:w="1576" w:type="dxa"/>
          </w:tcPr>
          <w:p w:rsidR="00825B25" w:rsidRPr="00370935" w:rsidRDefault="00825B25" w:rsidP="00513CE6">
            <w:pPr>
              <w:rPr>
                <w:rFonts w:ascii="Calibri" w:hAnsi="Calibri" w:cs="Arial"/>
              </w:rPr>
            </w:pPr>
            <w:r w:rsidRPr="00370935">
              <w:rPr>
                <w:rFonts w:ascii="Calibri" w:hAnsi="Calibri" w:cs="Arial"/>
              </w:rPr>
              <w:t>NHS</w:t>
            </w:r>
          </w:p>
        </w:tc>
        <w:tc>
          <w:tcPr>
            <w:tcW w:w="7229" w:type="dxa"/>
          </w:tcPr>
          <w:p w:rsidR="00825B25" w:rsidRPr="00370935" w:rsidRDefault="00825B25" w:rsidP="00513CE6">
            <w:pPr>
              <w:rPr>
                <w:rFonts w:ascii="Calibri" w:hAnsi="Calibri" w:cs="Arial"/>
              </w:rPr>
            </w:pPr>
            <w:r w:rsidRPr="00370935">
              <w:rPr>
                <w:rFonts w:ascii="Calibri" w:hAnsi="Calibri" w:cs="Arial"/>
              </w:rPr>
              <w:t>National Health Service</w:t>
            </w:r>
            <w:r>
              <w:rPr>
                <w:rFonts w:ascii="Calibri" w:hAnsi="Calibri" w:cs="Arial"/>
              </w:rPr>
              <w:t xml:space="preserve"> is the name of the publically-funded healthcare service in the UK (excluding Northern Ireland)</w:t>
            </w:r>
          </w:p>
        </w:tc>
      </w:tr>
      <w:tr w:rsidR="00825B25" w:rsidRPr="00544356" w:rsidTr="00A66D9D">
        <w:tc>
          <w:tcPr>
            <w:tcW w:w="1576" w:type="dxa"/>
          </w:tcPr>
          <w:p w:rsidR="00825B25" w:rsidRPr="00370935" w:rsidRDefault="00825B25" w:rsidP="00513CE6">
            <w:pPr>
              <w:rPr>
                <w:rFonts w:ascii="Calibri" w:hAnsi="Calibri" w:cs="Arial"/>
              </w:rPr>
            </w:pPr>
            <w:r w:rsidRPr="00370935">
              <w:rPr>
                <w:rFonts w:ascii="Calibri" w:hAnsi="Calibri" w:cs="Arial"/>
              </w:rPr>
              <w:t>NICE</w:t>
            </w:r>
          </w:p>
        </w:tc>
        <w:tc>
          <w:tcPr>
            <w:tcW w:w="7229" w:type="dxa"/>
          </w:tcPr>
          <w:p w:rsidR="00825B25" w:rsidRPr="00370935" w:rsidRDefault="00825B25" w:rsidP="00513CE6">
            <w:pPr>
              <w:rPr>
                <w:rFonts w:ascii="Calibri" w:hAnsi="Calibri" w:cs="Arial"/>
                <w:b/>
              </w:rPr>
            </w:pPr>
            <w:r w:rsidRPr="00370935">
              <w:rPr>
                <w:rStyle w:val="Emphasis"/>
                <w:rFonts w:ascii="Calibri" w:hAnsi="Calibri" w:cs="Arial"/>
                <w:b w:val="0"/>
              </w:rPr>
              <w:t>The National Institute for Clinical Excellence is an independent organisation responsible for providing national guidance on promoting good health and preventing and treating ill health</w:t>
            </w:r>
          </w:p>
        </w:tc>
      </w:tr>
      <w:tr w:rsidR="00825B25" w:rsidRPr="00544356" w:rsidTr="00A66D9D">
        <w:tc>
          <w:tcPr>
            <w:tcW w:w="1576" w:type="dxa"/>
          </w:tcPr>
          <w:p w:rsidR="00825B25" w:rsidRPr="00E66CF4" w:rsidRDefault="00825B25" w:rsidP="00513CE6">
            <w:pPr>
              <w:rPr>
                <w:rFonts w:ascii="Calibri" w:hAnsi="Calibri" w:cs="Arial"/>
              </w:rPr>
            </w:pPr>
            <w:r w:rsidRPr="00E66CF4">
              <w:rPr>
                <w:rFonts w:ascii="Calibri" w:hAnsi="Calibri" w:cs="Arial"/>
              </w:rPr>
              <w:t>NPSA</w:t>
            </w:r>
          </w:p>
        </w:tc>
        <w:tc>
          <w:tcPr>
            <w:tcW w:w="7229" w:type="dxa"/>
          </w:tcPr>
          <w:p w:rsidR="00825B25" w:rsidRPr="00E66CF4" w:rsidRDefault="00825B25" w:rsidP="00513CE6">
            <w:pPr>
              <w:rPr>
                <w:rFonts w:ascii="Calibri" w:hAnsi="Calibri" w:cs="Arial"/>
              </w:rPr>
            </w:pPr>
            <w:r>
              <w:rPr>
                <w:rFonts w:ascii="Calibri" w:hAnsi="Calibri" w:cs="Arial"/>
              </w:rPr>
              <w:t xml:space="preserve">The </w:t>
            </w:r>
            <w:r w:rsidRPr="00E66CF4">
              <w:rPr>
                <w:rFonts w:ascii="Calibri" w:hAnsi="Calibri" w:cs="Arial"/>
              </w:rPr>
              <w:t>National Patient Safety Agency</w:t>
            </w:r>
            <w:r>
              <w:rPr>
                <w:rFonts w:ascii="Calibri" w:hAnsi="Calibri" w:cs="Arial"/>
              </w:rPr>
              <w:t xml:space="preserve"> is a body that leads and contributes to improved, safe patient care by informing, supporting and influencing the health sector</w:t>
            </w:r>
          </w:p>
        </w:tc>
      </w:tr>
      <w:tr w:rsidR="00825B25" w:rsidRPr="00544356" w:rsidTr="00A66D9D">
        <w:tc>
          <w:tcPr>
            <w:tcW w:w="1576" w:type="dxa"/>
          </w:tcPr>
          <w:p w:rsidR="00825B25" w:rsidRPr="008128CF" w:rsidRDefault="00825B25" w:rsidP="00E96B41">
            <w:pPr>
              <w:rPr>
                <w:rFonts w:ascii="Calibri" w:hAnsi="Calibri" w:cs="Arial"/>
              </w:rPr>
            </w:pPr>
            <w:r w:rsidRPr="008128CF">
              <w:rPr>
                <w:rFonts w:ascii="Calibri" w:hAnsi="Calibri" w:cs="Arial"/>
              </w:rPr>
              <w:t>OBMH</w:t>
            </w:r>
          </w:p>
        </w:tc>
        <w:tc>
          <w:tcPr>
            <w:tcW w:w="7229" w:type="dxa"/>
          </w:tcPr>
          <w:p w:rsidR="00825B25" w:rsidRPr="008128CF" w:rsidRDefault="00825B25" w:rsidP="00BA01DB">
            <w:pPr>
              <w:rPr>
                <w:rFonts w:ascii="Calibri" w:hAnsi="Calibri" w:cs="Arial"/>
              </w:rPr>
            </w:pPr>
            <w:r w:rsidRPr="008128CF">
              <w:rPr>
                <w:rFonts w:ascii="Calibri" w:hAnsi="Calibri" w:cs="Arial"/>
              </w:rPr>
              <w:t>Oxfordshire and Buckinghamshire Mental Health NHS Foundation Trust</w:t>
            </w:r>
            <w:r>
              <w:rPr>
                <w:rFonts w:ascii="Calibri" w:hAnsi="Calibri" w:cs="Arial"/>
              </w:rPr>
              <w:t xml:space="preserve"> was the body that provided mental health services to these two counties prior to its merger with Community Health Oxford in 2011 to </w:t>
            </w:r>
            <w:r w:rsidRPr="00CF3B23">
              <w:rPr>
                <w:rFonts w:ascii="Calibri" w:hAnsi="Calibri" w:cs="Arial"/>
              </w:rPr>
              <w:t>form Oxford Health NHS Foundation Trust</w:t>
            </w:r>
          </w:p>
        </w:tc>
      </w:tr>
      <w:tr w:rsidR="00825B25" w:rsidRPr="00544356" w:rsidTr="00A66D9D">
        <w:tc>
          <w:tcPr>
            <w:tcW w:w="1576" w:type="dxa"/>
          </w:tcPr>
          <w:p w:rsidR="00825B25" w:rsidRPr="008128CF" w:rsidRDefault="00825B25" w:rsidP="00E96B41">
            <w:pPr>
              <w:rPr>
                <w:rFonts w:ascii="Calibri" w:hAnsi="Calibri" w:cs="Arial"/>
              </w:rPr>
            </w:pPr>
            <w:r>
              <w:rPr>
                <w:rFonts w:ascii="Calibri" w:hAnsi="Calibri" w:cs="Arial"/>
              </w:rPr>
              <w:t>OCS</w:t>
            </w:r>
          </w:p>
        </w:tc>
        <w:tc>
          <w:tcPr>
            <w:tcW w:w="7229" w:type="dxa"/>
          </w:tcPr>
          <w:p w:rsidR="00825B25" w:rsidRPr="008128CF" w:rsidRDefault="00825B25" w:rsidP="00BA01DB">
            <w:pPr>
              <w:rPr>
                <w:rFonts w:ascii="Calibri" w:hAnsi="Calibri" w:cs="Arial"/>
              </w:rPr>
            </w:pPr>
            <w:r>
              <w:rPr>
                <w:rFonts w:ascii="Calibri" w:hAnsi="Calibri" w:cs="Arial"/>
              </w:rPr>
              <w:t>Oxford Health Community Services Division – the division of the Trust that provides the community health services mainly provided by CHO</w:t>
            </w:r>
          </w:p>
        </w:tc>
      </w:tr>
      <w:tr w:rsidR="00825B25" w:rsidRPr="00544356" w:rsidTr="00A66D9D">
        <w:tc>
          <w:tcPr>
            <w:tcW w:w="1576" w:type="dxa"/>
          </w:tcPr>
          <w:p w:rsidR="00825B25" w:rsidRDefault="00825B25" w:rsidP="00E96B41">
            <w:pPr>
              <w:rPr>
                <w:rFonts w:ascii="Calibri" w:hAnsi="Calibri" w:cs="Arial"/>
              </w:rPr>
            </w:pPr>
            <w:proofErr w:type="spellStart"/>
            <w:r>
              <w:rPr>
                <w:rFonts w:ascii="Calibri" w:hAnsi="Calibri" w:cs="Arial"/>
              </w:rPr>
              <w:t>Oxtext</w:t>
            </w:r>
            <w:proofErr w:type="spellEnd"/>
            <w:r>
              <w:rPr>
                <w:rFonts w:ascii="Calibri" w:hAnsi="Calibri" w:cs="Arial"/>
              </w:rPr>
              <w:t xml:space="preserve"> 7</w:t>
            </w:r>
          </w:p>
        </w:tc>
        <w:tc>
          <w:tcPr>
            <w:tcW w:w="7229" w:type="dxa"/>
          </w:tcPr>
          <w:p w:rsidR="00825B25" w:rsidRDefault="00825B25" w:rsidP="00057043">
            <w:pPr>
              <w:rPr>
                <w:rFonts w:ascii="Calibri" w:hAnsi="Calibri" w:cs="Arial"/>
              </w:rPr>
            </w:pPr>
            <w:proofErr w:type="spellStart"/>
            <w:r w:rsidRPr="00057043">
              <w:rPr>
                <w:rFonts w:ascii="Calibri" w:hAnsi="Calibri" w:cs="Arial"/>
              </w:rPr>
              <w:t>Oxtext</w:t>
            </w:r>
            <w:proofErr w:type="spellEnd"/>
            <w:r w:rsidRPr="00057043">
              <w:rPr>
                <w:rFonts w:ascii="Calibri" w:hAnsi="Calibri" w:cs="Arial"/>
              </w:rPr>
              <w:t xml:space="preserve"> 7 is a self monitoring system that allows patients with a variety of conditions to take more control over their illness and also allows their care interventions to be tailored to the individual. </w:t>
            </w:r>
          </w:p>
        </w:tc>
      </w:tr>
      <w:tr w:rsidR="00825B25" w:rsidRPr="00544356" w:rsidTr="00A66D9D">
        <w:tc>
          <w:tcPr>
            <w:tcW w:w="1576" w:type="dxa"/>
          </w:tcPr>
          <w:p w:rsidR="00825B25" w:rsidRDefault="00825B25" w:rsidP="009430CF">
            <w:pPr>
              <w:rPr>
                <w:rFonts w:ascii="Calibri" w:hAnsi="Calibri" w:cs="Arial"/>
              </w:rPr>
            </w:pPr>
            <w:proofErr w:type="spellStart"/>
            <w:r>
              <w:rPr>
                <w:rFonts w:ascii="Calibri" w:hAnsi="Calibri" w:cs="Arial"/>
              </w:rPr>
              <w:t>PbR</w:t>
            </w:r>
            <w:proofErr w:type="spellEnd"/>
          </w:p>
        </w:tc>
        <w:tc>
          <w:tcPr>
            <w:tcW w:w="7229" w:type="dxa"/>
          </w:tcPr>
          <w:p w:rsidR="00825B25" w:rsidRDefault="00825B25" w:rsidP="009430CF">
            <w:pPr>
              <w:rPr>
                <w:rFonts w:ascii="Calibri" w:hAnsi="Calibri" w:cs="Arial"/>
              </w:rPr>
            </w:pPr>
            <w:r w:rsidRPr="009430CF">
              <w:rPr>
                <w:rFonts w:ascii="Calibri" w:hAnsi="Calibri" w:cs="Arial"/>
              </w:rPr>
              <w:t>Payment by Results (</w:t>
            </w:r>
            <w:proofErr w:type="spellStart"/>
            <w:r w:rsidRPr="009430CF">
              <w:rPr>
                <w:rFonts w:ascii="Calibri" w:hAnsi="Calibri" w:cs="Arial"/>
              </w:rPr>
              <w:t>PbR</w:t>
            </w:r>
            <w:proofErr w:type="spellEnd"/>
            <w:r w:rsidRPr="009430CF">
              <w:rPr>
                <w:rFonts w:ascii="Calibri" w:hAnsi="Calibri" w:cs="Arial"/>
              </w:rPr>
              <w:t xml:space="preserve">) aims to provide a transparent, rules-based system for paying trusts, rewarding efficiency, supporting patient choice and diversity and encouraging activity for sustainable waiting time reductions. </w:t>
            </w:r>
          </w:p>
        </w:tc>
      </w:tr>
      <w:tr w:rsidR="00825B25" w:rsidRPr="00544356" w:rsidTr="00A66D9D">
        <w:tc>
          <w:tcPr>
            <w:tcW w:w="1576" w:type="dxa"/>
          </w:tcPr>
          <w:p w:rsidR="00825B25" w:rsidRDefault="00825B25" w:rsidP="009430CF">
            <w:pPr>
              <w:rPr>
                <w:rFonts w:ascii="Calibri" w:hAnsi="Calibri" w:cs="Arial"/>
              </w:rPr>
            </w:pPr>
            <w:r>
              <w:rPr>
                <w:rFonts w:ascii="Calibri" w:hAnsi="Calibri" w:cs="Arial"/>
              </w:rPr>
              <w:t>PYLL</w:t>
            </w:r>
          </w:p>
        </w:tc>
        <w:tc>
          <w:tcPr>
            <w:tcW w:w="7229" w:type="dxa"/>
          </w:tcPr>
          <w:p w:rsidR="00825B25" w:rsidRPr="009430CF" w:rsidRDefault="00825B25" w:rsidP="009430CF">
            <w:pPr>
              <w:rPr>
                <w:rFonts w:ascii="Calibri" w:hAnsi="Calibri" w:cs="Arial"/>
              </w:rPr>
            </w:pPr>
            <w:r>
              <w:rPr>
                <w:rFonts w:ascii="Calibri" w:hAnsi="Calibri" w:cs="Arial"/>
              </w:rPr>
              <w:t>Potential years of life lost</w:t>
            </w:r>
          </w:p>
        </w:tc>
      </w:tr>
      <w:tr w:rsidR="00825B25" w:rsidRPr="00544356" w:rsidTr="00A66D9D">
        <w:tc>
          <w:tcPr>
            <w:tcW w:w="1576" w:type="dxa"/>
          </w:tcPr>
          <w:p w:rsidR="00825B25" w:rsidRPr="008128CF" w:rsidRDefault="00825B25" w:rsidP="00513CE6">
            <w:pPr>
              <w:rPr>
                <w:rFonts w:ascii="Calibri" w:hAnsi="Calibri" w:cs="Arial"/>
              </w:rPr>
            </w:pPr>
            <w:r w:rsidRPr="008128CF">
              <w:rPr>
                <w:rFonts w:ascii="Calibri" w:hAnsi="Calibri" w:cs="Arial"/>
              </w:rPr>
              <w:t>QRP</w:t>
            </w:r>
          </w:p>
        </w:tc>
        <w:tc>
          <w:tcPr>
            <w:tcW w:w="7229" w:type="dxa"/>
          </w:tcPr>
          <w:p w:rsidR="00825B25" w:rsidRPr="008128CF" w:rsidRDefault="00825B25" w:rsidP="00513CE6">
            <w:pPr>
              <w:rPr>
                <w:rFonts w:ascii="Calibri" w:hAnsi="Calibri" w:cs="Arial"/>
              </w:rPr>
            </w:pPr>
            <w:r w:rsidRPr="008128CF">
              <w:rPr>
                <w:rFonts w:ascii="Calibri" w:hAnsi="Calibri" w:cs="Arial"/>
              </w:rPr>
              <w:t>The Quality Risk Profile is a monthly compilation by the CQC of all the evidence about a trust they have in order to judge the level of risk that the trust carries in order to fulfil its obligations of care.  It is not a publically available document</w:t>
            </w:r>
          </w:p>
        </w:tc>
      </w:tr>
      <w:tr w:rsidR="00825B25" w:rsidRPr="00544356" w:rsidTr="00A66D9D">
        <w:tc>
          <w:tcPr>
            <w:tcW w:w="1576" w:type="dxa"/>
          </w:tcPr>
          <w:p w:rsidR="00825B25" w:rsidRPr="00E66CF4" w:rsidRDefault="00825B25" w:rsidP="00E96B41">
            <w:pPr>
              <w:rPr>
                <w:rFonts w:ascii="Calibri" w:hAnsi="Calibri" w:cs="Arial"/>
              </w:rPr>
            </w:pPr>
            <w:r w:rsidRPr="00E66CF4">
              <w:rPr>
                <w:rFonts w:ascii="Calibri" w:hAnsi="Calibri" w:cs="Arial"/>
              </w:rPr>
              <w:t>PCT</w:t>
            </w:r>
          </w:p>
        </w:tc>
        <w:tc>
          <w:tcPr>
            <w:tcW w:w="7229" w:type="dxa"/>
          </w:tcPr>
          <w:p w:rsidR="00825B25" w:rsidRPr="00E66CF4" w:rsidRDefault="00825B25" w:rsidP="00E66CF4">
            <w:pPr>
              <w:rPr>
                <w:rFonts w:ascii="Calibri" w:hAnsi="Calibri" w:cs="Arial"/>
              </w:rPr>
            </w:pPr>
            <w:r w:rsidRPr="00E66CF4">
              <w:rPr>
                <w:rFonts w:ascii="Calibri" w:hAnsi="Calibri" w:cs="Arial"/>
              </w:rPr>
              <w:t>The Primary Care Trusts</w:t>
            </w:r>
            <w:r>
              <w:rPr>
                <w:rFonts w:ascii="Calibri" w:hAnsi="Calibri" w:cs="Arial"/>
              </w:rPr>
              <w:t xml:space="preserve"> (PCTs)</w:t>
            </w:r>
            <w:r w:rsidRPr="00E66CF4">
              <w:rPr>
                <w:rFonts w:ascii="Calibri" w:hAnsi="Calibri" w:cs="Arial"/>
              </w:rPr>
              <w:t xml:space="preserve"> oversee the operations of providers of NHS care in a particular geographic location.  The PCTs responsible for Oxford Health NHS Foundation Trust are principally NHS Oxford and NHS Buckinghamshire</w:t>
            </w:r>
          </w:p>
        </w:tc>
      </w:tr>
      <w:tr w:rsidR="00825B25" w:rsidRPr="00544356" w:rsidTr="00A66D9D">
        <w:tc>
          <w:tcPr>
            <w:tcW w:w="1576" w:type="dxa"/>
          </w:tcPr>
          <w:p w:rsidR="00825B25" w:rsidRPr="00E66CF4" w:rsidRDefault="00825B25" w:rsidP="00513CE6">
            <w:pPr>
              <w:rPr>
                <w:rFonts w:ascii="Calibri" w:hAnsi="Calibri" w:cs="Arial"/>
              </w:rPr>
            </w:pPr>
            <w:r w:rsidRPr="00E66CF4">
              <w:rPr>
                <w:rFonts w:ascii="Calibri" w:hAnsi="Calibri" w:cs="Arial"/>
              </w:rPr>
              <w:t xml:space="preserve">PEAT </w:t>
            </w:r>
            <w:r w:rsidRPr="00E66CF4">
              <w:rPr>
                <w:rFonts w:ascii="Calibri" w:hAnsi="Calibri" w:cs="Arial"/>
              </w:rPr>
              <w:lastRenderedPageBreak/>
              <w:t>assessments</w:t>
            </w:r>
          </w:p>
        </w:tc>
        <w:tc>
          <w:tcPr>
            <w:tcW w:w="7229" w:type="dxa"/>
          </w:tcPr>
          <w:p w:rsidR="00825B25" w:rsidRPr="00E66CF4" w:rsidRDefault="00825B25" w:rsidP="00513CE6">
            <w:pPr>
              <w:rPr>
                <w:rFonts w:ascii="Calibri" w:hAnsi="Calibri" w:cs="Arial"/>
              </w:rPr>
            </w:pPr>
            <w:r w:rsidRPr="00E66CF4">
              <w:rPr>
                <w:rFonts w:ascii="Calibri" w:hAnsi="Calibri" w:cs="Arial"/>
              </w:rPr>
              <w:lastRenderedPageBreak/>
              <w:t xml:space="preserve">Patient Environmental Action Team assessments are evaluations </w:t>
            </w:r>
            <w:r w:rsidRPr="00E66CF4">
              <w:rPr>
                <w:rFonts w:ascii="Calibri" w:hAnsi="Calibri" w:cs="Arial"/>
              </w:rPr>
              <w:lastRenderedPageBreak/>
              <w:t>carried out by the NPSA into the quality of the environment, nutrition, privacy and dignity in every inpatient location</w:t>
            </w:r>
          </w:p>
        </w:tc>
      </w:tr>
      <w:tr w:rsidR="00825B25" w:rsidRPr="00544356" w:rsidTr="00A66D9D">
        <w:tc>
          <w:tcPr>
            <w:tcW w:w="1576" w:type="dxa"/>
          </w:tcPr>
          <w:p w:rsidR="00825B25" w:rsidRPr="00815136" w:rsidRDefault="00825B25" w:rsidP="00513CE6">
            <w:pPr>
              <w:rPr>
                <w:rFonts w:ascii="Calibri" w:hAnsi="Calibri" w:cs="Arial"/>
              </w:rPr>
            </w:pPr>
            <w:r w:rsidRPr="00815136">
              <w:rPr>
                <w:rFonts w:ascii="Calibri" w:hAnsi="Calibri" w:cs="Arial"/>
              </w:rPr>
              <w:lastRenderedPageBreak/>
              <w:t>PICU</w:t>
            </w:r>
          </w:p>
        </w:tc>
        <w:tc>
          <w:tcPr>
            <w:tcW w:w="7229" w:type="dxa"/>
          </w:tcPr>
          <w:p w:rsidR="00825B25" w:rsidRPr="00815136" w:rsidRDefault="00825B25" w:rsidP="00513CE6">
            <w:pPr>
              <w:rPr>
                <w:rFonts w:ascii="Calibri" w:hAnsi="Calibri" w:cs="Arial"/>
              </w:rPr>
            </w:pPr>
            <w:r w:rsidRPr="00815136">
              <w:rPr>
                <w:rFonts w:ascii="Calibri" w:hAnsi="Calibri" w:cs="Arial"/>
              </w:rPr>
              <w:t>Psychiatric Intensive Care Unit</w:t>
            </w:r>
          </w:p>
        </w:tc>
      </w:tr>
      <w:tr w:rsidR="00825B25" w:rsidRPr="00544356" w:rsidTr="00A66D9D">
        <w:tc>
          <w:tcPr>
            <w:tcW w:w="1576" w:type="dxa"/>
          </w:tcPr>
          <w:p w:rsidR="00825B25" w:rsidRPr="00B25833" w:rsidRDefault="00825B25" w:rsidP="00B25833">
            <w:pPr>
              <w:rPr>
                <w:rFonts w:ascii="Calibri" w:hAnsi="Calibri" w:cs="Arial"/>
              </w:rPr>
            </w:pPr>
            <w:r w:rsidRPr="00B25833">
              <w:rPr>
                <w:rFonts w:ascii="Calibri" w:hAnsi="Calibri" w:cs="Arial"/>
              </w:rPr>
              <w:t>PMVA</w:t>
            </w:r>
          </w:p>
        </w:tc>
        <w:tc>
          <w:tcPr>
            <w:tcW w:w="7229" w:type="dxa"/>
          </w:tcPr>
          <w:p w:rsidR="00825B25" w:rsidRPr="00B25833" w:rsidRDefault="00825B25" w:rsidP="00AA49B8">
            <w:pPr>
              <w:rPr>
                <w:rFonts w:ascii="Calibri" w:hAnsi="Calibri" w:cs="Arial"/>
              </w:rPr>
            </w:pPr>
            <w:r w:rsidRPr="00B25833">
              <w:rPr>
                <w:rFonts w:ascii="Calibri" w:hAnsi="Calibri" w:cs="Arial"/>
              </w:rPr>
              <w:t xml:space="preserve">Prevention and </w:t>
            </w:r>
            <w:r>
              <w:rPr>
                <w:rFonts w:ascii="Calibri" w:hAnsi="Calibri" w:cs="Arial"/>
              </w:rPr>
              <w:t>M</w:t>
            </w:r>
            <w:r w:rsidRPr="00B25833">
              <w:rPr>
                <w:rFonts w:ascii="Calibri" w:hAnsi="Calibri" w:cs="Arial"/>
              </w:rPr>
              <w:t xml:space="preserve">anagement of </w:t>
            </w:r>
            <w:r>
              <w:rPr>
                <w:rFonts w:ascii="Calibri" w:hAnsi="Calibri" w:cs="Arial"/>
              </w:rPr>
              <w:t>V</w:t>
            </w:r>
            <w:r w:rsidRPr="00B25833">
              <w:rPr>
                <w:rFonts w:ascii="Calibri" w:hAnsi="Calibri" w:cs="Arial"/>
              </w:rPr>
              <w:t xml:space="preserve">iolence and </w:t>
            </w:r>
            <w:r>
              <w:rPr>
                <w:rFonts w:ascii="Calibri" w:hAnsi="Calibri" w:cs="Arial"/>
              </w:rPr>
              <w:t>A</w:t>
            </w:r>
            <w:r w:rsidRPr="00B25833">
              <w:rPr>
                <w:rFonts w:ascii="Calibri" w:hAnsi="Calibri" w:cs="Arial"/>
              </w:rPr>
              <w:t xml:space="preserve">ggression </w:t>
            </w:r>
            <w:r>
              <w:rPr>
                <w:rFonts w:ascii="Calibri" w:hAnsi="Calibri" w:cs="Arial"/>
              </w:rPr>
              <w:t>is a series of</w:t>
            </w:r>
            <w:r w:rsidRPr="00B25833">
              <w:rPr>
                <w:rFonts w:ascii="Calibri" w:hAnsi="Calibri" w:cs="Arial"/>
              </w:rPr>
              <w:t xml:space="preserve"> methods of dealing with violent and aggressive patients and service users</w:t>
            </w:r>
          </w:p>
        </w:tc>
      </w:tr>
      <w:tr w:rsidR="00825B25" w:rsidRPr="00544356" w:rsidTr="00A66D9D">
        <w:tc>
          <w:tcPr>
            <w:tcW w:w="1576" w:type="dxa"/>
          </w:tcPr>
          <w:p w:rsidR="00825B25" w:rsidRPr="00B25833" w:rsidRDefault="00825B25" w:rsidP="008B4C0F">
            <w:pPr>
              <w:rPr>
                <w:rFonts w:ascii="Calibri" w:hAnsi="Calibri" w:cs="Arial"/>
              </w:rPr>
            </w:pPr>
            <w:r>
              <w:rPr>
                <w:rFonts w:ascii="Calibri" w:hAnsi="Calibri" w:cs="Arial"/>
              </w:rPr>
              <w:t>PROMs</w:t>
            </w:r>
          </w:p>
        </w:tc>
        <w:tc>
          <w:tcPr>
            <w:tcW w:w="7229" w:type="dxa"/>
          </w:tcPr>
          <w:p w:rsidR="00825B25" w:rsidRPr="00B25833" w:rsidRDefault="00825B25" w:rsidP="008B4C0F">
            <w:pPr>
              <w:rPr>
                <w:rFonts w:ascii="Calibri" w:hAnsi="Calibri" w:cs="Arial"/>
              </w:rPr>
            </w:pPr>
            <w:r>
              <w:rPr>
                <w:rFonts w:ascii="Calibri" w:hAnsi="Calibri" w:cs="Arial"/>
              </w:rPr>
              <w:t xml:space="preserve">Patient Reported Outcome Measures are </w:t>
            </w:r>
            <w:r w:rsidRPr="008B4C0F">
              <w:rPr>
                <w:rFonts w:ascii="Calibri" w:hAnsi="Calibri" w:cs="Arial"/>
              </w:rPr>
              <w:t>measures of a patient</w:t>
            </w:r>
            <w:r>
              <w:rPr>
                <w:rFonts w:ascii="Calibri" w:hAnsi="Calibri" w:cs="Arial"/>
              </w:rPr>
              <w:t>/service user</w:t>
            </w:r>
            <w:r w:rsidRPr="008B4C0F">
              <w:rPr>
                <w:rFonts w:ascii="Calibri" w:hAnsi="Calibri" w:cs="Arial"/>
              </w:rPr>
              <w:t xml:space="preserve">'s health status or health-related quality of life. They are typically short, self-completed questionnaires, which measure the </w:t>
            </w:r>
            <w:r>
              <w:rPr>
                <w:rFonts w:ascii="Calibri" w:hAnsi="Calibri" w:cs="Arial"/>
              </w:rPr>
              <w:t xml:space="preserve">person’s </w:t>
            </w:r>
            <w:r w:rsidRPr="008B4C0F">
              <w:rPr>
                <w:rFonts w:ascii="Calibri" w:hAnsi="Calibri" w:cs="Arial"/>
              </w:rPr>
              <w:t>health status or health related quality of life at a single point in time.</w:t>
            </w:r>
          </w:p>
        </w:tc>
      </w:tr>
      <w:tr w:rsidR="00825B25" w:rsidRPr="00544356" w:rsidTr="00A66D9D">
        <w:tc>
          <w:tcPr>
            <w:tcW w:w="1576" w:type="dxa"/>
          </w:tcPr>
          <w:p w:rsidR="00825B25" w:rsidRPr="00B25833" w:rsidRDefault="00825B25" w:rsidP="00D97900">
            <w:pPr>
              <w:rPr>
                <w:rFonts w:ascii="Calibri" w:hAnsi="Calibri" w:cs="Arial"/>
              </w:rPr>
            </w:pPr>
            <w:r>
              <w:rPr>
                <w:rFonts w:ascii="Calibri" w:hAnsi="Calibri" w:cs="Arial"/>
              </w:rPr>
              <w:t>QIP</w:t>
            </w:r>
            <w:r w:rsidR="007B28AE">
              <w:rPr>
                <w:rFonts w:ascii="Calibri" w:hAnsi="Calibri" w:cs="Arial"/>
              </w:rPr>
              <w:t>P</w:t>
            </w:r>
          </w:p>
        </w:tc>
        <w:tc>
          <w:tcPr>
            <w:tcW w:w="7229" w:type="dxa"/>
          </w:tcPr>
          <w:p w:rsidR="00825B25" w:rsidRPr="002B7E2A" w:rsidRDefault="00825B25" w:rsidP="007B28AE">
            <w:pPr>
              <w:rPr>
                <w:rFonts w:ascii="Calibri" w:hAnsi="Calibri" w:cs="Arial"/>
              </w:rPr>
            </w:pPr>
            <w:r w:rsidRPr="002B7E2A">
              <w:rPr>
                <w:rFonts w:ascii="Calibri" w:hAnsi="Calibri" w:cs="Arial"/>
              </w:rPr>
              <w:t>The Quality, Innovation, Productivity and Prevention (QIPP</w:t>
            </w:r>
            <w:r w:rsidR="007B28AE">
              <w:rPr>
                <w:rFonts w:ascii="Calibri" w:hAnsi="Calibri" w:cs="Arial"/>
              </w:rPr>
              <w:t xml:space="preserve"> or sometimes QUIPP or QUIP</w:t>
            </w:r>
            <w:r w:rsidRPr="002B7E2A">
              <w:rPr>
                <w:rFonts w:ascii="Calibri" w:hAnsi="Calibri" w:cs="Arial"/>
              </w:rPr>
              <w:t xml:space="preserve">) is </w:t>
            </w:r>
            <w:r>
              <w:rPr>
                <w:rFonts w:ascii="Calibri" w:hAnsi="Calibri" w:cs="Arial"/>
              </w:rPr>
              <w:t xml:space="preserve">a </w:t>
            </w:r>
            <w:r w:rsidRPr="002B7E2A">
              <w:rPr>
                <w:rFonts w:ascii="Calibri" w:hAnsi="Calibri" w:cs="Arial"/>
              </w:rPr>
              <w:t>collection</w:t>
            </w:r>
            <w:r>
              <w:rPr>
                <w:rFonts w:ascii="Calibri" w:hAnsi="Calibri" w:cs="Arial"/>
              </w:rPr>
              <w:t xml:space="preserve"> of methods, techniques and best practice provided by the NHS</w:t>
            </w:r>
            <w:r w:rsidRPr="002B7E2A">
              <w:rPr>
                <w:rFonts w:ascii="Calibri" w:hAnsi="Calibri" w:cs="Arial"/>
              </w:rPr>
              <w:t xml:space="preserve"> intended to be a resource for everyone in the NHS, public health and social care for making decisions about patient care or the use of resources.</w:t>
            </w:r>
          </w:p>
        </w:tc>
      </w:tr>
      <w:tr w:rsidR="00825B25" w:rsidRPr="00544356" w:rsidTr="00A66D9D">
        <w:tc>
          <w:tcPr>
            <w:tcW w:w="1576" w:type="dxa"/>
          </w:tcPr>
          <w:p w:rsidR="00825B25" w:rsidRPr="001958E8" w:rsidRDefault="00825B25" w:rsidP="00E96B41">
            <w:pPr>
              <w:rPr>
                <w:rFonts w:ascii="Calibri" w:hAnsi="Calibri" w:cs="Arial"/>
              </w:rPr>
            </w:pPr>
            <w:r w:rsidRPr="001958E8">
              <w:rPr>
                <w:rFonts w:ascii="Calibri" w:hAnsi="Calibri" w:cs="Arial"/>
              </w:rPr>
              <w:t>RiO</w:t>
            </w:r>
          </w:p>
        </w:tc>
        <w:tc>
          <w:tcPr>
            <w:tcW w:w="7229" w:type="dxa"/>
          </w:tcPr>
          <w:p w:rsidR="00825B25" w:rsidRPr="001958E8" w:rsidRDefault="00825B25" w:rsidP="00E96B41">
            <w:pPr>
              <w:rPr>
                <w:rFonts w:ascii="Calibri" w:hAnsi="Calibri" w:cs="Arial"/>
              </w:rPr>
            </w:pPr>
            <w:r>
              <w:rPr>
                <w:rFonts w:ascii="Calibri" w:hAnsi="Calibri" w:cs="Arial"/>
              </w:rPr>
              <w:t>This is the name of the electronic system for recording service user care notes and related information within Oxford Health NHS Foundation Trust.  It is being implemented across all of the Trust’s areas of operation.</w:t>
            </w:r>
          </w:p>
        </w:tc>
      </w:tr>
      <w:tr w:rsidR="00825B25" w:rsidRPr="00544356" w:rsidTr="00A66D9D">
        <w:tc>
          <w:tcPr>
            <w:tcW w:w="1576" w:type="dxa"/>
          </w:tcPr>
          <w:p w:rsidR="00825B25" w:rsidRPr="001958E8" w:rsidRDefault="00825B25" w:rsidP="00E96B41">
            <w:pPr>
              <w:rPr>
                <w:rFonts w:ascii="Calibri" w:hAnsi="Calibri" w:cs="Arial"/>
              </w:rPr>
            </w:pPr>
            <w:r>
              <w:rPr>
                <w:rFonts w:ascii="Calibri" w:hAnsi="Calibri" w:cs="Arial"/>
              </w:rPr>
              <w:t>ROM</w:t>
            </w:r>
          </w:p>
        </w:tc>
        <w:tc>
          <w:tcPr>
            <w:tcW w:w="7229" w:type="dxa"/>
          </w:tcPr>
          <w:p w:rsidR="00825B25" w:rsidRDefault="00825B25" w:rsidP="00E96B41">
            <w:pPr>
              <w:rPr>
                <w:rFonts w:ascii="Calibri" w:hAnsi="Calibri" w:cs="Arial"/>
              </w:rPr>
            </w:pPr>
            <w:r>
              <w:rPr>
                <w:rFonts w:ascii="Calibri" w:hAnsi="Calibri" w:cs="Arial"/>
              </w:rPr>
              <w:t>Routine Outcome Measures</w:t>
            </w:r>
          </w:p>
        </w:tc>
      </w:tr>
      <w:tr w:rsidR="00825B25" w:rsidRPr="00544356" w:rsidTr="00A66D9D">
        <w:tc>
          <w:tcPr>
            <w:tcW w:w="1576" w:type="dxa"/>
          </w:tcPr>
          <w:p w:rsidR="00825B25" w:rsidRDefault="00825B25" w:rsidP="00E96B41">
            <w:pPr>
              <w:rPr>
                <w:rFonts w:ascii="Calibri" w:hAnsi="Calibri" w:cs="Arial"/>
              </w:rPr>
            </w:pPr>
            <w:r>
              <w:rPr>
                <w:rFonts w:ascii="Calibri" w:hAnsi="Calibri" w:cs="Arial"/>
              </w:rPr>
              <w:t>Safety Thermometer</w:t>
            </w:r>
          </w:p>
        </w:tc>
        <w:tc>
          <w:tcPr>
            <w:tcW w:w="7229" w:type="dxa"/>
          </w:tcPr>
          <w:p w:rsidR="00825B25" w:rsidRDefault="00825B25" w:rsidP="00E96B41">
            <w:pPr>
              <w:rPr>
                <w:rFonts w:ascii="Calibri" w:hAnsi="Calibri" w:cs="Arial"/>
              </w:rPr>
            </w:pPr>
            <w:r w:rsidRPr="00BA401D">
              <w:rPr>
                <w:rFonts w:ascii="Calibri" w:hAnsi="Calibri" w:cs="Arial"/>
              </w:rPr>
              <w:t>The NHS Safety Thermometer is a local improvement tool for measuring, monitoring and analysing patient harms and harm free care</w:t>
            </w:r>
          </w:p>
        </w:tc>
      </w:tr>
      <w:tr w:rsidR="00825B25" w:rsidRPr="00544356" w:rsidTr="00A66D9D">
        <w:tc>
          <w:tcPr>
            <w:tcW w:w="1576" w:type="dxa"/>
          </w:tcPr>
          <w:p w:rsidR="00825B25" w:rsidRPr="00393D0C" w:rsidRDefault="00825B25" w:rsidP="00BA01DB">
            <w:pPr>
              <w:rPr>
                <w:rFonts w:ascii="Calibri" w:hAnsi="Calibri" w:cs="Arial"/>
              </w:rPr>
            </w:pPr>
            <w:r w:rsidRPr="00393D0C">
              <w:rPr>
                <w:rFonts w:ascii="Calibri" w:hAnsi="Calibri" w:cs="Arial"/>
              </w:rPr>
              <w:t>SBARD</w:t>
            </w:r>
          </w:p>
        </w:tc>
        <w:tc>
          <w:tcPr>
            <w:tcW w:w="7229" w:type="dxa"/>
          </w:tcPr>
          <w:p w:rsidR="00825B25" w:rsidRPr="00393D0C" w:rsidRDefault="00825B25" w:rsidP="00393D0C">
            <w:pPr>
              <w:rPr>
                <w:rFonts w:ascii="Calibri" w:hAnsi="Calibri" w:cs="Arial"/>
              </w:rPr>
            </w:pPr>
            <w:r w:rsidRPr="00393D0C">
              <w:rPr>
                <w:rFonts w:ascii="Calibri" w:hAnsi="Calibri" w:cs="Arial"/>
              </w:rPr>
              <w:t>Situation, Background</w:t>
            </w:r>
            <w:r>
              <w:rPr>
                <w:rFonts w:ascii="Calibri" w:hAnsi="Calibri" w:cs="Arial"/>
              </w:rPr>
              <w:t>,</w:t>
            </w:r>
            <w:r w:rsidRPr="00393D0C">
              <w:rPr>
                <w:rFonts w:ascii="Calibri" w:hAnsi="Calibri" w:cs="Arial"/>
              </w:rPr>
              <w:t xml:space="preserve"> Assessmen</w:t>
            </w:r>
            <w:r>
              <w:rPr>
                <w:rFonts w:ascii="Calibri" w:hAnsi="Calibri" w:cs="Arial"/>
              </w:rPr>
              <w:t>t</w:t>
            </w:r>
            <w:r w:rsidRPr="00393D0C">
              <w:rPr>
                <w:rFonts w:ascii="Calibri" w:hAnsi="Calibri" w:cs="Arial"/>
              </w:rPr>
              <w:t>, Recommendation and Decision</w:t>
            </w:r>
            <w:r>
              <w:rPr>
                <w:rFonts w:ascii="Calibri" w:hAnsi="Calibri" w:cs="Arial"/>
              </w:rPr>
              <w:t xml:space="preserve"> (</w:t>
            </w:r>
            <w:r w:rsidRPr="00393D0C">
              <w:rPr>
                <w:rFonts w:ascii="Calibri" w:hAnsi="Calibri" w:cs="Arial"/>
              </w:rPr>
              <w:t>SBARD</w:t>
            </w:r>
            <w:r>
              <w:rPr>
                <w:rFonts w:ascii="Calibri" w:hAnsi="Calibri" w:cs="Arial"/>
              </w:rPr>
              <w:t>)</w:t>
            </w:r>
            <w:r w:rsidRPr="00393D0C">
              <w:rPr>
                <w:rFonts w:ascii="Calibri" w:hAnsi="Calibri" w:cs="Arial"/>
              </w:rPr>
              <w:t xml:space="preserve"> is a communication tool to assist staff in succinct and focused relaying of information </w:t>
            </w:r>
          </w:p>
        </w:tc>
      </w:tr>
      <w:tr w:rsidR="00825B25" w:rsidRPr="00544356" w:rsidTr="00A66D9D">
        <w:tc>
          <w:tcPr>
            <w:tcW w:w="1576" w:type="dxa"/>
          </w:tcPr>
          <w:p w:rsidR="00825B25" w:rsidRPr="00B504DF" w:rsidRDefault="00825B25" w:rsidP="00815136">
            <w:pPr>
              <w:rPr>
                <w:rFonts w:ascii="Calibri" w:hAnsi="Calibri" w:cs="Arial"/>
              </w:rPr>
            </w:pPr>
            <w:r>
              <w:rPr>
                <w:rFonts w:ascii="Calibri" w:hAnsi="Calibri" w:cs="Arial"/>
              </w:rPr>
              <w:t>SPOC</w:t>
            </w:r>
          </w:p>
        </w:tc>
        <w:tc>
          <w:tcPr>
            <w:tcW w:w="7229" w:type="dxa"/>
          </w:tcPr>
          <w:p w:rsidR="00825B25" w:rsidRPr="00544356" w:rsidRDefault="00825B25" w:rsidP="00944C8C">
            <w:pPr>
              <w:rPr>
                <w:rFonts w:ascii="Calibri" w:hAnsi="Calibri" w:cs="Arial"/>
                <w:color w:val="0070C0"/>
              </w:rPr>
            </w:pPr>
            <w:r>
              <w:rPr>
                <w:rFonts w:ascii="Calibri" w:hAnsi="Calibri" w:cs="Arial"/>
              </w:rPr>
              <w:t>Single Point of Contact is the new Department of Health initiative to offer the public a phone-based health line by dialling 111</w:t>
            </w:r>
          </w:p>
        </w:tc>
      </w:tr>
      <w:tr w:rsidR="00825B25" w:rsidRPr="00544356" w:rsidTr="00A66D9D">
        <w:tc>
          <w:tcPr>
            <w:tcW w:w="1576" w:type="dxa"/>
          </w:tcPr>
          <w:p w:rsidR="00825B25" w:rsidRPr="00E66CF4" w:rsidRDefault="00825B25" w:rsidP="00513CE6">
            <w:pPr>
              <w:rPr>
                <w:rFonts w:ascii="Calibri" w:hAnsi="Calibri" w:cs="Arial"/>
              </w:rPr>
            </w:pPr>
            <w:r w:rsidRPr="00E66CF4">
              <w:rPr>
                <w:rFonts w:ascii="Calibri" w:hAnsi="Calibri" w:cs="Arial"/>
              </w:rPr>
              <w:t>VTE</w:t>
            </w:r>
          </w:p>
        </w:tc>
        <w:tc>
          <w:tcPr>
            <w:tcW w:w="7229" w:type="dxa"/>
          </w:tcPr>
          <w:p w:rsidR="00825B25" w:rsidRPr="00E66CF4" w:rsidRDefault="00825B25" w:rsidP="00E66CF4">
            <w:pPr>
              <w:rPr>
                <w:rFonts w:ascii="Calibri" w:hAnsi="Calibri" w:cs="Arial"/>
              </w:rPr>
            </w:pPr>
            <w:r w:rsidRPr="00E66CF4">
              <w:rPr>
                <w:rFonts w:ascii="Calibri" w:hAnsi="Calibri" w:cs="Arial"/>
              </w:rPr>
              <w:t>Venous thromboembolism is a potentially fatal condition caused when a blood clot (thrombus) forms in a vein.  In certain circumstances it is known as Deep Vein Thrombosis</w:t>
            </w:r>
          </w:p>
        </w:tc>
      </w:tr>
    </w:tbl>
    <w:p w:rsidR="00E96B41" w:rsidRPr="00544356" w:rsidRDefault="00E96B41" w:rsidP="004A026F">
      <w:pPr>
        <w:pStyle w:val="Style2"/>
      </w:pPr>
    </w:p>
    <w:p w:rsidR="00E96B41" w:rsidRPr="00544356" w:rsidRDefault="00E96B41">
      <w:pPr>
        <w:rPr>
          <w:rFonts w:ascii="Calibri" w:hAnsi="Calibri"/>
          <w:b/>
          <w:bCs/>
          <w:color w:val="0070C0"/>
        </w:rPr>
      </w:pPr>
      <w:r w:rsidRPr="00544356">
        <w:rPr>
          <w:color w:val="0070C0"/>
        </w:rPr>
        <w:br w:type="page"/>
      </w:r>
    </w:p>
    <w:p w:rsidR="00B57559" w:rsidRPr="00FA2D48" w:rsidRDefault="00B57559" w:rsidP="00B57559">
      <w:pPr>
        <w:pStyle w:val="Heading1"/>
      </w:pPr>
    </w:p>
    <w:tbl>
      <w:tblPr>
        <w:tblStyle w:val="TableGrid"/>
        <w:tblW w:w="0" w:type="auto"/>
        <w:tblBorders>
          <w:top w:val="single" w:sz="4" w:space="0" w:color="0070C0"/>
          <w:left w:val="none" w:sz="0" w:space="0" w:color="auto"/>
          <w:bottom w:val="double" w:sz="4" w:space="0" w:color="0070C0"/>
          <w:right w:val="none" w:sz="0" w:space="0" w:color="auto"/>
          <w:insideH w:val="none" w:sz="0" w:space="0" w:color="auto"/>
          <w:insideV w:val="none" w:sz="0" w:space="0" w:color="auto"/>
        </w:tblBorders>
        <w:tblLook w:val="04A0"/>
      </w:tblPr>
      <w:tblGrid>
        <w:gridCol w:w="9242"/>
      </w:tblGrid>
      <w:tr w:rsidR="00B57559" w:rsidTr="001A66FE">
        <w:tc>
          <w:tcPr>
            <w:tcW w:w="9242" w:type="dxa"/>
          </w:tcPr>
          <w:p w:rsidR="00B57559" w:rsidRPr="004A026F" w:rsidRDefault="00B57559" w:rsidP="00ED063D">
            <w:pPr>
              <w:pStyle w:val="Heading1"/>
              <w:rPr>
                <w:rFonts w:ascii="Calibri" w:hAnsi="Calibri"/>
                <w:u w:val="single"/>
              </w:rPr>
            </w:pPr>
            <w:bookmarkStart w:id="39" w:name="_Toc323284017"/>
            <w:r w:rsidRPr="00544356">
              <w:t xml:space="preserve">Annex </w:t>
            </w:r>
            <w:r w:rsidR="00ED063D">
              <w:t>6</w:t>
            </w:r>
            <w:r w:rsidRPr="00544356">
              <w:t>.  How to Contact Us</w:t>
            </w:r>
            <w:bookmarkEnd w:id="39"/>
          </w:p>
        </w:tc>
      </w:tr>
      <w:bookmarkEnd w:id="35"/>
    </w:tbl>
    <w:p w:rsidR="001A66FE" w:rsidRDefault="001A66FE" w:rsidP="001A66FE">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242"/>
      </w:tblGrid>
      <w:tr w:rsidR="001A66FE" w:rsidTr="001A66FE">
        <w:tc>
          <w:tcPr>
            <w:tcW w:w="9689" w:type="dxa"/>
            <w:shd w:val="clear" w:color="auto" w:fill="0070C0"/>
          </w:tcPr>
          <w:p w:rsidR="001A66FE" w:rsidRPr="0026092C" w:rsidRDefault="001A66FE" w:rsidP="001A66FE">
            <w:pPr>
              <w:pStyle w:val="Heading2"/>
            </w:pPr>
            <w:bookmarkStart w:id="40" w:name="_Toc323284018"/>
            <w:r>
              <w:t>About this report</w:t>
            </w:r>
            <w:bookmarkEnd w:id="40"/>
          </w:p>
        </w:tc>
      </w:tr>
    </w:tbl>
    <w:p w:rsidR="001A66FE" w:rsidRDefault="001A66FE" w:rsidP="001A66FE">
      <w:pPr>
        <w:rPr>
          <w:rFonts w:ascii="Calibri" w:hAnsi="Calibri" w:cs="Arial"/>
          <w:b/>
          <w:sz w:val="22"/>
          <w:szCs w:val="22"/>
          <w:u w:val="single"/>
        </w:rPr>
      </w:pPr>
    </w:p>
    <w:p w:rsidR="0023741E" w:rsidRPr="00544356" w:rsidRDefault="0023741E" w:rsidP="00AA49B8">
      <w:pPr>
        <w:ind w:left="360"/>
        <w:jc w:val="both"/>
        <w:rPr>
          <w:rFonts w:ascii="Calibri" w:hAnsi="Calibri" w:cs="Arial"/>
        </w:rPr>
      </w:pPr>
      <w:r w:rsidRPr="00544356">
        <w:rPr>
          <w:rFonts w:ascii="Calibri" w:hAnsi="Calibri" w:cs="Arial"/>
        </w:rPr>
        <w:t>If you have any questions or comments concerning the contents of this report, would like to provide feedback on the report, or have any other questions about the Trust and how it operates, please write to:</w:t>
      </w:r>
    </w:p>
    <w:p w:rsidR="0023741E" w:rsidRPr="00544356" w:rsidRDefault="0023741E" w:rsidP="002B7055">
      <w:pPr>
        <w:ind w:left="360"/>
        <w:rPr>
          <w:rFonts w:ascii="Calibri" w:hAnsi="Calibri" w:cs="Arial"/>
        </w:rPr>
      </w:pPr>
    </w:p>
    <w:p w:rsidR="0023741E" w:rsidRPr="00544356" w:rsidRDefault="0023741E" w:rsidP="0047278B">
      <w:pPr>
        <w:ind w:left="993"/>
        <w:jc w:val="both"/>
        <w:rPr>
          <w:rFonts w:ascii="Calibri" w:hAnsi="Calibri" w:cs="Arial"/>
        </w:rPr>
      </w:pPr>
      <w:r w:rsidRPr="00544356">
        <w:rPr>
          <w:rFonts w:ascii="Calibri" w:hAnsi="Calibri" w:cs="Arial"/>
        </w:rPr>
        <w:t>Chief Executive Officer</w:t>
      </w:r>
    </w:p>
    <w:p w:rsidR="0023741E" w:rsidRPr="00544356" w:rsidRDefault="0023741E" w:rsidP="0047278B">
      <w:pPr>
        <w:ind w:left="993"/>
        <w:jc w:val="both"/>
        <w:rPr>
          <w:rFonts w:ascii="Calibri" w:hAnsi="Calibri" w:cs="Arial"/>
        </w:rPr>
      </w:pPr>
      <w:r w:rsidRPr="00544356">
        <w:rPr>
          <w:rFonts w:ascii="Calibri" w:hAnsi="Calibri" w:cs="Arial"/>
        </w:rPr>
        <w:t>Oxford Health NHS Foundation Trust</w:t>
      </w:r>
    </w:p>
    <w:p w:rsidR="0023741E" w:rsidRPr="00544356" w:rsidRDefault="0023741E" w:rsidP="0047278B">
      <w:pPr>
        <w:ind w:left="993"/>
        <w:jc w:val="both"/>
        <w:rPr>
          <w:rFonts w:ascii="Calibri" w:hAnsi="Calibri" w:cs="Arial"/>
        </w:rPr>
      </w:pPr>
      <w:r w:rsidRPr="00544356">
        <w:rPr>
          <w:rFonts w:ascii="Calibri" w:hAnsi="Calibri" w:cs="Arial"/>
        </w:rPr>
        <w:t>Trust Headquarters</w:t>
      </w:r>
    </w:p>
    <w:p w:rsidR="0023741E" w:rsidRPr="00544356" w:rsidRDefault="0023741E" w:rsidP="0047278B">
      <w:pPr>
        <w:ind w:left="993"/>
        <w:jc w:val="both"/>
        <w:rPr>
          <w:rFonts w:ascii="Calibri" w:hAnsi="Calibri" w:cs="Arial"/>
        </w:rPr>
      </w:pPr>
      <w:r w:rsidRPr="00544356">
        <w:rPr>
          <w:rFonts w:ascii="Calibri" w:hAnsi="Calibri" w:cs="Arial"/>
        </w:rPr>
        <w:t>4000 John Smith Drive</w:t>
      </w:r>
    </w:p>
    <w:p w:rsidR="0023741E" w:rsidRPr="00544356" w:rsidRDefault="0023741E" w:rsidP="0047278B">
      <w:pPr>
        <w:ind w:left="993"/>
        <w:jc w:val="both"/>
        <w:rPr>
          <w:rFonts w:ascii="Calibri" w:hAnsi="Calibri" w:cs="Arial"/>
        </w:rPr>
      </w:pPr>
      <w:r w:rsidRPr="00544356">
        <w:rPr>
          <w:rFonts w:ascii="Calibri" w:hAnsi="Calibri" w:cs="Arial"/>
        </w:rPr>
        <w:t>Oxford Business Park South</w:t>
      </w:r>
    </w:p>
    <w:p w:rsidR="0023741E" w:rsidRPr="00544356" w:rsidRDefault="0023741E" w:rsidP="0047278B">
      <w:pPr>
        <w:ind w:left="993"/>
        <w:jc w:val="both"/>
        <w:rPr>
          <w:rFonts w:ascii="Calibri" w:hAnsi="Calibri" w:cs="Arial"/>
        </w:rPr>
      </w:pPr>
      <w:r w:rsidRPr="00544356">
        <w:rPr>
          <w:rFonts w:ascii="Calibri" w:hAnsi="Calibri" w:cs="Arial"/>
        </w:rPr>
        <w:t>Oxford</w:t>
      </w:r>
    </w:p>
    <w:p w:rsidR="0023741E" w:rsidRPr="00544356" w:rsidRDefault="0023741E" w:rsidP="0047278B">
      <w:pPr>
        <w:ind w:left="993"/>
        <w:jc w:val="both"/>
        <w:rPr>
          <w:rFonts w:ascii="Calibri" w:hAnsi="Calibri" w:cs="Arial"/>
        </w:rPr>
      </w:pPr>
      <w:r w:rsidRPr="00544356">
        <w:rPr>
          <w:rFonts w:ascii="Calibri" w:hAnsi="Calibri" w:cs="Arial"/>
        </w:rPr>
        <w:t>OX4 2GX</w:t>
      </w:r>
    </w:p>
    <w:p w:rsidR="0023741E" w:rsidRPr="00544356" w:rsidRDefault="0023741E" w:rsidP="002B7055">
      <w:pPr>
        <w:ind w:left="1620"/>
        <w:rPr>
          <w:rFonts w:ascii="Calibri" w:hAnsi="Calibri" w:cs="Arial"/>
        </w:rPr>
      </w:pPr>
    </w:p>
    <w:p w:rsidR="0023741E" w:rsidRPr="00544356" w:rsidRDefault="0023741E" w:rsidP="0047278B">
      <w:pPr>
        <w:ind w:left="993"/>
        <w:jc w:val="both"/>
        <w:rPr>
          <w:rFonts w:ascii="Calibri" w:hAnsi="Calibri" w:cs="Arial"/>
        </w:rPr>
      </w:pPr>
      <w:r w:rsidRPr="00544356">
        <w:rPr>
          <w:rFonts w:ascii="Calibri" w:hAnsi="Calibri" w:cs="Arial"/>
        </w:rPr>
        <w:t>Or email her at: Julie.Waldron@oxfordhealth.nhs.uk</w:t>
      </w:r>
    </w:p>
    <w:p w:rsidR="0023741E" w:rsidRPr="00544356" w:rsidRDefault="0023741E" w:rsidP="002B7055">
      <w:pPr>
        <w:ind w:left="360"/>
        <w:rPr>
          <w:rFonts w:ascii="Calibri" w:hAnsi="Calibri" w:cs="Arial"/>
        </w:rPr>
      </w:pPr>
    </w:p>
    <w:p w:rsidR="0023741E" w:rsidRPr="00544356" w:rsidRDefault="0023741E" w:rsidP="002B7055">
      <w:pPr>
        <w:ind w:left="360"/>
        <w:rPr>
          <w:rFonts w:ascii="Calibri" w:hAnsi="Calibri" w:cs="Arial"/>
        </w:rPr>
      </w:pPr>
      <w:r w:rsidRPr="00544356">
        <w:rPr>
          <w:rFonts w:ascii="Calibri" w:hAnsi="Calibri" w:cs="Arial"/>
        </w:rPr>
        <w:t>Alternatively, you may telephone on 01865 741717 or fax on 01865 782198.</w:t>
      </w:r>
    </w:p>
    <w:p w:rsidR="001A66FE" w:rsidRDefault="001A66FE" w:rsidP="001A66FE">
      <w:pPr>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242"/>
      </w:tblGrid>
      <w:tr w:rsidR="001A66FE" w:rsidRPr="001A66FE" w:rsidTr="001A66FE">
        <w:tc>
          <w:tcPr>
            <w:tcW w:w="9689" w:type="dxa"/>
            <w:shd w:val="clear" w:color="auto" w:fill="0070C0"/>
          </w:tcPr>
          <w:p w:rsidR="001A66FE" w:rsidRPr="0026092C" w:rsidRDefault="001A66FE" w:rsidP="001A66FE">
            <w:pPr>
              <w:pStyle w:val="Heading2"/>
            </w:pPr>
            <w:bookmarkStart w:id="41" w:name="_Toc291673531"/>
            <w:bookmarkStart w:id="42" w:name="_Toc323284019"/>
            <w:r w:rsidRPr="001A66FE">
              <w:t>Other Comments, Concerns, Complaints and Compliments</w:t>
            </w:r>
            <w:bookmarkEnd w:id="41"/>
            <w:bookmarkEnd w:id="42"/>
          </w:p>
        </w:tc>
      </w:tr>
    </w:tbl>
    <w:p w:rsidR="0023741E" w:rsidRPr="001A66FE" w:rsidRDefault="0023741E" w:rsidP="002B7055">
      <w:pPr>
        <w:pStyle w:val="NormalWeb"/>
        <w:spacing w:line="240" w:lineRule="atLeast"/>
        <w:ind w:left="360"/>
        <w:rPr>
          <w:rFonts w:ascii="Calibri" w:hAnsi="Calibri" w:cs="Arial"/>
          <w:color w:val="0070C0"/>
        </w:rPr>
      </w:pPr>
    </w:p>
    <w:p w:rsidR="0023741E" w:rsidRPr="00544356" w:rsidRDefault="0023741E" w:rsidP="00AA49B8">
      <w:pPr>
        <w:pStyle w:val="NormalWeb"/>
        <w:spacing w:line="240" w:lineRule="atLeast"/>
        <w:ind w:left="360"/>
        <w:jc w:val="both"/>
        <w:rPr>
          <w:rFonts w:ascii="Calibri" w:hAnsi="Calibri" w:cs="Arial"/>
        </w:rPr>
      </w:pPr>
      <w:r w:rsidRPr="00544356">
        <w:rPr>
          <w:rFonts w:ascii="Calibri" w:hAnsi="Calibri" w:cs="Arial"/>
        </w:rPr>
        <w:t xml:space="preserve">Your views and suggestions are important us. They help us to improve the services we provide. </w:t>
      </w:r>
    </w:p>
    <w:p w:rsidR="0023741E" w:rsidRPr="00544356" w:rsidRDefault="0023741E" w:rsidP="002B7055">
      <w:pPr>
        <w:pStyle w:val="NormalWeb"/>
        <w:spacing w:line="240" w:lineRule="atLeast"/>
        <w:ind w:left="360"/>
        <w:rPr>
          <w:rFonts w:ascii="Calibri" w:hAnsi="Calibri" w:cs="Arial"/>
        </w:rPr>
      </w:pPr>
      <w:r w:rsidRPr="00544356">
        <w:rPr>
          <w:rFonts w:ascii="Calibri" w:hAnsi="Calibri" w:cs="Arial"/>
        </w:rPr>
        <w:t>You can give us feedback about our services by:</w:t>
      </w:r>
    </w:p>
    <w:p w:rsidR="0023741E" w:rsidRPr="00544356" w:rsidRDefault="0023741E" w:rsidP="002B7055">
      <w:pPr>
        <w:pStyle w:val="NormalWeb"/>
        <w:spacing w:line="240" w:lineRule="atLeast"/>
        <w:ind w:left="360"/>
        <w:rPr>
          <w:rFonts w:ascii="Calibri" w:hAnsi="Calibri" w:cs="Arial"/>
        </w:rPr>
      </w:pPr>
    </w:p>
    <w:p w:rsidR="0023741E" w:rsidRPr="00544356" w:rsidRDefault="0023741E" w:rsidP="00AE6CD0">
      <w:pPr>
        <w:numPr>
          <w:ilvl w:val="0"/>
          <w:numId w:val="15"/>
        </w:numPr>
        <w:tabs>
          <w:tab w:val="clear" w:pos="360"/>
          <w:tab w:val="num" w:pos="1440"/>
        </w:tabs>
        <w:autoSpaceDE w:val="0"/>
        <w:autoSpaceDN w:val="0"/>
        <w:adjustRightInd w:val="0"/>
        <w:ind w:left="1440"/>
        <w:rPr>
          <w:rFonts w:ascii="Calibri" w:hAnsi="Calibri" w:cs="Arial"/>
        </w:rPr>
      </w:pPr>
      <w:r w:rsidRPr="00544356">
        <w:rPr>
          <w:rFonts w:ascii="Calibri" w:hAnsi="Calibri" w:cs="Arial"/>
        </w:rPr>
        <w:t>Speaking to a member of staff directly</w:t>
      </w:r>
    </w:p>
    <w:p w:rsidR="0023741E" w:rsidRPr="00544356" w:rsidRDefault="0023741E" w:rsidP="00AE6CD0">
      <w:pPr>
        <w:numPr>
          <w:ilvl w:val="0"/>
          <w:numId w:val="15"/>
        </w:numPr>
        <w:tabs>
          <w:tab w:val="clear" w:pos="360"/>
          <w:tab w:val="num" w:pos="1440"/>
        </w:tabs>
        <w:autoSpaceDE w:val="0"/>
        <w:autoSpaceDN w:val="0"/>
        <w:adjustRightInd w:val="0"/>
        <w:ind w:left="1440"/>
        <w:rPr>
          <w:rFonts w:ascii="Calibri" w:hAnsi="Calibri" w:cs="Arial"/>
        </w:rPr>
      </w:pPr>
      <w:r w:rsidRPr="00544356">
        <w:rPr>
          <w:rFonts w:ascii="Calibri" w:hAnsi="Calibri" w:cs="Arial"/>
        </w:rPr>
        <w:t xml:space="preserve">Completing our </w:t>
      </w:r>
      <w:hyperlink r:id="rId42" w:tgtFrame="_blank" w:history="1">
        <w:r w:rsidRPr="00544356">
          <w:rPr>
            <w:rFonts w:ascii="Calibri" w:hAnsi="Calibri" w:cs="Arial"/>
          </w:rPr>
          <w:t>Comment, Concern, Complaint, Compliment Leaflet</w:t>
        </w:r>
      </w:hyperlink>
      <w:r w:rsidRPr="00544356">
        <w:rPr>
          <w:rFonts w:ascii="Calibri" w:hAnsi="Calibri" w:cs="Arial"/>
        </w:rPr>
        <w:t xml:space="preserve">, available from any of our locations or from our web site </w:t>
      </w:r>
      <w:hyperlink r:id="rId43" w:history="1">
        <w:r w:rsidRPr="00544356">
          <w:rPr>
            <w:rStyle w:val="Hyperlink"/>
            <w:rFonts w:ascii="Calibri" w:hAnsi="Calibri" w:cs="Arial"/>
            <w:color w:val="auto"/>
          </w:rPr>
          <w:t>http://www.oxfordhealth.nhs.uk/</w:t>
        </w:r>
      </w:hyperlink>
      <w:r w:rsidRPr="00544356">
        <w:rPr>
          <w:rFonts w:ascii="Calibri" w:hAnsi="Calibri" w:cs="Arial"/>
        </w:rPr>
        <w:t xml:space="preserve">  </w:t>
      </w:r>
    </w:p>
    <w:p w:rsidR="0023741E" w:rsidRPr="00544356" w:rsidRDefault="0023741E" w:rsidP="00AE6CD0">
      <w:pPr>
        <w:numPr>
          <w:ilvl w:val="0"/>
          <w:numId w:val="15"/>
        </w:numPr>
        <w:tabs>
          <w:tab w:val="clear" w:pos="360"/>
          <w:tab w:val="num" w:pos="1440"/>
        </w:tabs>
        <w:autoSpaceDE w:val="0"/>
        <w:autoSpaceDN w:val="0"/>
        <w:adjustRightInd w:val="0"/>
        <w:ind w:left="1440"/>
        <w:rPr>
          <w:rFonts w:ascii="Calibri" w:hAnsi="Calibri" w:cs="Arial"/>
        </w:rPr>
      </w:pPr>
      <w:r w:rsidRPr="00544356">
        <w:rPr>
          <w:rFonts w:ascii="Calibri" w:hAnsi="Calibri" w:cs="Arial"/>
        </w:rPr>
        <w:t xml:space="preserve">Contacting </w:t>
      </w:r>
      <w:proofErr w:type="spellStart"/>
      <w:r w:rsidRPr="00544356">
        <w:rPr>
          <w:rFonts w:ascii="Calibri" w:hAnsi="Calibri" w:cs="Arial"/>
        </w:rPr>
        <w:t>GUiDE</w:t>
      </w:r>
      <w:proofErr w:type="spellEnd"/>
      <w:r w:rsidRPr="00544356">
        <w:rPr>
          <w:rFonts w:ascii="Calibri" w:hAnsi="Calibri" w:cs="Arial"/>
        </w:rPr>
        <w:t xml:space="preserve"> &amp; PALS (Patient Advice and Liaison Service) on 01865 738567.</w:t>
      </w:r>
    </w:p>
    <w:p w:rsidR="0023741E" w:rsidRPr="00544356" w:rsidRDefault="0023741E" w:rsidP="00AE6CD0">
      <w:pPr>
        <w:numPr>
          <w:ilvl w:val="0"/>
          <w:numId w:val="15"/>
        </w:numPr>
        <w:tabs>
          <w:tab w:val="clear" w:pos="360"/>
          <w:tab w:val="num" w:pos="1440"/>
        </w:tabs>
        <w:autoSpaceDE w:val="0"/>
        <w:autoSpaceDN w:val="0"/>
        <w:adjustRightInd w:val="0"/>
        <w:ind w:left="1440"/>
        <w:rPr>
          <w:rFonts w:ascii="Calibri" w:hAnsi="Calibri" w:cs="Arial"/>
        </w:rPr>
      </w:pPr>
      <w:r w:rsidRPr="00544356">
        <w:rPr>
          <w:rFonts w:ascii="Calibri" w:hAnsi="Calibri" w:cs="Arial"/>
        </w:rPr>
        <w:t>Writing to the appropriate service manager or the Trust’s Chief Executive</w:t>
      </w:r>
    </w:p>
    <w:p w:rsidR="001A66FE" w:rsidRPr="001A66FE" w:rsidRDefault="001A66FE" w:rsidP="001A66FE">
      <w:pPr>
        <w:pStyle w:val="ListParagraph"/>
        <w:ind w:left="360"/>
        <w:rPr>
          <w:rFonts w:ascii="Calibri" w:hAnsi="Calibr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242"/>
      </w:tblGrid>
      <w:tr w:rsidR="001A66FE" w:rsidTr="001A66FE">
        <w:tc>
          <w:tcPr>
            <w:tcW w:w="9689" w:type="dxa"/>
            <w:shd w:val="clear" w:color="auto" w:fill="0070C0"/>
          </w:tcPr>
          <w:p w:rsidR="001A66FE" w:rsidRPr="0026092C" w:rsidRDefault="001A66FE" w:rsidP="001A66FE">
            <w:pPr>
              <w:pStyle w:val="Heading2"/>
            </w:pPr>
            <w:bookmarkStart w:id="43" w:name="_Toc291673532"/>
            <w:bookmarkStart w:id="44" w:name="_Toc323284020"/>
            <w:r w:rsidRPr="001A66FE">
              <w:t>Alternative Formats</w:t>
            </w:r>
            <w:bookmarkEnd w:id="43"/>
            <w:bookmarkEnd w:id="44"/>
          </w:p>
        </w:tc>
      </w:tr>
    </w:tbl>
    <w:p w:rsidR="001A66FE" w:rsidRPr="001A66FE" w:rsidRDefault="001A66FE" w:rsidP="001A66FE">
      <w:pPr>
        <w:pStyle w:val="ListParagraph"/>
        <w:ind w:left="360"/>
        <w:rPr>
          <w:rFonts w:ascii="Calibri" w:hAnsi="Calibri" w:cs="Arial"/>
          <w:b/>
          <w:sz w:val="22"/>
          <w:szCs w:val="22"/>
          <w:u w:val="single"/>
        </w:rPr>
      </w:pPr>
    </w:p>
    <w:p w:rsidR="0023741E" w:rsidRPr="00544356" w:rsidRDefault="0023741E" w:rsidP="00AA49B8">
      <w:pPr>
        <w:ind w:left="360"/>
        <w:jc w:val="both"/>
        <w:rPr>
          <w:rFonts w:ascii="Calibri" w:hAnsi="Calibri" w:cs="Arial"/>
        </w:rPr>
      </w:pPr>
      <w:r w:rsidRPr="00544356">
        <w:rPr>
          <w:rFonts w:ascii="Calibri" w:hAnsi="Calibri" w:cs="Arial"/>
        </w:rPr>
        <w:t>If you would like a copy of this report in large print, Braille, audio cassette tape or another language, please telephone us on 01865 782195.</w:t>
      </w:r>
    </w:p>
    <w:p w:rsidR="0023741E" w:rsidRPr="00544356" w:rsidRDefault="0023741E">
      <w:pPr>
        <w:rPr>
          <w:rFonts w:ascii="Calibri" w:hAnsi="Calibri" w:cs="Arial"/>
          <w:b/>
          <w:color w:val="0070C0"/>
          <w:u w:val="single"/>
        </w:rPr>
      </w:pPr>
    </w:p>
    <w:sectPr w:rsidR="0023741E" w:rsidRPr="00544356" w:rsidSect="002B766E">
      <w:headerReference w:type="even" r:id="rId44"/>
      <w:footerReference w:type="default" r:id="rId45"/>
      <w:headerReference w:type="first" r:id="rId4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61A" w:rsidRDefault="00CE361A" w:rsidP="009F7C5E">
      <w:r>
        <w:separator/>
      </w:r>
    </w:p>
  </w:endnote>
  <w:endnote w:type="continuationSeparator" w:id="0">
    <w:p w:rsidR="00CE361A" w:rsidRDefault="00CE361A" w:rsidP="009F7C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he Sans Semi Light">
    <w:altName w:val="The Sans Semi Light"/>
    <w:panose1 w:val="00000000000000000000"/>
    <w:charset w:val="00"/>
    <w:family w:val="swiss"/>
    <w:notTrueType/>
    <w:pitch w:val="default"/>
    <w:sig w:usb0="00000003" w:usb1="00000000" w:usb2="00000000" w:usb3="00000000" w:csb0="00000001" w:csb1="00000000"/>
  </w:font>
  <w:font w:name="The Sans Semi Bold">
    <w:altName w:val="The Sans Semi Bold"/>
    <w:panose1 w:val="00000000000000000000"/>
    <w:charset w:val="00"/>
    <w:family w:val="swiss"/>
    <w:notTrueType/>
    <w:pitch w:val="default"/>
    <w:sig w:usb0="00000003" w:usb1="00000000" w:usb2="00000000" w:usb3="00000000" w:csb0="00000001" w:csb1="00000000"/>
  </w:font>
  <w:font w:name="Syntax">
    <w:altName w:val="Syntax"/>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Frutiger 55 Roman">
    <w:panose1 w:val="020B0500000000000000"/>
    <w:charset w:val="00"/>
    <w:family w:val="swiss"/>
    <w:pitch w:val="variable"/>
    <w:sig w:usb0="8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Arial,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1A" w:rsidRDefault="001E1073" w:rsidP="00DE56CB">
    <w:pPr>
      <w:pStyle w:val="Footer"/>
      <w:framePr w:wrap="around" w:vAnchor="text" w:hAnchor="margin" w:xAlign="right" w:y="1"/>
      <w:rPr>
        <w:rStyle w:val="PageNumber"/>
      </w:rPr>
    </w:pPr>
    <w:r>
      <w:rPr>
        <w:rStyle w:val="PageNumber"/>
      </w:rPr>
      <w:fldChar w:fldCharType="begin"/>
    </w:r>
    <w:r w:rsidR="00CE361A">
      <w:rPr>
        <w:rStyle w:val="PageNumber"/>
      </w:rPr>
      <w:instrText xml:space="preserve">PAGE  </w:instrText>
    </w:r>
    <w:r>
      <w:rPr>
        <w:rStyle w:val="PageNumber"/>
      </w:rPr>
      <w:fldChar w:fldCharType="end"/>
    </w:r>
  </w:p>
  <w:p w:rsidR="00CE361A" w:rsidRDefault="00CE361A" w:rsidP="00DE56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1A" w:rsidRDefault="00CE361A" w:rsidP="0092476F">
    <w:pPr>
      <w:rPr>
        <w:rFonts w:ascii="Arial" w:hAnsi="Arial" w:cs="Arial"/>
        <w:sz w:val="21"/>
        <w:szCs w:val="21"/>
      </w:rPr>
    </w:pPr>
  </w:p>
  <w:p w:rsidR="00CE361A" w:rsidRDefault="00CE361A" w:rsidP="0092476F">
    <w:pPr>
      <w:rPr>
        <w:rFonts w:ascii="Arial" w:hAnsi="Arial" w:cs="Arial"/>
        <w:sz w:val="21"/>
        <w:szCs w:val="21"/>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r>
      <w:rPr>
        <w:rFonts w:ascii="Arial" w:hAnsi="Arial" w:cs="Arial"/>
        <w:sz w:val="21"/>
        <w:szCs w:val="21"/>
      </w:rPr>
      <w:t xml:space="preserve"> </w:t>
    </w:r>
  </w:p>
  <w:p w:rsidR="00CE361A" w:rsidRPr="0092476F" w:rsidRDefault="00CE361A" w:rsidP="0092476F">
    <w:pPr>
      <w:rPr>
        <w:rFonts w:ascii="Arial" w:hAnsi="Arial" w:cs="Arial"/>
        <w:sz w:val="21"/>
        <w:szCs w:val="21"/>
      </w:rPr>
    </w:pPr>
  </w:p>
  <w:p w:rsidR="00CE361A" w:rsidRDefault="00CE36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1A" w:rsidRDefault="00CE361A">
    <w:pPr>
      <w:pStyle w:val="Footer"/>
    </w:pPr>
    <w:r>
      <w:rPr>
        <w:rFonts w:asciiTheme="minorHAnsi" w:hAnsiTheme="minorHAnsi"/>
      </w:rPr>
      <w:t>Quality Account &amp; Report</w:t>
    </w:r>
    <w:r>
      <w:rPr>
        <w:rFonts w:asciiTheme="minorHAnsi" w:hAnsiTheme="minorHAnsi"/>
      </w:rPr>
      <w:tab/>
    </w:r>
    <w:sdt>
      <w:sdtPr>
        <w:rPr>
          <w:rFonts w:asciiTheme="minorHAnsi" w:hAnsiTheme="minorHAnsi"/>
        </w:rPr>
        <w:id w:val="1486566"/>
        <w:docPartObj>
          <w:docPartGallery w:val="Page Numbers (Bottom of Page)"/>
          <w:docPartUnique/>
        </w:docPartObj>
      </w:sdtPr>
      <w:sdtContent>
        <w:sdt>
          <w:sdtPr>
            <w:rPr>
              <w:rFonts w:asciiTheme="minorHAnsi" w:hAnsiTheme="minorHAnsi"/>
            </w:rPr>
            <w:id w:val="1486567"/>
            <w:docPartObj>
              <w:docPartGallery w:val="Page Numbers (Top of Page)"/>
              <w:docPartUnique/>
            </w:docPartObj>
          </w:sdtPr>
          <w:sdtContent>
            <w:r w:rsidRPr="00887D3F">
              <w:rPr>
                <w:rFonts w:asciiTheme="minorHAnsi" w:hAnsiTheme="minorHAnsi"/>
              </w:rPr>
              <w:t xml:space="preserve">Page </w:t>
            </w:r>
            <w:r w:rsidR="001E1073" w:rsidRPr="00887D3F">
              <w:rPr>
                <w:rFonts w:asciiTheme="minorHAnsi" w:hAnsiTheme="minorHAnsi"/>
              </w:rPr>
              <w:fldChar w:fldCharType="begin"/>
            </w:r>
            <w:r w:rsidRPr="00887D3F">
              <w:rPr>
                <w:rFonts w:asciiTheme="minorHAnsi" w:hAnsiTheme="minorHAnsi"/>
              </w:rPr>
              <w:instrText xml:space="preserve"> PAGE </w:instrText>
            </w:r>
            <w:r w:rsidR="001E1073" w:rsidRPr="00887D3F">
              <w:rPr>
                <w:rFonts w:asciiTheme="minorHAnsi" w:hAnsiTheme="minorHAnsi"/>
              </w:rPr>
              <w:fldChar w:fldCharType="separate"/>
            </w:r>
            <w:r w:rsidR="006A2A53">
              <w:rPr>
                <w:rFonts w:asciiTheme="minorHAnsi" w:hAnsiTheme="minorHAnsi"/>
                <w:noProof/>
              </w:rPr>
              <w:t>2</w:t>
            </w:r>
            <w:r w:rsidR="001E1073" w:rsidRPr="00887D3F">
              <w:rPr>
                <w:rFonts w:asciiTheme="minorHAnsi" w:hAnsiTheme="minorHAnsi"/>
              </w:rPr>
              <w:fldChar w:fldCharType="end"/>
            </w:r>
            <w:r w:rsidRPr="00887D3F">
              <w:rPr>
                <w:rFonts w:asciiTheme="minorHAnsi" w:hAnsiTheme="minorHAnsi"/>
              </w:rPr>
              <w:t xml:space="preserve"> of </w:t>
            </w:r>
            <w:r w:rsidR="001E1073" w:rsidRPr="00887D3F">
              <w:rPr>
                <w:rFonts w:asciiTheme="minorHAnsi" w:hAnsiTheme="minorHAnsi"/>
              </w:rPr>
              <w:fldChar w:fldCharType="begin"/>
            </w:r>
            <w:r w:rsidRPr="00887D3F">
              <w:rPr>
                <w:rFonts w:asciiTheme="minorHAnsi" w:hAnsiTheme="minorHAnsi"/>
              </w:rPr>
              <w:instrText xml:space="preserve"> NUMPAGES  </w:instrText>
            </w:r>
            <w:r w:rsidR="001E1073" w:rsidRPr="00887D3F">
              <w:rPr>
                <w:rFonts w:asciiTheme="minorHAnsi" w:hAnsiTheme="minorHAnsi"/>
              </w:rPr>
              <w:fldChar w:fldCharType="separate"/>
            </w:r>
            <w:r w:rsidR="006A2A53">
              <w:rPr>
                <w:rFonts w:asciiTheme="minorHAnsi" w:hAnsiTheme="minorHAnsi"/>
                <w:noProof/>
              </w:rPr>
              <w:t>2</w:t>
            </w:r>
            <w:r w:rsidR="001E1073" w:rsidRPr="00887D3F">
              <w:rPr>
                <w:rFonts w:asciiTheme="minorHAnsi" w:hAnsiTheme="minorHAnsi"/>
              </w:rPr>
              <w:fldChar w:fldCharType="end"/>
            </w:r>
            <w:r>
              <w:rPr>
                <w:rFonts w:asciiTheme="minorHAnsi" w:hAnsiTheme="minorHAnsi"/>
              </w:rPr>
              <w:tab/>
              <w:t>v5 April 2012</w:t>
            </w:r>
          </w:sdtContent>
        </w:sdt>
      </w:sdtContent>
    </w:sdt>
    <w:r w:rsidDel="00747881">
      <w:rPr>
        <w:rFonts w:ascii="Arial" w:hAnsi="Arial" w:cs="Arial"/>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1A" w:rsidRDefault="00CE361A">
    <w:pPr>
      <w:pStyle w:val="Footer"/>
      <w:tabs>
        <w:tab w:val="left" w:pos="142"/>
      </w:tabs>
    </w:pPr>
    <w:r>
      <w:rPr>
        <w:rFonts w:asciiTheme="minorHAnsi" w:hAnsiTheme="minorHAnsi"/>
      </w:rPr>
      <w:t>Quality Account &amp; Report</w:t>
    </w:r>
    <w:r>
      <w:rPr>
        <w:rFonts w:asciiTheme="minorHAnsi" w:hAnsiTheme="minorHAnsi"/>
      </w:rPr>
      <w:tab/>
    </w:r>
    <w:sdt>
      <w:sdtPr>
        <w:rPr>
          <w:rFonts w:asciiTheme="minorHAnsi" w:hAnsiTheme="minorHAnsi"/>
        </w:rPr>
        <w:id w:val="17735759"/>
        <w:docPartObj>
          <w:docPartGallery w:val="Page Numbers (Bottom of Page)"/>
          <w:docPartUnique/>
        </w:docPartObj>
      </w:sdtPr>
      <w:sdtContent>
        <w:sdt>
          <w:sdtPr>
            <w:rPr>
              <w:rFonts w:asciiTheme="minorHAnsi" w:hAnsiTheme="minorHAnsi"/>
            </w:rPr>
            <w:id w:val="17735760"/>
            <w:docPartObj>
              <w:docPartGallery w:val="Page Numbers (Top of Page)"/>
              <w:docPartUnique/>
            </w:docPartObj>
          </w:sdtPr>
          <w:sdtContent>
            <w:r w:rsidRPr="00887D3F">
              <w:rPr>
                <w:rFonts w:asciiTheme="minorHAnsi" w:hAnsiTheme="minorHAnsi"/>
              </w:rPr>
              <w:t xml:space="preserve">Page </w:t>
            </w:r>
            <w:r w:rsidR="001E1073" w:rsidRPr="00887D3F">
              <w:rPr>
                <w:rFonts w:asciiTheme="minorHAnsi" w:hAnsiTheme="minorHAnsi"/>
              </w:rPr>
              <w:fldChar w:fldCharType="begin"/>
            </w:r>
            <w:r w:rsidRPr="00887D3F">
              <w:rPr>
                <w:rFonts w:asciiTheme="minorHAnsi" w:hAnsiTheme="minorHAnsi"/>
              </w:rPr>
              <w:instrText xml:space="preserve"> PAGE </w:instrText>
            </w:r>
            <w:r w:rsidR="001E1073" w:rsidRPr="00887D3F">
              <w:rPr>
                <w:rFonts w:asciiTheme="minorHAnsi" w:hAnsiTheme="minorHAnsi"/>
              </w:rPr>
              <w:fldChar w:fldCharType="separate"/>
            </w:r>
            <w:r w:rsidR="006A2A53">
              <w:rPr>
                <w:rFonts w:asciiTheme="minorHAnsi" w:hAnsiTheme="minorHAnsi"/>
                <w:noProof/>
              </w:rPr>
              <w:t>45</w:t>
            </w:r>
            <w:r w:rsidR="001E1073" w:rsidRPr="00887D3F">
              <w:rPr>
                <w:rFonts w:asciiTheme="minorHAnsi" w:hAnsiTheme="minorHAnsi"/>
              </w:rPr>
              <w:fldChar w:fldCharType="end"/>
            </w:r>
            <w:r w:rsidRPr="00887D3F">
              <w:rPr>
                <w:rFonts w:asciiTheme="minorHAnsi" w:hAnsiTheme="minorHAnsi"/>
              </w:rPr>
              <w:t xml:space="preserve"> of </w:t>
            </w:r>
            <w:r w:rsidR="001E1073" w:rsidRPr="00887D3F">
              <w:rPr>
                <w:rFonts w:asciiTheme="minorHAnsi" w:hAnsiTheme="minorHAnsi"/>
              </w:rPr>
              <w:fldChar w:fldCharType="begin"/>
            </w:r>
            <w:r w:rsidRPr="00887D3F">
              <w:rPr>
                <w:rFonts w:asciiTheme="minorHAnsi" w:hAnsiTheme="minorHAnsi"/>
              </w:rPr>
              <w:instrText xml:space="preserve"> NUMPAGES  </w:instrText>
            </w:r>
            <w:r w:rsidR="001E1073" w:rsidRPr="00887D3F">
              <w:rPr>
                <w:rFonts w:asciiTheme="minorHAnsi" w:hAnsiTheme="minorHAnsi"/>
              </w:rPr>
              <w:fldChar w:fldCharType="separate"/>
            </w:r>
            <w:r w:rsidR="006A2A53">
              <w:rPr>
                <w:rFonts w:asciiTheme="minorHAnsi" w:hAnsiTheme="minorHAnsi"/>
                <w:noProof/>
              </w:rPr>
              <w:t>45</w:t>
            </w:r>
            <w:r w:rsidR="001E1073" w:rsidRPr="00887D3F">
              <w:rPr>
                <w:rFonts w:asciiTheme="minorHAnsi" w:hAnsiTheme="minorHAnsi"/>
              </w:rPr>
              <w:fldChar w:fldCharType="end"/>
            </w:r>
            <w:r>
              <w:rPr>
                <w:rFonts w:asciiTheme="minorHAnsi" w:hAnsiTheme="minorHAnsi"/>
              </w:rPr>
              <w:tab/>
              <w:t>v5 April 2012</w:t>
            </w:r>
          </w:sdtContent>
        </w:sdt>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1A" w:rsidRDefault="001E1073">
    <w:pPr>
      <w:pStyle w:val="Footer"/>
      <w:jc w:val="center"/>
    </w:pPr>
    <w:fldSimple w:instr=" PAGE   \* MERGEFORMAT ">
      <w:r w:rsidR="006A2A53">
        <w:rPr>
          <w:noProof/>
        </w:rPr>
        <w:t>55</w:t>
      </w:r>
    </w:fldSimple>
  </w:p>
  <w:p w:rsidR="00CE361A" w:rsidRDefault="00CE36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61A" w:rsidRDefault="00CE361A" w:rsidP="009F7C5E">
      <w:r>
        <w:separator/>
      </w:r>
    </w:p>
  </w:footnote>
  <w:footnote w:type="continuationSeparator" w:id="0">
    <w:p w:rsidR="00CE361A" w:rsidRDefault="00CE361A" w:rsidP="009F7C5E">
      <w:r>
        <w:continuationSeparator/>
      </w:r>
    </w:p>
  </w:footnote>
  <w:footnote w:id="1">
    <w:p w:rsidR="00CE361A" w:rsidRPr="004C03F5" w:rsidRDefault="00CE361A">
      <w:pPr>
        <w:pStyle w:val="FootnoteText"/>
        <w:rPr>
          <w:rFonts w:asciiTheme="minorHAnsi" w:hAnsiTheme="minorHAnsi"/>
        </w:rPr>
      </w:pPr>
      <w:r w:rsidRPr="004C03F5">
        <w:rPr>
          <w:rStyle w:val="FootnoteReference"/>
          <w:rFonts w:asciiTheme="minorHAnsi" w:hAnsiTheme="minorHAnsi"/>
        </w:rPr>
        <w:footnoteRef/>
      </w:r>
      <w:r w:rsidRPr="004C03F5">
        <w:rPr>
          <w:rFonts w:asciiTheme="minorHAnsi" w:hAnsiTheme="minorHAnsi"/>
        </w:rPr>
        <w:t xml:space="preserve"> http://www.dh.gov.uk/en/Publicationsandstatistics/Publications/PublicationsPolicyAndGuidance/DH_131700</w:t>
      </w:r>
    </w:p>
  </w:footnote>
  <w:footnote w:id="2">
    <w:p w:rsidR="00CE361A" w:rsidRPr="00AA4895" w:rsidRDefault="00CE361A">
      <w:pPr>
        <w:pStyle w:val="FootnoteText"/>
        <w:rPr>
          <w:rFonts w:asciiTheme="minorHAnsi" w:hAnsiTheme="minorHAnsi"/>
        </w:rPr>
      </w:pPr>
      <w:r w:rsidRPr="00AA4895">
        <w:rPr>
          <w:rStyle w:val="FootnoteReference"/>
          <w:rFonts w:asciiTheme="minorHAnsi" w:hAnsiTheme="minorHAnsi"/>
        </w:rPr>
        <w:footnoteRef/>
      </w:r>
      <w:r w:rsidRPr="00AA4895">
        <w:rPr>
          <w:rFonts w:asciiTheme="minorHAnsi" w:hAnsiTheme="minorHAnsi"/>
        </w:rPr>
        <w:t xml:space="preserve"> This is a Department of Health measure and at the time of writing had not been fully developed</w:t>
      </w:r>
    </w:p>
  </w:footnote>
  <w:footnote w:id="3">
    <w:p w:rsidR="00CE361A" w:rsidRPr="00885A39" w:rsidRDefault="00CE361A" w:rsidP="00F730B1">
      <w:pPr>
        <w:pStyle w:val="FootnoteText"/>
        <w:rPr>
          <w:rFonts w:asciiTheme="minorHAnsi" w:hAnsiTheme="minorHAnsi" w:cstheme="minorHAnsi"/>
        </w:rPr>
      </w:pPr>
      <w:r w:rsidRPr="00EE6C2E">
        <w:rPr>
          <w:rStyle w:val="FootnoteReference"/>
          <w:color w:val="auto"/>
        </w:rPr>
        <w:footnoteRef/>
      </w:r>
      <w:r w:rsidRPr="00EE6C2E">
        <w:t xml:space="preserve"> </w:t>
      </w:r>
      <w:r w:rsidRPr="00EE6C2E">
        <w:rPr>
          <w:rFonts w:asciiTheme="minorHAnsi" w:hAnsiTheme="minorHAnsi" w:cstheme="minorHAnsi"/>
        </w:rPr>
        <w:t>The</w:t>
      </w:r>
      <w:r w:rsidRPr="00885A39">
        <w:rPr>
          <w:rFonts w:asciiTheme="minorHAnsi" w:hAnsiTheme="minorHAnsi" w:cstheme="minorHAnsi"/>
        </w:rPr>
        <w:t xml:space="preserve"> figures above relate to the last completed cycle or current cycle if recruitment has ended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6560"/>
      <w:docPartObj>
        <w:docPartGallery w:val="Watermarks"/>
        <w:docPartUnique/>
      </w:docPartObj>
    </w:sdtPr>
    <w:sdtContent>
      <w:p w:rsidR="00CE361A" w:rsidRDefault="001E1073">
        <w:pPr>
          <w:pStyle w:val="Header"/>
        </w:pPr>
        <w:r w:rsidRPr="001E1073">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1A" w:rsidRDefault="00CE36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1A" w:rsidRDefault="00CE36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434"/>
    <w:multiLevelType w:val="hybridMultilevel"/>
    <w:tmpl w:val="4C1E7A72"/>
    <w:lvl w:ilvl="0" w:tplc="0809000B">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
    <w:nsid w:val="012D5A6C"/>
    <w:multiLevelType w:val="hybridMultilevel"/>
    <w:tmpl w:val="45D8E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391E42"/>
    <w:multiLevelType w:val="hybridMultilevel"/>
    <w:tmpl w:val="B85C2172"/>
    <w:lvl w:ilvl="0" w:tplc="0809000B">
      <w:start w:val="1"/>
      <w:numFmt w:val="bullet"/>
      <w:lvlText w:val=""/>
      <w:lvlJc w:val="left"/>
      <w:pPr>
        <w:tabs>
          <w:tab w:val="num" w:pos="1440"/>
        </w:tabs>
        <w:ind w:left="1440" w:hanging="360"/>
      </w:pPr>
      <w:rPr>
        <w:rFonts w:ascii="Wingdings" w:hAnsi="Wingdings" w:hint="default"/>
      </w:rPr>
    </w:lvl>
    <w:lvl w:ilvl="1" w:tplc="08090003">
      <w:start w:val="1"/>
      <w:numFmt w:val="decimal"/>
      <w:lvlText w:val="%2."/>
      <w:lvlJc w:val="left"/>
      <w:pPr>
        <w:tabs>
          <w:tab w:val="num" w:pos="2160"/>
        </w:tabs>
        <w:ind w:left="2160" w:hanging="360"/>
      </w:pPr>
      <w:rPr>
        <w:rFonts w:cs="Times New Roman"/>
      </w:rPr>
    </w:lvl>
    <w:lvl w:ilvl="2" w:tplc="08090005">
      <w:start w:val="1"/>
      <w:numFmt w:val="decimal"/>
      <w:lvlText w:val="%3."/>
      <w:lvlJc w:val="left"/>
      <w:pPr>
        <w:tabs>
          <w:tab w:val="num" w:pos="2880"/>
        </w:tabs>
        <w:ind w:left="2880" w:hanging="360"/>
      </w:pPr>
      <w:rPr>
        <w:rFonts w:cs="Times New Roman"/>
      </w:rPr>
    </w:lvl>
    <w:lvl w:ilvl="3" w:tplc="08090001">
      <w:start w:val="1"/>
      <w:numFmt w:val="decimal"/>
      <w:lvlText w:val="%4."/>
      <w:lvlJc w:val="left"/>
      <w:pPr>
        <w:tabs>
          <w:tab w:val="num" w:pos="3600"/>
        </w:tabs>
        <w:ind w:left="3600" w:hanging="360"/>
      </w:pPr>
      <w:rPr>
        <w:rFonts w:cs="Times New Roman"/>
      </w:rPr>
    </w:lvl>
    <w:lvl w:ilvl="4" w:tplc="08090003">
      <w:start w:val="1"/>
      <w:numFmt w:val="decimal"/>
      <w:lvlText w:val="%5."/>
      <w:lvlJc w:val="left"/>
      <w:pPr>
        <w:tabs>
          <w:tab w:val="num" w:pos="4320"/>
        </w:tabs>
        <w:ind w:left="4320" w:hanging="360"/>
      </w:pPr>
      <w:rPr>
        <w:rFonts w:cs="Times New Roman"/>
      </w:rPr>
    </w:lvl>
    <w:lvl w:ilvl="5" w:tplc="08090005">
      <w:start w:val="1"/>
      <w:numFmt w:val="decimal"/>
      <w:lvlText w:val="%6."/>
      <w:lvlJc w:val="left"/>
      <w:pPr>
        <w:tabs>
          <w:tab w:val="num" w:pos="5040"/>
        </w:tabs>
        <w:ind w:left="5040" w:hanging="360"/>
      </w:pPr>
      <w:rPr>
        <w:rFonts w:cs="Times New Roman"/>
      </w:rPr>
    </w:lvl>
    <w:lvl w:ilvl="6" w:tplc="08090001">
      <w:start w:val="1"/>
      <w:numFmt w:val="decimal"/>
      <w:lvlText w:val="%7."/>
      <w:lvlJc w:val="left"/>
      <w:pPr>
        <w:tabs>
          <w:tab w:val="num" w:pos="5760"/>
        </w:tabs>
        <w:ind w:left="5760" w:hanging="360"/>
      </w:pPr>
      <w:rPr>
        <w:rFonts w:cs="Times New Roman"/>
      </w:rPr>
    </w:lvl>
    <w:lvl w:ilvl="7" w:tplc="08090003">
      <w:start w:val="1"/>
      <w:numFmt w:val="decimal"/>
      <w:lvlText w:val="%8."/>
      <w:lvlJc w:val="left"/>
      <w:pPr>
        <w:tabs>
          <w:tab w:val="num" w:pos="6480"/>
        </w:tabs>
        <w:ind w:left="6480" w:hanging="360"/>
      </w:pPr>
      <w:rPr>
        <w:rFonts w:cs="Times New Roman"/>
      </w:rPr>
    </w:lvl>
    <w:lvl w:ilvl="8" w:tplc="08090005">
      <w:start w:val="1"/>
      <w:numFmt w:val="decimal"/>
      <w:lvlText w:val="%9."/>
      <w:lvlJc w:val="left"/>
      <w:pPr>
        <w:tabs>
          <w:tab w:val="num" w:pos="7200"/>
        </w:tabs>
        <w:ind w:left="7200" w:hanging="360"/>
      </w:pPr>
      <w:rPr>
        <w:rFonts w:cs="Times New Roman"/>
      </w:rPr>
    </w:lvl>
  </w:abstractNum>
  <w:abstractNum w:abstractNumId="3">
    <w:nsid w:val="027740C8"/>
    <w:multiLevelType w:val="hybridMultilevel"/>
    <w:tmpl w:val="E1FC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E87646"/>
    <w:multiLevelType w:val="hybridMultilevel"/>
    <w:tmpl w:val="68E8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2B60BA"/>
    <w:multiLevelType w:val="hybridMultilevel"/>
    <w:tmpl w:val="CCDE18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584552F"/>
    <w:multiLevelType w:val="hybridMultilevel"/>
    <w:tmpl w:val="8CD690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069A0470"/>
    <w:multiLevelType w:val="hybridMultilevel"/>
    <w:tmpl w:val="F84AF2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FF34FE"/>
    <w:multiLevelType w:val="hybridMultilevel"/>
    <w:tmpl w:val="8066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E06D2E"/>
    <w:multiLevelType w:val="hybridMultilevel"/>
    <w:tmpl w:val="29ACFC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07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AD0565"/>
    <w:multiLevelType w:val="hybridMultilevel"/>
    <w:tmpl w:val="246EF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2E66CD"/>
    <w:multiLevelType w:val="hybridMultilevel"/>
    <w:tmpl w:val="05D62874"/>
    <w:lvl w:ilvl="0" w:tplc="5EDA4F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EB6D08"/>
    <w:multiLevelType w:val="hybridMultilevel"/>
    <w:tmpl w:val="3A78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A30A13"/>
    <w:multiLevelType w:val="hybridMultilevel"/>
    <w:tmpl w:val="76D41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5B12B0"/>
    <w:multiLevelType w:val="hybridMultilevel"/>
    <w:tmpl w:val="5990741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7A4C3940">
      <w:start w:val="1"/>
      <w:numFmt w:val="bullet"/>
      <w:lvlText w:val="-"/>
      <w:lvlJc w:val="left"/>
      <w:pPr>
        <w:ind w:left="2160" w:hanging="360"/>
      </w:pPr>
      <w:rPr>
        <w:rFonts w:ascii="Calibri" w:eastAsia="Times New Roman" w:hAnsi="Calibri"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DD204D"/>
    <w:multiLevelType w:val="hybridMultilevel"/>
    <w:tmpl w:val="A29CA59C"/>
    <w:lvl w:ilvl="0" w:tplc="027EEA7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4463D09"/>
    <w:multiLevelType w:val="hybridMultilevel"/>
    <w:tmpl w:val="456A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806932"/>
    <w:multiLevelType w:val="hybridMultilevel"/>
    <w:tmpl w:val="B2C8539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25990606"/>
    <w:multiLevelType w:val="hybridMultilevel"/>
    <w:tmpl w:val="A368480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384034"/>
    <w:multiLevelType w:val="hybridMultilevel"/>
    <w:tmpl w:val="737C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88A77F1"/>
    <w:multiLevelType w:val="hybridMultilevel"/>
    <w:tmpl w:val="4E02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252A66"/>
    <w:multiLevelType w:val="hybridMultilevel"/>
    <w:tmpl w:val="6CC2D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4A7F93"/>
    <w:multiLevelType w:val="hybridMultilevel"/>
    <w:tmpl w:val="E6DE5AD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nsid w:val="31327E69"/>
    <w:multiLevelType w:val="hybridMultilevel"/>
    <w:tmpl w:val="371EE9B0"/>
    <w:lvl w:ilvl="0" w:tplc="9A8213C6">
      <w:start w:val="1"/>
      <w:numFmt w:val="decimal"/>
      <w:pStyle w:val="Style1"/>
      <w:lvlText w:val="%1."/>
      <w:lvlJc w:val="left"/>
      <w:pPr>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31A23E0C"/>
    <w:multiLevelType w:val="hybridMultilevel"/>
    <w:tmpl w:val="45727B9E"/>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2BC190E"/>
    <w:multiLevelType w:val="hybridMultilevel"/>
    <w:tmpl w:val="CD8E4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3A547966"/>
    <w:multiLevelType w:val="hybridMultilevel"/>
    <w:tmpl w:val="29867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A685FD3"/>
    <w:multiLevelType w:val="hybridMultilevel"/>
    <w:tmpl w:val="D6504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F1B35EC"/>
    <w:multiLevelType w:val="hybridMultilevel"/>
    <w:tmpl w:val="0AC8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0694810"/>
    <w:multiLevelType w:val="hybridMultilevel"/>
    <w:tmpl w:val="C59A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223026B"/>
    <w:multiLevelType w:val="hybridMultilevel"/>
    <w:tmpl w:val="E36C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B844A2"/>
    <w:multiLevelType w:val="hybridMultilevel"/>
    <w:tmpl w:val="372A8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42B5D1E"/>
    <w:multiLevelType w:val="hybridMultilevel"/>
    <w:tmpl w:val="31DE63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3">
    <w:nsid w:val="4B025465"/>
    <w:multiLevelType w:val="hybridMultilevel"/>
    <w:tmpl w:val="F55A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CE4118B"/>
    <w:multiLevelType w:val="hybridMultilevel"/>
    <w:tmpl w:val="165403DE"/>
    <w:lvl w:ilvl="0" w:tplc="08090001">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2520"/>
        </w:tabs>
        <w:ind w:left="2520" w:hanging="360"/>
      </w:pPr>
      <w:rPr>
        <w:rFonts w:cs="Times New Roman"/>
      </w:rPr>
    </w:lvl>
    <w:lvl w:ilvl="2" w:tplc="08090005">
      <w:start w:val="1"/>
      <w:numFmt w:val="decimal"/>
      <w:lvlText w:val="%3."/>
      <w:lvlJc w:val="left"/>
      <w:pPr>
        <w:tabs>
          <w:tab w:val="num" w:pos="3240"/>
        </w:tabs>
        <w:ind w:left="3240" w:hanging="360"/>
      </w:pPr>
      <w:rPr>
        <w:rFonts w:cs="Times New Roman"/>
      </w:rPr>
    </w:lvl>
    <w:lvl w:ilvl="3" w:tplc="08090001">
      <w:start w:val="1"/>
      <w:numFmt w:val="decimal"/>
      <w:lvlText w:val="%4."/>
      <w:lvlJc w:val="left"/>
      <w:pPr>
        <w:tabs>
          <w:tab w:val="num" w:pos="3960"/>
        </w:tabs>
        <w:ind w:left="3960" w:hanging="360"/>
      </w:pPr>
      <w:rPr>
        <w:rFonts w:cs="Times New Roman"/>
      </w:rPr>
    </w:lvl>
    <w:lvl w:ilvl="4" w:tplc="08090003">
      <w:start w:val="1"/>
      <w:numFmt w:val="decimal"/>
      <w:lvlText w:val="%5."/>
      <w:lvlJc w:val="left"/>
      <w:pPr>
        <w:tabs>
          <w:tab w:val="num" w:pos="4680"/>
        </w:tabs>
        <w:ind w:left="4680" w:hanging="360"/>
      </w:pPr>
      <w:rPr>
        <w:rFonts w:cs="Times New Roman"/>
      </w:rPr>
    </w:lvl>
    <w:lvl w:ilvl="5" w:tplc="08090005">
      <w:start w:val="1"/>
      <w:numFmt w:val="decimal"/>
      <w:lvlText w:val="%6."/>
      <w:lvlJc w:val="left"/>
      <w:pPr>
        <w:tabs>
          <w:tab w:val="num" w:pos="5400"/>
        </w:tabs>
        <w:ind w:left="5400" w:hanging="360"/>
      </w:pPr>
      <w:rPr>
        <w:rFonts w:cs="Times New Roman"/>
      </w:rPr>
    </w:lvl>
    <w:lvl w:ilvl="6" w:tplc="08090001">
      <w:start w:val="1"/>
      <w:numFmt w:val="decimal"/>
      <w:lvlText w:val="%7."/>
      <w:lvlJc w:val="left"/>
      <w:pPr>
        <w:tabs>
          <w:tab w:val="num" w:pos="6120"/>
        </w:tabs>
        <w:ind w:left="6120" w:hanging="360"/>
      </w:pPr>
      <w:rPr>
        <w:rFonts w:cs="Times New Roman"/>
      </w:rPr>
    </w:lvl>
    <w:lvl w:ilvl="7" w:tplc="08090003">
      <w:start w:val="1"/>
      <w:numFmt w:val="decimal"/>
      <w:lvlText w:val="%8."/>
      <w:lvlJc w:val="left"/>
      <w:pPr>
        <w:tabs>
          <w:tab w:val="num" w:pos="6840"/>
        </w:tabs>
        <w:ind w:left="6840" w:hanging="360"/>
      </w:pPr>
      <w:rPr>
        <w:rFonts w:cs="Times New Roman"/>
      </w:rPr>
    </w:lvl>
    <w:lvl w:ilvl="8" w:tplc="08090005">
      <w:start w:val="1"/>
      <w:numFmt w:val="decimal"/>
      <w:lvlText w:val="%9."/>
      <w:lvlJc w:val="left"/>
      <w:pPr>
        <w:tabs>
          <w:tab w:val="num" w:pos="7560"/>
        </w:tabs>
        <w:ind w:left="7560" w:hanging="360"/>
      </w:pPr>
      <w:rPr>
        <w:rFonts w:cs="Times New Roman"/>
      </w:rPr>
    </w:lvl>
  </w:abstractNum>
  <w:abstractNum w:abstractNumId="35">
    <w:nsid w:val="4CEF1FAA"/>
    <w:multiLevelType w:val="hybridMultilevel"/>
    <w:tmpl w:val="F872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FCC1B95"/>
    <w:multiLevelType w:val="hybridMultilevel"/>
    <w:tmpl w:val="CA20A8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2B950F7"/>
    <w:multiLevelType w:val="hybridMultilevel"/>
    <w:tmpl w:val="C61A7256"/>
    <w:lvl w:ilvl="0" w:tplc="B8088876">
      <w:start w:val="1"/>
      <w:numFmt w:val="decimal"/>
      <w:lvlText w:val="%1)"/>
      <w:lvlJc w:val="left"/>
      <w:pPr>
        <w:ind w:left="405"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55624A3C"/>
    <w:multiLevelType w:val="hybridMultilevel"/>
    <w:tmpl w:val="4A40FD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nsid w:val="57604C25"/>
    <w:multiLevelType w:val="hybridMultilevel"/>
    <w:tmpl w:val="DE70291E"/>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nsid w:val="5958511C"/>
    <w:multiLevelType w:val="hybridMultilevel"/>
    <w:tmpl w:val="C4F8F1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5A7178B1"/>
    <w:multiLevelType w:val="hybridMultilevel"/>
    <w:tmpl w:val="F5D6D63E"/>
    <w:lvl w:ilvl="0" w:tplc="5EDA4F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C667469"/>
    <w:multiLevelType w:val="hybridMultilevel"/>
    <w:tmpl w:val="160A0360"/>
    <w:lvl w:ilvl="0" w:tplc="FD02E550">
      <w:start w:val="1"/>
      <w:numFmt w:val="decimal"/>
      <w:lvlText w:val="%1)"/>
      <w:lvlJc w:val="left"/>
      <w:pPr>
        <w:ind w:left="405"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nsid w:val="6060073E"/>
    <w:multiLevelType w:val="hybridMultilevel"/>
    <w:tmpl w:val="D50A68B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4">
    <w:nsid w:val="62233043"/>
    <w:multiLevelType w:val="hybridMultilevel"/>
    <w:tmpl w:val="8DCAF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2B34715"/>
    <w:multiLevelType w:val="hybridMultilevel"/>
    <w:tmpl w:val="87CE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4C945DA"/>
    <w:multiLevelType w:val="hybridMultilevel"/>
    <w:tmpl w:val="0A78D9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7">
    <w:nsid w:val="65604F51"/>
    <w:multiLevelType w:val="hybridMultilevel"/>
    <w:tmpl w:val="5310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21483F"/>
    <w:multiLevelType w:val="hybridMultilevel"/>
    <w:tmpl w:val="A9824B76"/>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9">
    <w:nsid w:val="693D2413"/>
    <w:multiLevelType w:val="hybridMultilevel"/>
    <w:tmpl w:val="BC26ABFC"/>
    <w:lvl w:ilvl="0" w:tplc="52840C4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nsid w:val="729C1943"/>
    <w:multiLevelType w:val="hybridMultilevel"/>
    <w:tmpl w:val="8A14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9E73B6"/>
    <w:multiLevelType w:val="multilevel"/>
    <w:tmpl w:val="A084640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nsid w:val="730D7E80"/>
    <w:multiLevelType w:val="hybridMultilevel"/>
    <w:tmpl w:val="FFDE6BDC"/>
    <w:lvl w:ilvl="0" w:tplc="0809000F">
      <w:start w:val="1"/>
      <w:numFmt w:val="bullet"/>
      <w:lvlText w:val=""/>
      <w:lvlJc w:val="left"/>
      <w:pPr>
        <w:tabs>
          <w:tab w:val="num" w:pos="720"/>
        </w:tabs>
        <w:ind w:left="720" w:hanging="360"/>
      </w:pPr>
      <w:rPr>
        <w:rFonts w:ascii="Wingdings" w:hAnsi="Wingdings"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3">
    <w:nsid w:val="741F10E4"/>
    <w:multiLevelType w:val="hybridMultilevel"/>
    <w:tmpl w:val="458C5CBE"/>
    <w:lvl w:ilvl="0" w:tplc="08090001">
      <w:start w:val="1"/>
      <w:numFmt w:val="bullet"/>
      <w:lvlText w:val=""/>
      <w:lvlJc w:val="left"/>
      <w:pPr>
        <w:ind w:left="765" w:hanging="360"/>
      </w:pPr>
      <w:rPr>
        <w:rFonts w:ascii="Symbol" w:hAnsi="Symbol" w:hint="default"/>
      </w:rPr>
    </w:lvl>
    <w:lvl w:ilvl="1" w:tplc="AE92A590"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4">
    <w:nsid w:val="7573197C"/>
    <w:multiLevelType w:val="hybridMultilevel"/>
    <w:tmpl w:val="B81CADA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5">
    <w:nsid w:val="767544D1"/>
    <w:multiLevelType w:val="hybridMultilevel"/>
    <w:tmpl w:val="98F6AC32"/>
    <w:lvl w:ilvl="0" w:tplc="0809000F">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6">
    <w:nsid w:val="76DA6AE3"/>
    <w:multiLevelType w:val="hybridMultilevel"/>
    <w:tmpl w:val="6E289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nsid w:val="7CEE126E"/>
    <w:multiLevelType w:val="hybridMultilevel"/>
    <w:tmpl w:val="77D0DCDE"/>
    <w:lvl w:ilvl="0" w:tplc="7110D61A">
      <w:start w:val="1"/>
      <w:numFmt w:val="bullet"/>
      <w:lvlText w:val=""/>
      <w:lvlJc w:val="left"/>
      <w:pPr>
        <w:tabs>
          <w:tab w:val="num" w:pos="357"/>
        </w:tabs>
        <w:ind w:left="357" w:hanging="357"/>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52"/>
  </w:num>
  <w:num w:numId="3">
    <w:abstractNumId w:val="31"/>
  </w:num>
  <w:num w:numId="4">
    <w:abstractNumId w:val="21"/>
  </w:num>
  <w:num w:numId="5">
    <w:abstractNumId w:val="1"/>
  </w:num>
  <w:num w:numId="6">
    <w:abstractNumId w:val="35"/>
  </w:num>
  <w:num w:numId="7">
    <w:abstractNumId w:val="14"/>
  </w:num>
  <w:num w:numId="8">
    <w:abstractNumId w:val="34"/>
  </w:num>
  <w:num w:numId="9">
    <w:abstractNumId w:val="43"/>
  </w:num>
  <w:num w:numId="10">
    <w:abstractNumId w:val="53"/>
  </w:num>
  <w:num w:numId="11">
    <w:abstractNumId w:val="18"/>
  </w:num>
  <w:num w:numId="12">
    <w:abstractNumId w:val="0"/>
  </w:num>
  <w:num w:numId="13">
    <w:abstractNumId w:val="7"/>
  </w:num>
  <w:num w:numId="14">
    <w:abstractNumId w:val="45"/>
  </w:num>
  <w:num w:numId="15">
    <w:abstractNumId w:val="51"/>
  </w:num>
  <w:num w:numId="16">
    <w:abstractNumId w:val="23"/>
  </w:num>
  <w:num w:numId="17">
    <w:abstractNumId w:val="2"/>
  </w:num>
  <w:num w:numId="18">
    <w:abstractNumId w:val="54"/>
  </w:num>
  <w:num w:numId="19">
    <w:abstractNumId w:val="56"/>
  </w:num>
  <w:num w:numId="20">
    <w:abstractNumId w:val="37"/>
  </w:num>
  <w:num w:numId="21">
    <w:abstractNumId w:val="38"/>
  </w:num>
  <w:num w:numId="22">
    <w:abstractNumId w:val="42"/>
  </w:num>
  <w:num w:numId="23">
    <w:abstractNumId w:val="5"/>
  </w:num>
  <w:num w:numId="24">
    <w:abstractNumId w:val="27"/>
  </w:num>
  <w:num w:numId="25">
    <w:abstractNumId w:val="15"/>
  </w:num>
  <w:num w:numId="26">
    <w:abstractNumId w:val="48"/>
  </w:num>
  <w:num w:numId="27">
    <w:abstractNumId w:val="12"/>
  </w:num>
  <w:num w:numId="28">
    <w:abstractNumId w:val="49"/>
  </w:num>
  <w:num w:numId="29">
    <w:abstractNumId w:val="50"/>
  </w:num>
  <w:num w:numId="30">
    <w:abstractNumId w:val="29"/>
  </w:num>
  <w:num w:numId="31">
    <w:abstractNumId w:val="30"/>
  </w:num>
  <w:num w:numId="32">
    <w:abstractNumId w:val="24"/>
  </w:num>
  <w:num w:numId="33">
    <w:abstractNumId w:val="16"/>
  </w:num>
  <w:num w:numId="34">
    <w:abstractNumId w:val="10"/>
  </w:num>
  <w:num w:numId="35">
    <w:abstractNumId w:val="9"/>
  </w:num>
  <w:num w:numId="36">
    <w:abstractNumId w:val="13"/>
  </w:num>
  <w:num w:numId="37">
    <w:abstractNumId w:val="25"/>
  </w:num>
  <w:num w:numId="38">
    <w:abstractNumId w:val="57"/>
  </w:num>
  <w:num w:numId="39">
    <w:abstractNumId w:val="8"/>
  </w:num>
  <w:num w:numId="40">
    <w:abstractNumId w:val="4"/>
  </w:num>
  <w:num w:numId="41">
    <w:abstractNumId w:val="26"/>
  </w:num>
  <w:num w:numId="42">
    <w:abstractNumId w:val="11"/>
  </w:num>
  <w:num w:numId="43">
    <w:abstractNumId w:val="41"/>
  </w:num>
  <w:num w:numId="44">
    <w:abstractNumId w:val="28"/>
  </w:num>
  <w:num w:numId="45">
    <w:abstractNumId w:val="47"/>
  </w:num>
  <w:num w:numId="46">
    <w:abstractNumId w:val="20"/>
  </w:num>
  <w:num w:numId="47">
    <w:abstractNumId w:val="3"/>
  </w:num>
  <w:num w:numId="48">
    <w:abstractNumId w:val="40"/>
  </w:num>
  <w:num w:numId="49">
    <w:abstractNumId w:val="33"/>
  </w:num>
  <w:num w:numId="50">
    <w:abstractNumId w:val="44"/>
  </w:num>
  <w:num w:numId="51">
    <w:abstractNumId w:val="19"/>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32"/>
  </w:num>
  <w:num w:numId="56">
    <w:abstractNumId w:val="46"/>
  </w:num>
  <w:num w:numId="57">
    <w:abstractNumId w:val="6"/>
  </w:num>
  <w:num w:numId="58">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7777C"/>
    <w:rsid w:val="00003239"/>
    <w:rsid w:val="00004A85"/>
    <w:rsid w:val="000063CA"/>
    <w:rsid w:val="0000766C"/>
    <w:rsid w:val="0000783E"/>
    <w:rsid w:val="0001105A"/>
    <w:rsid w:val="0001168A"/>
    <w:rsid w:val="0001172A"/>
    <w:rsid w:val="00013FCC"/>
    <w:rsid w:val="00014118"/>
    <w:rsid w:val="0001725E"/>
    <w:rsid w:val="0001774C"/>
    <w:rsid w:val="00024295"/>
    <w:rsid w:val="000251CB"/>
    <w:rsid w:val="000276A6"/>
    <w:rsid w:val="00027F73"/>
    <w:rsid w:val="000323F9"/>
    <w:rsid w:val="00035349"/>
    <w:rsid w:val="000365F2"/>
    <w:rsid w:val="00036D61"/>
    <w:rsid w:val="00037EB8"/>
    <w:rsid w:val="00040E3C"/>
    <w:rsid w:val="000427FB"/>
    <w:rsid w:val="000440DC"/>
    <w:rsid w:val="00044350"/>
    <w:rsid w:val="00044B90"/>
    <w:rsid w:val="0004554A"/>
    <w:rsid w:val="00047B42"/>
    <w:rsid w:val="000509F3"/>
    <w:rsid w:val="00051A67"/>
    <w:rsid w:val="000521C3"/>
    <w:rsid w:val="00052678"/>
    <w:rsid w:val="00052DB7"/>
    <w:rsid w:val="00054175"/>
    <w:rsid w:val="0005470F"/>
    <w:rsid w:val="00054D70"/>
    <w:rsid w:val="00057043"/>
    <w:rsid w:val="000617EE"/>
    <w:rsid w:val="00063B82"/>
    <w:rsid w:val="0006431A"/>
    <w:rsid w:val="00065FB0"/>
    <w:rsid w:val="0007340A"/>
    <w:rsid w:val="00074826"/>
    <w:rsid w:val="00076306"/>
    <w:rsid w:val="000775B1"/>
    <w:rsid w:val="0007782A"/>
    <w:rsid w:val="00082941"/>
    <w:rsid w:val="000901B3"/>
    <w:rsid w:val="000935AB"/>
    <w:rsid w:val="00096685"/>
    <w:rsid w:val="000969D6"/>
    <w:rsid w:val="00097DA9"/>
    <w:rsid w:val="000A0E18"/>
    <w:rsid w:val="000A3419"/>
    <w:rsid w:val="000A3739"/>
    <w:rsid w:val="000A7643"/>
    <w:rsid w:val="000A778E"/>
    <w:rsid w:val="000B0F2C"/>
    <w:rsid w:val="000B19EC"/>
    <w:rsid w:val="000B3F10"/>
    <w:rsid w:val="000B415C"/>
    <w:rsid w:val="000B4A47"/>
    <w:rsid w:val="000B5764"/>
    <w:rsid w:val="000B5E36"/>
    <w:rsid w:val="000B687E"/>
    <w:rsid w:val="000C068E"/>
    <w:rsid w:val="000C094A"/>
    <w:rsid w:val="000C0B91"/>
    <w:rsid w:val="000C21AC"/>
    <w:rsid w:val="000C2B04"/>
    <w:rsid w:val="000C2FBB"/>
    <w:rsid w:val="000C3714"/>
    <w:rsid w:val="000C3CE9"/>
    <w:rsid w:val="000C6123"/>
    <w:rsid w:val="000D083E"/>
    <w:rsid w:val="000D0C56"/>
    <w:rsid w:val="000D1C28"/>
    <w:rsid w:val="000D2882"/>
    <w:rsid w:val="000D28C7"/>
    <w:rsid w:val="000D4176"/>
    <w:rsid w:val="000E3A82"/>
    <w:rsid w:val="000E539E"/>
    <w:rsid w:val="000E5B4F"/>
    <w:rsid w:val="00102A57"/>
    <w:rsid w:val="00103043"/>
    <w:rsid w:val="0010684D"/>
    <w:rsid w:val="00115550"/>
    <w:rsid w:val="00115D3F"/>
    <w:rsid w:val="00116077"/>
    <w:rsid w:val="00122C0E"/>
    <w:rsid w:val="00124402"/>
    <w:rsid w:val="0012483B"/>
    <w:rsid w:val="00127F10"/>
    <w:rsid w:val="0013365C"/>
    <w:rsid w:val="00137574"/>
    <w:rsid w:val="00142782"/>
    <w:rsid w:val="0014540D"/>
    <w:rsid w:val="001456EF"/>
    <w:rsid w:val="00145AEB"/>
    <w:rsid w:val="001460E6"/>
    <w:rsid w:val="00153E10"/>
    <w:rsid w:val="00156DF3"/>
    <w:rsid w:val="00157159"/>
    <w:rsid w:val="00157759"/>
    <w:rsid w:val="00157ABD"/>
    <w:rsid w:val="00160B54"/>
    <w:rsid w:val="00160FA1"/>
    <w:rsid w:val="00164611"/>
    <w:rsid w:val="00166EEB"/>
    <w:rsid w:val="00167022"/>
    <w:rsid w:val="00167340"/>
    <w:rsid w:val="00170C78"/>
    <w:rsid w:val="00173376"/>
    <w:rsid w:val="00173500"/>
    <w:rsid w:val="00173A7A"/>
    <w:rsid w:val="00177457"/>
    <w:rsid w:val="0017777C"/>
    <w:rsid w:val="00180E9C"/>
    <w:rsid w:val="0018134B"/>
    <w:rsid w:val="00185332"/>
    <w:rsid w:val="00185C19"/>
    <w:rsid w:val="0019038F"/>
    <w:rsid w:val="001904D7"/>
    <w:rsid w:val="0019074C"/>
    <w:rsid w:val="00190ADC"/>
    <w:rsid w:val="0019325D"/>
    <w:rsid w:val="001958E8"/>
    <w:rsid w:val="00195B6D"/>
    <w:rsid w:val="00197D6F"/>
    <w:rsid w:val="001A0AAE"/>
    <w:rsid w:val="001A113A"/>
    <w:rsid w:val="001A318C"/>
    <w:rsid w:val="001A3BCB"/>
    <w:rsid w:val="001A6236"/>
    <w:rsid w:val="001A66FE"/>
    <w:rsid w:val="001A68CE"/>
    <w:rsid w:val="001B2428"/>
    <w:rsid w:val="001B3881"/>
    <w:rsid w:val="001B3B56"/>
    <w:rsid w:val="001B41AD"/>
    <w:rsid w:val="001B66FF"/>
    <w:rsid w:val="001B6B3C"/>
    <w:rsid w:val="001C0609"/>
    <w:rsid w:val="001C2506"/>
    <w:rsid w:val="001C4F1F"/>
    <w:rsid w:val="001C57AE"/>
    <w:rsid w:val="001C683A"/>
    <w:rsid w:val="001C7154"/>
    <w:rsid w:val="001D14AA"/>
    <w:rsid w:val="001D1AFC"/>
    <w:rsid w:val="001D2EAA"/>
    <w:rsid w:val="001D42B8"/>
    <w:rsid w:val="001D45B5"/>
    <w:rsid w:val="001D5FD3"/>
    <w:rsid w:val="001D61D5"/>
    <w:rsid w:val="001D752A"/>
    <w:rsid w:val="001D7794"/>
    <w:rsid w:val="001E0176"/>
    <w:rsid w:val="001E1073"/>
    <w:rsid w:val="001E2131"/>
    <w:rsid w:val="001E482D"/>
    <w:rsid w:val="001E7D49"/>
    <w:rsid w:val="001F07FF"/>
    <w:rsid w:val="001F3C11"/>
    <w:rsid w:val="001F4315"/>
    <w:rsid w:val="001F516A"/>
    <w:rsid w:val="001F579D"/>
    <w:rsid w:val="00200D5D"/>
    <w:rsid w:val="00205C00"/>
    <w:rsid w:val="00207CB9"/>
    <w:rsid w:val="002105E2"/>
    <w:rsid w:val="00210934"/>
    <w:rsid w:val="00211F4C"/>
    <w:rsid w:val="00213638"/>
    <w:rsid w:val="00214114"/>
    <w:rsid w:val="00216E83"/>
    <w:rsid w:val="0023038D"/>
    <w:rsid w:val="00231356"/>
    <w:rsid w:val="00231E41"/>
    <w:rsid w:val="00233A64"/>
    <w:rsid w:val="002340CD"/>
    <w:rsid w:val="0023741E"/>
    <w:rsid w:val="002379FA"/>
    <w:rsid w:val="00237AE6"/>
    <w:rsid w:val="00241C29"/>
    <w:rsid w:val="002455F0"/>
    <w:rsid w:val="0024726D"/>
    <w:rsid w:val="002477A3"/>
    <w:rsid w:val="00253ED4"/>
    <w:rsid w:val="00254062"/>
    <w:rsid w:val="00254AD2"/>
    <w:rsid w:val="00256C5B"/>
    <w:rsid w:val="0026092C"/>
    <w:rsid w:val="00260B0C"/>
    <w:rsid w:val="00261397"/>
    <w:rsid w:val="002614E6"/>
    <w:rsid w:val="00262E49"/>
    <w:rsid w:val="002662E5"/>
    <w:rsid w:val="00272E8D"/>
    <w:rsid w:val="00275513"/>
    <w:rsid w:val="002772EB"/>
    <w:rsid w:val="00277E7A"/>
    <w:rsid w:val="00280460"/>
    <w:rsid w:val="002805D7"/>
    <w:rsid w:val="002809C6"/>
    <w:rsid w:val="00281351"/>
    <w:rsid w:val="0028235C"/>
    <w:rsid w:val="00286183"/>
    <w:rsid w:val="00286A6A"/>
    <w:rsid w:val="00287286"/>
    <w:rsid w:val="00290458"/>
    <w:rsid w:val="00290753"/>
    <w:rsid w:val="00293200"/>
    <w:rsid w:val="002950F1"/>
    <w:rsid w:val="002977D6"/>
    <w:rsid w:val="002A1EC6"/>
    <w:rsid w:val="002A5DE1"/>
    <w:rsid w:val="002B2E8C"/>
    <w:rsid w:val="002B3031"/>
    <w:rsid w:val="002B3620"/>
    <w:rsid w:val="002B4128"/>
    <w:rsid w:val="002B5658"/>
    <w:rsid w:val="002B6AFF"/>
    <w:rsid w:val="002B7055"/>
    <w:rsid w:val="002B766E"/>
    <w:rsid w:val="002B7E2A"/>
    <w:rsid w:val="002C1D9D"/>
    <w:rsid w:val="002C2B09"/>
    <w:rsid w:val="002C3517"/>
    <w:rsid w:val="002C354C"/>
    <w:rsid w:val="002C3649"/>
    <w:rsid w:val="002C4158"/>
    <w:rsid w:val="002C5355"/>
    <w:rsid w:val="002D1C3F"/>
    <w:rsid w:val="002D7F1A"/>
    <w:rsid w:val="002E0CCF"/>
    <w:rsid w:val="002E0D01"/>
    <w:rsid w:val="002F0314"/>
    <w:rsid w:val="002F23BE"/>
    <w:rsid w:val="002F309C"/>
    <w:rsid w:val="002F3AC4"/>
    <w:rsid w:val="002F700C"/>
    <w:rsid w:val="003029B8"/>
    <w:rsid w:val="00303640"/>
    <w:rsid w:val="00305A94"/>
    <w:rsid w:val="00307B0A"/>
    <w:rsid w:val="00312D14"/>
    <w:rsid w:val="00323ED2"/>
    <w:rsid w:val="00324D2D"/>
    <w:rsid w:val="00326990"/>
    <w:rsid w:val="003277A4"/>
    <w:rsid w:val="00332BFF"/>
    <w:rsid w:val="003344C4"/>
    <w:rsid w:val="00334869"/>
    <w:rsid w:val="00334C33"/>
    <w:rsid w:val="003443E8"/>
    <w:rsid w:val="00345305"/>
    <w:rsid w:val="00345419"/>
    <w:rsid w:val="0034681B"/>
    <w:rsid w:val="00346B41"/>
    <w:rsid w:val="003506FF"/>
    <w:rsid w:val="003518A8"/>
    <w:rsid w:val="00351910"/>
    <w:rsid w:val="003616CF"/>
    <w:rsid w:val="00362444"/>
    <w:rsid w:val="00362D64"/>
    <w:rsid w:val="0036621C"/>
    <w:rsid w:val="00370935"/>
    <w:rsid w:val="00372EF8"/>
    <w:rsid w:val="00375AA0"/>
    <w:rsid w:val="00377924"/>
    <w:rsid w:val="00380F23"/>
    <w:rsid w:val="0038204E"/>
    <w:rsid w:val="00382A9E"/>
    <w:rsid w:val="00382EF1"/>
    <w:rsid w:val="00384E7D"/>
    <w:rsid w:val="00385B33"/>
    <w:rsid w:val="003867AF"/>
    <w:rsid w:val="00386AA4"/>
    <w:rsid w:val="00387D97"/>
    <w:rsid w:val="0039187C"/>
    <w:rsid w:val="00393D0C"/>
    <w:rsid w:val="003A32F3"/>
    <w:rsid w:val="003A44C9"/>
    <w:rsid w:val="003B0BAF"/>
    <w:rsid w:val="003B1CEE"/>
    <w:rsid w:val="003C08FF"/>
    <w:rsid w:val="003C1E78"/>
    <w:rsid w:val="003C2A1F"/>
    <w:rsid w:val="003C6F14"/>
    <w:rsid w:val="003D38B0"/>
    <w:rsid w:val="003D3F3C"/>
    <w:rsid w:val="003D5B8B"/>
    <w:rsid w:val="003D5FDF"/>
    <w:rsid w:val="003E21F8"/>
    <w:rsid w:val="003E6135"/>
    <w:rsid w:val="003E6E87"/>
    <w:rsid w:val="003E7197"/>
    <w:rsid w:val="003E7546"/>
    <w:rsid w:val="003F120E"/>
    <w:rsid w:val="003F1D79"/>
    <w:rsid w:val="003F6D15"/>
    <w:rsid w:val="00406620"/>
    <w:rsid w:val="004071C0"/>
    <w:rsid w:val="004131B4"/>
    <w:rsid w:val="004167E9"/>
    <w:rsid w:val="004209A1"/>
    <w:rsid w:val="004211FE"/>
    <w:rsid w:val="00422010"/>
    <w:rsid w:val="00423885"/>
    <w:rsid w:val="00426B93"/>
    <w:rsid w:val="00431051"/>
    <w:rsid w:val="00431883"/>
    <w:rsid w:val="00431A81"/>
    <w:rsid w:val="0043392E"/>
    <w:rsid w:val="00435551"/>
    <w:rsid w:val="004356F6"/>
    <w:rsid w:val="00441B4B"/>
    <w:rsid w:val="004425E9"/>
    <w:rsid w:val="004430B8"/>
    <w:rsid w:val="00443D1E"/>
    <w:rsid w:val="004450CE"/>
    <w:rsid w:val="00450A06"/>
    <w:rsid w:val="00450E38"/>
    <w:rsid w:val="00454D99"/>
    <w:rsid w:val="00455D8D"/>
    <w:rsid w:val="00455EAE"/>
    <w:rsid w:val="0045695C"/>
    <w:rsid w:val="00457564"/>
    <w:rsid w:val="00465305"/>
    <w:rsid w:val="00465704"/>
    <w:rsid w:val="00465932"/>
    <w:rsid w:val="004665CB"/>
    <w:rsid w:val="00466D6E"/>
    <w:rsid w:val="004675B5"/>
    <w:rsid w:val="00470770"/>
    <w:rsid w:val="0047278B"/>
    <w:rsid w:val="0047281E"/>
    <w:rsid w:val="00474654"/>
    <w:rsid w:val="00474B2C"/>
    <w:rsid w:val="00475504"/>
    <w:rsid w:val="004760DC"/>
    <w:rsid w:val="00477894"/>
    <w:rsid w:val="00482FD8"/>
    <w:rsid w:val="00483BEE"/>
    <w:rsid w:val="00485E60"/>
    <w:rsid w:val="00486C35"/>
    <w:rsid w:val="004901E0"/>
    <w:rsid w:val="004922F2"/>
    <w:rsid w:val="00497576"/>
    <w:rsid w:val="004A026F"/>
    <w:rsid w:val="004A1E4C"/>
    <w:rsid w:val="004A32C6"/>
    <w:rsid w:val="004A379F"/>
    <w:rsid w:val="004A5D4A"/>
    <w:rsid w:val="004A5F2D"/>
    <w:rsid w:val="004B02F2"/>
    <w:rsid w:val="004B0985"/>
    <w:rsid w:val="004B11A4"/>
    <w:rsid w:val="004B5477"/>
    <w:rsid w:val="004C03F5"/>
    <w:rsid w:val="004C2342"/>
    <w:rsid w:val="004C369D"/>
    <w:rsid w:val="004C7A00"/>
    <w:rsid w:val="004D245B"/>
    <w:rsid w:val="004D559C"/>
    <w:rsid w:val="004D6CCD"/>
    <w:rsid w:val="004E12F8"/>
    <w:rsid w:val="004E5D8C"/>
    <w:rsid w:val="004E65E1"/>
    <w:rsid w:val="004E7190"/>
    <w:rsid w:val="004F189F"/>
    <w:rsid w:val="004F2A62"/>
    <w:rsid w:val="004F49E7"/>
    <w:rsid w:val="004F56F4"/>
    <w:rsid w:val="004F630E"/>
    <w:rsid w:val="00500329"/>
    <w:rsid w:val="00500751"/>
    <w:rsid w:val="00500795"/>
    <w:rsid w:val="00500FE1"/>
    <w:rsid w:val="00504492"/>
    <w:rsid w:val="00507944"/>
    <w:rsid w:val="00510151"/>
    <w:rsid w:val="00511635"/>
    <w:rsid w:val="005118A1"/>
    <w:rsid w:val="00513CE6"/>
    <w:rsid w:val="00514540"/>
    <w:rsid w:val="005147C2"/>
    <w:rsid w:val="00516F97"/>
    <w:rsid w:val="00522C68"/>
    <w:rsid w:val="00526279"/>
    <w:rsid w:val="0052656C"/>
    <w:rsid w:val="00531021"/>
    <w:rsid w:val="00532A8D"/>
    <w:rsid w:val="0053634A"/>
    <w:rsid w:val="00536B47"/>
    <w:rsid w:val="00537A6F"/>
    <w:rsid w:val="00544356"/>
    <w:rsid w:val="0055289C"/>
    <w:rsid w:val="00553A75"/>
    <w:rsid w:val="00554E8D"/>
    <w:rsid w:val="00555BA4"/>
    <w:rsid w:val="00555F2B"/>
    <w:rsid w:val="005656E9"/>
    <w:rsid w:val="00567647"/>
    <w:rsid w:val="00570B64"/>
    <w:rsid w:val="00571330"/>
    <w:rsid w:val="00572665"/>
    <w:rsid w:val="00576927"/>
    <w:rsid w:val="0058109D"/>
    <w:rsid w:val="005901B0"/>
    <w:rsid w:val="00591415"/>
    <w:rsid w:val="0059247D"/>
    <w:rsid w:val="00592ACB"/>
    <w:rsid w:val="005946E2"/>
    <w:rsid w:val="005952EC"/>
    <w:rsid w:val="0059544C"/>
    <w:rsid w:val="00597E94"/>
    <w:rsid w:val="005B2886"/>
    <w:rsid w:val="005B61AE"/>
    <w:rsid w:val="005C0B14"/>
    <w:rsid w:val="005C1AAF"/>
    <w:rsid w:val="005C298C"/>
    <w:rsid w:val="005C4C9F"/>
    <w:rsid w:val="005C5258"/>
    <w:rsid w:val="005C579E"/>
    <w:rsid w:val="005D22F8"/>
    <w:rsid w:val="005D6460"/>
    <w:rsid w:val="005E0141"/>
    <w:rsid w:val="005E037B"/>
    <w:rsid w:val="005E3F61"/>
    <w:rsid w:val="005E469B"/>
    <w:rsid w:val="005E48E3"/>
    <w:rsid w:val="005E7C47"/>
    <w:rsid w:val="005F4AD2"/>
    <w:rsid w:val="00600D55"/>
    <w:rsid w:val="00601220"/>
    <w:rsid w:val="00602971"/>
    <w:rsid w:val="00603EAC"/>
    <w:rsid w:val="00604087"/>
    <w:rsid w:val="0060498D"/>
    <w:rsid w:val="00606516"/>
    <w:rsid w:val="00611905"/>
    <w:rsid w:val="00613439"/>
    <w:rsid w:val="00613E68"/>
    <w:rsid w:val="006217AB"/>
    <w:rsid w:val="00624A6C"/>
    <w:rsid w:val="00625FD9"/>
    <w:rsid w:val="006319C9"/>
    <w:rsid w:val="00631D28"/>
    <w:rsid w:val="006331EE"/>
    <w:rsid w:val="0063351F"/>
    <w:rsid w:val="00633B69"/>
    <w:rsid w:val="00634102"/>
    <w:rsid w:val="0063585E"/>
    <w:rsid w:val="00636D62"/>
    <w:rsid w:val="00637A4A"/>
    <w:rsid w:val="00646A1F"/>
    <w:rsid w:val="00650C7F"/>
    <w:rsid w:val="00655878"/>
    <w:rsid w:val="0065758F"/>
    <w:rsid w:val="006605B8"/>
    <w:rsid w:val="006606CF"/>
    <w:rsid w:val="00660876"/>
    <w:rsid w:val="00663CE4"/>
    <w:rsid w:val="0066470D"/>
    <w:rsid w:val="006657DF"/>
    <w:rsid w:val="00666664"/>
    <w:rsid w:val="0066769A"/>
    <w:rsid w:val="00667B76"/>
    <w:rsid w:val="00667C82"/>
    <w:rsid w:val="00670714"/>
    <w:rsid w:val="00671122"/>
    <w:rsid w:val="00672B79"/>
    <w:rsid w:val="006742FA"/>
    <w:rsid w:val="0067785B"/>
    <w:rsid w:val="0068071A"/>
    <w:rsid w:val="0068076C"/>
    <w:rsid w:val="00680B25"/>
    <w:rsid w:val="00682126"/>
    <w:rsid w:val="006825C0"/>
    <w:rsid w:val="00683DC0"/>
    <w:rsid w:val="00685FFD"/>
    <w:rsid w:val="0068776E"/>
    <w:rsid w:val="00687819"/>
    <w:rsid w:val="0069057F"/>
    <w:rsid w:val="00690649"/>
    <w:rsid w:val="006910BB"/>
    <w:rsid w:val="00691E21"/>
    <w:rsid w:val="00691F7F"/>
    <w:rsid w:val="006923A1"/>
    <w:rsid w:val="00693B3D"/>
    <w:rsid w:val="00695420"/>
    <w:rsid w:val="00695F7E"/>
    <w:rsid w:val="006964D8"/>
    <w:rsid w:val="006A0641"/>
    <w:rsid w:val="006A1008"/>
    <w:rsid w:val="006A2A53"/>
    <w:rsid w:val="006A3FBC"/>
    <w:rsid w:val="006A68C4"/>
    <w:rsid w:val="006B33D9"/>
    <w:rsid w:val="006B49BC"/>
    <w:rsid w:val="006C0AA7"/>
    <w:rsid w:val="006C0D79"/>
    <w:rsid w:val="006C1E7C"/>
    <w:rsid w:val="006C3112"/>
    <w:rsid w:val="006C5050"/>
    <w:rsid w:val="006C6938"/>
    <w:rsid w:val="006D188C"/>
    <w:rsid w:val="006D5608"/>
    <w:rsid w:val="006E0160"/>
    <w:rsid w:val="006E0939"/>
    <w:rsid w:val="006E4017"/>
    <w:rsid w:val="006E6FCF"/>
    <w:rsid w:val="006F0412"/>
    <w:rsid w:val="006F3CF1"/>
    <w:rsid w:val="006F4A1A"/>
    <w:rsid w:val="006F5A1F"/>
    <w:rsid w:val="006F62F3"/>
    <w:rsid w:val="00704343"/>
    <w:rsid w:val="00710DAD"/>
    <w:rsid w:val="00713277"/>
    <w:rsid w:val="00720545"/>
    <w:rsid w:val="007208C1"/>
    <w:rsid w:val="0072110E"/>
    <w:rsid w:val="0072276A"/>
    <w:rsid w:val="00736E20"/>
    <w:rsid w:val="00736E46"/>
    <w:rsid w:val="00742698"/>
    <w:rsid w:val="0074293D"/>
    <w:rsid w:val="00747881"/>
    <w:rsid w:val="00750086"/>
    <w:rsid w:val="00750BA5"/>
    <w:rsid w:val="0075153B"/>
    <w:rsid w:val="00753F93"/>
    <w:rsid w:val="00755FEA"/>
    <w:rsid w:val="007565D0"/>
    <w:rsid w:val="00756F5D"/>
    <w:rsid w:val="007603E5"/>
    <w:rsid w:val="0076058C"/>
    <w:rsid w:val="00762044"/>
    <w:rsid w:val="0076225E"/>
    <w:rsid w:val="007659CE"/>
    <w:rsid w:val="00766916"/>
    <w:rsid w:val="00771B49"/>
    <w:rsid w:val="007720AB"/>
    <w:rsid w:val="00772169"/>
    <w:rsid w:val="00772828"/>
    <w:rsid w:val="0077468E"/>
    <w:rsid w:val="00774A63"/>
    <w:rsid w:val="0077573E"/>
    <w:rsid w:val="00776AEB"/>
    <w:rsid w:val="007815BF"/>
    <w:rsid w:val="0078292D"/>
    <w:rsid w:val="00783316"/>
    <w:rsid w:val="007867BF"/>
    <w:rsid w:val="00790272"/>
    <w:rsid w:val="00791C80"/>
    <w:rsid w:val="0079473A"/>
    <w:rsid w:val="007965B9"/>
    <w:rsid w:val="007A442B"/>
    <w:rsid w:val="007A4BFD"/>
    <w:rsid w:val="007A699B"/>
    <w:rsid w:val="007A7F15"/>
    <w:rsid w:val="007B28AE"/>
    <w:rsid w:val="007B5706"/>
    <w:rsid w:val="007B6F49"/>
    <w:rsid w:val="007C047B"/>
    <w:rsid w:val="007C589A"/>
    <w:rsid w:val="007C7F28"/>
    <w:rsid w:val="007D005B"/>
    <w:rsid w:val="007E0B40"/>
    <w:rsid w:val="007E7383"/>
    <w:rsid w:val="007E7650"/>
    <w:rsid w:val="007E7882"/>
    <w:rsid w:val="007E79B7"/>
    <w:rsid w:val="007F3024"/>
    <w:rsid w:val="007F315F"/>
    <w:rsid w:val="007F408C"/>
    <w:rsid w:val="007F40AE"/>
    <w:rsid w:val="007F46A1"/>
    <w:rsid w:val="007F79C4"/>
    <w:rsid w:val="007F7FA0"/>
    <w:rsid w:val="008023C0"/>
    <w:rsid w:val="008034EE"/>
    <w:rsid w:val="0080665D"/>
    <w:rsid w:val="00806B80"/>
    <w:rsid w:val="008070FB"/>
    <w:rsid w:val="00811790"/>
    <w:rsid w:val="00811F6A"/>
    <w:rsid w:val="008128CF"/>
    <w:rsid w:val="00812AE9"/>
    <w:rsid w:val="00814EEF"/>
    <w:rsid w:val="00815136"/>
    <w:rsid w:val="00821820"/>
    <w:rsid w:val="00823CFC"/>
    <w:rsid w:val="00823E85"/>
    <w:rsid w:val="008258C9"/>
    <w:rsid w:val="00825B25"/>
    <w:rsid w:val="00825EDC"/>
    <w:rsid w:val="0082642D"/>
    <w:rsid w:val="0083127F"/>
    <w:rsid w:val="00832709"/>
    <w:rsid w:val="0084016F"/>
    <w:rsid w:val="0084187D"/>
    <w:rsid w:val="0084263E"/>
    <w:rsid w:val="008440DA"/>
    <w:rsid w:val="008442FF"/>
    <w:rsid w:val="00846919"/>
    <w:rsid w:val="00846C66"/>
    <w:rsid w:val="00846DDA"/>
    <w:rsid w:val="00853D1C"/>
    <w:rsid w:val="00856A20"/>
    <w:rsid w:val="00857064"/>
    <w:rsid w:val="00857D12"/>
    <w:rsid w:val="00860DF5"/>
    <w:rsid w:val="0086130B"/>
    <w:rsid w:val="008618CA"/>
    <w:rsid w:val="0086338C"/>
    <w:rsid w:val="00864504"/>
    <w:rsid w:val="00865B28"/>
    <w:rsid w:val="008702E9"/>
    <w:rsid w:val="00871DC3"/>
    <w:rsid w:val="00872DE4"/>
    <w:rsid w:val="008738E9"/>
    <w:rsid w:val="00874E5D"/>
    <w:rsid w:val="00875D9F"/>
    <w:rsid w:val="00877B7B"/>
    <w:rsid w:val="00877C77"/>
    <w:rsid w:val="0088378C"/>
    <w:rsid w:val="00883FE1"/>
    <w:rsid w:val="00884B31"/>
    <w:rsid w:val="00886136"/>
    <w:rsid w:val="0088726D"/>
    <w:rsid w:val="00887D3F"/>
    <w:rsid w:val="00892F40"/>
    <w:rsid w:val="00893E7B"/>
    <w:rsid w:val="008A1AC5"/>
    <w:rsid w:val="008A58C4"/>
    <w:rsid w:val="008B4C0F"/>
    <w:rsid w:val="008C0F8D"/>
    <w:rsid w:val="008C734B"/>
    <w:rsid w:val="008C744B"/>
    <w:rsid w:val="008D5B8C"/>
    <w:rsid w:val="008D779A"/>
    <w:rsid w:val="008E07BF"/>
    <w:rsid w:val="008E29BA"/>
    <w:rsid w:val="008E5277"/>
    <w:rsid w:val="008E6382"/>
    <w:rsid w:val="008E7E11"/>
    <w:rsid w:val="008F0C66"/>
    <w:rsid w:val="008F1D48"/>
    <w:rsid w:val="008F69B7"/>
    <w:rsid w:val="008F7499"/>
    <w:rsid w:val="0090098F"/>
    <w:rsid w:val="00901128"/>
    <w:rsid w:val="00902447"/>
    <w:rsid w:val="00903768"/>
    <w:rsid w:val="00903C3E"/>
    <w:rsid w:val="009057D9"/>
    <w:rsid w:val="0090704A"/>
    <w:rsid w:val="009077F7"/>
    <w:rsid w:val="00911231"/>
    <w:rsid w:val="00911F14"/>
    <w:rsid w:val="0091254D"/>
    <w:rsid w:val="009159DA"/>
    <w:rsid w:val="00917AEB"/>
    <w:rsid w:val="00922AA6"/>
    <w:rsid w:val="00923DB1"/>
    <w:rsid w:val="0092476F"/>
    <w:rsid w:val="009256F0"/>
    <w:rsid w:val="00925FDF"/>
    <w:rsid w:val="00926591"/>
    <w:rsid w:val="00927044"/>
    <w:rsid w:val="0092774D"/>
    <w:rsid w:val="00935065"/>
    <w:rsid w:val="00936730"/>
    <w:rsid w:val="009370A7"/>
    <w:rsid w:val="009378DB"/>
    <w:rsid w:val="00940496"/>
    <w:rsid w:val="00942150"/>
    <w:rsid w:val="00942260"/>
    <w:rsid w:val="009430CF"/>
    <w:rsid w:val="00943278"/>
    <w:rsid w:val="00943DEC"/>
    <w:rsid w:val="00944C8C"/>
    <w:rsid w:val="0095010C"/>
    <w:rsid w:val="00951182"/>
    <w:rsid w:val="0095159B"/>
    <w:rsid w:val="009540C8"/>
    <w:rsid w:val="009578A4"/>
    <w:rsid w:val="00957C46"/>
    <w:rsid w:val="00961B32"/>
    <w:rsid w:val="00962A54"/>
    <w:rsid w:val="0096406F"/>
    <w:rsid w:val="009659F1"/>
    <w:rsid w:val="00966A54"/>
    <w:rsid w:val="00971B7F"/>
    <w:rsid w:val="00971C89"/>
    <w:rsid w:val="00974BD4"/>
    <w:rsid w:val="00975F5A"/>
    <w:rsid w:val="009776EB"/>
    <w:rsid w:val="0098006E"/>
    <w:rsid w:val="0098011B"/>
    <w:rsid w:val="00984BBF"/>
    <w:rsid w:val="009950EE"/>
    <w:rsid w:val="00995C97"/>
    <w:rsid w:val="009A2C49"/>
    <w:rsid w:val="009A3B79"/>
    <w:rsid w:val="009A3EB2"/>
    <w:rsid w:val="009A6B2C"/>
    <w:rsid w:val="009B4C1B"/>
    <w:rsid w:val="009B5553"/>
    <w:rsid w:val="009C18D4"/>
    <w:rsid w:val="009C4155"/>
    <w:rsid w:val="009C7C7B"/>
    <w:rsid w:val="009D05B3"/>
    <w:rsid w:val="009D5474"/>
    <w:rsid w:val="009D5A22"/>
    <w:rsid w:val="009D6A65"/>
    <w:rsid w:val="009E4ECF"/>
    <w:rsid w:val="009E58BF"/>
    <w:rsid w:val="009E633D"/>
    <w:rsid w:val="009E75DA"/>
    <w:rsid w:val="009F2A42"/>
    <w:rsid w:val="009F2AE5"/>
    <w:rsid w:val="009F30DC"/>
    <w:rsid w:val="009F65D0"/>
    <w:rsid w:val="009F7654"/>
    <w:rsid w:val="009F7C5E"/>
    <w:rsid w:val="00A02885"/>
    <w:rsid w:val="00A03168"/>
    <w:rsid w:val="00A0335A"/>
    <w:rsid w:val="00A04915"/>
    <w:rsid w:val="00A0570C"/>
    <w:rsid w:val="00A06C33"/>
    <w:rsid w:val="00A07CDF"/>
    <w:rsid w:val="00A117B9"/>
    <w:rsid w:val="00A165AC"/>
    <w:rsid w:val="00A175AC"/>
    <w:rsid w:val="00A21C13"/>
    <w:rsid w:val="00A24C90"/>
    <w:rsid w:val="00A256B3"/>
    <w:rsid w:val="00A26461"/>
    <w:rsid w:val="00A274FC"/>
    <w:rsid w:val="00A31227"/>
    <w:rsid w:val="00A31B08"/>
    <w:rsid w:val="00A3444F"/>
    <w:rsid w:val="00A3522F"/>
    <w:rsid w:val="00A3564C"/>
    <w:rsid w:val="00A356ED"/>
    <w:rsid w:val="00A3707B"/>
    <w:rsid w:val="00A413C8"/>
    <w:rsid w:val="00A46784"/>
    <w:rsid w:val="00A47937"/>
    <w:rsid w:val="00A501CB"/>
    <w:rsid w:val="00A50376"/>
    <w:rsid w:val="00A50825"/>
    <w:rsid w:val="00A50B99"/>
    <w:rsid w:val="00A5136B"/>
    <w:rsid w:val="00A51A33"/>
    <w:rsid w:val="00A558CE"/>
    <w:rsid w:val="00A56C62"/>
    <w:rsid w:val="00A578B5"/>
    <w:rsid w:val="00A61395"/>
    <w:rsid w:val="00A614E5"/>
    <w:rsid w:val="00A65C6D"/>
    <w:rsid w:val="00A66978"/>
    <w:rsid w:val="00A6698A"/>
    <w:rsid w:val="00A66D9D"/>
    <w:rsid w:val="00A676B6"/>
    <w:rsid w:val="00A677F1"/>
    <w:rsid w:val="00A71094"/>
    <w:rsid w:val="00A71223"/>
    <w:rsid w:val="00A748BB"/>
    <w:rsid w:val="00A760D8"/>
    <w:rsid w:val="00A76991"/>
    <w:rsid w:val="00A77E98"/>
    <w:rsid w:val="00A842C7"/>
    <w:rsid w:val="00A847AA"/>
    <w:rsid w:val="00A84F0C"/>
    <w:rsid w:val="00A85A00"/>
    <w:rsid w:val="00A86DE9"/>
    <w:rsid w:val="00A87579"/>
    <w:rsid w:val="00A9033E"/>
    <w:rsid w:val="00A91BFD"/>
    <w:rsid w:val="00A9310A"/>
    <w:rsid w:val="00A96B05"/>
    <w:rsid w:val="00AA0532"/>
    <w:rsid w:val="00AA4895"/>
    <w:rsid w:val="00AA49B8"/>
    <w:rsid w:val="00AA5C43"/>
    <w:rsid w:val="00AB0FDE"/>
    <w:rsid w:val="00AB2BF7"/>
    <w:rsid w:val="00AD0175"/>
    <w:rsid w:val="00AD61F9"/>
    <w:rsid w:val="00AE006A"/>
    <w:rsid w:val="00AE2DCF"/>
    <w:rsid w:val="00AE40E0"/>
    <w:rsid w:val="00AE6CD0"/>
    <w:rsid w:val="00AE7001"/>
    <w:rsid w:val="00AE70C6"/>
    <w:rsid w:val="00AF4A37"/>
    <w:rsid w:val="00AF5140"/>
    <w:rsid w:val="00AF5D97"/>
    <w:rsid w:val="00B01493"/>
    <w:rsid w:val="00B0319D"/>
    <w:rsid w:val="00B038C0"/>
    <w:rsid w:val="00B06BA8"/>
    <w:rsid w:val="00B07868"/>
    <w:rsid w:val="00B10947"/>
    <w:rsid w:val="00B15BE6"/>
    <w:rsid w:val="00B17934"/>
    <w:rsid w:val="00B2070B"/>
    <w:rsid w:val="00B207BD"/>
    <w:rsid w:val="00B211F9"/>
    <w:rsid w:val="00B21396"/>
    <w:rsid w:val="00B21C44"/>
    <w:rsid w:val="00B257F4"/>
    <w:rsid w:val="00B25833"/>
    <w:rsid w:val="00B26B6B"/>
    <w:rsid w:val="00B27A22"/>
    <w:rsid w:val="00B34473"/>
    <w:rsid w:val="00B3591C"/>
    <w:rsid w:val="00B3648F"/>
    <w:rsid w:val="00B36507"/>
    <w:rsid w:val="00B36C9A"/>
    <w:rsid w:val="00B40F94"/>
    <w:rsid w:val="00B42DCC"/>
    <w:rsid w:val="00B43400"/>
    <w:rsid w:val="00B449EB"/>
    <w:rsid w:val="00B4599B"/>
    <w:rsid w:val="00B504DF"/>
    <w:rsid w:val="00B53B3B"/>
    <w:rsid w:val="00B563C0"/>
    <w:rsid w:val="00B56FF9"/>
    <w:rsid w:val="00B57559"/>
    <w:rsid w:val="00B618F0"/>
    <w:rsid w:val="00B62B47"/>
    <w:rsid w:val="00B62D8D"/>
    <w:rsid w:val="00B64672"/>
    <w:rsid w:val="00B66B86"/>
    <w:rsid w:val="00B70A5A"/>
    <w:rsid w:val="00B71000"/>
    <w:rsid w:val="00B732C6"/>
    <w:rsid w:val="00B74A9E"/>
    <w:rsid w:val="00B812EA"/>
    <w:rsid w:val="00B825BB"/>
    <w:rsid w:val="00B82899"/>
    <w:rsid w:val="00B836BA"/>
    <w:rsid w:val="00B83E77"/>
    <w:rsid w:val="00B8726E"/>
    <w:rsid w:val="00B96E00"/>
    <w:rsid w:val="00BA01DB"/>
    <w:rsid w:val="00BA2127"/>
    <w:rsid w:val="00BA2772"/>
    <w:rsid w:val="00BA29EE"/>
    <w:rsid w:val="00BA3529"/>
    <w:rsid w:val="00BA3B42"/>
    <w:rsid w:val="00BA3D7B"/>
    <w:rsid w:val="00BA401D"/>
    <w:rsid w:val="00BA4EA5"/>
    <w:rsid w:val="00BB1508"/>
    <w:rsid w:val="00BB3642"/>
    <w:rsid w:val="00BB5223"/>
    <w:rsid w:val="00BB6D42"/>
    <w:rsid w:val="00BC0E67"/>
    <w:rsid w:val="00BC32F8"/>
    <w:rsid w:val="00BC4C8F"/>
    <w:rsid w:val="00BC6F48"/>
    <w:rsid w:val="00BD19F3"/>
    <w:rsid w:val="00BD2C01"/>
    <w:rsid w:val="00BD2F6B"/>
    <w:rsid w:val="00BD3F4E"/>
    <w:rsid w:val="00BD4A76"/>
    <w:rsid w:val="00BE1D60"/>
    <w:rsid w:val="00BE3AF9"/>
    <w:rsid w:val="00BE7CEB"/>
    <w:rsid w:val="00BF3354"/>
    <w:rsid w:val="00BF4189"/>
    <w:rsid w:val="00BF5DCE"/>
    <w:rsid w:val="00BF6022"/>
    <w:rsid w:val="00BF64FD"/>
    <w:rsid w:val="00BF7903"/>
    <w:rsid w:val="00C03E64"/>
    <w:rsid w:val="00C07871"/>
    <w:rsid w:val="00C1227C"/>
    <w:rsid w:val="00C129EE"/>
    <w:rsid w:val="00C20306"/>
    <w:rsid w:val="00C238EB"/>
    <w:rsid w:val="00C23B14"/>
    <w:rsid w:val="00C2424D"/>
    <w:rsid w:val="00C2466A"/>
    <w:rsid w:val="00C24B0E"/>
    <w:rsid w:val="00C25A30"/>
    <w:rsid w:val="00C25BFE"/>
    <w:rsid w:val="00C2674E"/>
    <w:rsid w:val="00C3155B"/>
    <w:rsid w:val="00C32D47"/>
    <w:rsid w:val="00C33200"/>
    <w:rsid w:val="00C355FA"/>
    <w:rsid w:val="00C40107"/>
    <w:rsid w:val="00C410B4"/>
    <w:rsid w:val="00C42FC5"/>
    <w:rsid w:val="00C43B18"/>
    <w:rsid w:val="00C45D1C"/>
    <w:rsid w:val="00C4715E"/>
    <w:rsid w:val="00C47FC0"/>
    <w:rsid w:val="00C5086B"/>
    <w:rsid w:val="00C53930"/>
    <w:rsid w:val="00C60868"/>
    <w:rsid w:val="00C61EEF"/>
    <w:rsid w:val="00C63589"/>
    <w:rsid w:val="00C65CED"/>
    <w:rsid w:val="00C67664"/>
    <w:rsid w:val="00C6786E"/>
    <w:rsid w:val="00C73D26"/>
    <w:rsid w:val="00C74455"/>
    <w:rsid w:val="00C74B02"/>
    <w:rsid w:val="00C76F1F"/>
    <w:rsid w:val="00C802B6"/>
    <w:rsid w:val="00C810C6"/>
    <w:rsid w:val="00C83208"/>
    <w:rsid w:val="00C86259"/>
    <w:rsid w:val="00C90A15"/>
    <w:rsid w:val="00C90FE8"/>
    <w:rsid w:val="00C9280F"/>
    <w:rsid w:val="00CA1F34"/>
    <w:rsid w:val="00CA3D25"/>
    <w:rsid w:val="00CA5305"/>
    <w:rsid w:val="00CB32C8"/>
    <w:rsid w:val="00CB3466"/>
    <w:rsid w:val="00CB3E74"/>
    <w:rsid w:val="00CB5002"/>
    <w:rsid w:val="00CB56EB"/>
    <w:rsid w:val="00CB5E82"/>
    <w:rsid w:val="00CC0C8C"/>
    <w:rsid w:val="00CC2519"/>
    <w:rsid w:val="00CC28FA"/>
    <w:rsid w:val="00CC2BA6"/>
    <w:rsid w:val="00CC3CE3"/>
    <w:rsid w:val="00CC55FD"/>
    <w:rsid w:val="00CC6432"/>
    <w:rsid w:val="00CC6DBD"/>
    <w:rsid w:val="00CD250B"/>
    <w:rsid w:val="00CD3072"/>
    <w:rsid w:val="00CD5B0B"/>
    <w:rsid w:val="00CE336F"/>
    <w:rsid w:val="00CE361A"/>
    <w:rsid w:val="00CF0B6C"/>
    <w:rsid w:val="00CF3916"/>
    <w:rsid w:val="00CF3B23"/>
    <w:rsid w:val="00CF6AED"/>
    <w:rsid w:val="00CF6D67"/>
    <w:rsid w:val="00CF6E25"/>
    <w:rsid w:val="00D000FF"/>
    <w:rsid w:val="00D02608"/>
    <w:rsid w:val="00D0340D"/>
    <w:rsid w:val="00D050A6"/>
    <w:rsid w:val="00D078B3"/>
    <w:rsid w:val="00D07C73"/>
    <w:rsid w:val="00D126FD"/>
    <w:rsid w:val="00D20A8C"/>
    <w:rsid w:val="00D22BAB"/>
    <w:rsid w:val="00D26CE4"/>
    <w:rsid w:val="00D279D4"/>
    <w:rsid w:val="00D304C7"/>
    <w:rsid w:val="00D30D51"/>
    <w:rsid w:val="00D31DDB"/>
    <w:rsid w:val="00D31ED0"/>
    <w:rsid w:val="00D33642"/>
    <w:rsid w:val="00D33D7A"/>
    <w:rsid w:val="00D41297"/>
    <w:rsid w:val="00D421AD"/>
    <w:rsid w:val="00D4314F"/>
    <w:rsid w:val="00D432CE"/>
    <w:rsid w:val="00D436AA"/>
    <w:rsid w:val="00D47502"/>
    <w:rsid w:val="00D47FE9"/>
    <w:rsid w:val="00D547C3"/>
    <w:rsid w:val="00D55A0D"/>
    <w:rsid w:val="00D55BE1"/>
    <w:rsid w:val="00D56089"/>
    <w:rsid w:val="00D6023E"/>
    <w:rsid w:val="00D60F5D"/>
    <w:rsid w:val="00D61B39"/>
    <w:rsid w:val="00D6254A"/>
    <w:rsid w:val="00D638E0"/>
    <w:rsid w:val="00D63959"/>
    <w:rsid w:val="00D64E06"/>
    <w:rsid w:val="00D652D1"/>
    <w:rsid w:val="00D653C2"/>
    <w:rsid w:val="00D657AA"/>
    <w:rsid w:val="00D65CAF"/>
    <w:rsid w:val="00D6663F"/>
    <w:rsid w:val="00D70B5D"/>
    <w:rsid w:val="00D71290"/>
    <w:rsid w:val="00D71751"/>
    <w:rsid w:val="00D72233"/>
    <w:rsid w:val="00D762B1"/>
    <w:rsid w:val="00D81EE5"/>
    <w:rsid w:val="00D8369D"/>
    <w:rsid w:val="00D85568"/>
    <w:rsid w:val="00D87CAD"/>
    <w:rsid w:val="00D87FDB"/>
    <w:rsid w:val="00D92F84"/>
    <w:rsid w:val="00D93B7A"/>
    <w:rsid w:val="00D94F0C"/>
    <w:rsid w:val="00D972A7"/>
    <w:rsid w:val="00D97900"/>
    <w:rsid w:val="00DA1C83"/>
    <w:rsid w:val="00DA6C4F"/>
    <w:rsid w:val="00DB3E2A"/>
    <w:rsid w:val="00DB6617"/>
    <w:rsid w:val="00DC1206"/>
    <w:rsid w:val="00DC2F71"/>
    <w:rsid w:val="00DC3041"/>
    <w:rsid w:val="00DC7650"/>
    <w:rsid w:val="00DD1C6A"/>
    <w:rsid w:val="00DD308A"/>
    <w:rsid w:val="00DD49A9"/>
    <w:rsid w:val="00DD5019"/>
    <w:rsid w:val="00DD540F"/>
    <w:rsid w:val="00DD58A0"/>
    <w:rsid w:val="00DD69C4"/>
    <w:rsid w:val="00DE0515"/>
    <w:rsid w:val="00DE0AD3"/>
    <w:rsid w:val="00DE115E"/>
    <w:rsid w:val="00DE1644"/>
    <w:rsid w:val="00DE56CB"/>
    <w:rsid w:val="00DE5BA1"/>
    <w:rsid w:val="00DE62FF"/>
    <w:rsid w:val="00DE6E2C"/>
    <w:rsid w:val="00DE772E"/>
    <w:rsid w:val="00DF1DC2"/>
    <w:rsid w:val="00DF3979"/>
    <w:rsid w:val="00DF3BE1"/>
    <w:rsid w:val="00E00418"/>
    <w:rsid w:val="00E01AFF"/>
    <w:rsid w:val="00E034F6"/>
    <w:rsid w:val="00E037F4"/>
    <w:rsid w:val="00E119EB"/>
    <w:rsid w:val="00E137EB"/>
    <w:rsid w:val="00E140B2"/>
    <w:rsid w:val="00E14972"/>
    <w:rsid w:val="00E15A82"/>
    <w:rsid w:val="00E15B4E"/>
    <w:rsid w:val="00E160E9"/>
    <w:rsid w:val="00E17FB8"/>
    <w:rsid w:val="00E201BF"/>
    <w:rsid w:val="00E21B17"/>
    <w:rsid w:val="00E22D60"/>
    <w:rsid w:val="00E231B6"/>
    <w:rsid w:val="00E272B6"/>
    <w:rsid w:val="00E307C9"/>
    <w:rsid w:val="00E3227C"/>
    <w:rsid w:val="00E3624D"/>
    <w:rsid w:val="00E40E0D"/>
    <w:rsid w:val="00E443E3"/>
    <w:rsid w:val="00E44BFB"/>
    <w:rsid w:val="00E47F2B"/>
    <w:rsid w:val="00E504BE"/>
    <w:rsid w:val="00E5084E"/>
    <w:rsid w:val="00E51842"/>
    <w:rsid w:val="00E53F43"/>
    <w:rsid w:val="00E5628F"/>
    <w:rsid w:val="00E57B02"/>
    <w:rsid w:val="00E60D35"/>
    <w:rsid w:val="00E6404E"/>
    <w:rsid w:val="00E66CF4"/>
    <w:rsid w:val="00E67E13"/>
    <w:rsid w:val="00E67F4B"/>
    <w:rsid w:val="00E7115B"/>
    <w:rsid w:val="00E72A13"/>
    <w:rsid w:val="00E73BCF"/>
    <w:rsid w:val="00E928EE"/>
    <w:rsid w:val="00E95B68"/>
    <w:rsid w:val="00E96B41"/>
    <w:rsid w:val="00E96C6C"/>
    <w:rsid w:val="00EA1208"/>
    <w:rsid w:val="00EA28C9"/>
    <w:rsid w:val="00EA52BD"/>
    <w:rsid w:val="00EA7E58"/>
    <w:rsid w:val="00EA7F1C"/>
    <w:rsid w:val="00EB1087"/>
    <w:rsid w:val="00EB405C"/>
    <w:rsid w:val="00EC1656"/>
    <w:rsid w:val="00EC3BE6"/>
    <w:rsid w:val="00ED02E2"/>
    <w:rsid w:val="00ED063D"/>
    <w:rsid w:val="00ED3BBA"/>
    <w:rsid w:val="00ED4664"/>
    <w:rsid w:val="00ED5C00"/>
    <w:rsid w:val="00ED61E8"/>
    <w:rsid w:val="00ED6330"/>
    <w:rsid w:val="00EE21C8"/>
    <w:rsid w:val="00EE24A7"/>
    <w:rsid w:val="00EE3459"/>
    <w:rsid w:val="00EE6C2E"/>
    <w:rsid w:val="00EF496A"/>
    <w:rsid w:val="00EF4F3C"/>
    <w:rsid w:val="00EF5178"/>
    <w:rsid w:val="00F02803"/>
    <w:rsid w:val="00F0481C"/>
    <w:rsid w:val="00F052B2"/>
    <w:rsid w:val="00F05432"/>
    <w:rsid w:val="00F05AC3"/>
    <w:rsid w:val="00F07981"/>
    <w:rsid w:val="00F11B8C"/>
    <w:rsid w:val="00F15121"/>
    <w:rsid w:val="00F1596C"/>
    <w:rsid w:val="00F21075"/>
    <w:rsid w:val="00F24970"/>
    <w:rsid w:val="00F25212"/>
    <w:rsid w:val="00F27E96"/>
    <w:rsid w:val="00F30D05"/>
    <w:rsid w:val="00F30ED4"/>
    <w:rsid w:val="00F31C10"/>
    <w:rsid w:val="00F31FBD"/>
    <w:rsid w:val="00F369D5"/>
    <w:rsid w:val="00F372D9"/>
    <w:rsid w:val="00F42EFB"/>
    <w:rsid w:val="00F4315C"/>
    <w:rsid w:val="00F436C8"/>
    <w:rsid w:val="00F45836"/>
    <w:rsid w:val="00F466C1"/>
    <w:rsid w:val="00F47825"/>
    <w:rsid w:val="00F53A20"/>
    <w:rsid w:val="00F608E0"/>
    <w:rsid w:val="00F6182D"/>
    <w:rsid w:val="00F624E2"/>
    <w:rsid w:val="00F6463A"/>
    <w:rsid w:val="00F66BD2"/>
    <w:rsid w:val="00F670AF"/>
    <w:rsid w:val="00F67D7B"/>
    <w:rsid w:val="00F70F42"/>
    <w:rsid w:val="00F712ED"/>
    <w:rsid w:val="00F71C18"/>
    <w:rsid w:val="00F730B1"/>
    <w:rsid w:val="00F765EE"/>
    <w:rsid w:val="00F779AD"/>
    <w:rsid w:val="00F8023C"/>
    <w:rsid w:val="00F83D4E"/>
    <w:rsid w:val="00F85489"/>
    <w:rsid w:val="00F855B9"/>
    <w:rsid w:val="00F87DBC"/>
    <w:rsid w:val="00F92A94"/>
    <w:rsid w:val="00F92E57"/>
    <w:rsid w:val="00F93257"/>
    <w:rsid w:val="00FA2D48"/>
    <w:rsid w:val="00FA3305"/>
    <w:rsid w:val="00FA56BA"/>
    <w:rsid w:val="00FA5F76"/>
    <w:rsid w:val="00FA7412"/>
    <w:rsid w:val="00FB0F7B"/>
    <w:rsid w:val="00FB3026"/>
    <w:rsid w:val="00FC303D"/>
    <w:rsid w:val="00FC49CA"/>
    <w:rsid w:val="00FC52F5"/>
    <w:rsid w:val="00FC5B57"/>
    <w:rsid w:val="00FC7E98"/>
    <w:rsid w:val="00FD0C57"/>
    <w:rsid w:val="00FD2526"/>
    <w:rsid w:val="00FD26DF"/>
    <w:rsid w:val="00FD2E2A"/>
    <w:rsid w:val="00FD2E7F"/>
    <w:rsid w:val="00FD447C"/>
    <w:rsid w:val="00FD776E"/>
    <w:rsid w:val="00FE1CED"/>
    <w:rsid w:val="00FE300A"/>
    <w:rsid w:val="00FE5606"/>
    <w:rsid w:val="00FF12D8"/>
    <w:rsid w:val="00FF2565"/>
    <w:rsid w:val="00FF45AC"/>
    <w:rsid w:val="00FF474B"/>
    <w:rsid w:val="00FF5C1B"/>
    <w:rsid w:val="00FF66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7777C"/>
    <w:rPr>
      <w:rFonts w:ascii="Times New Roman" w:eastAsia="Times New Roman" w:hAnsi="Times New Roman"/>
      <w:sz w:val="24"/>
      <w:szCs w:val="24"/>
    </w:rPr>
  </w:style>
  <w:style w:type="paragraph" w:styleId="Heading1">
    <w:name w:val="heading 1"/>
    <w:basedOn w:val="Heading3"/>
    <w:next w:val="Normal"/>
    <w:link w:val="Heading1Char"/>
    <w:uiPriority w:val="99"/>
    <w:qFormat/>
    <w:locked/>
    <w:rsid w:val="004A026F"/>
    <w:pPr>
      <w:outlineLvl w:val="0"/>
    </w:pPr>
    <w:rPr>
      <w:sz w:val="28"/>
      <w:szCs w:val="28"/>
    </w:rPr>
  </w:style>
  <w:style w:type="paragraph" w:styleId="Heading2">
    <w:name w:val="heading 2"/>
    <w:basedOn w:val="Normal"/>
    <w:next w:val="Normal"/>
    <w:link w:val="Heading2Char"/>
    <w:uiPriority w:val="99"/>
    <w:qFormat/>
    <w:locked/>
    <w:rsid w:val="0084016F"/>
    <w:pPr>
      <w:outlineLvl w:val="1"/>
    </w:pPr>
    <w:rPr>
      <w:rFonts w:ascii="Arial" w:hAnsi="Arial" w:cs="Arial"/>
      <w:b/>
      <w:color w:val="FFFFFF" w:themeColor="background1"/>
      <w:sz w:val="28"/>
      <w:szCs w:val="28"/>
    </w:rPr>
  </w:style>
  <w:style w:type="paragraph" w:styleId="Heading3">
    <w:name w:val="heading 3"/>
    <w:basedOn w:val="Heading2"/>
    <w:next w:val="Normal"/>
    <w:link w:val="Heading3Char"/>
    <w:uiPriority w:val="99"/>
    <w:qFormat/>
    <w:locked/>
    <w:rsid w:val="00ED3BBA"/>
    <w:pPr>
      <w:outlineLvl w:val="2"/>
    </w:pPr>
    <w:rPr>
      <w:i/>
      <w:color w:val="0070C0"/>
      <w:sz w:val="24"/>
      <w:szCs w:val="24"/>
    </w:rPr>
  </w:style>
  <w:style w:type="paragraph" w:styleId="Heading4">
    <w:name w:val="heading 4"/>
    <w:basedOn w:val="Normal"/>
    <w:next w:val="Normal"/>
    <w:link w:val="Heading4Char"/>
    <w:uiPriority w:val="99"/>
    <w:qFormat/>
    <w:locked/>
    <w:rsid w:val="0068071A"/>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026F"/>
    <w:rPr>
      <w:rFonts w:ascii="Arial" w:eastAsia="Times New Roman" w:hAnsi="Arial" w:cs="Arial"/>
      <w:b/>
      <w:i/>
      <w:color w:val="0070C0"/>
      <w:sz w:val="28"/>
      <w:szCs w:val="28"/>
    </w:rPr>
  </w:style>
  <w:style w:type="character" w:customStyle="1" w:styleId="Heading2Char">
    <w:name w:val="Heading 2 Char"/>
    <w:basedOn w:val="DefaultParagraphFont"/>
    <w:link w:val="Heading2"/>
    <w:uiPriority w:val="99"/>
    <w:locked/>
    <w:rsid w:val="0084016F"/>
    <w:rPr>
      <w:rFonts w:ascii="Arial" w:eastAsia="Times New Roman" w:hAnsi="Arial" w:cs="Arial"/>
      <w:b/>
      <w:color w:val="FFFFFF" w:themeColor="background1"/>
      <w:sz w:val="28"/>
      <w:szCs w:val="28"/>
    </w:rPr>
  </w:style>
  <w:style w:type="character" w:customStyle="1" w:styleId="Heading3Char">
    <w:name w:val="Heading 3 Char"/>
    <w:basedOn w:val="DefaultParagraphFont"/>
    <w:link w:val="Heading3"/>
    <w:uiPriority w:val="99"/>
    <w:locked/>
    <w:rsid w:val="00ED3BBA"/>
    <w:rPr>
      <w:rFonts w:ascii="Arial" w:eastAsia="Times New Roman" w:hAnsi="Arial" w:cs="Arial"/>
      <w:b/>
      <w:i/>
      <w:color w:val="0070C0"/>
      <w:sz w:val="24"/>
      <w:szCs w:val="24"/>
    </w:rPr>
  </w:style>
  <w:style w:type="character" w:customStyle="1" w:styleId="Heading4Char">
    <w:name w:val="Heading 4 Char"/>
    <w:basedOn w:val="DefaultParagraphFont"/>
    <w:link w:val="Heading4"/>
    <w:uiPriority w:val="99"/>
    <w:locked/>
    <w:rsid w:val="0068071A"/>
    <w:rPr>
      <w:rFonts w:ascii="Cambria" w:hAnsi="Cambria" w:cs="Times New Roman"/>
      <w:b/>
      <w:bCs/>
      <w:i/>
      <w:iCs/>
      <w:color w:val="4F81BD"/>
      <w:sz w:val="24"/>
      <w:szCs w:val="24"/>
    </w:rPr>
  </w:style>
  <w:style w:type="paragraph" w:styleId="NormalWeb">
    <w:name w:val="Normal (Web)"/>
    <w:basedOn w:val="Normal"/>
    <w:uiPriority w:val="99"/>
    <w:rsid w:val="0017777C"/>
  </w:style>
  <w:style w:type="paragraph" w:styleId="ListParagraph">
    <w:name w:val="List Paragraph"/>
    <w:basedOn w:val="Normal"/>
    <w:uiPriority w:val="34"/>
    <w:qFormat/>
    <w:rsid w:val="0017777C"/>
    <w:pPr>
      <w:ind w:left="720"/>
      <w:contextualSpacing/>
    </w:pPr>
  </w:style>
  <w:style w:type="paragraph" w:styleId="BalloonText">
    <w:name w:val="Balloon Text"/>
    <w:basedOn w:val="Normal"/>
    <w:link w:val="BalloonTextChar"/>
    <w:uiPriority w:val="99"/>
    <w:semiHidden/>
    <w:rsid w:val="00971C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1C89"/>
    <w:rPr>
      <w:rFonts w:ascii="Tahoma" w:hAnsi="Tahoma" w:cs="Tahoma"/>
      <w:sz w:val="16"/>
      <w:szCs w:val="16"/>
      <w:lang w:eastAsia="en-GB"/>
    </w:rPr>
  </w:style>
  <w:style w:type="character" w:styleId="CommentReference">
    <w:name w:val="annotation reference"/>
    <w:basedOn w:val="DefaultParagraphFont"/>
    <w:uiPriority w:val="99"/>
    <w:semiHidden/>
    <w:rsid w:val="000D0C56"/>
    <w:rPr>
      <w:rFonts w:cs="Times New Roman"/>
      <w:sz w:val="16"/>
      <w:szCs w:val="16"/>
    </w:rPr>
  </w:style>
  <w:style w:type="paragraph" w:styleId="CommentText">
    <w:name w:val="annotation text"/>
    <w:basedOn w:val="Normal"/>
    <w:link w:val="CommentTextChar"/>
    <w:uiPriority w:val="99"/>
    <w:semiHidden/>
    <w:rsid w:val="000D0C56"/>
    <w:rPr>
      <w:sz w:val="20"/>
      <w:szCs w:val="20"/>
    </w:rPr>
  </w:style>
  <w:style w:type="character" w:customStyle="1" w:styleId="CommentTextChar">
    <w:name w:val="Comment Text Char"/>
    <w:basedOn w:val="DefaultParagraphFont"/>
    <w:link w:val="CommentText"/>
    <w:uiPriority w:val="99"/>
    <w:semiHidden/>
    <w:locked/>
    <w:rsid w:val="000D0C56"/>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0D0C56"/>
    <w:rPr>
      <w:b/>
      <w:bCs/>
    </w:rPr>
  </w:style>
  <w:style w:type="character" w:customStyle="1" w:styleId="CommentSubjectChar">
    <w:name w:val="Comment Subject Char"/>
    <w:basedOn w:val="CommentTextChar"/>
    <w:link w:val="CommentSubject"/>
    <w:uiPriority w:val="99"/>
    <w:semiHidden/>
    <w:locked/>
    <w:rsid w:val="000D0C56"/>
    <w:rPr>
      <w:b/>
      <w:bCs/>
    </w:rPr>
  </w:style>
  <w:style w:type="character" w:customStyle="1" w:styleId="A8">
    <w:name w:val="A8"/>
    <w:uiPriority w:val="99"/>
    <w:rsid w:val="00893E7B"/>
    <w:rPr>
      <w:color w:val="000000"/>
    </w:rPr>
  </w:style>
  <w:style w:type="paragraph" w:customStyle="1" w:styleId="Pa1">
    <w:name w:val="Pa1"/>
    <w:basedOn w:val="Normal"/>
    <w:next w:val="Normal"/>
    <w:uiPriority w:val="99"/>
    <w:rsid w:val="00893E7B"/>
    <w:pPr>
      <w:autoSpaceDE w:val="0"/>
      <w:autoSpaceDN w:val="0"/>
      <w:adjustRightInd w:val="0"/>
      <w:spacing w:line="241" w:lineRule="atLeast"/>
    </w:pPr>
    <w:rPr>
      <w:rFonts w:ascii="The Sans Semi Light" w:eastAsia="Calibri" w:hAnsi="The Sans Semi Light"/>
    </w:rPr>
  </w:style>
  <w:style w:type="paragraph" w:customStyle="1" w:styleId="Default">
    <w:name w:val="Default"/>
    <w:uiPriority w:val="99"/>
    <w:rsid w:val="00893E7B"/>
    <w:pPr>
      <w:autoSpaceDE w:val="0"/>
      <w:autoSpaceDN w:val="0"/>
      <w:adjustRightInd w:val="0"/>
    </w:pPr>
    <w:rPr>
      <w:rFonts w:ascii="The Sans Semi Bold" w:hAnsi="The Sans Semi Bold" w:cs="The Sans Semi Bold"/>
      <w:color w:val="000000"/>
      <w:sz w:val="24"/>
      <w:szCs w:val="24"/>
    </w:rPr>
  </w:style>
  <w:style w:type="paragraph" w:styleId="Header">
    <w:name w:val="header"/>
    <w:basedOn w:val="Normal"/>
    <w:link w:val="HeaderChar"/>
    <w:uiPriority w:val="99"/>
    <w:rsid w:val="009F7C5E"/>
    <w:pPr>
      <w:tabs>
        <w:tab w:val="center" w:pos="4513"/>
        <w:tab w:val="right" w:pos="9026"/>
      </w:tabs>
    </w:pPr>
  </w:style>
  <w:style w:type="character" w:customStyle="1" w:styleId="HeaderChar">
    <w:name w:val="Header Char"/>
    <w:basedOn w:val="DefaultParagraphFont"/>
    <w:link w:val="Header"/>
    <w:uiPriority w:val="99"/>
    <w:locked/>
    <w:rsid w:val="009F7C5E"/>
    <w:rPr>
      <w:rFonts w:ascii="Times New Roman" w:hAnsi="Times New Roman" w:cs="Times New Roman"/>
      <w:sz w:val="24"/>
      <w:szCs w:val="24"/>
    </w:rPr>
  </w:style>
  <w:style w:type="paragraph" w:styleId="Footer">
    <w:name w:val="footer"/>
    <w:basedOn w:val="Normal"/>
    <w:link w:val="FooterChar"/>
    <w:uiPriority w:val="99"/>
    <w:rsid w:val="009F7C5E"/>
    <w:pPr>
      <w:tabs>
        <w:tab w:val="center" w:pos="4513"/>
        <w:tab w:val="right" w:pos="9026"/>
      </w:tabs>
    </w:pPr>
  </w:style>
  <w:style w:type="character" w:customStyle="1" w:styleId="FooterChar">
    <w:name w:val="Footer Char"/>
    <w:basedOn w:val="DefaultParagraphFont"/>
    <w:link w:val="Footer"/>
    <w:uiPriority w:val="99"/>
    <w:locked/>
    <w:rsid w:val="009F7C5E"/>
    <w:rPr>
      <w:rFonts w:ascii="Times New Roman" w:hAnsi="Times New Roman" w:cs="Times New Roman"/>
      <w:sz w:val="24"/>
      <w:szCs w:val="24"/>
    </w:rPr>
  </w:style>
  <w:style w:type="paragraph" w:customStyle="1" w:styleId="CM28">
    <w:name w:val="CM28"/>
    <w:basedOn w:val="Normal"/>
    <w:next w:val="Normal"/>
    <w:uiPriority w:val="99"/>
    <w:rsid w:val="00047B42"/>
    <w:pPr>
      <w:autoSpaceDE w:val="0"/>
      <w:autoSpaceDN w:val="0"/>
      <w:adjustRightInd w:val="0"/>
    </w:pPr>
    <w:rPr>
      <w:rFonts w:ascii="Arial" w:eastAsia="Calibri" w:hAnsi="Arial" w:cs="Arial"/>
      <w:lang w:eastAsia="en-US"/>
    </w:rPr>
  </w:style>
  <w:style w:type="character" w:styleId="Hyperlink">
    <w:name w:val="Hyperlink"/>
    <w:basedOn w:val="DefaultParagraphFont"/>
    <w:uiPriority w:val="99"/>
    <w:rsid w:val="00902447"/>
    <w:rPr>
      <w:rFonts w:cs="Times New Roman"/>
      <w:color w:val="0000FF"/>
      <w:u w:val="single"/>
    </w:rPr>
  </w:style>
  <w:style w:type="character" w:styleId="Emphasis">
    <w:name w:val="Emphasis"/>
    <w:basedOn w:val="DefaultParagraphFont"/>
    <w:uiPriority w:val="99"/>
    <w:qFormat/>
    <w:locked/>
    <w:rsid w:val="00CB56EB"/>
    <w:rPr>
      <w:rFonts w:cs="Times New Roman"/>
      <w:b/>
      <w:bCs/>
    </w:rPr>
  </w:style>
  <w:style w:type="paragraph" w:styleId="TOCHeading">
    <w:name w:val="TOC Heading"/>
    <w:basedOn w:val="Heading1"/>
    <w:next w:val="Normal"/>
    <w:uiPriority w:val="99"/>
    <w:qFormat/>
    <w:rsid w:val="0066470D"/>
    <w:pPr>
      <w:spacing w:line="276" w:lineRule="auto"/>
      <w:outlineLvl w:val="9"/>
    </w:pPr>
    <w:rPr>
      <w:lang w:val="en-US" w:eastAsia="en-US"/>
    </w:rPr>
  </w:style>
  <w:style w:type="paragraph" w:styleId="TOC2">
    <w:name w:val="toc 2"/>
    <w:basedOn w:val="Normal"/>
    <w:next w:val="Normal"/>
    <w:autoRedefine/>
    <w:uiPriority w:val="39"/>
    <w:locked/>
    <w:rsid w:val="001A66FE"/>
    <w:pPr>
      <w:spacing w:line="276" w:lineRule="auto"/>
      <w:ind w:left="220"/>
    </w:pPr>
    <w:rPr>
      <w:rFonts w:ascii="Arial" w:hAnsi="Arial"/>
      <w:b/>
      <w:sz w:val="20"/>
      <w:szCs w:val="22"/>
      <w:lang w:val="en-US" w:eastAsia="en-US"/>
    </w:rPr>
  </w:style>
  <w:style w:type="paragraph" w:styleId="TOC1">
    <w:name w:val="toc 1"/>
    <w:basedOn w:val="Normal"/>
    <w:next w:val="Normal"/>
    <w:autoRedefine/>
    <w:uiPriority w:val="39"/>
    <w:locked/>
    <w:rsid w:val="00195B6D"/>
    <w:pPr>
      <w:spacing w:before="120" w:after="120" w:line="276" w:lineRule="auto"/>
    </w:pPr>
    <w:rPr>
      <w:rFonts w:ascii="Arial" w:hAnsi="Arial"/>
      <w:b/>
      <w:szCs w:val="22"/>
      <w:lang w:val="en-US" w:eastAsia="en-US"/>
    </w:rPr>
  </w:style>
  <w:style w:type="paragraph" w:styleId="TOC3">
    <w:name w:val="toc 3"/>
    <w:basedOn w:val="Normal"/>
    <w:next w:val="Normal"/>
    <w:autoRedefine/>
    <w:uiPriority w:val="39"/>
    <w:locked/>
    <w:rsid w:val="001A66FE"/>
    <w:pPr>
      <w:spacing w:line="276" w:lineRule="auto"/>
      <w:ind w:left="440"/>
    </w:pPr>
    <w:rPr>
      <w:rFonts w:ascii="Arial" w:hAnsi="Arial"/>
      <w:i/>
      <w:sz w:val="20"/>
      <w:szCs w:val="22"/>
      <w:lang w:val="en-US" w:eastAsia="en-US"/>
    </w:rPr>
  </w:style>
  <w:style w:type="paragraph" w:customStyle="1" w:styleId="msonormalcxspmiddle">
    <w:name w:val="msonormalcxspmiddle"/>
    <w:basedOn w:val="Normal"/>
    <w:uiPriority w:val="99"/>
    <w:rsid w:val="00DE56CB"/>
    <w:pPr>
      <w:spacing w:before="100" w:beforeAutospacing="1" w:after="100" w:afterAutospacing="1"/>
    </w:pPr>
  </w:style>
  <w:style w:type="character" w:styleId="FollowedHyperlink">
    <w:name w:val="FollowedHyperlink"/>
    <w:basedOn w:val="DefaultParagraphFont"/>
    <w:uiPriority w:val="99"/>
    <w:semiHidden/>
    <w:rsid w:val="00DE56CB"/>
    <w:rPr>
      <w:rFonts w:cs="Times New Roman"/>
      <w:color w:val="800080"/>
      <w:u w:val="single"/>
    </w:rPr>
  </w:style>
  <w:style w:type="paragraph" w:customStyle="1" w:styleId="Bodytext">
    <w:name w:val="Body text"/>
    <w:basedOn w:val="Normal"/>
    <w:link w:val="BodytextChar"/>
    <w:uiPriority w:val="99"/>
    <w:rsid w:val="00DE56CB"/>
    <w:pPr>
      <w:spacing w:before="140" w:after="140"/>
      <w:ind w:left="397"/>
    </w:pPr>
    <w:rPr>
      <w:rFonts w:ascii="Arial" w:eastAsia="Calibri" w:hAnsi="Arial"/>
    </w:rPr>
  </w:style>
  <w:style w:type="character" w:customStyle="1" w:styleId="BodytextChar">
    <w:name w:val="Body text Char"/>
    <w:basedOn w:val="DefaultParagraphFont"/>
    <w:link w:val="Bodytext"/>
    <w:uiPriority w:val="99"/>
    <w:locked/>
    <w:rsid w:val="00DE56CB"/>
    <w:rPr>
      <w:rFonts w:ascii="Arial" w:hAnsi="Arial" w:cs="Times New Roman"/>
      <w:sz w:val="24"/>
      <w:szCs w:val="24"/>
    </w:rPr>
  </w:style>
  <w:style w:type="paragraph" w:customStyle="1" w:styleId="Tableheader">
    <w:name w:val="Table header"/>
    <w:basedOn w:val="Normal"/>
    <w:uiPriority w:val="99"/>
    <w:rsid w:val="00DE56CB"/>
    <w:pPr>
      <w:spacing w:before="120" w:after="120"/>
    </w:pPr>
    <w:rPr>
      <w:rFonts w:ascii="Arial" w:eastAsia="Calibri" w:hAnsi="Arial"/>
      <w:b/>
    </w:rPr>
  </w:style>
  <w:style w:type="character" w:styleId="FootnoteReference">
    <w:name w:val="footnote reference"/>
    <w:basedOn w:val="DefaultParagraphFont"/>
    <w:uiPriority w:val="99"/>
    <w:rsid w:val="00DE56CB"/>
    <w:rPr>
      <w:rFonts w:ascii="Arial" w:hAnsi="Arial" w:cs="Times New Roman"/>
      <w:b/>
      <w:color w:val="7AB800"/>
      <w:vertAlign w:val="superscript"/>
    </w:rPr>
  </w:style>
  <w:style w:type="paragraph" w:customStyle="1" w:styleId="Tabletext10pt">
    <w:name w:val="Table text 10pt"/>
    <w:basedOn w:val="Normal"/>
    <w:uiPriority w:val="99"/>
    <w:rsid w:val="00DE56CB"/>
    <w:pPr>
      <w:spacing w:before="20" w:after="20"/>
    </w:pPr>
    <w:rPr>
      <w:rFonts w:ascii="Arial" w:eastAsia="Calibri" w:hAnsi="Arial"/>
      <w:sz w:val="20"/>
    </w:rPr>
  </w:style>
  <w:style w:type="paragraph" w:customStyle="1" w:styleId="Tablebullet10pt">
    <w:name w:val="Table bullet 10pt"/>
    <w:basedOn w:val="Normal"/>
    <w:uiPriority w:val="99"/>
    <w:rsid w:val="00DE56CB"/>
    <w:pPr>
      <w:tabs>
        <w:tab w:val="left" w:pos="567"/>
        <w:tab w:val="num" w:pos="1174"/>
      </w:tabs>
      <w:spacing w:before="20" w:after="20"/>
      <w:ind w:left="568" w:hanging="284"/>
    </w:pPr>
    <w:rPr>
      <w:rFonts w:ascii="Arial" w:eastAsia="Calibri" w:hAnsi="Arial"/>
      <w:sz w:val="20"/>
    </w:rPr>
  </w:style>
  <w:style w:type="paragraph" w:customStyle="1" w:styleId="default0">
    <w:name w:val="default"/>
    <w:basedOn w:val="Normal"/>
    <w:uiPriority w:val="99"/>
    <w:rsid w:val="00DE56CB"/>
    <w:pPr>
      <w:autoSpaceDE w:val="0"/>
      <w:autoSpaceDN w:val="0"/>
    </w:pPr>
    <w:rPr>
      <w:rFonts w:ascii="Syntax" w:eastAsia="Calibri" w:hAnsi="Syntax"/>
      <w:color w:val="000000"/>
    </w:rPr>
  </w:style>
  <w:style w:type="paragraph" w:customStyle="1" w:styleId="msolistparagraph0">
    <w:name w:val="msolistparagraph"/>
    <w:basedOn w:val="Normal"/>
    <w:uiPriority w:val="99"/>
    <w:rsid w:val="00DE56CB"/>
    <w:pPr>
      <w:ind w:left="720"/>
    </w:pPr>
    <w:rPr>
      <w:rFonts w:eastAsia="Calibri"/>
    </w:rPr>
  </w:style>
  <w:style w:type="character" w:styleId="PageNumber">
    <w:name w:val="page number"/>
    <w:basedOn w:val="DefaultParagraphFont"/>
    <w:uiPriority w:val="99"/>
    <w:rsid w:val="00DE56CB"/>
    <w:rPr>
      <w:rFonts w:cs="Times New Roman"/>
    </w:rPr>
  </w:style>
  <w:style w:type="paragraph" w:customStyle="1" w:styleId="StyleHeading3PatternClearGray-25">
    <w:name w:val="Style Heading 3 + Pattern: Clear (Gray-25%)"/>
    <w:basedOn w:val="Heading3"/>
    <w:uiPriority w:val="99"/>
    <w:rsid w:val="002B7055"/>
    <w:pPr>
      <w:shd w:val="clear" w:color="auto" w:fill="C0C0C0"/>
      <w:spacing w:before="240" w:after="60"/>
    </w:pPr>
    <w:rPr>
      <w:color w:val="auto"/>
      <w:sz w:val="28"/>
      <w:szCs w:val="20"/>
    </w:rPr>
  </w:style>
  <w:style w:type="character" w:customStyle="1" w:styleId="EmailStyle541">
    <w:name w:val="EmailStyle54"/>
    <w:aliases w:val="EmailStyle54"/>
    <w:basedOn w:val="DefaultParagraphFont"/>
    <w:uiPriority w:val="99"/>
    <w:semiHidden/>
    <w:personal/>
    <w:rsid w:val="00384E7D"/>
    <w:rPr>
      <w:rFonts w:ascii="Arial" w:hAnsi="Arial" w:cs="Arial"/>
      <w:color w:val="000080"/>
      <w:sz w:val="20"/>
      <w:szCs w:val="20"/>
    </w:rPr>
  </w:style>
  <w:style w:type="table" w:styleId="TableGrid">
    <w:name w:val="Table Grid"/>
    <w:basedOn w:val="TableNormal"/>
    <w:locked/>
    <w:rsid w:val="00DE0A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Heading3"/>
    <w:link w:val="Style1Char"/>
    <w:uiPriority w:val="99"/>
    <w:rsid w:val="00DC1206"/>
    <w:pPr>
      <w:numPr>
        <w:numId w:val="16"/>
      </w:numPr>
    </w:pPr>
  </w:style>
  <w:style w:type="paragraph" w:customStyle="1" w:styleId="Style2">
    <w:name w:val="Style2"/>
    <w:basedOn w:val="Heading1"/>
    <w:link w:val="Style2Char"/>
    <w:uiPriority w:val="99"/>
    <w:rsid w:val="00FB3026"/>
    <w:rPr>
      <w:rFonts w:ascii="Calibri" w:hAnsi="Calibri"/>
      <w:sz w:val="24"/>
      <w:szCs w:val="24"/>
    </w:rPr>
  </w:style>
  <w:style w:type="character" w:customStyle="1" w:styleId="Style1Char">
    <w:name w:val="Style1 Char"/>
    <w:basedOn w:val="Heading3Char"/>
    <w:link w:val="Style1"/>
    <w:uiPriority w:val="99"/>
    <w:locked/>
    <w:rsid w:val="00DC1206"/>
  </w:style>
  <w:style w:type="character" w:customStyle="1" w:styleId="Style2Char">
    <w:name w:val="Style2 Char"/>
    <w:basedOn w:val="Heading1Char"/>
    <w:link w:val="Style2"/>
    <w:uiPriority w:val="99"/>
    <w:locked/>
    <w:rsid w:val="00FB3026"/>
    <w:rPr>
      <w:sz w:val="24"/>
      <w:szCs w:val="24"/>
    </w:rPr>
  </w:style>
  <w:style w:type="paragraph" w:customStyle="1" w:styleId="Style3">
    <w:name w:val="Style3"/>
    <w:basedOn w:val="Heading2"/>
    <w:link w:val="Style3Char"/>
    <w:uiPriority w:val="99"/>
    <w:rsid w:val="007E0B40"/>
    <w:rPr>
      <w:rFonts w:ascii="Calibri" w:hAnsi="Calibri"/>
      <w:sz w:val="24"/>
      <w:szCs w:val="24"/>
    </w:rPr>
  </w:style>
  <w:style w:type="character" w:customStyle="1" w:styleId="Style3Char">
    <w:name w:val="Style3 Char"/>
    <w:basedOn w:val="Heading2Char"/>
    <w:link w:val="Style3"/>
    <w:uiPriority w:val="99"/>
    <w:locked/>
    <w:rsid w:val="007E0B40"/>
    <w:rPr>
      <w:sz w:val="24"/>
      <w:szCs w:val="24"/>
    </w:rPr>
  </w:style>
  <w:style w:type="paragraph" w:customStyle="1" w:styleId="introtext">
    <w:name w:val="introtext"/>
    <w:basedOn w:val="Normal"/>
    <w:rsid w:val="009430CF"/>
    <w:pPr>
      <w:spacing w:before="100" w:beforeAutospacing="1" w:after="100" w:afterAutospacing="1"/>
    </w:pPr>
  </w:style>
  <w:style w:type="paragraph" w:customStyle="1" w:styleId="bodytext0">
    <w:name w:val="body text"/>
    <w:basedOn w:val="Normal"/>
    <w:link w:val="bodytextChar0"/>
    <w:rsid w:val="00A175AC"/>
    <w:pPr>
      <w:spacing w:line="252" w:lineRule="auto"/>
      <w:ind w:right="-113"/>
    </w:pPr>
    <w:rPr>
      <w:rFonts w:ascii="Arial" w:hAnsi="Arial" w:cs="Arial"/>
      <w:sz w:val="22"/>
    </w:rPr>
  </w:style>
  <w:style w:type="character" w:customStyle="1" w:styleId="bodytextChar0">
    <w:name w:val="body text Char"/>
    <w:basedOn w:val="DefaultParagraphFont"/>
    <w:link w:val="bodytext0"/>
    <w:rsid w:val="00A175AC"/>
    <w:rPr>
      <w:rFonts w:ascii="Arial" w:eastAsia="Times New Roman" w:hAnsi="Arial" w:cs="Arial"/>
      <w:sz w:val="22"/>
      <w:szCs w:val="24"/>
    </w:rPr>
  </w:style>
  <w:style w:type="paragraph" w:styleId="FootnoteText">
    <w:name w:val="footnote text"/>
    <w:basedOn w:val="Normal"/>
    <w:link w:val="FootnoteTextChar"/>
    <w:uiPriority w:val="99"/>
    <w:semiHidden/>
    <w:rsid w:val="00F730B1"/>
    <w:rPr>
      <w:sz w:val="20"/>
      <w:szCs w:val="20"/>
    </w:rPr>
  </w:style>
  <w:style w:type="character" w:customStyle="1" w:styleId="FootnoteTextChar">
    <w:name w:val="Footnote Text Char"/>
    <w:basedOn w:val="DefaultParagraphFont"/>
    <w:link w:val="FootnoteText"/>
    <w:uiPriority w:val="99"/>
    <w:semiHidden/>
    <w:rsid w:val="00F730B1"/>
    <w:rPr>
      <w:rFonts w:ascii="Times New Roman" w:eastAsia="Times New Roman" w:hAnsi="Times New Roman"/>
    </w:rPr>
  </w:style>
  <w:style w:type="paragraph" w:styleId="Revision">
    <w:name w:val="Revision"/>
    <w:hidden/>
    <w:uiPriority w:val="99"/>
    <w:semiHidden/>
    <w:rsid w:val="005D646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02108693">
      <w:bodyDiv w:val="1"/>
      <w:marLeft w:val="0"/>
      <w:marRight w:val="0"/>
      <w:marTop w:val="0"/>
      <w:marBottom w:val="0"/>
      <w:divBdr>
        <w:top w:val="none" w:sz="0" w:space="0" w:color="auto"/>
        <w:left w:val="none" w:sz="0" w:space="0" w:color="auto"/>
        <w:bottom w:val="none" w:sz="0" w:space="0" w:color="auto"/>
        <w:right w:val="none" w:sz="0" w:space="0" w:color="auto"/>
      </w:divBdr>
    </w:div>
    <w:div w:id="612983966">
      <w:bodyDiv w:val="1"/>
      <w:marLeft w:val="0"/>
      <w:marRight w:val="0"/>
      <w:marTop w:val="0"/>
      <w:marBottom w:val="0"/>
      <w:divBdr>
        <w:top w:val="none" w:sz="0" w:space="0" w:color="auto"/>
        <w:left w:val="none" w:sz="0" w:space="0" w:color="auto"/>
        <w:bottom w:val="none" w:sz="0" w:space="0" w:color="auto"/>
        <w:right w:val="none" w:sz="0" w:space="0" w:color="auto"/>
      </w:divBdr>
    </w:div>
    <w:div w:id="619649355">
      <w:bodyDiv w:val="1"/>
      <w:marLeft w:val="0"/>
      <w:marRight w:val="0"/>
      <w:marTop w:val="0"/>
      <w:marBottom w:val="0"/>
      <w:divBdr>
        <w:top w:val="none" w:sz="0" w:space="0" w:color="auto"/>
        <w:left w:val="none" w:sz="0" w:space="0" w:color="auto"/>
        <w:bottom w:val="none" w:sz="0" w:space="0" w:color="auto"/>
        <w:right w:val="none" w:sz="0" w:space="0" w:color="auto"/>
      </w:divBdr>
    </w:div>
    <w:div w:id="904990247">
      <w:bodyDiv w:val="1"/>
      <w:marLeft w:val="0"/>
      <w:marRight w:val="0"/>
      <w:marTop w:val="0"/>
      <w:marBottom w:val="0"/>
      <w:divBdr>
        <w:top w:val="none" w:sz="0" w:space="0" w:color="auto"/>
        <w:left w:val="none" w:sz="0" w:space="0" w:color="auto"/>
        <w:bottom w:val="none" w:sz="0" w:space="0" w:color="auto"/>
        <w:right w:val="none" w:sz="0" w:space="0" w:color="auto"/>
      </w:divBdr>
    </w:div>
    <w:div w:id="1143305152">
      <w:bodyDiv w:val="1"/>
      <w:marLeft w:val="0"/>
      <w:marRight w:val="0"/>
      <w:marTop w:val="0"/>
      <w:marBottom w:val="0"/>
      <w:divBdr>
        <w:top w:val="none" w:sz="0" w:space="0" w:color="auto"/>
        <w:left w:val="none" w:sz="0" w:space="0" w:color="auto"/>
        <w:bottom w:val="none" w:sz="0" w:space="0" w:color="auto"/>
        <w:right w:val="none" w:sz="0" w:space="0" w:color="auto"/>
      </w:divBdr>
    </w:div>
    <w:div w:id="1171987275">
      <w:bodyDiv w:val="1"/>
      <w:marLeft w:val="0"/>
      <w:marRight w:val="0"/>
      <w:marTop w:val="0"/>
      <w:marBottom w:val="0"/>
      <w:divBdr>
        <w:top w:val="none" w:sz="0" w:space="0" w:color="auto"/>
        <w:left w:val="none" w:sz="0" w:space="0" w:color="auto"/>
        <w:bottom w:val="none" w:sz="0" w:space="0" w:color="auto"/>
        <w:right w:val="none" w:sz="0" w:space="0" w:color="auto"/>
      </w:divBdr>
    </w:div>
    <w:div w:id="1591695701">
      <w:bodyDiv w:val="1"/>
      <w:marLeft w:val="0"/>
      <w:marRight w:val="0"/>
      <w:marTop w:val="0"/>
      <w:marBottom w:val="0"/>
      <w:divBdr>
        <w:top w:val="none" w:sz="0" w:space="0" w:color="auto"/>
        <w:left w:val="none" w:sz="0" w:space="0" w:color="auto"/>
        <w:bottom w:val="none" w:sz="0" w:space="0" w:color="auto"/>
        <w:right w:val="none" w:sz="0" w:space="0" w:color="auto"/>
      </w:divBdr>
    </w:div>
    <w:div w:id="1623880649">
      <w:marLeft w:val="0"/>
      <w:marRight w:val="0"/>
      <w:marTop w:val="0"/>
      <w:marBottom w:val="0"/>
      <w:divBdr>
        <w:top w:val="none" w:sz="0" w:space="0" w:color="auto"/>
        <w:left w:val="none" w:sz="0" w:space="0" w:color="auto"/>
        <w:bottom w:val="none" w:sz="0" w:space="0" w:color="auto"/>
        <w:right w:val="none" w:sz="0" w:space="0" w:color="auto"/>
      </w:divBdr>
    </w:div>
    <w:div w:id="1623880650">
      <w:marLeft w:val="0"/>
      <w:marRight w:val="0"/>
      <w:marTop w:val="0"/>
      <w:marBottom w:val="0"/>
      <w:divBdr>
        <w:top w:val="none" w:sz="0" w:space="0" w:color="auto"/>
        <w:left w:val="none" w:sz="0" w:space="0" w:color="auto"/>
        <w:bottom w:val="none" w:sz="0" w:space="0" w:color="auto"/>
        <w:right w:val="none" w:sz="0" w:space="0" w:color="auto"/>
      </w:divBdr>
    </w:div>
    <w:div w:id="1623880651">
      <w:marLeft w:val="0"/>
      <w:marRight w:val="0"/>
      <w:marTop w:val="0"/>
      <w:marBottom w:val="0"/>
      <w:divBdr>
        <w:top w:val="none" w:sz="0" w:space="0" w:color="auto"/>
        <w:left w:val="none" w:sz="0" w:space="0" w:color="auto"/>
        <w:bottom w:val="none" w:sz="0" w:space="0" w:color="auto"/>
        <w:right w:val="none" w:sz="0" w:space="0" w:color="auto"/>
      </w:divBdr>
    </w:div>
    <w:div w:id="1623880652">
      <w:marLeft w:val="0"/>
      <w:marRight w:val="0"/>
      <w:marTop w:val="0"/>
      <w:marBottom w:val="0"/>
      <w:divBdr>
        <w:top w:val="none" w:sz="0" w:space="0" w:color="auto"/>
        <w:left w:val="none" w:sz="0" w:space="0" w:color="auto"/>
        <w:bottom w:val="none" w:sz="0" w:space="0" w:color="auto"/>
        <w:right w:val="none" w:sz="0" w:space="0" w:color="auto"/>
      </w:divBdr>
    </w:div>
    <w:div w:id="1623880653">
      <w:marLeft w:val="0"/>
      <w:marRight w:val="0"/>
      <w:marTop w:val="0"/>
      <w:marBottom w:val="0"/>
      <w:divBdr>
        <w:top w:val="none" w:sz="0" w:space="0" w:color="auto"/>
        <w:left w:val="none" w:sz="0" w:space="0" w:color="auto"/>
        <w:bottom w:val="none" w:sz="0" w:space="0" w:color="auto"/>
        <w:right w:val="none" w:sz="0" w:space="0" w:color="auto"/>
      </w:divBdr>
    </w:div>
    <w:div w:id="1623880654">
      <w:marLeft w:val="0"/>
      <w:marRight w:val="0"/>
      <w:marTop w:val="0"/>
      <w:marBottom w:val="0"/>
      <w:divBdr>
        <w:top w:val="none" w:sz="0" w:space="0" w:color="auto"/>
        <w:left w:val="none" w:sz="0" w:space="0" w:color="auto"/>
        <w:bottom w:val="none" w:sz="0" w:space="0" w:color="auto"/>
        <w:right w:val="none" w:sz="0" w:space="0" w:color="auto"/>
      </w:divBdr>
    </w:div>
    <w:div w:id="1623880655">
      <w:marLeft w:val="0"/>
      <w:marRight w:val="0"/>
      <w:marTop w:val="0"/>
      <w:marBottom w:val="0"/>
      <w:divBdr>
        <w:top w:val="none" w:sz="0" w:space="0" w:color="auto"/>
        <w:left w:val="none" w:sz="0" w:space="0" w:color="auto"/>
        <w:bottom w:val="none" w:sz="0" w:space="0" w:color="auto"/>
        <w:right w:val="none" w:sz="0" w:space="0" w:color="auto"/>
      </w:divBdr>
    </w:div>
    <w:div w:id="1623880656">
      <w:marLeft w:val="0"/>
      <w:marRight w:val="0"/>
      <w:marTop w:val="0"/>
      <w:marBottom w:val="0"/>
      <w:divBdr>
        <w:top w:val="none" w:sz="0" w:space="0" w:color="auto"/>
        <w:left w:val="none" w:sz="0" w:space="0" w:color="auto"/>
        <w:bottom w:val="none" w:sz="0" w:space="0" w:color="auto"/>
        <w:right w:val="none" w:sz="0" w:space="0" w:color="auto"/>
      </w:divBdr>
    </w:div>
    <w:div w:id="1623880657">
      <w:marLeft w:val="0"/>
      <w:marRight w:val="0"/>
      <w:marTop w:val="0"/>
      <w:marBottom w:val="0"/>
      <w:divBdr>
        <w:top w:val="none" w:sz="0" w:space="0" w:color="auto"/>
        <w:left w:val="none" w:sz="0" w:space="0" w:color="auto"/>
        <w:bottom w:val="none" w:sz="0" w:space="0" w:color="auto"/>
        <w:right w:val="none" w:sz="0" w:space="0" w:color="auto"/>
      </w:divBdr>
    </w:div>
    <w:div w:id="1623880658">
      <w:marLeft w:val="0"/>
      <w:marRight w:val="0"/>
      <w:marTop w:val="0"/>
      <w:marBottom w:val="0"/>
      <w:divBdr>
        <w:top w:val="none" w:sz="0" w:space="0" w:color="auto"/>
        <w:left w:val="none" w:sz="0" w:space="0" w:color="auto"/>
        <w:bottom w:val="none" w:sz="0" w:space="0" w:color="auto"/>
        <w:right w:val="none" w:sz="0" w:space="0" w:color="auto"/>
      </w:divBdr>
    </w:div>
    <w:div w:id="1623880659">
      <w:marLeft w:val="0"/>
      <w:marRight w:val="0"/>
      <w:marTop w:val="0"/>
      <w:marBottom w:val="0"/>
      <w:divBdr>
        <w:top w:val="none" w:sz="0" w:space="0" w:color="auto"/>
        <w:left w:val="none" w:sz="0" w:space="0" w:color="auto"/>
        <w:bottom w:val="none" w:sz="0" w:space="0" w:color="auto"/>
        <w:right w:val="none" w:sz="0" w:space="0" w:color="auto"/>
      </w:divBdr>
    </w:div>
    <w:div w:id="1623880660">
      <w:marLeft w:val="0"/>
      <w:marRight w:val="0"/>
      <w:marTop w:val="0"/>
      <w:marBottom w:val="0"/>
      <w:divBdr>
        <w:top w:val="none" w:sz="0" w:space="0" w:color="auto"/>
        <w:left w:val="none" w:sz="0" w:space="0" w:color="auto"/>
        <w:bottom w:val="none" w:sz="0" w:space="0" w:color="auto"/>
        <w:right w:val="none" w:sz="0" w:space="0" w:color="auto"/>
      </w:divBdr>
    </w:div>
    <w:div w:id="1704669230">
      <w:bodyDiv w:val="1"/>
      <w:marLeft w:val="0"/>
      <w:marRight w:val="0"/>
      <w:marTop w:val="0"/>
      <w:marBottom w:val="0"/>
      <w:divBdr>
        <w:top w:val="none" w:sz="0" w:space="0" w:color="auto"/>
        <w:left w:val="none" w:sz="0" w:space="0" w:color="auto"/>
        <w:bottom w:val="none" w:sz="0" w:space="0" w:color="auto"/>
        <w:right w:val="none" w:sz="0" w:space="0" w:color="auto"/>
      </w:divBdr>
      <w:divsChild>
        <w:div w:id="174266773">
          <w:marLeft w:val="0"/>
          <w:marRight w:val="0"/>
          <w:marTop w:val="0"/>
          <w:marBottom w:val="0"/>
          <w:divBdr>
            <w:top w:val="none" w:sz="0" w:space="0" w:color="auto"/>
            <w:left w:val="none" w:sz="0" w:space="0" w:color="auto"/>
            <w:bottom w:val="none" w:sz="0" w:space="0" w:color="auto"/>
            <w:right w:val="none" w:sz="0" w:space="0" w:color="auto"/>
          </w:divBdr>
          <w:divsChild>
            <w:div w:id="1665353813">
              <w:marLeft w:val="0"/>
              <w:marRight w:val="0"/>
              <w:marTop w:val="0"/>
              <w:marBottom w:val="0"/>
              <w:divBdr>
                <w:top w:val="none" w:sz="0" w:space="0" w:color="auto"/>
                <w:left w:val="none" w:sz="0" w:space="0" w:color="auto"/>
                <w:bottom w:val="none" w:sz="0" w:space="0" w:color="auto"/>
                <w:right w:val="none" w:sz="0" w:space="0" w:color="auto"/>
              </w:divBdr>
              <w:divsChild>
                <w:div w:id="1151826238">
                  <w:marLeft w:val="0"/>
                  <w:marRight w:val="0"/>
                  <w:marTop w:val="0"/>
                  <w:marBottom w:val="0"/>
                  <w:divBdr>
                    <w:top w:val="none" w:sz="0" w:space="0" w:color="auto"/>
                    <w:left w:val="none" w:sz="0" w:space="0" w:color="auto"/>
                    <w:bottom w:val="none" w:sz="0" w:space="0" w:color="auto"/>
                    <w:right w:val="none" w:sz="0" w:space="0" w:color="auto"/>
                  </w:divBdr>
                  <w:divsChild>
                    <w:div w:id="548297716">
                      <w:marLeft w:val="0"/>
                      <w:marRight w:val="0"/>
                      <w:marTop w:val="0"/>
                      <w:marBottom w:val="0"/>
                      <w:divBdr>
                        <w:top w:val="none" w:sz="0" w:space="0" w:color="auto"/>
                        <w:left w:val="none" w:sz="0" w:space="0" w:color="auto"/>
                        <w:bottom w:val="none" w:sz="0" w:space="0" w:color="auto"/>
                        <w:right w:val="none" w:sz="0" w:space="0" w:color="auto"/>
                      </w:divBdr>
                      <w:divsChild>
                        <w:div w:id="817965186">
                          <w:marLeft w:val="0"/>
                          <w:marRight w:val="0"/>
                          <w:marTop w:val="0"/>
                          <w:marBottom w:val="0"/>
                          <w:divBdr>
                            <w:top w:val="none" w:sz="0" w:space="0" w:color="auto"/>
                            <w:left w:val="none" w:sz="0" w:space="0" w:color="auto"/>
                            <w:bottom w:val="none" w:sz="0" w:space="0" w:color="auto"/>
                            <w:right w:val="none" w:sz="0" w:space="0" w:color="auto"/>
                          </w:divBdr>
                          <w:divsChild>
                            <w:div w:id="694499446">
                              <w:marLeft w:val="0"/>
                              <w:marRight w:val="0"/>
                              <w:marTop w:val="0"/>
                              <w:marBottom w:val="0"/>
                              <w:divBdr>
                                <w:top w:val="none" w:sz="0" w:space="0" w:color="auto"/>
                                <w:left w:val="none" w:sz="0" w:space="0" w:color="auto"/>
                                <w:bottom w:val="none" w:sz="0" w:space="0" w:color="auto"/>
                                <w:right w:val="none" w:sz="0" w:space="0" w:color="auto"/>
                              </w:divBdr>
                              <w:divsChild>
                                <w:div w:id="1003050274">
                                  <w:marLeft w:val="0"/>
                                  <w:marRight w:val="0"/>
                                  <w:marTop w:val="0"/>
                                  <w:marBottom w:val="0"/>
                                  <w:divBdr>
                                    <w:top w:val="none" w:sz="0" w:space="0" w:color="auto"/>
                                    <w:left w:val="none" w:sz="0" w:space="0" w:color="auto"/>
                                    <w:bottom w:val="none" w:sz="0" w:space="0" w:color="auto"/>
                                    <w:right w:val="none" w:sz="0" w:space="0" w:color="auto"/>
                                  </w:divBdr>
                                  <w:divsChild>
                                    <w:div w:id="85275560">
                                      <w:marLeft w:val="0"/>
                                      <w:marRight w:val="0"/>
                                      <w:marTop w:val="0"/>
                                      <w:marBottom w:val="0"/>
                                      <w:divBdr>
                                        <w:top w:val="none" w:sz="0" w:space="0" w:color="auto"/>
                                        <w:left w:val="none" w:sz="0" w:space="0" w:color="auto"/>
                                        <w:bottom w:val="none" w:sz="0" w:space="0" w:color="auto"/>
                                        <w:right w:val="none" w:sz="0" w:space="0" w:color="auto"/>
                                      </w:divBdr>
                                      <w:divsChild>
                                        <w:div w:id="112945076">
                                          <w:marLeft w:val="0"/>
                                          <w:marRight w:val="0"/>
                                          <w:marTop w:val="0"/>
                                          <w:marBottom w:val="0"/>
                                          <w:divBdr>
                                            <w:top w:val="none" w:sz="0" w:space="0" w:color="auto"/>
                                            <w:left w:val="none" w:sz="0" w:space="0" w:color="auto"/>
                                            <w:bottom w:val="none" w:sz="0" w:space="0" w:color="auto"/>
                                            <w:right w:val="none" w:sz="0" w:space="0" w:color="auto"/>
                                          </w:divBdr>
                                          <w:divsChild>
                                            <w:div w:id="19928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440370">
      <w:bodyDiv w:val="1"/>
      <w:marLeft w:val="0"/>
      <w:marRight w:val="0"/>
      <w:marTop w:val="0"/>
      <w:marBottom w:val="0"/>
      <w:divBdr>
        <w:top w:val="none" w:sz="0" w:space="0" w:color="auto"/>
        <w:left w:val="none" w:sz="0" w:space="0" w:color="auto"/>
        <w:bottom w:val="none" w:sz="0" w:space="0" w:color="auto"/>
        <w:right w:val="none" w:sz="0" w:space="0" w:color="auto"/>
      </w:divBdr>
    </w:div>
    <w:div w:id="1780104230">
      <w:bodyDiv w:val="1"/>
      <w:marLeft w:val="0"/>
      <w:marRight w:val="0"/>
      <w:marTop w:val="0"/>
      <w:marBottom w:val="0"/>
      <w:divBdr>
        <w:top w:val="none" w:sz="0" w:space="0" w:color="auto"/>
        <w:left w:val="none" w:sz="0" w:space="0" w:color="auto"/>
        <w:bottom w:val="none" w:sz="0" w:space="0" w:color="auto"/>
        <w:right w:val="none" w:sz="0" w:space="0" w:color="auto"/>
      </w:divBdr>
    </w:div>
    <w:div w:id="1938323411">
      <w:bodyDiv w:val="1"/>
      <w:marLeft w:val="0"/>
      <w:marRight w:val="0"/>
      <w:marTop w:val="0"/>
      <w:marBottom w:val="0"/>
      <w:divBdr>
        <w:top w:val="none" w:sz="0" w:space="0" w:color="auto"/>
        <w:left w:val="none" w:sz="0" w:space="0" w:color="auto"/>
        <w:bottom w:val="none" w:sz="0" w:space="0" w:color="auto"/>
        <w:right w:val="none" w:sz="0" w:space="0" w:color="auto"/>
      </w:divBdr>
    </w:div>
    <w:div w:id="207042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yperlink" Target="http://www.monitornhsft.gov.uk/annualreportingmanual"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image" Target="media/image6.emf"/><Relationship Id="rId42" Type="http://schemas.openxmlformats.org/officeDocument/2006/relationships/hyperlink" Target="http://www.partnershiptrust.org.uk/pdf/leaflets/complaints0210.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image" Target="media/image5.emf"/><Relationship Id="rId38" Type="http://schemas.openxmlformats.org/officeDocument/2006/relationships/hyperlink" Target="mailto:kzalewska@cru.cpsych.ac.uk"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9.xml"/><Relationship Id="rId32" Type="http://schemas.openxmlformats.org/officeDocument/2006/relationships/image" Target="media/image4.emf"/><Relationship Id="rId37" Type="http://schemas.openxmlformats.org/officeDocument/2006/relationships/chart" Target="charts/chart16.xml"/><Relationship Id="rId40" Type="http://schemas.openxmlformats.org/officeDocument/2006/relationships/hyperlink" Target="http://www.monitornhsft.gov.uk/annualreportingmanual"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monitor-nhsft.gov.uk/sites/all/modules/fckeditor/plugins/ktbrowser/_openTKFile.php?id=3275"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hyperlink" Target="http://www.oxfordhealth.nhs.uk" TargetMode="Externa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image" Target="media/image3.e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image" Target="media/image7.emf"/><Relationship Id="rId43" Type="http://schemas.openxmlformats.org/officeDocument/2006/relationships/hyperlink" Target="http://www.oxfordhealth.nhs.uk/"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20Q4\Quality%20Account%20Charts%20Q4%20201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20Q4\Quality%20Account%20Charts%20Q4%20201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20Q4\Quality%20Account%20Charts%20Q4%202011.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hoxfsv01\Home%20Folders%20Ox\davids.allen\My%20Documents\Quality%20Account\2011%20Q4\Quality%20Account%20Charts%20Q4%20201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20Q4\Quality%20Account%20Charts%20Q4%20201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20Q4\Quality%20Account%20Charts%20Q4%20201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20Q4\Quality%20Account%20Charts%20Q4%20201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20Q4\Quality%20Account%20Charts%20Q4%2020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20Q4\Quality%20Account%20Charts%20Q4%2020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20Q4\Quality%20Account%20Charts%20Q4%2020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20Q4\Quality%20Account%20Charts%20Q4%2020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20Q4\Quality%20Account%20Charts%20Q4%2020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20Q4\Quality%20Account%20Charts%20Q4%2020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20Q4\Quality%20Account%20Charts%20Q4%20201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20Q4\Quality%20Account%20Charts%20Q4%2020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20Q4\Quality%20Account%20Charts%20Q4%20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sz="1200"/>
              <a:t>Inpatient</a:t>
            </a:r>
            <a:r>
              <a:rPr lang="en-GB" sz="1200" baseline="0"/>
              <a:t>  Deaths from Suicides</a:t>
            </a:r>
            <a:endParaRPr lang="en-GB" sz="1200"/>
          </a:p>
        </c:rich>
      </c:tx>
    </c:title>
    <c:plotArea>
      <c:layout/>
      <c:barChart>
        <c:barDir val="col"/>
        <c:grouping val="clustered"/>
        <c:ser>
          <c:idx val="0"/>
          <c:order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cat>
            <c:strRef>
              <c:f>'Dimension 1'!$B$5:$B$8</c:f>
              <c:strCache>
                <c:ptCount val="4"/>
                <c:pt idx="0">
                  <c:v>2008/9</c:v>
                </c:pt>
                <c:pt idx="1">
                  <c:v>2009/10</c:v>
                </c:pt>
                <c:pt idx="2">
                  <c:v>2010/11</c:v>
                </c:pt>
                <c:pt idx="3">
                  <c:v>2011/12</c:v>
                </c:pt>
              </c:strCache>
            </c:strRef>
          </c:cat>
          <c:val>
            <c:numRef>
              <c:f>'Dimension 1'!$C$5:$C$8</c:f>
              <c:numCache>
                <c:formatCode>General</c:formatCode>
                <c:ptCount val="4"/>
                <c:pt idx="0">
                  <c:v>6</c:v>
                </c:pt>
                <c:pt idx="1">
                  <c:v>1</c:v>
                </c:pt>
                <c:pt idx="2">
                  <c:v>1</c:v>
                </c:pt>
                <c:pt idx="3">
                  <c:v>0</c:v>
                </c:pt>
              </c:numCache>
            </c:numRef>
          </c:val>
        </c:ser>
        <c:axId val="66977152"/>
        <c:axId val="67044480"/>
      </c:barChart>
      <c:catAx>
        <c:axId val="66977152"/>
        <c:scaling>
          <c:orientation val="minMax"/>
        </c:scaling>
        <c:axPos val="b"/>
        <c:majorTickMark val="none"/>
        <c:tickLblPos val="nextTo"/>
        <c:crossAx val="67044480"/>
        <c:crosses val="autoZero"/>
        <c:auto val="1"/>
        <c:lblAlgn val="ctr"/>
        <c:lblOffset val="100"/>
      </c:catAx>
      <c:valAx>
        <c:axId val="67044480"/>
        <c:scaling>
          <c:orientation val="minMax"/>
        </c:scaling>
        <c:axPos val="l"/>
        <c:majorGridlines/>
        <c:title>
          <c:tx>
            <c:rich>
              <a:bodyPr rot="-5400000" vert="horz"/>
              <a:lstStyle/>
              <a:p>
                <a:pPr>
                  <a:defRPr/>
                </a:pPr>
                <a:r>
                  <a:rPr lang="en-US"/>
                  <a:t>Number of Suicides</a:t>
                </a:r>
              </a:p>
            </c:rich>
          </c:tx>
        </c:title>
        <c:numFmt formatCode="General" sourceLinked="1"/>
        <c:majorTickMark val="none"/>
        <c:tickLblPos val="nextTo"/>
        <c:crossAx val="66977152"/>
        <c:crosses val="autoZero"/>
        <c:crossBetween val="between"/>
      </c:valAx>
    </c:plotArea>
    <c:plotVisOnly val="1"/>
  </c:chart>
  <c:spPr>
    <a:solidFill>
      <a:schemeClr val="accent1">
        <a:lumMod val="20000"/>
        <a:lumOff val="80000"/>
      </a:schemeClr>
    </a:solid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style val="3"/>
  <c:chart>
    <c:title>
      <c:tx>
        <c:rich>
          <a:bodyPr/>
          <a:lstStyle/>
          <a:p>
            <a:pPr>
              <a:defRPr/>
            </a:pPr>
            <a:r>
              <a:rPr lang="en-GB" sz="1200"/>
              <a:t>% patients receiving care for 9 months</a:t>
            </a:r>
            <a:r>
              <a:rPr lang="en-GB" sz="1200" baseline="0"/>
              <a:t> or more that have a baseline &amp; follow-up HoNOS rating</a:t>
            </a:r>
            <a:endParaRPr lang="en-GB" sz="1200"/>
          </a:p>
        </c:rich>
      </c:tx>
      <c:layout>
        <c:manualLayout>
          <c:xMode val="edge"/>
          <c:yMode val="edge"/>
          <c:x val="0.19385321100917433"/>
          <c:y val="6.1224489795918373E-2"/>
        </c:manualLayout>
      </c:layout>
    </c:title>
    <c:plotArea>
      <c:layout/>
      <c:lineChart>
        <c:grouping val="standard"/>
        <c:ser>
          <c:idx val="0"/>
          <c:order val="0"/>
          <c:tx>
            <c:strRef>
              <c:f>'Dimension 4'!$I$36</c:f>
              <c:strCache>
                <c:ptCount val="1"/>
                <c:pt idx="0">
                  <c:v>Actual</c:v>
                </c:pt>
              </c:strCache>
            </c:strRef>
          </c:tx>
          <c:marker>
            <c:symbol val="none"/>
          </c:marker>
          <c:cat>
            <c:strRef>
              <c:f>'Dimension 4'!$H$52:$H$55</c:f>
              <c:strCache>
                <c:ptCount val="4"/>
                <c:pt idx="0">
                  <c:v>Q1 2011</c:v>
                </c:pt>
                <c:pt idx="1">
                  <c:v>Q2 1011</c:v>
                </c:pt>
                <c:pt idx="2">
                  <c:v>Q3 2011</c:v>
                </c:pt>
                <c:pt idx="3">
                  <c:v>Q4 2011</c:v>
                </c:pt>
              </c:strCache>
            </c:strRef>
          </c:cat>
          <c:val>
            <c:numRef>
              <c:f>'Dimension 4'!$I$52:$I$55</c:f>
              <c:numCache>
                <c:formatCode>0.00%</c:formatCode>
                <c:ptCount val="4"/>
                <c:pt idx="0">
                  <c:v>0.38300000000000123</c:v>
                </c:pt>
                <c:pt idx="1">
                  <c:v>0.47700000000000031</c:v>
                </c:pt>
                <c:pt idx="2">
                  <c:v>0.89200000000000002</c:v>
                </c:pt>
                <c:pt idx="3">
                  <c:v>0.89200000000000002</c:v>
                </c:pt>
              </c:numCache>
            </c:numRef>
          </c:val>
        </c:ser>
        <c:ser>
          <c:idx val="1"/>
          <c:order val="1"/>
          <c:tx>
            <c:strRef>
              <c:f>'Dimension 4'!$J$51</c:f>
              <c:strCache>
                <c:ptCount val="1"/>
                <c:pt idx="0">
                  <c:v>Target</c:v>
                </c:pt>
              </c:strCache>
            </c:strRef>
          </c:tx>
          <c:marker>
            <c:symbol val="none"/>
          </c:marker>
          <c:cat>
            <c:strRef>
              <c:f>'Dimension 4'!$H$52:$H$55</c:f>
              <c:strCache>
                <c:ptCount val="4"/>
                <c:pt idx="0">
                  <c:v>Q1 2011</c:v>
                </c:pt>
                <c:pt idx="1">
                  <c:v>Q2 1011</c:v>
                </c:pt>
                <c:pt idx="2">
                  <c:v>Q3 2011</c:v>
                </c:pt>
                <c:pt idx="3">
                  <c:v>Q4 2011</c:v>
                </c:pt>
              </c:strCache>
            </c:strRef>
          </c:cat>
          <c:val>
            <c:numRef>
              <c:f>'Dimension 4'!$J$52:$J$55</c:f>
              <c:numCache>
                <c:formatCode>0%</c:formatCode>
                <c:ptCount val="4"/>
                <c:pt idx="0">
                  <c:v>0.72000000000000064</c:v>
                </c:pt>
                <c:pt idx="1">
                  <c:v>0.72000000000000064</c:v>
                </c:pt>
                <c:pt idx="2">
                  <c:v>0.72000000000000064</c:v>
                </c:pt>
                <c:pt idx="3">
                  <c:v>0.72000000000000064</c:v>
                </c:pt>
              </c:numCache>
            </c:numRef>
          </c:val>
        </c:ser>
        <c:marker val="1"/>
        <c:axId val="60161024"/>
        <c:axId val="60556032"/>
      </c:lineChart>
      <c:catAx>
        <c:axId val="60161024"/>
        <c:scaling>
          <c:orientation val="minMax"/>
        </c:scaling>
        <c:axPos val="b"/>
        <c:tickLblPos val="nextTo"/>
        <c:crossAx val="60556032"/>
        <c:crosses val="autoZero"/>
        <c:auto val="1"/>
        <c:lblAlgn val="ctr"/>
        <c:lblOffset val="100"/>
      </c:catAx>
      <c:valAx>
        <c:axId val="60556032"/>
        <c:scaling>
          <c:orientation val="minMax"/>
          <c:max val="1"/>
          <c:min val="0"/>
        </c:scaling>
        <c:axPos val="l"/>
        <c:majorGridlines/>
        <c:title>
          <c:tx>
            <c:rich>
              <a:bodyPr/>
              <a:lstStyle/>
              <a:p>
                <a:pPr>
                  <a:defRPr/>
                </a:pPr>
                <a:r>
                  <a:rPr lang="en-GB"/>
                  <a:t>% of</a:t>
                </a:r>
                <a:r>
                  <a:rPr lang="en-GB" baseline="0"/>
                  <a:t> paired HoNOS scoring</a:t>
                </a:r>
                <a:endParaRPr lang="en-GB"/>
              </a:p>
            </c:rich>
          </c:tx>
        </c:title>
        <c:numFmt formatCode="0%" sourceLinked="0"/>
        <c:majorTickMark val="none"/>
        <c:tickLblPos val="nextTo"/>
        <c:crossAx val="60161024"/>
        <c:crosses val="autoZero"/>
        <c:crossBetween val="between"/>
      </c:valAx>
    </c:plotArea>
    <c:legend>
      <c:legendPos val="b"/>
    </c:legend>
    <c:plotVisOnly val="1"/>
  </c:chart>
  <c:spPr>
    <a:solidFill>
      <a:srgbClr val="4F81BD">
        <a:lumMod val="20000"/>
        <a:lumOff val="80000"/>
      </a:srgbClr>
    </a:solidFill>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sz="1200"/>
              <a:t>Overall how do you rate the care you are receiving from Mental Health Services?</a:t>
            </a:r>
          </a:p>
        </c:rich>
      </c:tx>
    </c:title>
    <c:plotArea>
      <c:layout/>
      <c:barChart>
        <c:barDir val="col"/>
        <c:grouping val="stacked"/>
        <c:ser>
          <c:idx val="0"/>
          <c:order val="0"/>
          <c:tx>
            <c:strRef>
              <c:f>'Dimension 5'!$C$3</c:f>
              <c:strCache>
                <c:ptCount val="1"/>
              </c:strCache>
            </c:strRef>
          </c:tx>
          <c:spPr>
            <a:gradFill>
              <a:gsLst>
                <a:gs pos="0">
                  <a:srgbClr val="002060"/>
                </a:gs>
                <a:gs pos="50000">
                  <a:srgbClr val="4F81BD">
                    <a:tint val="44500"/>
                    <a:satMod val="160000"/>
                  </a:srgbClr>
                </a:gs>
                <a:gs pos="100000">
                  <a:srgbClr val="4F81BD">
                    <a:tint val="23500"/>
                    <a:satMod val="160000"/>
                  </a:srgbClr>
                </a:gs>
              </a:gsLst>
              <a:lin ang="5400000" scaled="0"/>
            </a:gradFill>
          </c:spPr>
          <c:cat>
            <c:strRef>
              <c:f>'Dimension 5'!$B$4:$B$8</c:f>
              <c:strCache>
                <c:ptCount val="5"/>
                <c:pt idx="0">
                  <c:v>2010 Q4</c:v>
                </c:pt>
                <c:pt idx="1">
                  <c:v>2011 Q1</c:v>
                </c:pt>
                <c:pt idx="2">
                  <c:v>2011 Q2</c:v>
                </c:pt>
                <c:pt idx="3">
                  <c:v>2011 Q3</c:v>
                </c:pt>
                <c:pt idx="4">
                  <c:v>2011 Q4</c:v>
                </c:pt>
              </c:strCache>
            </c:strRef>
          </c:cat>
          <c:val>
            <c:numRef>
              <c:f>'Dimension 5'!$C$4:$C$8</c:f>
              <c:numCache>
                <c:formatCode>0%</c:formatCode>
                <c:ptCount val="5"/>
                <c:pt idx="0">
                  <c:v>0.78</c:v>
                </c:pt>
                <c:pt idx="1">
                  <c:v>0.8500000000000002</c:v>
                </c:pt>
                <c:pt idx="2">
                  <c:v>0.8</c:v>
                </c:pt>
                <c:pt idx="3">
                  <c:v>0.75000000000000022</c:v>
                </c:pt>
              </c:numCache>
            </c:numRef>
          </c:val>
        </c:ser>
        <c:ser>
          <c:idx val="1"/>
          <c:order val="1"/>
          <c:tx>
            <c:strRef>
              <c:f>'Dimension 5'!$D$3</c:f>
              <c:strCache>
                <c:ptCount val="1"/>
              </c:strCache>
            </c:strRef>
          </c:tx>
          <c:cat>
            <c:strRef>
              <c:f>'Dimension 5'!$B$5:$B$6</c:f>
              <c:strCache>
                <c:ptCount val="2"/>
                <c:pt idx="0">
                  <c:v>2011 Q1</c:v>
                </c:pt>
                <c:pt idx="1">
                  <c:v>2011 Q2</c:v>
                </c:pt>
              </c:strCache>
            </c:strRef>
          </c:cat>
          <c:val>
            <c:numRef>
              <c:f>'Dimension 5'!$D$4:$D$5</c:f>
              <c:numCache>
                <c:formatCode>General</c:formatCode>
                <c:ptCount val="2"/>
              </c:numCache>
            </c:numRef>
          </c:val>
        </c:ser>
        <c:overlap val="100"/>
        <c:axId val="60605952"/>
        <c:axId val="60607488"/>
      </c:barChart>
      <c:catAx>
        <c:axId val="60605952"/>
        <c:scaling>
          <c:orientation val="minMax"/>
        </c:scaling>
        <c:axPos val="b"/>
        <c:numFmt formatCode="mmm\-yy" sourceLinked="1"/>
        <c:tickLblPos val="nextTo"/>
        <c:crossAx val="60607488"/>
        <c:crosses val="autoZero"/>
        <c:auto val="1"/>
        <c:lblAlgn val="ctr"/>
        <c:lblOffset val="100"/>
      </c:catAx>
      <c:valAx>
        <c:axId val="60607488"/>
        <c:scaling>
          <c:orientation val="minMax"/>
          <c:max val="1"/>
        </c:scaling>
        <c:axPos val="l"/>
        <c:majorGridlines/>
        <c:title>
          <c:tx>
            <c:rich>
              <a:bodyPr rot="-5400000" vert="horz"/>
              <a:lstStyle/>
              <a:p>
                <a:pPr>
                  <a:defRPr/>
                </a:pPr>
                <a:r>
                  <a:rPr lang="en-US"/>
                  <a:t>Combined Excellent and Good Responses</a:t>
                </a:r>
              </a:p>
            </c:rich>
          </c:tx>
        </c:title>
        <c:numFmt formatCode="0%" sourceLinked="1"/>
        <c:tickLblPos val="nextTo"/>
        <c:crossAx val="60605952"/>
        <c:crosses val="autoZero"/>
        <c:crossBetween val="between"/>
      </c:valAx>
    </c:plotArea>
    <c:plotVisOnly val="1"/>
  </c:chart>
  <c:spPr>
    <a:solidFill>
      <a:schemeClr val="accent1">
        <a:lumMod val="20000"/>
        <a:lumOff val="80000"/>
      </a:schemeClr>
    </a:solidFill>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sz="1200"/>
              <a:t>"Overall, how would you rate your</a:t>
            </a:r>
            <a:r>
              <a:rPr lang="en-GB" sz="1200" baseline="0"/>
              <a:t> care?"</a:t>
            </a:r>
            <a:endParaRPr lang="en-GB" sz="1200"/>
          </a:p>
        </c:rich>
      </c:tx>
    </c:title>
    <c:plotArea>
      <c:layout/>
      <c:pieChart>
        <c:varyColors val="1"/>
        <c:ser>
          <c:idx val="0"/>
          <c:order val="0"/>
          <c:dPt>
            <c:idx val="0"/>
            <c:spPr>
              <a:solidFill>
                <a:srgbClr val="FF0000"/>
              </a:solidFill>
            </c:spPr>
          </c:dPt>
          <c:dPt>
            <c:idx val="1"/>
            <c:spPr>
              <a:solidFill>
                <a:srgbClr val="FFC000"/>
              </a:solidFill>
            </c:spPr>
          </c:dPt>
          <c:dPt>
            <c:idx val="2"/>
            <c:spPr>
              <a:solidFill>
                <a:srgbClr val="FFFF00"/>
              </a:solidFill>
            </c:spPr>
          </c:dPt>
          <c:dPt>
            <c:idx val="3"/>
            <c:spPr>
              <a:solidFill>
                <a:srgbClr val="92D050"/>
              </a:solidFill>
            </c:spPr>
          </c:dPt>
          <c:dPt>
            <c:idx val="4"/>
            <c:spPr>
              <a:solidFill>
                <a:srgbClr val="00B050"/>
              </a:solidFill>
            </c:spPr>
          </c:dPt>
          <c:dLbls>
            <c:spPr>
              <a:noFill/>
            </c:spPr>
            <c:showCatName val="1"/>
            <c:showPercent val="1"/>
            <c:showLeaderLines val="1"/>
          </c:dLbls>
          <c:cat>
            <c:strRef>
              <c:f>'Dimension 5'!$C$21:$G$21</c:f>
              <c:strCache>
                <c:ptCount val="5"/>
                <c:pt idx="0">
                  <c:v>Poor</c:v>
                </c:pt>
                <c:pt idx="1">
                  <c:v>Fair</c:v>
                </c:pt>
                <c:pt idx="2">
                  <c:v>Good</c:v>
                </c:pt>
                <c:pt idx="3">
                  <c:v>Very Good</c:v>
                </c:pt>
                <c:pt idx="4">
                  <c:v>Excellent</c:v>
                </c:pt>
              </c:strCache>
            </c:strRef>
          </c:cat>
          <c:val>
            <c:numRef>
              <c:f>'Dimension 5'!$C$22:$G$22</c:f>
              <c:numCache>
                <c:formatCode>0%</c:formatCode>
                <c:ptCount val="5"/>
                <c:pt idx="0">
                  <c:v>4.0000000000000022E-2</c:v>
                </c:pt>
                <c:pt idx="1">
                  <c:v>6.0000000000000026E-2</c:v>
                </c:pt>
                <c:pt idx="2">
                  <c:v>0.11</c:v>
                </c:pt>
                <c:pt idx="3">
                  <c:v>0.32000000000000017</c:v>
                </c:pt>
                <c:pt idx="4">
                  <c:v>0.47000000000000008</c:v>
                </c:pt>
              </c:numCache>
            </c:numRef>
          </c:val>
        </c:ser>
        <c:dLbls>
          <c:showCatName val="1"/>
          <c:showPercent val="1"/>
        </c:dLbls>
        <c:firstSliceAng val="0"/>
      </c:pieChart>
    </c:plotArea>
    <c:plotVisOnly val="1"/>
  </c:chart>
  <c:spPr>
    <a:solidFill>
      <a:schemeClr val="accent1">
        <a:lumMod val="20000"/>
        <a:lumOff val="80000"/>
      </a:schemeClr>
    </a:solidFill>
    <a:ln>
      <a:noFill/>
    </a:ln>
  </c:sp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lang val="en-GB"/>
  <c:style val="3"/>
  <c:chart>
    <c:title>
      <c:tx>
        <c:rich>
          <a:bodyPr/>
          <a:lstStyle/>
          <a:p>
            <a:pPr>
              <a:defRPr/>
            </a:pPr>
            <a:r>
              <a:rPr lang="en-GB" sz="1200">
                <a:solidFill>
                  <a:sysClr val="windowText" lastClr="000000"/>
                </a:solidFill>
              </a:rPr>
              <a:t>Staff suffering work-related stress in last 12 months </a:t>
            </a:r>
            <a:endParaRPr lang="en-US" sz="1200">
              <a:solidFill>
                <a:sysClr val="windowText" lastClr="000000"/>
              </a:solidFill>
            </a:endParaRPr>
          </a:p>
        </c:rich>
      </c:tx>
      <c:layout>
        <c:manualLayout>
          <c:xMode val="edge"/>
          <c:yMode val="edge"/>
          <c:x val="9.0478328059460211E-2"/>
          <c:y val="3.42856260614482E-2"/>
        </c:manualLayout>
      </c:layout>
      <c:overlay val="1"/>
    </c:title>
    <c:plotArea>
      <c:layout>
        <c:manualLayout>
          <c:layoutTarget val="inner"/>
          <c:xMode val="edge"/>
          <c:yMode val="edge"/>
          <c:x val="0.1360502367110665"/>
          <c:y val="0.24408800370541944"/>
          <c:w val="0.63852331542669361"/>
          <c:h val="0.62825376827896517"/>
        </c:manualLayout>
      </c:layout>
      <c:lineChart>
        <c:grouping val="standard"/>
        <c:ser>
          <c:idx val="0"/>
          <c:order val="0"/>
          <c:tx>
            <c:strRef>
              <c:f>'Dimension 6'!$F$6</c:f>
              <c:strCache>
                <c:ptCount val="1"/>
                <c:pt idx="0">
                  <c:v>Trust</c:v>
                </c:pt>
              </c:strCache>
            </c:strRef>
          </c:tx>
          <c:marker>
            <c:symbol val="none"/>
          </c:marker>
          <c:cat>
            <c:numRef>
              <c:f>'Dimension 6'!$G$5:$L$5</c:f>
              <c:numCache>
                <c:formatCode>General</c:formatCode>
                <c:ptCount val="6"/>
                <c:pt idx="0">
                  <c:v>2005</c:v>
                </c:pt>
                <c:pt idx="1">
                  <c:v>2007</c:v>
                </c:pt>
                <c:pt idx="2">
                  <c:v>2008</c:v>
                </c:pt>
                <c:pt idx="3">
                  <c:v>2009</c:v>
                </c:pt>
                <c:pt idx="4">
                  <c:v>2010</c:v>
                </c:pt>
                <c:pt idx="5">
                  <c:v>2011</c:v>
                </c:pt>
              </c:numCache>
            </c:numRef>
          </c:cat>
          <c:val>
            <c:numRef>
              <c:f>'Dimension 6'!$G$6:$L$6</c:f>
              <c:numCache>
                <c:formatCode>General</c:formatCode>
                <c:ptCount val="6"/>
                <c:pt idx="0">
                  <c:v>29</c:v>
                </c:pt>
                <c:pt idx="1">
                  <c:v>33</c:v>
                </c:pt>
                <c:pt idx="2">
                  <c:v>33</c:v>
                </c:pt>
                <c:pt idx="3">
                  <c:v>27</c:v>
                </c:pt>
                <c:pt idx="4">
                  <c:v>37</c:v>
                </c:pt>
                <c:pt idx="5">
                  <c:v>31</c:v>
                </c:pt>
              </c:numCache>
            </c:numRef>
          </c:val>
        </c:ser>
        <c:ser>
          <c:idx val="1"/>
          <c:order val="1"/>
          <c:tx>
            <c:strRef>
              <c:f>'Dimension 6'!$F$7</c:f>
              <c:strCache>
                <c:ptCount val="1"/>
                <c:pt idx="0">
                  <c:v>Average</c:v>
                </c:pt>
              </c:strCache>
            </c:strRef>
          </c:tx>
          <c:spPr>
            <a:ln>
              <a:solidFill>
                <a:schemeClr val="tx1"/>
              </a:solidFill>
            </a:ln>
          </c:spPr>
          <c:marker>
            <c:symbol val="none"/>
          </c:marker>
          <c:cat>
            <c:numRef>
              <c:f>'Dimension 6'!$G$5:$L$5</c:f>
              <c:numCache>
                <c:formatCode>General</c:formatCode>
                <c:ptCount val="6"/>
                <c:pt idx="0">
                  <c:v>2005</c:v>
                </c:pt>
                <c:pt idx="1">
                  <c:v>2007</c:v>
                </c:pt>
                <c:pt idx="2">
                  <c:v>2008</c:v>
                </c:pt>
                <c:pt idx="3">
                  <c:v>2009</c:v>
                </c:pt>
                <c:pt idx="4">
                  <c:v>2010</c:v>
                </c:pt>
                <c:pt idx="5">
                  <c:v>2011</c:v>
                </c:pt>
              </c:numCache>
            </c:numRef>
          </c:cat>
          <c:val>
            <c:numRef>
              <c:f>'Dimension 6'!$G$7:$L$7</c:f>
              <c:numCache>
                <c:formatCode>General</c:formatCode>
                <c:ptCount val="6"/>
                <c:pt idx="0">
                  <c:v>38</c:v>
                </c:pt>
                <c:pt idx="1">
                  <c:v>34</c:v>
                </c:pt>
                <c:pt idx="2">
                  <c:v>30</c:v>
                </c:pt>
                <c:pt idx="3">
                  <c:v>30</c:v>
                </c:pt>
                <c:pt idx="4">
                  <c:v>31</c:v>
                </c:pt>
                <c:pt idx="5">
                  <c:v>33</c:v>
                </c:pt>
              </c:numCache>
            </c:numRef>
          </c:val>
        </c:ser>
        <c:marker val="1"/>
        <c:axId val="64617856"/>
        <c:axId val="64996864"/>
      </c:lineChart>
      <c:catAx>
        <c:axId val="64617856"/>
        <c:scaling>
          <c:orientation val="minMax"/>
        </c:scaling>
        <c:axPos val="b"/>
        <c:title>
          <c:tx>
            <c:rich>
              <a:bodyPr/>
              <a:lstStyle/>
              <a:p>
                <a:pPr>
                  <a:defRPr/>
                </a:pPr>
                <a:r>
                  <a:rPr lang="en-US"/>
                  <a:t>Year of Survey</a:t>
                </a:r>
              </a:p>
            </c:rich>
          </c:tx>
          <c:layout>
            <c:manualLayout>
              <c:xMode val="edge"/>
              <c:yMode val="edge"/>
              <c:x val="0.33704859322491909"/>
              <c:y val="0.94037239462714217"/>
            </c:manualLayout>
          </c:layout>
        </c:title>
        <c:numFmt formatCode="General" sourceLinked="1"/>
        <c:tickLblPos val="nextTo"/>
        <c:crossAx val="64996864"/>
        <c:crosses val="autoZero"/>
        <c:auto val="1"/>
        <c:lblAlgn val="ctr"/>
        <c:lblOffset val="100"/>
      </c:catAx>
      <c:valAx>
        <c:axId val="64996864"/>
        <c:scaling>
          <c:orientation val="minMax"/>
        </c:scaling>
        <c:axPos val="l"/>
        <c:majorGridlines/>
        <c:title>
          <c:tx>
            <c:rich>
              <a:bodyPr rot="-5400000" vert="horz"/>
              <a:lstStyle/>
              <a:p>
                <a:pPr>
                  <a:defRPr/>
                </a:pPr>
                <a:r>
                  <a:rPr lang="en-GB" b="1"/>
                  <a:t>% of</a:t>
                </a:r>
                <a:r>
                  <a:rPr lang="en-GB" b="1" baseline="0"/>
                  <a:t> staff responding</a:t>
                </a:r>
                <a:endParaRPr lang="en-GB" b="1"/>
              </a:p>
              <a:p>
                <a:pPr>
                  <a:defRPr/>
                </a:pPr>
                <a:endParaRPr lang="en-GB"/>
              </a:p>
            </c:rich>
          </c:tx>
          <c:layout>
            <c:manualLayout>
              <c:xMode val="edge"/>
              <c:yMode val="edge"/>
              <c:x val="2.1806853582554634E-2"/>
              <c:y val="0.30054809325305065"/>
            </c:manualLayout>
          </c:layout>
        </c:title>
        <c:numFmt formatCode="General" sourceLinked="1"/>
        <c:tickLblPos val="nextTo"/>
        <c:crossAx val="64617856"/>
        <c:crosses val="autoZero"/>
        <c:crossBetween val="between"/>
      </c:valAx>
    </c:plotArea>
    <c:legend>
      <c:legendPos val="r"/>
    </c:legend>
    <c:plotVisOnly val="1"/>
  </c:chart>
  <c:spPr>
    <a:solidFill>
      <a:schemeClr val="accent1">
        <a:lumMod val="20000"/>
        <a:lumOff val="80000"/>
      </a:schemeClr>
    </a:solidFill>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style val="3"/>
  <c:chart>
    <c:title>
      <c:tx>
        <c:rich>
          <a:bodyPr/>
          <a:lstStyle/>
          <a:p>
            <a:pPr>
              <a:defRPr/>
            </a:pPr>
            <a:r>
              <a:rPr lang="en-GB" sz="1200">
                <a:solidFill>
                  <a:sysClr val="windowText" lastClr="000000"/>
                </a:solidFill>
              </a:rPr>
              <a:t>Support from immediate managers </a:t>
            </a:r>
          </a:p>
        </c:rich>
      </c:tx>
      <c:layout>
        <c:manualLayout>
          <c:xMode val="edge"/>
          <c:yMode val="edge"/>
          <c:x val="0.15199911540990974"/>
          <c:y val="3.7733646126092812E-2"/>
        </c:manualLayout>
      </c:layout>
    </c:title>
    <c:plotArea>
      <c:layout>
        <c:manualLayout>
          <c:layoutTarget val="inner"/>
          <c:xMode val="edge"/>
          <c:yMode val="edge"/>
          <c:x val="0.11887139107611552"/>
          <c:y val="0.14980831941461864"/>
          <c:w val="0.63044408511436067"/>
          <c:h val="0.6332789310427106"/>
        </c:manualLayout>
      </c:layout>
      <c:lineChart>
        <c:grouping val="standard"/>
        <c:ser>
          <c:idx val="0"/>
          <c:order val="0"/>
          <c:tx>
            <c:strRef>
              <c:f>'Dimension 6'!$F$17</c:f>
              <c:strCache>
                <c:ptCount val="1"/>
                <c:pt idx="0">
                  <c:v>Trust</c:v>
                </c:pt>
              </c:strCache>
            </c:strRef>
          </c:tx>
          <c:marker>
            <c:symbol val="none"/>
          </c:marker>
          <c:cat>
            <c:numRef>
              <c:f>'Dimension 6'!$G$16:$L$16</c:f>
              <c:numCache>
                <c:formatCode>General</c:formatCode>
                <c:ptCount val="6"/>
                <c:pt idx="0">
                  <c:v>2005</c:v>
                </c:pt>
                <c:pt idx="1">
                  <c:v>2007</c:v>
                </c:pt>
                <c:pt idx="2">
                  <c:v>2008</c:v>
                </c:pt>
                <c:pt idx="3">
                  <c:v>2009</c:v>
                </c:pt>
                <c:pt idx="4">
                  <c:v>2010</c:v>
                </c:pt>
                <c:pt idx="5">
                  <c:v>2011</c:v>
                </c:pt>
              </c:numCache>
            </c:numRef>
          </c:cat>
          <c:val>
            <c:numRef>
              <c:f>'Dimension 6'!$G$17:$L$17</c:f>
              <c:numCache>
                <c:formatCode>General</c:formatCode>
                <c:ptCount val="6"/>
                <c:pt idx="0">
                  <c:v>3.77</c:v>
                </c:pt>
                <c:pt idx="1">
                  <c:v>3.65</c:v>
                </c:pt>
                <c:pt idx="2">
                  <c:v>3.68</c:v>
                </c:pt>
                <c:pt idx="3">
                  <c:v>3.73</c:v>
                </c:pt>
                <c:pt idx="4">
                  <c:v>3.7</c:v>
                </c:pt>
                <c:pt idx="5">
                  <c:v>3.8299999999999987</c:v>
                </c:pt>
              </c:numCache>
            </c:numRef>
          </c:val>
        </c:ser>
        <c:ser>
          <c:idx val="1"/>
          <c:order val="1"/>
          <c:tx>
            <c:strRef>
              <c:f>'Dimension 6'!$F$18</c:f>
              <c:strCache>
                <c:ptCount val="1"/>
                <c:pt idx="0">
                  <c:v>Average</c:v>
                </c:pt>
              </c:strCache>
            </c:strRef>
          </c:tx>
          <c:spPr>
            <a:ln>
              <a:solidFill>
                <a:prstClr val="black"/>
              </a:solidFill>
            </a:ln>
          </c:spPr>
          <c:marker>
            <c:symbol val="none"/>
          </c:marker>
          <c:cat>
            <c:numRef>
              <c:f>'Dimension 6'!$G$16:$L$16</c:f>
              <c:numCache>
                <c:formatCode>General</c:formatCode>
                <c:ptCount val="6"/>
                <c:pt idx="0">
                  <c:v>2005</c:v>
                </c:pt>
                <c:pt idx="1">
                  <c:v>2007</c:v>
                </c:pt>
                <c:pt idx="2">
                  <c:v>2008</c:v>
                </c:pt>
                <c:pt idx="3">
                  <c:v>2009</c:v>
                </c:pt>
                <c:pt idx="4">
                  <c:v>2010</c:v>
                </c:pt>
                <c:pt idx="5">
                  <c:v>2011</c:v>
                </c:pt>
              </c:numCache>
            </c:numRef>
          </c:cat>
          <c:val>
            <c:numRef>
              <c:f>'Dimension 6'!$G$18:$L$18</c:f>
              <c:numCache>
                <c:formatCode>General</c:formatCode>
                <c:ptCount val="6"/>
                <c:pt idx="0">
                  <c:v>3.63</c:v>
                </c:pt>
                <c:pt idx="1">
                  <c:v>3.72</c:v>
                </c:pt>
                <c:pt idx="2">
                  <c:v>3.73</c:v>
                </c:pt>
                <c:pt idx="3">
                  <c:v>3.7800000000000002</c:v>
                </c:pt>
                <c:pt idx="4">
                  <c:v>3.8</c:v>
                </c:pt>
                <c:pt idx="5">
                  <c:v>3.79</c:v>
                </c:pt>
              </c:numCache>
            </c:numRef>
          </c:val>
        </c:ser>
        <c:marker val="1"/>
        <c:axId val="65284352"/>
        <c:axId val="65294720"/>
      </c:lineChart>
      <c:catAx>
        <c:axId val="65284352"/>
        <c:scaling>
          <c:orientation val="minMax"/>
        </c:scaling>
        <c:axPos val="b"/>
        <c:title>
          <c:tx>
            <c:rich>
              <a:bodyPr/>
              <a:lstStyle/>
              <a:p>
                <a:pPr>
                  <a:defRPr/>
                </a:pPr>
                <a:r>
                  <a:rPr lang="en-US"/>
                  <a:t>Year of Survey</a:t>
                </a:r>
                <a:endParaRPr lang="en-GB"/>
              </a:p>
            </c:rich>
          </c:tx>
          <c:layout>
            <c:manualLayout>
              <c:xMode val="edge"/>
              <c:yMode val="edge"/>
              <c:x val="0.31962176602925341"/>
              <c:y val="0.88199984092897565"/>
            </c:manualLayout>
          </c:layout>
        </c:title>
        <c:numFmt formatCode="General" sourceLinked="1"/>
        <c:tickLblPos val="nextTo"/>
        <c:crossAx val="65294720"/>
        <c:crosses val="autoZero"/>
        <c:auto val="1"/>
        <c:lblAlgn val="ctr"/>
        <c:lblOffset val="100"/>
      </c:catAx>
      <c:valAx>
        <c:axId val="65294720"/>
        <c:scaling>
          <c:orientation val="minMax"/>
          <c:max val="5"/>
          <c:min val="0"/>
        </c:scaling>
        <c:axPos val="l"/>
        <c:majorGridlines/>
        <c:title>
          <c:tx>
            <c:rich>
              <a:bodyPr rot="-5400000" vert="horz"/>
              <a:lstStyle/>
              <a:p>
                <a:pPr>
                  <a:defRPr/>
                </a:pPr>
                <a:r>
                  <a:rPr lang="en-US"/>
                  <a:t>Score out of 5</a:t>
                </a:r>
              </a:p>
            </c:rich>
          </c:tx>
          <c:layout>
            <c:manualLayout>
              <c:xMode val="edge"/>
              <c:yMode val="edge"/>
              <c:x val="5.9127864005912804E-3"/>
              <c:y val="0.32983005442903707"/>
            </c:manualLayout>
          </c:layout>
        </c:title>
        <c:numFmt formatCode="General" sourceLinked="1"/>
        <c:tickLblPos val="nextTo"/>
        <c:crossAx val="65284352"/>
        <c:crosses val="autoZero"/>
        <c:crossBetween val="between"/>
      </c:valAx>
    </c:plotArea>
    <c:legend>
      <c:legendPos val="r"/>
    </c:legend>
    <c:plotVisOnly val="1"/>
  </c:chart>
  <c:spPr>
    <a:solidFill>
      <a:srgbClr val="4F81BD">
        <a:lumMod val="20000"/>
        <a:lumOff val="80000"/>
      </a:srgbClr>
    </a:solidFill>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GB"/>
  <c:style val="3"/>
  <c:chart>
    <c:title>
      <c:tx>
        <c:rich>
          <a:bodyPr/>
          <a:lstStyle/>
          <a:p>
            <a:pPr>
              <a:defRPr sz="1220" baseline="0"/>
            </a:pPr>
            <a:r>
              <a:rPr lang="en-GB" sz="1200" baseline="0">
                <a:solidFill>
                  <a:sysClr val="windowText" lastClr="000000"/>
                </a:solidFill>
              </a:rPr>
              <a:t>Staff experiencing harassment, bullying or abuse from patients, relatives or the public in last 12 months</a:t>
            </a:r>
          </a:p>
        </c:rich>
      </c:tx>
      <c:layout>
        <c:manualLayout>
          <c:xMode val="edge"/>
          <c:yMode val="edge"/>
          <c:x val="8.2319556697452695E-2"/>
          <c:y val="2.3460403334209737E-2"/>
        </c:manualLayout>
      </c:layout>
    </c:title>
    <c:plotArea>
      <c:layout>
        <c:manualLayout>
          <c:layoutTarget val="inner"/>
          <c:xMode val="edge"/>
          <c:yMode val="edge"/>
          <c:x val="0.10490558825777846"/>
          <c:y val="0.23853425784463544"/>
          <c:w val="0.65842723543053161"/>
          <c:h val="0.58526210265383449"/>
        </c:manualLayout>
      </c:layout>
      <c:lineChart>
        <c:grouping val="standard"/>
        <c:ser>
          <c:idx val="0"/>
          <c:order val="0"/>
          <c:tx>
            <c:strRef>
              <c:f>'Dimension 6'!$F$11</c:f>
              <c:strCache>
                <c:ptCount val="1"/>
                <c:pt idx="0">
                  <c:v>Trust</c:v>
                </c:pt>
              </c:strCache>
            </c:strRef>
          </c:tx>
          <c:marker>
            <c:symbol val="none"/>
          </c:marker>
          <c:cat>
            <c:numRef>
              <c:f>'Dimension 6'!$G$10:$L$10</c:f>
              <c:numCache>
                <c:formatCode>General</c:formatCode>
                <c:ptCount val="6"/>
                <c:pt idx="0">
                  <c:v>2005</c:v>
                </c:pt>
                <c:pt idx="1">
                  <c:v>2007</c:v>
                </c:pt>
                <c:pt idx="2">
                  <c:v>2008</c:v>
                </c:pt>
                <c:pt idx="3">
                  <c:v>2009</c:v>
                </c:pt>
                <c:pt idx="4">
                  <c:v>2010</c:v>
                </c:pt>
                <c:pt idx="5">
                  <c:v>2011</c:v>
                </c:pt>
              </c:numCache>
            </c:numRef>
          </c:cat>
          <c:val>
            <c:numRef>
              <c:f>'Dimension 6'!$G$11:$L$11</c:f>
              <c:numCache>
                <c:formatCode>General</c:formatCode>
                <c:ptCount val="6"/>
                <c:pt idx="0">
                  <c:v>26</c:v>
                </c:pt>
                <c:pt idx="1">
                  <c:v>32</c:v>
                </c:pt>
                <c:pt idx="2">
                  <c:v>30</c:v>
                </c:pt>
                <c:pt idx="3">
                  <c:v>24</c:v>
                </c:pt>
                <c:pt idx="4">
                  <c:v>22</c:v>
                </c:pt>
                <c:pt idx="5">
                  <c:v>15</c:v>
                </c:pt>
              </c:numCache>
            </c:numRef>
          </c:val>
        </c:ser>
        <c:ser>
          <c:idx val="1"/>
          <c:order val="1"/>
          <c:tx>
            <c:strRef>
              <c:f>'Dimension 6'!$F$12</c:f>
              <c:strCache>
                <c:ptCount val="1"/>
                <c:pt idx="0">
                  <c:v>Average</c:v>
                </c:pt>
              </c:strCache>
            </c:strRef>
          </c:tx>
          <c:spPr>
            <a:ln>
              <a:solidFill>
                <a:prstClr val="black"/>
              </a:solidFill>
            </a:ln>
          </c:spPr>
          <c:marker>
            <c:symbol val="none"/>
          </c:marker>
          <c:cat>
            <c:numRef>
              <c:f>'Dimension 6'!$G$10:$L$10</c:f>
              <c:numCache>
                <c:formatCode>General</c:formatCode>
                <c:ptCount val="6"/>
                <c:pt idx="0">
                  <c:v>2005</c:v>
                </c:pt>
                <c:pt idx="1">
                  <c:v>2007</c:v>
                </c:pt>
                <c:pt idx="2">
                  <c:v>2008</c:v>
                </c:pt>
                <c:pt idx="3">
                  <c:v>2009</c:v>
                </c:pt>
                <c:pt idx="4">
                  <c:v>2010</c:v>
                </c:pt>
                <c:pt idx="5">
                  <c:v>2011</c:v>
                </c:pt>
              </c:numCache>
            </c:numRef>
          </c:cat>
          <c:val>
            <c:numRef>
              <c:f>'Dimension 6'!$G$12:$L$12</c:f>
              <c:numCache>
                <c:formatCode>General</c:formatCode>
                <c:ptCount val="6"/>
                <c:pt idx="0">
                  <c:v>32</c:v>
                </c:pt>
                <c:pt idx="1">
                  <c:v>30</c:v>
                </c:pt>
                <c:pt idx="2">
                  <c:v>27</c:v>
                </c:pt>
                <c:pt idx="3">
                  <c:v>25</c:v>
                </c:pt>
                <c:pt idx="4">
                  <c:v>18</c:v>
                </c:pt>
                <c:pt idx="5">
                  <c:v>17</c:v>
                </c:pt>
              </c:numCache>
            </c:numRef>
          </c:val>
        </c:ser>
        <c:marker val="1"/>
        <c:axId val="65307776"/>
        <c:axId val="65309696"/>
      </c:lineChart>
      <c:catAx>
        <c:axId val="65307776"/>
        <c:scaling>
          <c:orientation val="minMax"/>
        </c:scaling>
        <c:axPos val="b"/>
        <c:title>
          <c:tx>
            <c:rich>
              <a:bodyPr/>
              <a:lstStyle/>
              <a:p>
                <a:pPr>
                  <a:defRPr/>
                </a:pPr>
                <a:r>
                  <a:rPr lang="en-US"/>
                  <a:t>Year of Survey</a:t>
                </a:r>
                <a:endParaRPr lang="en-GB"/>
              </a:p>
            </c:rich>
          </c:tx>
          <c:layout>
            <c:manualLayout>
              <c:xMode val="edge"/>
              <c:yMode val="edge"/>
              <c:x val="0.33715312284993532"/>
              <c:y val="0.915601833352927"/>
            </c:manualLayout>
          </c:layout>
        </c:title>
        <c:numFmt formatCode="General" sourceLinked="1"/>
        <c:tickLblPos val="nextTo"/>
        <c:crossAx val="65309696"/>
        <c:crosses val="autoZero"/>
        <c:auto val="1"/>
        <c:lblAlgn val="ctr"/>
        <c:lblOffset val="100"/>
      </c:catAx>
      <c:valAx>
        <c:axId val="65309696"/>
        <c:scaling>
          <c:orientation val="minMax"/>
        </c:scaling>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baseline="0"/>
                  <a:t>% of staff responding</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GB" sz="1000"/>
              </a:p>
            </c:rich>
          </c:tx>
        </c:title>
        <c:numFmt formatCode="General" sourceLinked="1"/>
        <c:tickLblPos val="nextTo"/>
        <c:crossAx val="65307776"/>
        <c:crosses val="autoZero"/>
        <c:crossBetween val="between"/>
      </c:valAx>
    </c:plotArea>
    <c:legend>
      <c:legendPos val="r"/>
    </c:legend>
    <c:plotVisOnly val="1"/>
  </c:chart>
  <c:spPr>
    <a:solidFill>
      <a:srgbClr val="4F81BD">
        <a:lumMod val="20000"/>
        <a:lumOff val="80000"/>
      </a:srgbClr>
    </a:solidFill>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sz="1200"/>
              <a:t>Number of Complaints Received by Quarter</a:t>
            </a:r>
          </a:p>
        </c:rich>
      </c:tx>
      <c:layout>
        <c:manualLayout>
          <c:xMode val="edge"/>
          <c:yMode val="edge"/>
          <c:x val="0.13858832359568574"/>
          <c:y val="3.703683796321805E-2"/>
        </c:manualLayout>
      </c:layout>
    </c:title>
    <c:plotArea>
      <c:layout/>
      <c:barChart>
        <c:barDir val="col"/>
        <c:grouping val="clustered"/>
        <c:ser>
          <c:idx val="0"/>
          <c:order val="0"/>
          <c:spPr>
            <a:gradFill>
              <a:gsLst>
                <a:gs pos="0">
                  <a:srgbClr val="002060"/>
                </a:gs>
                <a:gs pos="50000">
                  <a:srgbClr val="4F81BD">
                    <a:tint val="44500"/>
                    <a:satMod val="160000"/>
                  </a:srgbClr>
                </a:gs>
                <a:gs pos="100000">
                  <a:srgbClr val="4F81BD">
                    <a:tint val="23500"/>
                    <a:satMod val="160000"/>
                  </a:srgbClr>
                </a:gs>
              </a:gsLst>
              <a:lin ang="5400000" scaled="0"/>
            </a:gradFill>
          </c:spPr>
          <c:cat>
            <c:strRef>
              <c:f>Others!$B$5:$B$8</c:f>
              <c:strCache>
                <c:ptCount val="4"/>
                <c:pt idx="0">
                  <c:v>2011 Q1</c:v>
                </c:pt>
                <c:pt idx="1">
                  <c:v>2011 Q2</c:v>
                </c:pt>
                <c:pt idx="2">
                  <c:v>2011 Q3</c:v>
                </c:pt>
                <c:pt idx="3">
                  <c:v>2011 Q4</c:v>
                </c:pt>
              </c:strCache>
            </c:strRef>
          </c:cat>
          <c:val>
            <c:numRef>
              <c:f>Others!$C$5:$C$8</c:f>
              <c:numCache>
                <c:formatCode>General</c:formatCode>
                <c:ptCount val="4"/>
                <c:pt idx="0">
                  <c:v>52</c:v>
                </c:pt>
                <c:pt idx="1">
                  <c:v>57</c:v>
                </c:pt>
                <c:pt idx="2">
                  <c:v>47</c:v>
                </c:pt>
                <c:pt idx="3">
                  <c:v>47</c:v>
                </c:pt>
              </c:numCache>
            </c:numRef>
          </c:val>
        </c:ser>
        <c:axId val="65330176"/>
        <c:axId val="65331968"/>
      </c:barChart>
      <c:catAx>
        <c:axId val="65330176"/>
        <c:scaling>
          <c:orientation val="minMax"/>
        </c:scaling>
        <c:axPos val="b"/>
        <c:majorTickMark val="none"/>
        <c:tickLblPos val="nextTo"/>
        <c:crossAx val="65331968"/>
        <c:crosses val="autoZero"/>
        <c:auto val="1"/>
        <c:lblAlgn val="ctr"/>
        <c:lblOffset val="100"/>
      </c:catAx>
      <c:valAx>
        <c:axId val="65331968"/>
        <c:scaling>
          <c:orientation val="minMax"/>
        </c:scaling>
        <c:axPos val="l"/>
        <c:majorGridlines/>
        <c:title>
          <c:tx>
            <c:rich>
              <a:bodyPr rot="-5400000" vert="horz"/>
              <a:lstStyle/>
              <a:p>
                <a:pPr>
                  <a:defRPr/>
                </a:pPr>
                <a:r>
                  <a:rPr lang="en-US"/>
                  <a:t>Number of Complaints</a:t>
                </a:r>
              </a:p>
            </c:rich>
          </c:tx>
        </c:title>
        <c:numFmt formatCode="General" sourceLinked="1"/>
        <c:majorTickMark val="none"/>
        <c:tickLblPos val="nextTo"/>
        <c:crossAx val="65330176"/>
        <c:crosses val="autoZero"/>
        <c:crossBetween val="between"/>
      </c:valAx>
    </c:plotArea>
    <c:plotVisOnly val="1"/>
  </c:chart>
  <c:spPr>
    <a:solidFill>
      <a:schemeClr val="accent1">
        <a:lumMod val="20000"/>
        <a:lumOff val="80000"/>
      </a:schemeClr>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sz="1200"/>
              <a:t>Analysis of Deaths by Verdict</a:t>
            </a:r>
          </a:p>
        </c:rich>
      </c:tx>
    </c:title>
    <c:plotArea>
      <c:layout>
        <c:manualLayout>
          <c:layoutTarget val="inner"/>
          <c:xMode val="edge"/>
          <c:yMode val="edge"/>
          <c:x val="0.1169877986214896"/>
          <c:y val="0.14082003263105625"/>
          <c:w val="0.71955727063862063"/>
          <c:h val="0.65490643399305148"/>
        </c:manualLayout>
      </c:layout>
      <c:barChart>
        <c:barDir val="col"/>
        <c:grouping val="stacked"/>
        <c:ser>
          <c:idx val="0"/>
          <c:order val="0"/>
          <c:tx>
            <c:strRef>
              <c:f>'Dimension 1'!$C$17</c:f>
              <c:strCache>
                <c:ptCount val="1"/>
                <c:pt idx="0">
                  <c:v>Suicide</c:v>
                </c:pt>
              </c:strCache>
            </c:strRef>
          </c:tx>
          <c:cat>
            <c:strRef>
              <c:f>'Dimension 1'!$B$18:$B$21</c:f>
              <c:strCache>
                <c:ptCount val="4"/>
                <c:pt idx="0">
                  <c:v>2008/9</c:v>
                </c:pt>
                <c:pt idx="1">
                  <c:v>2009/10</c:v>
                </c:pt>
                <c:pt idx="2">
                  <c:v>2010/11</c:v>
                </c:pt>
                <c:pt idx="3">
                  <c:v>2011/12</c:v>
                </c:pt>
              </c:strCache>
            </c:strRef>
          </c:cat>
          <c:val>
            <c:numRef>
              <c:f>'Dimension 1'!$C$18:$C$21</c:f>
              <c:numCache>
                <c:formatCode>General</c:formatCode>
                <c:ptCount val="4"/>
                <c:pt idx="0">
                  <c:v>9</c:v>
                </c:pt>
                <c:pt idx="1">
                  <c:v>20</c:v>
                </c:pt>
                <c:pt idx="2">
                  <c:v>21</c:v>
                </c:pt>
                <c:pt idx="3">
                  <c:v>8</c:v>
                </c:pt>
              </c:numCache>
            </c:numRef>
          </c:val>
        </c:ser>
        <c:ser>
          <c:idx val="1"/>
          <c:order val="1"/>
          <c:tx>
            <c:strRef>
              <c:f>'Dimension 1'!$D$17</c:f>
              <c:strCache>
                <c:ptCount val="1"/>
                <c:pt idx="0">
                  <c:v>Narrative</c:v>
                </c:pt>
              </c:strCache>
            </c:strRef>
          </c:tx>
          <c:cat>
            <c:strRef>
              <c:f>'Dimension 1'!$B$18:$B$21</c:f>
              <c:strCache>
                <c:ptCount val="4"/>
                <c:pt idx="0">
                  <c:v>2008/9</c:v>
                </c:pt>
                <c:pt idx="1">
                  <c:v>2009/10</c:v>
                </c:pt>
                <c:pt idx="2">
                  <c:v>2010/11</c:v>
                </c:pt>
                <c:pt idx="3">
                  <c:v>2011/12</c:v>
                </c:pt>
              </c:strCache>
            </c:strRef>
          </c:cat>
          <c:val>
            <c:numRef>
              <c:f>'Dimension 1'!$D$18:$D$21</c:f>
              <c:numCache>
                <c:formatCode>General</c:formatCode>
                <c:ptCount val="4"/>
                <c:pt idx="0">
                  <c:v>1</c:v>
                </c:pt>
                <c:pt idx="1">
                  <c:v>3</c:v>
                </c:pt>
                <c:pt idx="2">
                  <c:v>3</c:v>
                </c:pt>
                <c:pt idx="3">
                  <c:v>2</c:v>
                </c:pt>
              </c:numCache>
            </c:numRef>
          </c:val>
        </c:ser>
        <c:ser>
          <c:idx val="2"/>
          <c:order val="2"/>
          <c:tx>
            <c:strRef>
              <c:f>'Dimension 1'!$E$17</c:f>
              <c:strCache>
                <c:ptCount val="1"/>
                <c:pt idx="0">
                  <c:v>Open</c:v>
                </c:pt>
              </c:strCache>
            </c:strRef>
          </c:tx>
          <c:cat>
            <c:strRef>
              <c:f>'Dimension 1'!$B$18:$B$21</c:f>
              <c:strCache>
                <c:ptCount val="4"/>
                <c:pt idx="0">
                  <c:v>2008/9</c:v>
                </c:pt>
                <c:pt idx="1">
                  <c:v>2009/10</c:v>
                </c:pt>
                <c:pt idx="2">
                  <c:v>2010/11</c:v>
                </c:pt>
                <c:pt idx="3">
                  <c:v>2011/12</c:v>
                </c:pt>
              </c:strCache>
            </c:strRef>
          </c:cat>
          <c:val>
            <c:numRef>
              <c:f>'Dimension 1'!$E$18:$E$21</c:f>
              <c:numCache>
                <c:formatCode>General</c:formatCode>
                <c:ptCount val="4"/>
                <c:pt idx="0">
                  <c:v>5</c:v>
                </c:pt>
                <c:pt idx="1">
                  <c:v>9</c:v>
                </c:pt>
                <c:pt idx="2">
                  <c:v>7</c:v>
                </c:pt>
                <c:pt idx="3">
                  <c:v>4</c:v>
                </c:pt>
              </c:numCache>
            </c:numRef>
          </c:val>
        </c:ser>
        <c:ser>
          <c:idx val="3"/>
          <c:order val="3"/>
          <c:tx>
            <c:strRef>
              <c:f>'Dimension 1'!$F$17</c:f>
              <c:strCache>
                <c:ptCount val="1"/>
                <c:pt idx="0">
                  <c:v>Pending</c:v>
                </c:pt>
              </c:strCache>
            </c:strRef>
          </c:tx>
          <c:cat>
            <c:strRef>
              <c:f>'Dimension 1'!$B$18:$B$21</c:f>
              <c:strCache>
                <c:ptCount val="4"/>
                <c:pt idx="0">
                  <c:v>2008/9</c:v>
                </c:pt>
                <c:pt idx="1">
                  <c:v>2009/10</c:v>
                </c:pt>
                <c:pt idx="2">
                  <c:v>2010/11</c:v>
                </c:pt>
                <c:pt idx="3">
                  <c:v>2011/12</c:v>
                </c:pt>
              </c:strCache>
            </c:strRef>
          </c:cat>
          <c:val>
            <c:numRef>
              <c:f>'Dimension 1'!$F$18:$F$21</c:f>
              <c:numCache>
                <c:formatCode>General</c:formatCode>
                <c:ptCount val="4"/>
                <c:pt idx="2">
                  <c:v>6</c:v>
                </c:pt>
                <c:pt idx="3">
                  <c:v>16</c:v>
                </c:pt>
              </c:numCache>
            </c:numRef>
          </c:val>
        </c:ser>
        <c:overlap val="100"/>
        <c:axId val="68323584"/>
        <c:axId val="70924544"/>
      </c:barChart>
      <c:catAx>
        <c:axId val="68323584"/>
        <c:scaling>
          <c:orientation val="minMax"/>
        </c:scaling>
        <c:axPos val="b"/>
        <c:title>
          <c:tx>
            <c:rich>
              <a:bodyPr/>
              <a:lstStyle/>
              <a:p>
                <a:pPr>
                  <a:defRPr/>
                </a:pPr>
                <a:r>
                  <a:rPr lang="en-US"/>
                  <a:t>Year of Death</a:t>
                </a:r>
              </a:p>
            </c:rich>
          </c:tx>
        </c:title>
        <c:tickLblPos val="nextTo"/>
        <c:crossAx val="70924544"/>
        <c:crosses val="autoZero"/>
        <c:auto val="1"/>
        <c:lblAlgn val="ctr"/>
        <c:lblOffset val="100"/>
      </c:catAx>
      <c:valAx>
        <c:axId val="70924544"/>
        <c:scaling>
          <c:orientation val="minMax"/>
        </c:scaling>
        <c:axPos val="l"/>
        <c:majorGridlines/>
        <c:title>
          <c:tx>
            <c:rich>
              <a:bodyPr rot="-5400000" vert="horz"/>
              <a:lstStyle/>
              <a:p>
                <a:pPr>
                  <a:defRPr/>
                </a:pPr>
                <a:r>
                  <a:rPr lang="en-US"/>
                  <a:t>Number of Deaths</a:t>
                </a:r>
              </a:p>
            </c:rich>
          </c:tx>
        </c:title>
        <c:numFmt formatCode="General" sourceLinked="1"/>
        <c:tickLblPos val="nextTo"/>
        <c:crossAx val="68323584"/>
        <c:crosses val="autoZero"/>
        <c:crossBetween val="between"/>
      </c:valAx>
    </c:plotArea>
    <c:legend>
      <c:legendPos val="r"/>
      <c:layout>
        <c:manualLayout>
          <c:xMode val="edge"/>
          <c:yMode val="edge"/>
          <c:x val="0.83193713993297957"/>
          <c:y val="0.37659910381924927"/>
          <c:w val="0.15408661967568518"/>
          <c:h val="0.36670039819167088"/>
        </c:manualLayout>
      </c:layout>
    </c:legend>
    <c:plotVisOnly val="1"/>
  </c:chart>
  <c:spPr>
    <a:solidFill>
      <a:srgbClr val="4F81BD">
        <a:lumMod val="20000"/>
        <a:lumOff val="80000"/>
      </a:srgbClr>
    </a:solid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US"/>
              <a:t>Incidents Reported by Quarter</a:t>
            </a:r>
          </a:p>
        </c:rich>
      </c:tx>
    </c:title>
    <c:plotArea>
      <c:layout/>
      <c:barChart>
        <c:barDir val="col"/>
        <c:grouping val="stacked"/>
        <c:ser>
          <c:idx val="0"/>
          <c:order val="0"/>
          <c:tx>
            <c:strRef>
              <c:f>'Dimension 1'!$C$65</c:f>
              <c:strCache>
                <c:ptCount val="1"/>
                <c:pt idx="0">
                  <c:v>No Harm</c:v>
                </c:pt>
              </c:strCache>
            </c:strRef>
          </c:tx>
          <c:spPr>
            <a:solidFill>
              <a:srgbClr val="00B050"/>
            </a:solidFill>
            <a:ln>
              <a:solidFill>
                <a:srgbClr val="00B050"/>
              </a:solidFill>
            </a:ln>
          </c:spPr>
          <c:cat>
            <c:strRef>
              <c:f>'Dimension 1'!$B$46:$B$62</c:f>
              <c:strCache>
                <c:ptCount val="17"/>
                <c:pt idx="0">
                  <c:v>2007 Q4</c:v>
                </c:pt>
                <c:pt idx="1">
                  <c:v>2008 Q1</c:v>
                </c:pt>
                <c:pt idx="2">
                  <c:v>2008 Q2</c:v>
                </c:pt>
                <c:pt idx="3">
                  <c:v>2008 Q3</c:v>
                </c:pt>
                <c:pt idx="4">
                  <c:v>2008 Q4</c:v>
                </c:pt>
                <c:pt idx="5">
                  <c:v>2009 Q1</c:v>
                </c:pt>
                <c:pt idx="6">
                  <c:v>2009 Q2</c:v>
                </c:pt>
                <c:pt idx="7">
                  <c:v>2009 Q3</c:v>
                </c:pt>
                <c:pt idx="8">
                  <c:v>2009 Q4</c:v>
                </c:pt>
                <c:pt idx="9">
                  <c:v>2010 Q1</c:v>
                </c:pt>
                <c:pt idx="10">
                  <c:v>2010 Q2</c:v>
                </c:pt>
                <c:pt idx="11">
                  <c:v>2010 Q3</c:v>
                </c:pt>
                <c:pt idx="12">
                  <c:v>2010 Q4</c:v>
                </c:pt>
                <c:pt idx="13">
                  <c:v>2011 Q1</c:v>
                </c:pt>
                <c:pt idx="14">
                  <c:v>2011 Q2</c:v>
                </c:pt>
                <c:pt idx="15">
                  <c:v>2011 Q3</c:v>
                </c:pt>
                <c:pt idx="16">
                  <c:v>2011 Q4</c:v>
                </c:pt>
              </c:strCache>
            </c:strRef>
          </c:cat>
          <c:val>
            <c:numRef>
              <c:f>'Dimension 1'!$C$46:$C$62</c:f>
              <c:numCache>
                <c:formatCode>General</c:formatCode>
                <c:ptCount val="17"/>
                <c:pt idx="0">
                  <c:v>640</c:v>
                </c:pt>
                <c:pt idx="1">
                  <c:v>712</c:v>
                </c:pt>
                <c:pt idx="2">
                  <c:v>669</c:v>
                </c:pt>
                <c:pt idx="3">
                  <c:v>513</c:v>
                </c:pt>
                <c:pt idx="4">
                  <c:v>514</c:v>
                </c:pt>
                <c:pt idx="5">
                  <c:v>736</c:v>
                </c:pt>
                <c:pt idx="6">
                  <c:v>742</c:v>
                </c:pt>
                <c:pt idx="7">
                  <c:v>630</c:v>
                </c:pt>
                <c:pt idx="8">
                  <c:v>653</c:v>
                </c:pt>
                <c:pt idx="9">
                  <c:v>860</c:v>
                </c:pt>
                <c:pt idx="10">
                  <c:v>845</c:v>
                </c:pt>
                <c:pt idx="11">
                  <c:v>790</c:v>
                </c:pt>
                <c:pt idx="12">
                  <c:v>731</c:v>
                </c:pt>
                <c:pt idx="13">
                  <c:v>743</c:v>
                </c:pt>
                <c:pt idx="14">
                  <c:v>990</c:v>
                </c:pt>
                <c:pt idx="15">
                  <c:v>1335</c:v>
                </c:pt>
                <c:pt idx="16">
                  <c:v>1308</c:v>
                </c:pt>
              </c:numCache>
            </c:numRef>
          </c:val>
        </c:ser>
        <c:ser>
          <c:idx val="1"/>
          <c:order val="1"/>
          <c:tx>
            <c:strRef>
              <c:f>'Dimension 1'!$D$65</c:f>
              <c:strCache>
                <c:ptCount val="1"/>
                <c:pt idx="0">
                  <c:v>Minimal Harm</c:v>
                </c:pt>
              </c:strCache>
            </c:strRef>
          </c:tx>
          <c:spPr>
            <a:solidFill>
              <a:srgbClr val="FFFF00"/>
            </a:solidFill>
          </c:spPr>
          <c:cat>
            <c:strRef>
              <c:f>'Dimension 1'!$B$46:$B$62</c:f>
              <c:strCache>
                <c:ptCount val="17"/>
                <c:pt idx="0">
                  <c:v>2007 Q4</c:v>
                </c:pt>
                <c:pt idx="1">
                  <c:v>2008 Q1</c:v>
                </c:pt>
                <c:pt idx="2">
                  <c:v>2008 Q2</c:v>
                </c:pt>
                <c:pt idx="3">
                  <c:v>2008 Q3</c:v>
                </c:pt>
                <c:pt idx="4">
                  <c:v>2008 Q4</c:v>
                </c:pt>
                <c:pt idx="5">
                  <c:v>2009 Q1</c:v>
                </c:pt>
                <c:pt idx="6">
                  <c:v>2009 Q2</c:v>
                </c:pt>
                <c:pt idx="7">
                  <c:v>2009 Q3</c:v>
                </c:pt>
                <c:pt idx="8">
                  <c:v>2009 Q4</c:v>
                </c:pt>
                <c:pt idx="9">
                  <c:v>2010 Q1</c:v>
                </c:pt>
                <c:pt idx="10">
                  <c:v>2010 Q2</c:v>
                </c:pt>
                <c:pt idx="11">
                  <c:v>2010 Q3</c:v>
                </c:pt>
                <c:pt idx="12">
                  <c:v>2010 Q4</c:v>
                </c:pt>
                <c:pt idx="13">
                  <c:v>2011 Q1</c:v>
                </c:pt>
                <c:pt idx="14">
                  <c:v>2011 Q2</c:v>
                </c:pt>
                <c:pt idx="15">
                  <c:v>2011 Q3</c:v>
                </c:pt>
                <c:pt idx="16">
                  <c:v>2011 Q4</c:v>
                </c:pt>
              </c:strCache>
            </c:strRef>
          </c:cat>
          <c:val>
            <c:numRef>
              <c:f>'Dimension 1'!$D$46:$D$62</c:f>
              <c:numCache>
                <c:formatCode>General</c:formatCode>
                <c:ptCount val="17"/>
                <c:pt idx="0">
                  <c:v>247</c:v>
                </c:pt>
                <c:pt idx="1">
                  <c:v>319</c:v>
                </c:pt>
                <c:pt idx="2">
                  <c:v>281</c:v>
                </c:pt>
                <c:pt idx="3">
                  <c:v>279</c:v>
                </c:pt>
                <c:pt idx="4">
                  <c:v>258</c:v>
                </c:pt>
                <c:pt idx="5">
                  <c:v>266</c:v>
                </c:pt>
                <c:pt idx="6">
                  <c:v>364</c:v>
                </c:pt>
                <c:pt idx="7">
                  <c:v>260</c:v>
                </c:pt>
                <c:pt idx="8">
                  <c:v>269</c:v>
                </c:pt>
                <c:pt idx="9">
                  <c:v>268</c:v>
                </c:pt>
                <c:pt idx="10">
                  <c:v>302</c:v>
                </c:pt>
                <c:pt idx="11">
                  <c:v>325</c:v>
                </c:pt>
                <c:pt idx="12">
                  <c:v>286</c:v>
                </c:pt>
                <c:pt idx="13">
                  <c:v>302</c:v>
                </c:pt>
                <c:pt idx="14">
                  <c:v>424</c:v>
                </c:pt>
                <c:pt idx="15">
                  <c:v>569</c:v>
                </c:pt>
                <c:pt idx="16">
                  <c:v>627</c:v>
                </c:pt>
              </c:numCache>
            </c:numRef>
          </c:val>
        </c:ser>
        <c:ser>
          <c:idx val="2"/>
          <c:order val="2"/>
          <c:tx>
            <c:strRef>
              <c:f>'Dimension 1'!$E$65</c:f>
              <c:strCache>
                <c:ptCount val="1"/>
                <c:pt idx="0">
                  <c:v>Moderate Harm</c:v>
                </c:pt>
              </c:strCache>
            </c:strRef>
          </c:tx>
          <c:spPr>
            <a:solidFill>
              <a:srgbClr val="FFC000"/>
            </a:solidFill>
          </c:spPr>
          <c:cat>
            <c:strRef>
              <c:f>'Dimension 1'!$B$46:$B$62</c:f>
              <c:strCache>
                <c:ptCount val="17"/>
                <c:pt idx="0">
                  <c:v>2007 Q4</c:v>
                </c:pt>
                <c:pt idx="1">
                  <c:v>2008 Q1</c:v>
                </c:pt>
                <c:pt idx="2">
                  <c:v>2008 Q2</c:v>
                </c:pt>
                <c:pt idx="3">
                  <c:v>2008 Q3</c:v>
                </c:pt>
                <c:pt idx="4">
                  <c:v>2008 Q4</c:v>
                </c:pt>
                <c:pt idx="5">
                  <c:v>2009 Q1</c:v>
                </c:pt>
                <c:pt idx="6">
                  <c:v>2009 Q2</c:v>
                </c:pt>
                <c:pt idx="7">
                  <c:v>2009 Q3</c:v>
                </c:pt>
                <c:pt idx="8">
                  <c:v>2009 Q4</c:v>
                </c:pt>
                <c:pt idx="9">
                  <c:v>2010 Q1</c:v>
                </c:pt>
                <c:pt idx="10">
                  <c:v>2010 Q2</c:v>
                </c:pt>
                <c:pt idx="11">
                  <c:v>2010 Q3</c:v>
                </c:pt>
                <c:pt idx="12">
                  <c:v>2010 Q4</c:v>
                </c:pt>
                <c:pt idx="13">
                  <c:v>2011 Q1</c:v>
                </c:pt>
                <c:pt idx="14">
                  <c:v>2011 Q2</c:v>
                </c:pt>
                <c:pt idx="15">
                  <c:v>2011 Q3</c:v>
                </c:pt>
                <c:pt idx="16">
                  <c:v>2011 Q4</c:v>
                </c:pt>
              </c:strCache>
            </c:strRef>
          </c:cat>
          <c:val>
            <c:numRef>
              <c:f>'Dimension 1'!$E$46:$E$62</c:f>
              <c:numCache>
                <c:formatCode>General</c:formatCode>
                <c:ptCount val="17"/>
                <c:pt idx="0">
                  <c:v>16</c:v>
                </c:pt>
                <c:pt idx="1">
                  <c:v>21</c:v>
                </c:pt>
                <c:pt idx="2">
                  <c:v>24</c:v>
                </c:pt>
                <c:pt idx="3">
                  <c:v>23</c:v>
                </c:pt>
                <c:pt idx="4">
                  <c:v>20</c:v>
                </c:pt>
                <c:pt idx="5">
                  <c:v>22</c:v>
                </c:pt>
                <c:pt idx="6">
                  <c:v>30</c:v>
                </c:pt>
                <c:pt idx="7">
                  <c:v>22</c:v>
                </c:pt>
                <c:pt idx="8">
                  <c:v>23</c:v>
                </c:pt>
                <c:pt idx="9">
                  <c:v>18</c:v>
                </c:pt>
                <c:pt idx="10">
                  <c:v>22</c:v>
                </c:pt>
                <c:pt idx="11">
                  <c:v>16</c:v>
                </c:pt>
                <c:pt idx="12">
                  <c:v>27</c:v>
                </c:pt>
                <c:pt idx="13">
                  <c:v>21</c:v>
                </c:pt>
                <c:pt idx="14">
                  <c:v>97</c:v>
                </c:pt>
                <c:pt idx="15">
                  <c:v>136</c:v>
                </c:pt>
                <c:pt idx="16">
                  <c:v>134</c:v>
                </c:pt>
              </c:numCache>
            </c:numRef>
          </c:val>
        </c:ser>
        <c:ser>
          <c:idx val="3"/>
          <c:order val="3"/>
          <c:tx>
            <c:strRef>
              <c:f>'Dimension 1'!$F$65</c:f>
              <c:strCache>
                <c:ptCount val="1"/>
                <c:pt idx="0">
                  <c:v>Major Harm</c:v>
                </c:pt>
              </c:strCache>
            </c:strRef>
          </c:tx>
          <c:spPr>
            <a:solidFill>
              <a:srgbClr val="FF0000"/>
            </a:solidFill>
          </c:spPr>
          <c:cat>
            <c:strRef>
              <c:f>'Dimension 1'!$B$46:$B$62</c:f>
              <c:strCache>
                <c:ptCount val="17"/>
                <c:pt idx="0">
                  <c:v>2007 Q4</c:v>
                </c:pt>
                <c:pt idx="1">
                  <c:v>2008 Q1</c:v>
                </c:pt>
                <c:pt idx="2">
                  <c:v>2008 Q2</c:v>
                </c:pt>
                <c:pt idx="3">
                  <c:v>2008 Q3</c:v>
                </c:pt>
                <c:pt idx="4">
                  <c:v>2008 Q4</c:v>
                </c:pt>
                <c:pt idx="5">
                  <c:v>2009 Q1</c:v>
                </c:pt>
                <c:pt idx="6">
                  <c:v>2009 Q2</c:v>
                </c:pt>
                <c:pt idx="7">
                  <c:v>2009 Q3</c:v>
                </c:pt>
                <c:pt idx="8">
                  <c:v>2009 Q4</c:v>
                </c:pt>
                <c:pt idx="9">
                  <c:v>2010 Q1</c:v>
                </c:pt>
                <c:pt idx="10">
                  <c:v>2010 Q2</c:v>
                </c:pt>
                <c:pt idx="11">
                  <c:v>2010 Q3</c:v>
                </c:pt>
                <c:pt idx="12">
                  <c:v>2010 Q4</c:v>
                </c:pt>
                <c:pt idx="13">
                  <c:v>2011 Q1</c:v>
                </c:pt>
                <c:pt idx="14">
                  <c:v>2011 Q2</c:v>
                </c:pt>
                <c:pt idx="15">
                  <c:v>2011 Q3</c:v>
                </c:pt>
                <c:pt idx="16">
                  <c:v>2011 Q4</c:v>
                </c:pt>
              </c:strCache>
            </c:strRef>
          </c:cat>
          <c:val>
            <c:numRef>
              <c:f>'Dimension 1'!$F$46:$F$62</c:f>
              <c:numCache>
                <c:formatCode>General</c:formatCode>
                <c:ptCount val="17"/>
                <c:pt idx="0">
                  <c:v>4</c:v>
                </c:pt>
                <c:pt idx="1">
                  <c:v>5</c:v>
                </c:pt>
                <c:pt idx="2">
                  <c:v>9</c:v>
                </c:pt>
                <c:pt idx="3">
                  <c:v>6</c:v>
                </c:pt>
                <c:pt idx="4">
                  <c:v>8</c:v>
                </c:pt>
                <c:pt idx="5">
                  <c:v>2</c:v>
                </c:pt>
                <c:pt idx="6">
                  <c:v>6</c:v>
                </c:pt>
                <c:pt idx="7">
                  <c:v>0</c:v>
                </c:pt>
                <c:pt idx="8">
                  <c:v>2</c:v>
                </c:pt>
                <c:pt idx="9">
                  <c:v>2</c:v>
                </c:pt>
                <c:pt idx="10">
                  <c:v>1</c:v>
                </c:pt>
                <c:pt idx="11">
                  <c:v>2</c:v>
                </c:pt>
                <c:pt idx="12">
                  <c:v>1</c:v>
                </c:pt>
                <c:pt idx="13">
                  <c:v>3</c:v>
                </c:pt>
                <c:pt idx="14">
                  <c:v>16</c:v>
                </c:pt>
                <c:pt idx="15">
                  <c:v>6</c:v>
                </c:pt>
                <c:pt idx="16">
                  <c:v>10</c:v>
                </c:pt>
              </c:numCache>
            </c:numRef>
          </c:val>
        </c:ser>
        <c:ser>
          <c:idx val="4"/>
          <c:order val="4"/>
          <c:tx>
            <c:strRef>
              <c:f>'Dimension 1'!$G$65</c:f>
              <c:strCache>
                <c:ptCount val="1"/>
                <c:pt idx="0">
                  <c:v>Catastrophic/ Death</c:v>
                </c:pt>
              </c:strCache>
            </c:strRef>
          </c:tx>
          <c:spPr>
            <a:solidFill>
              <a:srgbClr val="C00000"/>
            </a:solidFill>
          </c:spPr>
          <c:cat>
            <c:strRef>
              <c:f>'Dimension 1'!$B$46:$B$62</c:f>
              <c:strCache>
                <c:ptCount val="17"/>
                <c:pt idx="0">
                  <c:v>2007 Q4</c:v>
                </c:pt>
                <c:pt idx="1">
                  <c:v>2008 Q1</c:v>
                </c:pt>
                <c:pt idx="2">
                  <c:v>2008 Q2</c:v>
                </c:pt>
                <c:pt idx="3">
                  <c:v>2008 Q3</c:v>
                </c:pt>
                <c:pt idx="4">
                  <c:v>2008 Q4</c:v>
                </c:pt>
                <c:pt idx="5">
                  <c:v>2009 Q1</c:v>
                </c:pt>
                <c:pt idx="6">
                  <c:v>2009 Q2</c:v>
                </c:pt>
                <c:pt idx="7">
                  <c:v>2009 Q3</c:v>
                </c:pt>
                <c:pt idx="8">
                  <c:v>2009 Q4</c:v>
                </c:pt>
                <c:pt idx="9">
                  <c:v>2010 Q1</c:v>
                </c:pt>
                <c:pt idx="10">
                  <c:v>2010 Q2</c:v>
                </c:pt>
                <c:pt idx="11">
                  <c:v>2010 Q3</c:v>
                </c:pt>
                <c:pt idx="12">
                  <c:v>2010 Q4</c:v>
                </c:pt>
                <c:pt idx="13">
                  <c:v>2011 Q1</c:v>
                </c:pt>
                <c:pt idx="14">
                  <c:v>2011 Q2</c:v>
                </c:pt>
                <c:pt idx="15">
                  <c:v>2011 Q3</c:v>
                </c:pt>
                <c:pt idx="16">
                  <c:v>2011 Q4</c:v>
                </c:pt>
              </c:strCache>
            </c:strRef>
          </c:cat>
          <c:val>
            <c:numRef>
              <c:f>'Dimension 1'!$G$46:$G$62</c:f>
              <c:numCache>
                <c:formatCode>General</c:formatCode>
                <c:ptCount val="17"/>
                <c:pt idx="0">
                  <c:v>14</c:v>
                </c:pt>
                <c:pt idx="1">
                  <c:v>15</c:v>
                </c:pt>
                <c:pt idx="2">
                  <c:v>10</c:v>
                </c:pt>
                <c:pt idx="3">
                  <c:v>14</c:v>
                </c:pt>
                <c:pt idx="4">
                  <c:v>7</c:v>
                </c:pt>
                <c:pt idx="5">
                  <c:v>10</c:v>
                </c:pt>
                <c:pt idx="6">
                  <c:v>12</c:v>
                </c:pt>
                <c:pt idx="7">
                  <c:v>16</c:v>
                </c:pt>
                <c:pt idx="8">
                  <c:v>21</c:v>
                </c:pt>
                <c:pt idx="9">
                  <c:v>26</c:v>
                </c:pt>
                <c:pt idx="10">
                  <c:v>13</c:v>
                </c:pt>
                <c:pt idx="11">
                  <c:v>20</c:v>
                </c:pt>
                <c:pt idx="12">
                  <c:v>25</c:v>
                </c:pt>
                <c:pt idx="13">
                  <c:v>25</c:v>
                </c:pt>
                <c:pt idx="14">
                  <c:v>24</c:v>
                </c:pt>
                <c:pt idx="15">
                  <c:v>43</c:v>
                </c:pt>
                <c:pt idx="16">
                  <c:v>33</c:v>
                </c:pt>
              </c:numCache>
            </c:numRef>
          </c:val>
        </c:ser>
        <c:overlap val="100"/>
        <c:axId val="74284032"/>
        <c:axId val="78336768"/>
      </c:barChart>
      <c:lineChart>
        <c:grouping val="standard"/>
        <c:ser>
          <c:idx val="5"/>
          <c:order val="5"/>
          <c:tx>
            <c:strRef>
              <c:f>'Dimension 1'!$I$45</c:f>
              <c:strCache>
                <c:ptCount val="1"/>
                <c:pt idx="0">
                  <c:v>No/minimal harm</c:v>
                </c:pt>
              </c:strCache>
            </c:strRef>
          </c:tx>
          <c:spPr>
            <a:ln>
              <a:solidFill>
                <a:schemeClr val="tx1"/>
              </a:solidFill>
            </a:ln>
          </c:spPr>
          <c:marker>
            <c:symbol val="none"/>
          </c:marker>
          <c:val>
            <c:numRef>
              <c:f>'Dimension 1'!$I$46:$I$62</c:f>
              <c:numCache>
                <c:formatCode>General</c:formatCode>
                <c:ptCount val="17"/>
                <c:pt idx="0">
                  <c:v>887</c:v>
                </c:pt>
                <c:pt idx="1">
                  <c:v>1031</c:v>
                </c:pt>
                <c:pt idx="2">
                  <c:v>950</c:v>
                </c:pt>
                <c:pt idx="3">
                  <c:v>792</c:v>
                </c:pt>
                <c:pt idx="4">
                  <c:v>772</c:v>
                </c:pt>
                <c:pt idx="5">
                  <c:v>1002</c:v>
                </c:pt>
                <c:pt idx="6">
                  <c:v>1106</c:v>
                </c:pt>
                <c:pt idx="7">
                  <c:v>890</c:v>
                </c:pt>
                <c:pt idx="8">
                  <c:v>922</c:v>
                </c:pt>
                <c:pt idx="9">
                  <c:v>1128</c:v>
                </c:pt>
                <c:pt idx="10">
                  <c:v>1147</c:v>
                </c:pt>
                <c:pt idx="11">
                  <c:v>1115</c:v>
                </c:pt>
                <c:pt idx="12">
                  <c:v>1017</c:v>
                </c:pt>
                <c:pt idx="13">
                  <c:v>1045</c:v>
                </c:pt>
                <c:pt idx="14">
                  <c:v>1414</c:v>
                </c:pt>
                <c:pt idx="15">
                  <c:v>1904</c:v>
                </c:pt>
                <c:pt idx="16">
                  <c:v>1935</c:v>
                </c:pt>
              </c:numCache>
            </c:numRef>
          </c:val>
        </c:ser>
        <c:marker val="1"/>
        <c:axId val="74284032"/>
        <c:axId val="78336768"/>
      </c:lineChart>
      <c:catAx>
        <c:axId val="74284032"/>
        <c:scaling>
          <c:orientation val="minMax"/>
        </c:scaling>
        <c:axPos val="b"/>
        <c:tickLblPos val="nextTo"/>
        <c:txPr>
          <a:bodyPr rot="-3780000"/>
          <a:lstStyle/>
          <a:p>
            <a:pPr>
              <a:defRPr/>
            </a:pPr>
            <a:endParaRPr lang="en-US"/>
          </a:p>
        </c:txPr>
        <c:crossAx val="78336768"/>
        <c:crosses val="autoZero"/>
        <c:auto val="1"/>
        <c:lblAlgn val="ctr"/>
        <c:lblOffset val="100"/>
      </c:catAx>
      <c:valAx>
        <c:axId val="78336768"/>
        <c:scaling>
          <c:orientation val="minMax"/>
        </c:scaling>
        <c:axPos val="l"/>
        <c:majorGridlines/>
        <c:title>
          <c:tx>
            <c:rich>
              <a:bodyPr rot="-5400000" vert="horz"/>
              <a:lstStyle/>
              <a:p>
                <a:pPr>
                  <a:defRPr/>
                </a:pPr>
                <a:r>
                  <a:rPr lang="en-US"/>
                  <a:t>Number of Incidents</a:t>
                </a:r>
              </a:p>
            </c:rich>
          </c:tx>
        </c:title>
        <c:numFmt formatCode="General" sourceLinked="1"/>
        <c:tickLblPos val="nextTo"/>
        <c:crossAx val="74284032"/>
        <c:crosses val="autoZero"/>
        <c:crossBetween val="between"/>
      </c:valAx>
    </c:plotArea>
    <c:legend>
      <c:legendPos val="r"/>
    </c:legend>
    <c:plotVisOnly val="1"/>
    <c:dispBlanksAs val="gap"/>
  </c:chart>
  <c:spPr>
    <a:gradFill>
      <a:gsLst>
        <a:gs pos="0">
          <a:schemeClr val="accent1">
            <a:lumMod val="20000"/>
            <a:lumOff val="80000"/>
          </a:schemeClr>
        </a:gs>
        <a:gs pos="50000">
          <a:srgbClr val="4F81BD">
            <a:tint val="44500"/>
            <a:satMod val="160000"/>
          </a:srgbClr>
        </a:gs>
        <a:gs pos="100000">
          <a:srgbClr val="4F81BD">
            <a:tint val="23500"/>
            <a:satMod val="160000"/>
          </a:srgbClr>
        </a:gs>
      </a:gsLst>
      <a:lin ang="5400000" scaled="0"/>
    </a:grad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sz="1200"/>
              <a:t>Skin Breakdown</a:t>
            </a:r>
            <a:r>
              <a:rPr lang="en-GB" sz="1200" baseline="0"/>
              <a:t> Compliance</a:t>
            </a:r>
            <a:endParaRPr lang="en-GB" sz="1200"/>
          </a:p>
        </c:rich>
      </c:tx>
      <c:layout>
        <c:manualLayout>
          <c:xMode val="edge"/>
          <c:yMode val="edge"/>
          <c:x val="0.19289588801399826"/>
          <c:y val="2.5974025974026035E-2"/>
        </c:manualLayout>
      </c:layout>
    </c:title>
    <c:plotArea>
      <c:layout/>
      <c:barChart>
        <c:barDir val="col"/>
        <c:grouping val="clustered"/>
        <c:ser>
          <c:idx val="0"/>
          <c:order val="0"/>
          <c:tx>
            <c:strRef>
              <c:f>'Dimension 2'!$C$3</c:f>
              <c:strCache>
                <c:ptCount val="1"/>
                <c:pt idx="0">
                  <c:v>Community Hospitals</c:v>
                </c:pt>
              </c:strCache>
            </c:strRef>
          </c:tx>
          <c:spPr>
            <a:gradFill>
              <a:gsLst>
                <a:gs pos="0">
                  <a:srgbClr val="0070C0"/>
                </a:gs>
                <a:gs pos="50000">
                  <a:srgbClr val="4F81BD">
                    <a:tint val="44500"/>
                    <a:satMod val="160000"/>
                  </a:srgbClr>
                </a:gs>
                <a:gs pos="100000">
                  <a:srgbClr val="4F81BD">
                    <a:tint val="23500"/>
                    <a:satMod val="160000"/>
                  </a:srgbClr>
                </a:gs>
              </a:gsLst>
              <a:lin ang="5400000" scaled="0"/>
            </a:gradFill>
          </c:spPr>
          <c:cat>
            <c:strRef>
              <c:f>'Dimension 2'!$B$4:$B$7</c:f>
              <c:strCache>
                <c:ptCount val="4"/>
                <c:pt idx="0">
                  <c:v>Q1 2011</c:v>
                </c:pt>
                <c:pt idx="1">
                  <c:v>Q2 2011</c:v>
                </c:pt>
                <c:pt idx="2">
                  <c:v>Q3 2012</c:v>
                </c:pt>
                <c:pt idx="3">
                  <c:v>Q4 2012</c:v>
                </c:pt>
              </c:strCache>
            </c:strRef>
          </c:cat>
          <c:val>
            <c:numRef>
              <c:f>'Dimension 2'!$C$4:$C$7</c:f>
              <c:numCache>
                <c:formatCode>0%</c:formatCode>
                <c:ptCount val="4"/>
                <c:pt idx="0">
                  <c:v>0.86000000000000043</c:v>
                </c:pt>
                <c:pt idx="1">
                  <c:v>0.84000000000000041</c:v>
                </c:pt>
                <c:pt idx="2">
                  <c:v>0.88</c:v>
                </c:pt>
                <c:pt idx="3">
                  <c:v>0.77000000000000046</c:v>
                </c:pt>
              </c:numCache>
            </c:numRef>
          </c:val>
        </c:ser>
        <c:ser>
          <c:idx val="1"/>
          <c:order val="1"/>
          <c:tx>
            <c:strRef>
              <c:f>'Dimension 2'!$D$3</c:f>
              <c:strCache>
                <c:ptCount val="1"/>
                <c:pt idx="0">
                  <c:v>Community Nursing</c:v>
                </c:pt>
              </c:strCache>
            </c:strRef>
          </c:tx>
          <c:spPr>
            <a:gradFill flip="none" rotWithShape="1">
              <a:gsLst>
                <a:gs pos="0">
                  <a:srgbClr val="D6B19C"/>
                </a:gs>
                <a:gs pos="30000">
                  <a:srgbClr val="D49E6C"/>
                </a:gs>
                <a:gs pos="70000">
                  <a:srgbClr val="A65528"/>
                </a:gs>
                <a:gs pos="100000">
                  <a:srgbClr val="663012"/>
                </a:gs>
              </a:gsLst>
              <a:lin ang="16200000" scaled="1"/>
              <a:tileRect/>
            </a:gradFill>
          </c:spPr>
          <c:cat>
            <c:strRef>
              <c:f>'Dimension 2'!$B$4:$B$7</c:f>
              <c:strCache>
                <c:ptCount val="4"/>
                <c:pt idx="0">
                  <c:v>Q1 2011</c:v>
                </c:pt>
                <c:pt idx="1">
                  <c:v>Q2 2011</c:v>
                </c:pt>
                <c:pt idx="2">
                  <c:v>Q3 2012</c:v>
                </c:pt>
                <c:pt idx="3">
                  <c:v>Q4 2012</c:v>
                </c:pt>
              </c:strCache>
            </c:strRef>
          </c:cat>
          <c:val>
            <c:numRef>
              <c:f>'Dimension 2'!$D$4:$D$7</c:f>
              <c:numCache>
                <c:formatCode>0%</c:formatCode>
                <c:ptCount val="4"/>
                <c:pt idx="0">
                  <c:v>0.33000000000000035</c:v>
                </c:pt>
                <c:pt idx="1">
                  <c:v>0.9500000000000004</c:v>
                </c:pt>
                <c:pt idx="2">
                  <c:v>0.97000000000000042</c:v>
                </c:pt>
              </c:numCache>
            </c:numRef>
          </c:val>
        </c:ser>
        <c:axId val="106381312"/>
        <c:axId val="106382848"/>
      </c:barChart>
      <c:lineChart>
        <c:grouping val="standard"/>
        <c:ser>
          <c:idx val="2"/>
          <c:order val="2"/>
          <c:tx>
            <c:strRef>
              <c:f>'Dimension 2'!$E$3</c:f>
              <c:strCache>
                <c:ptCount val="1"/>
                <c:pt idx="0">
                  <c:v>Target</c:v>
                </c:pt>
              </c:strCache>
            </c:strRef>
          </c:tx>
          <c:spPr>
            <a:ln>
              <a:solidFill>
                <a:srgbClr val="002060"/>
              </a:solidFill>
            </a:ln>
          </c:spPr>
          <c:marker>
            <c:symbol val="none"/>
          </c:marker>
          <c:cat>
            <c:strRef>
              <c:f>'Dimension 2'!$B$4:$B$7</c:f>
              <c:strCache>
                <c:ptCount val="4"/>
                <c:pt idx="0">
                  <c:v>Q1 2011</c:v>
                </c:pt>
                <c:pt idx="1">
                  <c:v>Q2 2011</c:v>
                </c:pt>
                <c:pt idx="2">
                  <c:v>Q3 2012</c:v>
                </c:pt>
                <c:pt idx="3">
                  <c:v>Q4 2012</c:v>
                </c:pt>
              </c:strCache>
            </c:strRef>
          </c:cat>
          <c:val>
            <c:numRef>
              <c:f>'Dimension 2'!$E$4:$E$7</c:f>
              <c:numCache>
                <c:formatCode>0%</c:formatCode>
                <c:ptCount val="4"/>
                <c:pt idx="0">
                  <c:v>0.75000000000000044</c:v>
                </c:pt>
                <c:pt idx="1">
                  <c:v>0.75000000000000044</c:v>
                </c:pt>
                <c:pt idx="2">
                  <c:v>0.75000000000000044</c:v>
                </c:pt>
                <c:pt idx="3">
                  <c:v>0.75000000000000044</c:v>
                </c:pt>
              </c:numCache>
            </c:numRef>
          </c:val>
        </c:ser>
        <c:marker val="1"/>
        <c:axId val="106381312"/>
        <c:axId val="106382848"/>
      </c:lineChart>
      <c:catAx>
        <c:axId val="106381312"/>
        <c:scaling>
          <c:orientation val="minMax"/>
        </c:scaling>
        <c:axPos val="b"/>
        <c:majorTickMark val="none"/>
        <c:tickLblPos val="nextTo"/>
        <c:crossAx val="106382848"/>
        <c:crosses val="autoZero"/>
        <c:auto val="1"/>
        <c:lblAlgn val="ctr"/>
        <c:lblOffset val="100"/>
      </c:catAx>
      <c:valAx>
        <c:axId val="106382848"/>
        <c:scaling>
          <c:orientation val="minMax"/>
          <c:max val="1"/>
          <c:min val="0"/>
        </c:scaling>
        <c:axPos val="l"/>
        <c:majorGridlines/>
        <c:title>
          <c:tx>
            <c:rich>
              <a:bodyPr/>
              <a:lstStyle/>
              <a:p>
                <a:pPr>
                  <a:defRPr/>
                </a:pPr>
                <a:r>
                  <a:rPr lang="en-US"/>
                  <a:t>% Compliant</a:t>
                </a:r>
              </a:p>
            </c:rich>
          </c:tx>
        </c:title>
        <c:numFmt formatCode="0%" sourceLinked="1"/>
        <c:majorTickMark val="none"/>
        <c:tickLblPos val="nextTo"/>
        <c:crossAx val="106381312"/>
        <c:crosses val="autoZero"/>
        <c:crossBetween val="between"/>
      </c:valAx>
    </c:plotArea>
    <c:legend>
      <c:legendPos val="r"/>
    </c:legend>
    <c:plotVisOnly val="1"/>
    <c:dispBlanksAs val="gap"/>
  </c:chart>
  <c:spPr>
    <a:solidFill>
      <a:srgbClr val="4F81BD">
        <a:lumMod val="20000"/>
        <a:lumOff val="80000"/>
      </a:srgbClr>
    </a:solid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US" sz="1200"/>
              <a:t>Serious Drug Errors in Community Health on a rolling 12 month basis</a:t>
            </a:r>
          </a:p>
        </c:rich>
      </c:tx>
    </c:title>
    <c:plotArea>
      <c:layout>
        <c:manualLayout>
          <c:layoutTarget val="inner"/>
          <c:xMode val="edge"/>
          <c:yMode val="edge"/>
          <c:x val="0.22134167726850665"/>
          <c:y val="0.27445844269466435"/>
          <c:w val="0.48391454343316281"/>
          <c:h val="0.41589807524059602"/>
        </c:manualLayout>
      </c:layout>
      <c:barChart>
        <c:barDir val="col"/>
        <c:grouping val="stacked"/>
        <c:ser>
          <c:idx val="0"/>
          <c:order val="0"/>
          <c:tx>
            <c:strRef>
              <c:f>'Dimension 2'!$B$31</c:f>
              <c:strCache>
                <c:ptCount val="1"/>
                <c:pt idx="0">
                  <c:v>Major (major or permanent harm)</c:v>
                </c:pt>
              </c:strCache>
            </c:strRef>
          </c:tx>
          <c:cat>
            <c:strRef>
              <c:f>'Dimension 2'!$C$30:$M$30</c:f>
              <c:strCache>
                <c:ptCount val="11"/>
                <c:pt idx="0">
                  <c:v>Q2 09/10</c:v>
                </c:pt>
                <c:pt idx="1">
                  <c:v>Q3 09/10</c:v>
                </c:pt>
                <c:pt idx="2">
                  <c:v>Q4 09/10</c:v>
                </c:pt>
                <c:pt idx="3">
                  <c:v>Q1 10/11</c:v>
                </c:pt>
                <c:pt idx="4">
                  <c:v>Q2 10/11 </c:v>
                </c:pt>
                <c:pt idx="5">
                  <c:v>Q3 10/11</c:v>
                </c:pt>
                <c:pt idx="6">
                  <c:v>Q4 10/11 </c:v>
                </c:pt>
                <c:pt idx="7">
                  <c:v>Q1 11/12</c:v>
                </c:pt>
                <c:pt idx="8">
                  <c:v>Q2 11/12</c:v>
                </c:pt>
                <c:pt idx="9">
                  <c:v>Q3 11/12</c:v>
                </c:pt>
                <c:pt idx="10">
                  <c:v>Q4 11/12</c:v>
                </c:pt>
              </c:strCache>
            </c:strRef>
          </c:cat>
          <c:val>
            <c:numRef>
              <c:f>'Dimension 2'!$C$31:$M$31</c:f>
              <c:numCache>
                <c:formatCode>General</c:formatCode>
                <c:ptCount val="11"/>
                <c:pt idx="0">
                  <c:v>5</c:v>
                </c:pt>
                <c:pt idx="1">
                  <c:v>8</c:v>
                </c:pt>
                <c:pt idx="2">
                  <c:v>10</c:v>
                </c:pt>
                <c:pt idx="3">
                  <c:v>9</c:v>
                </c:pt>
                <c:pt idx="4">
                  <c:v>14</c:v>
                </c:pt>
                <c:pt idx="5">
                  <c:v>20</c:v>
                </c:pt>
                <c:pt idx="6">
                  <c:v>21</c:v>
                </c:pt>
                <c:pt idx="7">
                  <c:v>21</c:v>
                </c:pt>
                <c:pt idx="8">
                  <c:v>18</c:v>
                </c:pt>
                <c:pt idx="9">
                  <c:v>15</c:v>
                </c:pt>
                <c:pt idx="10">
                  <c:v>11</c:v>
                </c:pt>
              </c:numCache>
            </c:numRef>
          </c:val>
        </c:ser>
        <c:ser>
          <c:idx val="1"/>
          <c:order val="1"/>
          <c:tx>
            <c:strRef>
              <c:f>'Dimension 2'!$B$32</c:f>
              <c:strCache>
                <c:ptCount val="1"/>
                <c:pt idx="0">
                  <c:v>Catastrophic (death)</c:v>
                </c:pt>
              </c:strCache>
            </c:strRef>
          </c:tx>
          <c:cat>
            <c:strRef>
              <c:f>'Dimension 2'!$C$30:$M$30</c:f>
              <c:strCache>
                <c:ptCount val="11"/>
                <c:pt idx="0">
                  <c:v>Q2 09/10</c:v>
                </c:pt>
                <c:pt idx="1">
                  <c:v>Q3 09/10</c:v>
                </c:pt>
                <c:pt idx="2">
                  <c:v>Q4 09/10</c:v>
                </c:pt>
                <c:pt idx="3">
                  <c:v>Q1 10/11</c:v>
                </c:pt>
                <c:pt idx="4">
                  <c:v>Q2 10/11 </c:v>
                </c:pt>
                <c:pt idx="5">
                  <c:v>Q3 10/11</c:v>
                </c:pt>
                <c:pt idx="6">
                  <c:v>Q4 10/11 </c:v>
                </c:pt>
                <c:pt idx="7">
                  <c:v>Q1 11/12</c:v>
                </c:pt>
                <c:pt idx="8">
                  <c:v>Q2 11/12</c:v>
                </c:pt>
                <c:pt idx="9">
                  <c:v>Q3 11/12</c:v>
                </c:pt>
                <c:pt idx="10">
                  <c:v>Q4 11/12</c:v>
                </c:pt>
              </c:strCache>
            </c:strRef>
          </c:cat>
          <c:val>
            <c:numRef>
              <c:f>'Dimension 2'!$C$32:$M$32</c:f>
              <c:numCache>
                <c:formatCode>General</c:formatCode>
                <c:ptCount val="11"/>
                <c:pt idx="0">
                  <c:v>2</c:v>
                </c:pt>
                <c:pt idx="1">
                  <c:v>2</c:v>
                </c:pt>
                <c:pt idx="2">
                  <c:v>1</c:v>
                </c:pt>
                <c:pt idx="3">
                  <c:v>1</c:v>
                </c:pt>
                <c:pt idx="4">
                  <c:v>0</c:v>
                </c:pt>
                <c:pt idx="5">
                  <c:v>0</c:v>
                </c:pt>
                <c:pt idx="6">
                  <c:v>0</c:v>
                </c:pt>
                <c:pt idx="7">
                  <c:v>0</c:v>
                </c:pt>
                <c:pt idx="8">
                  <c:v>0</c:v>
                </c:pt>
                <c:pt idx="9">
                  <c:v>0</c:v>
                </c:pt>
                <c:pt idx="10">
                  <c:v>0</c:v>
                </c:pt>
              </c:numCache>
            </c:numRef>
          </c:val>
        </c:ser>
        <c:overlap val="100"/>
        <c:axId val="132189184"/>
        <c:axId val="138539776"/>
      </c:barChart>
      <c:catAx>
        <c:axId val="132189184"/>
        <c:scaling>
          <c:orientation val="minMax"/>
        </c:scaling>
        <c:axPos val="b"/>
        <c:tickLblPos val="nextTo"/>
        <c:txPr>
          <a:bodyPr rot="-2700000"/>
          <a:lstStyle/>
          <a:p>
            <a:pPr>
              <a:defRPr/>
            </a:pPr>
            <a:endParaRPr lang="en-US"/>
          </a:p>
        </c:txPr>
        <c:crossAx val="138539776"/>
        <c:crosses val="autoZero"/>
        <c:auto val="1"/>
        <c:lblAlgn val="ctr"/>
        <c:lblOffset val="100"/>
      </c:catAx>
      <c:valAx>
        <c:axId val="138539776"/>
        <c:scaling>
          <c:orientation val="minMax"/>
        </c:scaling>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t>No. of Serious Drug </a:t>
                </a:r>
                <a:r>
                  <a:rPr lang="en-US" sz="1000" b="1" i="0" u="none" strike="noStrike" kern="1200" baseline="0">
                    <a:solidFill>
                      <a:sysClr val="windowText" lastClr="000000"/>
                    </a:solidFill>
                    <a:latin typeface="+mn-lt"/>
                    <a:ea typeface="+mn-ea"/>
                    <a:cs typeface="+mn-cs"/>
                  </a:rPr>
                  <a:t>Errors in the last 4 quarters</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a:p>
            </c:rich>
          </c:tx>
          <c:layout>
            <c:manualLayout>
              <c:xMode val="edge"/>
              <c:yMode val="edge"/>
              <c:x val="3.8018753879831405E-2"/>
              <c:y val="0.13450000000000001"/>
            </c:manualLayout>
          </c:layout>
        </c:title>
        <c:numFmt formatCode="General" sourceLinked="1"/>
        <c:tickLblPos val="nextTo"/>
        <c:crossAx val="132189184"/>
        <c:crosses val="autoZero"/>
        <c:crossBetween val="between"/>
      </c:valAx>
    </c:plotArea>
    <c:legend>
      <c:legendPos val="r"/>
      <c:layout>
        <c:manualLayout>
          <c:xMode val="edge"/>
          <c:yMode val="edge"/>
          <c:x val="0.70816742885305251"/>
          <c:y val="0.39991207349081598"/>
          <c:w val="0.29183257114694888"/>
          <c:h val="0.33517585301837288"/>
        </c:manualLayout>
      </c:layout>
    </c:legend>
    <c:plotVisOnly val="1"/>
  </c:chart>
  <c:spPr>
    <a:solidFill>
      <a:srgbClr val="4F81BD">
        <a:lumMod val="20000"/>
        <a:lumOff val="80000"/>
      </a:srgbClr>
    </a:solid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US" sz="1200" b="1" i="0" u="none" strike="noStrike" baseline="0"/>
              <a:t>No of Falls in Community Hospitals &amp; Older People Mental Health Wards </a:t>
            </a:r>
            <a:r>
              <a:rPr lang="en-US" sz="1200"/>
              <a:t>by</a:t>
            </a:r>
            <a:r>
              <a:rPr lang="en-US" sz="1200" baseline="0"/>
              <a:t> Quarter</a:t>
            </a:r>
            <a:endParaRPr lang="en-US" sz="1200"/>
          </a:p>
        </c:rich>
      </c:tx>
      <c:layout>
        <c:manualLayout>
          <c:xMode val="edge"/>
          <c:yMode val="edge"/>
          <c:x val="0.12904155730533684"/>
          <c:y val="5.0925925925925923E-2"/>
        </c:manualLayout>
      </c:layout>
    </c:title>
    <c:plotArea>
      <c:layout/>
      <c:barChart>
        <c:barDir val="col"/>
        <c:grouping val="stacked"/>
        <c:ser>
          <c:idx val="0"/>
          <c:order val="0"/>
          <c:tx>
            <c:strRef>
              <c:f>'Dimension 2'!$C$48</c:f>
              <c:strCache>
                <c:ptCount val="1"/>
                <c:pt idx="0">
                  <c:v>Community Health</c:v>
                </c:pt>
              </c:strCache>
            </c:strRef>
          </c:tx>
          <c:cat>
            <c:strRef>
              <c:f>'Dimension 2'!$B$53:$B$66</c:f>
              <c:strCache>
                <c:ptCount val="14"/>
                <c:pt idx="0">
                  <c:v>2008 Q3</c:v>
                </c:pt>
                <c:pt idx="1">
                  <c:v>2008 Q4</c:v>
                </c:pt>
                <c:pt idx="2">
                  <c:v>2009 Q1</c:v>
                </c:pt>
                <c:pt idx="3">
                  <c:v>2009 Q2</c:v>
                </c:pt>
                <c:pt idx="4">
                  <c:v>2009 Q3</c:v>
                </c:pt>
                <c:pt idx="5">
                  <c:v>2009 Q4</c:v>
                </c:pt>
                <c:pt idx="6">
                  <c:v>2010 Q1</c:v>
                </c:pt>
                <c:pt idx="7">
                  <c:v>2010 Q2</c:v>
                </c:pt>
                <c:pt idx="8">
                  <c:v>2010 Q3</c:v>
                </c:pt>
                <c:pt idx="9">
                  <c:v>2010 Q4</c:v>
                </c:pt>
                <c:pt idx="10">
                  <c:v>2011 Q1</c:v>
                </c:pt>
                <c:pt idx="11">
                  <c:v>2011 Q2</c:v>
                </c:pt>
                <c:pt idx="12">
                  <c:v>2011 Q3</c:v>
                </c:pt>
                <c:pt idx="13">
                  <c:v>2011 Q4</c:v>
                </c:pt>
              </c:strCache>
            </c:strRef>
          </c:cat>
          <c:val>
            <c:numRef>
              <c:f>'Dimension 2'!$C$53:$C$66</c:f>
              <c:numCache>
                <c:formatCode>General</c:formatCode>
                <c:ptCount val="14"/>
                <c:pt idx="0">
                  <c:v>207</c:v>
                </c:pt>
                <c:pt idx="1">
                  <c:v>218</c:v>
                </c:pt>
                <c:pt idx="2">
                  <c:v>191</c:v>
                </c:pt>
                <c:pt idx="3">
                  <c:v>173</c:v>
                </c:pt>
                <c:pt idx="4">
                  <c:v>201</c:v>
                </c:pt>
                <c:pt idx="5">
                  <c:v>166</c:v>
                </c:pt>
                <c:pt idx="6">
                  <c:v>192</c:v>
                </c:pt>
                <c:pt idx="7">
                  <c:v>187</c:v>
                </c:pt>
                <c:pt idx="8">
                  <c:v>217</c:v>
                </c:pt>
                <c:pt idx="9">
                  <c:v>217</c:v>
                </c:pt>
                <c:pt idx="10">
                  <c:v>161</c:v>
                </c:pt>
                <c:pt idx="11">
                  <c:v>72</c:v>
                </c:pt>
              </c:numCache>
            </c:numRef>
          </c:val>
        </c:ser>
        <c:ser>
          <c:idx val="1"/>
          <c:order val="1"/>
          <c:tx>
            <c:strRef>
              <c:f>'Dimension 2'!$D$48</c:f>
              <c:strCache>
                <c:ptCount val="1"/>
                <c:pt idx="0">
                  <c:v>Mental Health</c:v>
                </c:pt>
              </c:strCache>
            </c:strRef>
          </c:tx>
          <c:cat>
            <c:strRef>
              <c:f>'Dimension 2'!$B$53:$B$66</c:f>
              <c:strCache>
                <c:ptCount val="14"/>
                <c:pt idx="0">
                  <c:v>2008 Q3</c:v>
                </c:pt>
                <c:pt idx="1">
                  <c:v>2008 Q4</c:v>
                </c:pt>
                <c:pt idx="2">
                  <c:v>2009 Q1</c:v>
                </c:pt>
                <c:pt idx="3">
                  <c:v>2009 Q2</c:v>
                </c:pt>
                <c:pt idx="4">
                  <c:v>2009 Q3</c:v>
                </c:pt>
                <c:pt idx="5">
                  <c:v>2009 Q4</c:v>
                </c:pt>
                <c:pt idx="6">
                  <c:v>2010 Q1</c:v>
                </c:pt>
                <c:pt idx="7">
                  <c:v>2010 Q2</c:v>
                </c:pt>
                <c:pt idx="8">
                  <c:v>2010 Q3</c:v>
                </c:pt>
                <c:pt idx="9">
                  <c:v>2010 Q4</c:v>
                </c:pt>
                <c:pt idx="10">
                  <c:v>2011 Q1</c:v>
                </c:pt>
                <c:pt idx="11">
                  <c:v>2011 Q2</c:v>
                </c:pt>
                <c:pt idx="12">
                  <c:v>2011 Q3</c:v>
                </c:pt>
                <c:pt idx="13">
                  <c:v>2011 Q4</c:v>
                </c:pt>
              </c:strCache>
            </c:strRef>
          </c:cat>
          <c:val>
            <c:numRef>
              <c:f>'Dimension 2'!$D$53:$D$66</c:f>
              <c:numCache>
                <c:formatCode>General</c:formatCode>
                <c:ptCount val="14"/>
                <c:pt idx="0">
                  <c:v>63</c:v>
                </c:pt>
                <c:pt idx="1">
                  <c:v>63</c:v>
                </c:pt>
                <c:pt idx="2">
                  <c:v>79</c:v>
                </c:pt>
                <c:pt idx="3">
                  <c:v>109</c:v>
                </c:pt>
                <c:pt idx="4">
                  <c:v>67</c:v>
                </c:pt>
                <c:pt idx="5">
                  <c:v>67</c:v>
                </c:pt>
                <c:pt idx="6">
                  <c:v>63</c:v>
                </c:pt>
                <c:pt idx="7">
                  <c:v>84</c:v>
                </c:pt>
                <c:pt idx="8">
                  <c:v>82</c:v>
                </c:pt>
                <c:pt idx="9">
                  <c:v>68</c:v>
                </c:pt>
                <c:pt idx="10">
                  <c:v>88</c:v>
                </c:pt>
                <c:pt idx="11">
                  <c:v>0</c:v>
                </c:pt>
              </c:numCache>
            </c:numRef>
          </c:val>
        </c:ser>
        <c:ser>
          <c:idx val="2"/>
          <c:order val="2"/>
          <c:tx>
            <c:strRef>
              <c:f>'Dimension 2'!$E$48</c:f>
              <c:strCache>
                <c:ptCount val="1"/>
                <c:pt idx="0">
                  <c:v>Combined</c:v>
                </c:pt>
              </c:strCache>
            </c:strRef>
          </c:tx>
          <c:spPr>
            <a:solidFill>
              <a:srgbClr val="00B050"/>
            </a:solidFill>
          </c:spPr>
          <c:cat>
            <c:strRef>
              <c:f>'Dimension 2'!$B$53:$B$66</c:f>
              <c:strCache>
                <c:ptCount val="14"/>
                <c:pt idx="0">
                  <c:v>2008 Q3</c:v>
                </c:pt>
                <c:pt idx="1">
                  <c:v>2008 Q4</c:v>
                </c:pt>
                <c:pt idx="2">
                  <c:v>2009 Q1</c:v>
                </c:pt>
                <c:pt idx="3">
                  <c:v>2009 Q2</c:v>
                </c:pt>
                <c:pt idx="4">
                  <c:v>2009 Q3</c:v>
                </c:pt>
                <c:pt idx="5">
                  <c:v>2009 Q4</c:v>
                </c:pt>
                <c:pt idx="6">
                  <c:v>2010 Q1</c:v>
                </c:pt>
                <c:pt idx="7">
                  <c:v>2010 Q2</c:v>
                </c:pt>
                <c:pt idx="8">
                  <c:v>2010 Q3</c:v>
                </c:pt>
                <c:pt idx="9">
                  <c:v>2010 Q4</c:v>
                </c:pt>
                <c:pt idx="10">
                  <c:v>2011 Q1</c:v>
                </c:pt>
                <c:pt idx="11">
                  <c:v>2011 Q2</c:v>
                </c:pt>
                <c:pt idx="12">
                  <c:v>2011 Q3</c:v>
                </c:pt>
                <c:pt idx="13">
                  <c:v>2011 Q4</c:v>
                </c:pt>
              </c:strCache>
            </c:strRef>
          </c:cat>
          <c:val>
            <c:numRef>
              <c:f>'Dimension 2'!$E$53:$E$66</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201</c:v>
                </c:pt>
                <c:pt idx="12">
                  <c:v>308</c:v>
                </c:pt>
                <c:pt idx="13">
                  <c:v>277</c:v>
                </c:pt>
              </c:numCache>
            </c:numRef>
          </c:val>
        </c:ser>
        <c:overlap val="100"/>
        <c:axId val="152545920"/>
        <c:axId val="152711936"/>
      </c:barChart>
      <c:catAx>
        <c:axId val="152545920"/>
        <c:scaling>
          <c:orientation val="minMax"/>
        </c:scaling>
        <c:axPos val="b"/>
        <c:tickLblPos val="nextTo"/>
        <c:crossAx val="152711936"/>
        <c:crosses val="autoZero"/>
        <c:auto val="1"/>
        <c:lblAlgn val="ctr"/>
        <c:lblOffset val="100"/>
      </c:catAx>
      <c:valAx>
        <c:axId val="152711936"/>
        <c:scaling>
          <c:orientation val="minMax"/>
        </c:scaling>
        <c:axPos val="l"/>
        <c:majorGridlines/>
        <c:title>
          <c:tx>
            <c:rich>
              <a:bodyPr rot="-5400000" vert="horz"/>
              <a:lstStyle/>
              <a:p>
                <a:pPr>
                  <a:defRPr/>
                </a:pPr>
                <a:r>
                  <a:rPr lang="en-US" sz="900" b="1" i="0" baseline="0"/>
                  <a:t>Number of falls</a:t>
                </a:r>
                <a:endParaRPr lang="en-GB" sz="900"/>
              </a:p>
            </c:rich>
          </c:tx>
        </c:title>
        <c:numFmt formatCode="General" sourceLinked="1"/>
        <c:tickLblPos val="nextTo"/>
        <c:crossAx val="152545920"/>
        <c:crosses val="autoZero"/>
        <c:crossBetween val="between"/>
      </c:valAx>
    </c:plotArea>
    <c:legend>
      <c:legendPos val="r"/>
    </c:legend>
    <c:plotVisOnly val="1"/>
  </c:chart>
  <c:spPr>
    <a:solidFill>
      <a:srgbClr val="4F81BD">
        <a:lumMod val="20000"/>
        <a:lumOff val="80000"/>
      </a:srgbClr>
    </a:solid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US" sz="1200" b="1" i="0" baseline="0"/>
              <a:t>No of Falls in Community Hospitals &amp; Older People Mental Health Wards on a rolling annual basis </a:t>
            </a:r>
            <a:endParaRPr lang="en-GB" sz="1200"/>
          </a:p>
        </c:rich>
      </c:tx>
      <c:layout>
        <c:manualLayout>
          <c:xMode val="edge"/>
          <c:yMode val="edge"/>
          <c:x val="0.11035411198600174"/>
          <c:y val="1.3888888888888935E-2"/>
        </c:manualLayout>
      </c:layout>
      <c:spPr>
        <a:noFill/>
      </c:spPr>
    </c:title>
    <c:plotArea>
      <c:layout/>
      <c:barChart>
        <c:barDir val="col"/>
        <c:grouping val="stacked"/>
        <c:ser>
          <c:idx val="3"/>
          <c:order val="1"/>
          <c:tx>
            <c:strRef>
              <c:f>'Dimension 2'!$J$52</c:f>
              <c:strCache>
                <c:ptCount val="1"/>
                <c:pt idx="0">
                  <c:v>Total</c:v>
                </c:pt>
              </c:strCache>
            </c:strRef>
          </c:tx>
          <c:spPr>
            <a:gradFill>
              <a:gsLst>
                <a:gs pos="0">
                  <a:srgbClr val="002060"/>
                </a:gs>
                <a:gs pos="50000">
                  <a:srgbClr val="4F81BD">
                    <a:tint val="44500"/>
                    <a:satMod val="160000"/>
                  </a:srgbClr>
                </a:gs>
                <a:gs pos="100000">
                  <a:srgbClr val="4F81BD">
                    <a:tint val="23500"/>
                    <a:satMod val="160000"/>
                  </a:srgbClr>
                </a:gs>
              </a:gsLst>
              <a:lin ang="5400000" scaled="0"/>
            </a:gradFill>
          </c:spPr>
          <c:cat>
            <c:strRef>
              <c:f>'Dimension 2'!$B$53:$B$66</c:f>
              <c:strCache>
                <c:ptCount val="14"/>
                <c:pt idx="0">
                  <c:v>2008 Q3</c:v>
                </c:pt>
                <c:pt idx="1">
                  <c:v>2008 Q4</c:v>
                </c:pt>
                <c:pt idx="2">
                  <c:v>2009 Q1</c:v>
                </c:pt>
                <c:pt idx="3">
                  <c:v>2009 Q2</c:v>
                </c:pt>
                <c:pt idx="4">
                  <c:v>2009 Q3</c:v>
                </c:pt>
                <c:pt idx="5">
                  <c:v>2009 Q4</c:v>
                </c:pt>
                <c:pt idx="6">
                  <c:v>2010 Q1</c:v>
                </c:pt>
                <c:pt idx="7">
                  <c:v>2010 Q2</c:v>
                </c:pt>
                <c:pt idx="8">
                  <c:v>2010 Q3</c:v>
                </c:pt>
                <c:pt idx="9">
                  <c:v>2010 Q4</c:v>
                </c:pt>
                <c:pt idx="10">
                  <c:v>2011 Q1</c:v>
                </c:pt>
                <c:pt idx="11">
                  <c:v>2011 Q2</c:v>
                </c:pt>
                <c:pt idx="12">
                  <c:v>2011 Q3</c:v>
                </c:pt>
                <c:pt idx="13">
                  <c:v>2011 Q4</c:v>
                </c:pt>
              </c:strCache>
            </c:strRef>
          </c:cat>
          <c:val>
            <c:numRef>
              <c:f>'Dimension 2'!$J$53:$J$66</c:f>
              <c:numCache>
                <c:formatCode>0</c:formatCode>
                <c:ptCount val="14"/>
                <c:pt idx="0">
                  <c:v>762</c:v>
                </c:pt>
                <c:pt idx="1">
                  <c:v>975</c:v>
                </c:pt>
                <c:pt idx="2">
                  <c:v>1087</c:v>
                </c:pt>
                <c:pt idx="3">
                  <c:v>1103</c:v>
                </c:pt>
                <c:pt idx="4">
                  <c:v>1101</c:v>
                </c:pt>
                <c:pt idx="5">
                  <c:v>1053</c:v>
                </c:pt>
                <c:pt idx="6">
                  <c:v>1038</c:v>
                </c:pt>
                <c:pt idx="7">
                  <c:v>1027</c:v>
                </c:pt>
                <c:pt idx="8">
                  <c:v>1058</c:v>
                </c:pt>
                <c:pt idx="9">
                  <c:v>1110</c:v>
                </c:pt>
                <c:pt idx="10">
                  <c:v>1104</c:v>
                </c:pt>
                <c:pt idx="11">
                  <c:v>1106</c:v>
                </c:pt>
                <c:pt idx="12">
                  <c:v>1115</c:v>
                </c:pt>
                <c:pt idx="13">
                  <c:v>1107</c:v>
                </c:pt>
              </c:numCache>
            </c:numRef>
          </c:val>
        </c:ser>
        <c:overlap val="100"/>
        <c:axId val="192799488"/>
        <c:axId val="192801024"/>
      </c:barChart>
      <c:lineChart>
        <c:grouping val="standard"/>
        <c:ser>
          <c:idx val="2"/>
          <c:order val="0"/>
          <c:tx>
            <c:strRef>
              <c:f>'Dimension 2'!$K$52</c:f>
              <c:strCache>
                <c:ptCount val="1"/>
                <c:pt idx="0">
                  <c:v>Target</c:v>
                </c:pt>
              </c:strCache>
            </c:strRef>
          </c:tx>
          <c:spPr>
            <a:ln>
              <a:solidFill>
                <a:schemeClr val="tx1"/>
              </a:solidFill>
            </a:ln>
          </c:spPr>
          <c:marker>
            <c:symbol val="none"/>
          </c:marker>
          <c:val>
            <c:numRef>
              <c:f>'Dimension 2'!$K$53:$K$66</c:f>
              <c:numCache>
                <c:formatCode>0</c:formatCode>
                <c:ptCount val="14"/>
                <c:pt idx="0">
                  <c:v>999</c:v>
                </c:pt>
                <c:pt idx="1">
                  <c:v>999</c:v>
                </c:pt>
                <c:pt idx="2">
                  <c:v>999</c:v>
                </c:pt>
                <c:pt idx="3">
                  <c:v>999</c:v>
                </c:pt>
                <c:pt idx="4">
                  <c:v>999</c:v>
                </c:pt>
                <c:pt idx="5">
                  <c:v>999</c:v>
                </c:pt>
                <c:pt idx="6">
                  <c:v>999</c:v>
                </c:pt>
                <c:pt idx="7">
                  <c:v>999</c:v>
                </c:pt>
                <c:pt idx="8">
                  <c:v>999</c:v>
                </c:pt>
                <c:pt idx="9">
                  <c:v>999</c:v>
                </c:pt>
                <c:pt idx="10">
                  <c:v>999</c:v>
                </c:pt>
                <c:pt idx="11">
                  <c:v>999</c:v>
                </c:pt>
                <c:pt idx="12">
                  <c:v>999</c:v>
                </c:pt>
                <c:pt idx="13">
                  <c:v>999</c:v>
                </c:pt>
              </c:numCache>
            </c:numRef>
          </c:val>
        </c:ser>
        <c:marker val="1"/>
        <c:axId val="192799488"/>
        <c:axId val="192801024"/>
      </c:lineChart>
      <c:catAx>
        <c:axId val="192799488"/>
        <c:scaling>
          <c:orientation val="minMax"/>
        </c:scaling>
        <c:axPos val="b"/>
        <c:majorTickMark val="none"/>
        <c:tickLblPos val="nextTo"/>
        <c:txPr>
          <a:bodyPr rot="-5400000"/>
          <a:lstStyle/>
          <a:p>
            <a:pPr>
              <a:defRPr/>
            </a:pPr>
            <a:endParaRPr lang="en-US"/>
          </a:p>
        </c:txPr>
        <c:crossAx val="192801024"/>
        <c:crosses val="autoZero"/>
        <c:auto val="1"/>
        <c:lblAlgn val="ctr"/>
        <c:lblOffset val="100"/>
      </c:catAx>
      <c:valAx>
        <c:axId val="192801024"/>
        <c:scaling>
          <c:orientation val="minMax"/>
        </c:scaling>
        <c:axPos val="l"/>
        <c:majorGridlines/>
        <c:title>
          <c:tx>
            <c:rich>
              <a:bodyPr rot="-5400000" vert="horz"/>
              <a:lstStyle/>
              <a:p>
                <a:pPr>
                  <a:defRPr/>
                </a:pPr>
                <a:r>
                  <a:rPr lang="en-US"/>
                  <a:t>Number of falls</a:t>
                </a:r>
              </a:p>
            </c:rich>
          </c:tx>
        </c:title>
        <c:numFmt formatCode="0" sourceLinked="1"/>
        <c:majorTickMark val="none"/>
        <c:tickLblPos val="nextTo"/>
        <c:crossAx val="192799488"/>
        <c:crosses val="autoZero"/>
        <c:crossBetween val="between"/>
      </c:valAx>
    </c:plotArea>
    <c:legend>
      <c:legendPos val="r"/>
    </c:legend>
    <c:plotVisOnly val="1"/>
    <c:dispBlanksAs val="gap"/>
  </c:chart>
  <c:spPr>
    <a:solidFill>
      <a:schemeClr val="accent1">
        <a:lumMod val="20000"/>
        <a:lumOff val="80000"/>
      </a:schemeClr>
    </a:solid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sz="1200"/>
              <a:t>CPA Measures by Quarter</a:t>
            </a:r>
          </a:p>
        </c:rich>
      </c:tx>
    </c:title>
    <c:plotArea>
      <c:layout/>
      <c:lineChart>
        <c:grouping val="standard"/>
        <c:ser>
          <c:idx val="0"/>
          <c:order val="0"/>
          <c:tx>
            <c:strRef>
              <c:f>'Dimension 3'!$A$38</c:f>
              <c:strCache>
                <c:ptCount val="1"/>
                <c:pt idx="0">
                  <c:v>Current care plan</c:v>
                </c:pt>
              </c:strCache>
            </c:strRef>
          </c:tx>
          <c:marker>
            <c:symbol val="none"/>
          </c:marker>
          <c:cat>
            <c:strRef>
              <c:f>'Dimension 3'!$B$37:$G$37</c:f>
              <c:strCache>
                <c:ptCount val="6"/>
                <c:pt idx="0">
                  <c:v>Q3 2010</c:v>
                </c:pt>
                <c:pt idx="1">
                  <c:v>Q4 2010</c:v>
                </c:pt>
                <c:pt idx="2">
                  <c:v>Q1 2011</c:v>
                </c:pt>
                <c:pt idx="3">
                  <c:v>Q2 2011</c:v>
                </c:pt>
                <c:pt idx="4">
                  <c:v>Q3 2011</c:v>
                </c:pt>
                <c:pt idx="5">
                  <c:v>Q4 2011</c:v>
                </c:pt>
              </c:strCache>
            </c:strRef>
          </c:cat>
          <c:val>
            <c:numRef>
              <c:f>'Dimension 3'!$B$38:$G$38</c:f>
              <c:numCache>
                <c:formatCode>0%</c:formatCode>
                <c:ptCount val="6"/>
                <c:pt idx="0">
                  <c:v>0.91960264900662247</c:v>
                </c:pt>
                <c:pt idx="1">
                  <c:v>0.93074074074074076</c:v>
                </c:pt>
                <c:pt idx="2">
                  <c:v>0.88762148337595892</c:v>
                </c:pt>
                <c:pt idx="3">
                  <c:v>0.91712871287128761</c:v>
                </c:pt>
                <c:pt idx="4">
                  <c:v>0.97000000000000064</c:v>
                </c:pt>
                <c:pt idx="5">
                  <c:v>0.97326961770623743</c:v>
                </c:pt>
              </c:numCache>
            </c:numRef>
          </c:val>
        </c:ser>
        <c:ser>
          <c:idx val="1"/>
          <c:order val="1"/>
          <c:tx>
            <c:strRef>
              <c:f>'Dimension 3'!$A$39</c:f>
              <c:strCache>
                <c:ptCount val="1"/>
                <c:pt idx="0">
                  <c:v>CPA review in 6 months</c:v>
                </c:pt>
              </c:strCache>
            </c:strRef>
          </c:tx>
          <c:marker>
            <c:symbol val="none"/>
          </c:marker>
          <c:cat>
            <c:strRef>
              <c:f>'Dimension 3'!$B$37:$G$37</c:f>
              <c:strCache>
                <c:ptCount val="6"/>
                <c:pt idx="0">
                  <c:v>Q3 2010</c:v>
                </c:pt>
                <c:pt idx="1">
                  <c:v>Q4 2010</c:v>
                </c:pt>
                <c:pt idx="2">
                  <c:v>Q1 2011</c:v>
                </c:pt>
                <c:pt idx="3">
                  <c:v>Q2 2011</c:v>
                </c:pt>
                <c:pt idx="4">
                  <c:v>Q3 2011</c:v>
                </c:pt>
                <c:pt idx="5">
                  <c:v>Q4 2011</c:v>
                </c:pt>
              </c:strCache>
            </c:strRef>
          </c:cat>
          <c:val>
            <c:numRef>
              <c:f>'Dimension 3'!$B$39:$G$39</c:f>
              <c:numCache>
                <c:formatCode>0%</c:formatCode>
                <c:ptCount val="6"/>
                <c:pt idx="0">
                  <c:v>0.83940397350993379</c:v>
                </c:pt>
                <c:pt idx="1">
                  <c:v>0.8374074074074076</c:v>
                </c:pt>
                <c:pt idx="2">
                  <c:v>0.83575447570332473</c:v>
                </c:pt>
                <c:pt idx="3">
                  <c:v>0.86396039603960395</c:v>
                </c:pt>
                <c:pt idx="4">
                  <c:v>0.93002958579881667</c:v>
                </c:pt>
                <c:pt idx="5">
                  <c:v>0.93329979879275649</c:v>
                </c:pt>
              </c:numCache>
            </c:numRef>
          </c:val>
        </c:ser>
        <c:ser>
          <c:idx val="2"/>
          <c:order val="2"/>
          <c:tx>
            <c:strRef>
              <c:f>'Dimension 3'!$A$40</c:f>
              <c:strCache>
                <c:ptCount val="1"/>
                <c:pt idx="0">
                  <c:v>Care coordinator</c:v>
                </c:pt>
              </c:strCache>
            </c:strRef>
          </c:tx>
          <c:marker>
            <c:symbol val="none"/>
          </c:marker>
          <c:cat>
            <c:strRef>
              <c:f>'Dimension 3'!$B$37:$G$37</c:f>
              <c:strCache>
                <c:ptCount val="6"/>
                <c:pt idx="0">
                  <c:v>Q3 2010</c:v>
                </c:pt>
                <c:pt idx="1">
                  <c:v>Q4 2010</c:v>
                </c:pt>
                <c:pt idx="2">
                  <c:v>Q1 2011</c:v>
                </c:pt>
                <c:pt idx="3">
                  <c:v>Q2 2011</c:v>
                </c:pt>
                <c:pt idx="4">
                  <c:v>Q3 2011</c:v>
                </c:pt>
                <c:pt idx="5">
                  <c:v>Q4 2011</c:v>
                </c:pt>
              </c:strCache>
            </c:strRef>
          </c:cat>
          <c:val>
            <c:numRef>
              <c:f>'Dimension 3'!$B$40:$G$40</c:f>
              <c:numCache>
                <c:formatCode>0%</c:formatCode>
                <c:ptCount val="6"/>
                <c:pt idx="0">
                  <c:v>0.98320088300220487</c:v>
                </c:pt>
                <c:pt idx="1">
                  <c:v>0.98362962962962963</c:v>
                </c:pt>
                <c:pt idx="2">
                  <c:v>0.97710997442455561</c:v>
                </c:pt>
                <c:pt idx="3">
                  <c:v>0.96990099009901065</c:v>
                </c:pt>
                <c:pt idx="4">
                  <c:v>0.98999013806706049</c:v>
                </c:pt>
                <c:pt idx="5">
                  <c:v>0.98998993963782689</c:v>
                </c:pt>
              </c:numCache>
            </c:numRef>
          </c:val>
        </c:ser>
        <c:ser>
          <c:idx val="3"/>
          <c:order val="3"/>
          <c:tx>
            <c:strRef>
              <c:f>'Dimension 3'!$A$41</c:f>
              <c:strCache>
                <c:ptCount val="1"/>
                <c:pt idx="0">
                  <c:v>Current risk assessment</c:v>
                </c:pt>
              </c:strCache>
            </c:strRef>
          </c:tx>
          <c:marker>
            <c:symbol val="none"/>
          </c:marker>
          <c:cat>
            <c:strRef>
              <c:f>'Dimension 3'!$B$37:$G$37</c:f>
              <c:strCache>
                <c:ptCount val="6"/>
                <c:pt idx="0">
                  <c:v>Q3 2010</c:v>
                </c:pt>
                <c:pt idx="1">
                  <c:v>Q4 2010</c:v>
                </c:pt>
                <c:pt idx="2">
                  <c:v>Q1 2011</c:v>
                </c:pt>
                <c:pt idx="3">
                  <c:v>Q2 2011</c:v>
                </c:pt>
                <c:pt idx="4">
                  <c:v>Q3 2011</c:v>
                </c:pt>
                <c:pt idx="5">
                  <c:v>Q4 2011</c:v>
                </c:pt>
              </c:strCache>
            </c:strRef>
          </c:cat>
          <c:val>
            <c:numRef>
              <c:f>'Dimension 3'!$B$41:$G$41</c:f>
              <c:numCache>
                <c:formatCode>0%</c:formatCode>
                <c:ptCount val="6"/>
                <c:pt idx="0">
                  <c:v>0.87980132450331439</c:v>
                </c:pt>
                <c:pt idx="1">
                  <c:v>0.91681481481481564</c:v>
                </c:pt>
                <c:pt idx="2">
                  <c:v>0.88989769820971865</c:v>
                </c:pt>
                <c:pt idx="3">
                  <c:v>0.89366336633663357</c:v>
                </c:pt>
                <c:pt idx="4">
                  <c:v>0.92001972386587771</c:v>
                </c:pt>
                <c:pt idx="5">
                  <c:v>0.93309859154929575</c:v>
                </c:pt>
              </c:numCache>
            </c:numRef>
          </c:val>
        </c:ser>
        <c:ser>
          <c:idx val="4"/>
          <c:order val="4"/>
          <c:tx>
            <c:strRef>
              <c:f>'Dimension 3'!$A$42</c:f>
              <c:strCache>
                <c:ptCount val="1"/>
                <c:pt idx="0">
                  <c:v>All 4 elements</c:v>
                </c:pt>
              </c:strCache>
            </c:strRef>
          </c:tx>
          <c:marker>
            <c:symbol val="none"/>
          </c:marker>
          <c:cat>
            <c:strRef>
              <c:f>'Dimension 3'!$B$37:$G$37</c:f>
              <c:strCache>
                <c:ptCount val="6"/>
                <c:pt idx="0">
                  <c:v>Q3 2010</c:v>
                </c:pt>
                <c:pt idx="1">
                  <c:v>Q4 2010</c:v>
                </c:pt>
                <c:pt idx="2">
                  <c:v>Q1 2011</c:v>
                </c:pt>
                <c:pt idx="3">
                  <c:v>Q2 2011</c:v>
                </c:pt>
                <c:pt idx="4">
                  <c:v>Q3 2011</c:v>
                </c:pt>
                <c:pt idx="5">
                  <c:v>Q4 2011</c:v>
                </c:pt>
              </c:strCache>
            </c:strRef>
          </c:cat>
          <c:val>
            <c:numRef>
              <c:f>'Dimension 3'!$B$42:$G$42</c:f>
              <c:numCache>
                <c:formatCode>0%</c:formatCode>
                <c:ptCount val="6"/>
                <c:pt idx="0">
                  <c:v>0.76490066225165565</c:v>
                </c:pt>
                <c:pt idx="1">
                  <c:v>0.78814814814814815</c:v>
                </c:pt>
                <c:pt idx="2">
                  <c:v>0.7736572890025577</c:v>
                </c:pt>
                <c:pt idx="3">
                  <c:v>0.78712871287128761</c:v>
                </c:pt>
                <c:pt idx="4">
                  <c:v>0.86489151873767522</c:v>
                </c:pt>
                <c:pt idx="5">
                  <c:v>0.87122736418511071</c:v>
                </c:pt>
              </c:numCache>
            </c:numRef>
          </c:val>
        </c:ser>
        <c:ser>
          <c:idx val="5"/>
          <c:order val="5"/>
          <c:tx>
            <c:strRef>
              <c:f>'Dimension 3'!$A$43</c:f>
              <c:strCache>
                <c:ptCount val="1"/>
                <c:pt idx="0">
                  <c:v>Target</c:v>
                </c:pt>
              </c:strCache>
            </c:strRef>
          </c:tx>
          <c:marker>
            <c:symbol val="none"/>
          </c:marker>
          <c:cat>
            <c:strRef>
              <c:f>'Dimension 3'!$B$37:$G$37</c:f>
              <c:strCache>
                <c:ptCount val="6"/>
                <c:pt idx="0">
                  <c:v>Q3 2010</c:v>
                </c:pt>
                <c:pt idx="1">
                  <c:v>Q4 2010</c:v>
                </c:pt>
                <c:pt idx="2">
                  <c:v>Q1 2011</c:v>
                </c:pt>
                <c:pt idx="3">
                  <c:v>Q2 2011</c:v>
                </c:pt>
                <c:pt idx="4">
                  <c:v>Q3 2011</c:v>
                </c:pt>
                <c:pt idx="5">
                  <c:v>Q4 2011</c:v>
                </c:pt>
              </c:strCache>
            </c:strRef>
          </c:cat>
          <c:val>
            <c:numRef>
              <c:f>'Dimension 3'!$B$43:$G$43</c:f>
              <c:numCache>
                <c:formatCode>0%</c:formatCode>
                <c:ptCount val="6"/>
                <c:pt idx="0">
                  <c:v>1</c:v>
                </c:pt>
                <c:pt idx="1">
                  <c:v>1</c:v>
                </c:pt>
                <c:pt idx="2">
                  <c:v>1</c:v>
                </c:pt>
                <c:pt idx="3">
                  <c:v>1</c:v>
                </c:pt>
                <c:pt idx="4">
                  <c:v>1</c:v>
                </c:pt>
                <c:pt idx="5">
                  <c:v>1</c:v>
                </c:pt>
              </c:numCache>
            </c:numRef>
          </c:val>
        </c:ser>
        <c:marker val="1"/>
        <c:axId val="59936768"/>
        <c:axId val="59938304"/>
      </c:lineChart>
      <c:catAx>
        <c:axId val="59936768"/>
        <c:scaling>
          <c:orientation val="minMax"/>
        </c:scaling>
        <c:axPos val="b"/>
        <c:tickLblPos val="nextTo"/>
        <c:txPr>
          <a:bodyPr rot="-2040000"/>
          <a:lstStyle/>
          <a:p>
            <a:pPr>
              <a:defRPr/>
            </a:pPr>
            <a:endParaRPr lang="en-US"/>
          </a:p>
        </c:txPr>
        <c:crossAx val="59938304"/>
        <c:crosses val="autoZero"/>
        <c:auto val="1"/>
        <c:lblAlgn val="ctr"/>
        <c:lblOffset val="100"/>
      </c:catAx>
      <c:valAx>
        <c:axId val="59938304"/>
        <c:scaling>
          <c:orientation val="minMax"/>
          <c:max val="1"/>
          <c:min val="0.60000000000000064"/>
        </c:scaling>
        <c:axPos val="l"/>
        <c:majorGridlines/>
        <c:title>
          <c:tx>
            <c:rich>
              <a:bodyPr rot="-5400000" vert="horz"/>
              <a:lstStyle/>
              <a:p>
                <a:pPr>
                  <a:defRPr/>
                </a:pPr>
                <a:r>
                  <a:rPr lang="en-US"/>
                  <a:t>% of sample</a:t>
                </a:r>
              </a:p>
            </c:rich>
          </c:tx>
        </c:title>
        <c:numFmt formatCode="0%" sourceLinked="1"/>
        <c:tickLblPos val="nextTo"/>
        <c:crossAx val="59936768"/>
        <c:crosses val="autoZero"/>
        <c:crossBetween val="between"/>
      </c:valAx>
    </c:plotArea>
    <c:legend>
      <c:legendPos val="r"/>
    </c:legend>
    <c:plotVisOnly val="1"/>
  </c:chart>
  <c:spPr>
    <a:solidFill>
      <a:srgbClr val="4F81BD">
        <a:lumMod val="20000"/>
        <a:lumOff val="80000"/>
      </a:srgbClr>
    </a:solidFill>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GB"/>
  <c:style val="3"/>
  <c:chart>
    <c:title>
      <c:tx>
        <c:rich>
          <a:bodyPr/>
          <a:lstStyle/>
          <a:p>
            <a:pPr>
              <a:defRPr/>
            </a:pPr>
            <a:r>
              <a:rPr lang="en-GB" sz="1200"/>
              <a:t>% Adults receiving care under CPA who are in settled accommodation</a:t>
            </a:r>
          </a:p>
        </c:rich>
      </c:tx>
      <c:layout>
        <c:manualLayout>
          <c:xMode val="edge"/>
          <c:yMode val="edge"/>
          <c:x val="0.19385321100917433"/>
          <c:y val="6.1224489795918373E-2"/>
        </c:manualLayout>
      </c:layout>
    </c:title>
    <c:plotArea>
      <c:layout/>
      <c:lineChart>
        <c:grouping val="standard"/>
        <c:ser>
          <c:idx val="0"/>
          <c:order val="0"/>
          <c:tx>
            <c:strRef>
              <c:f>'Dimension 4'!$I$36</c:f>
              <c:strCache>
                <c:ptCount val="1"/>
                <c:pt idx="0">
                  <c:v>Actual</c:v>
                </c:pt>
              </c:strCache>
            </c:strRef>
          </c:tx>
          <c:marker>
            <c:symbol val="none"/>
          </c:marker>
          <c:cat>
            <c:strRef>
              <c:f>'Dimension 4'!$H$37:$H$44</c:f>
              <c:strCache>
                <c:ptCount val="8"/>
                <c:pt idx="0">
                  <c:v>Q1 2010</c:v>
                </c:pt>
                <c:pt idx="1">
                  <c:v>Q2 2010</c:v>
                </c:pt>
                <c:pt idx="2">
                  <c:v>Q3 2010</c:v>
                </c:pt>
                <c:pt idx="3">
                  <c:v>Q4 2010</c:v>
                </c:pt>
                <c:pt idx="4">
                  <c:v>Q1 2011</c:v>
                </c:pt>
                <c:pt idx="5">
                  <c:v>Q2 1011</c:v>
                </c:pt>
                <c:pt idx="6">
                  <c:v>Q3 2011</c:v>
                </c:pt>
                <c:pt idx="7">
                  <c:v>Q4 2011</c:v>
                </c:pt>
              </c:strCache>
            </c:strRef>
          </c:cat>
          <c:val>
            <c:numRef>
              <c:f>'Dimension 4'!$I$37:$I$44</c:f>
              <c:numCache>
                <c:formatCode>0%</c:formatCode>
                <c:ptCount val="8"/>
                <c:pt idx="0">
                  <c:v>0.67372638809387952</c:v>
                </c:pt>
                <c:pt idx="1">
                  <c:v>0.67757641330809304</c:v>
                </c:pt>
                <c:pt idx="2">
                  <c:v>0.68740320082601958</c:v>
                </c:pt>
                <c:pt idx="3">
                  <c:v>0.70977484898407828</c:v>
                </c:pt>
                <c:pt idx="4">
                  <c:v>0.70921166618539111</c:v>
                </c:pt>
                <c:pt idx="5">
                  <c:v>0.76721014492753559</c:v>
                </c:pt>
                <c:pt idx="6">
                  <c:v>0.74600000000000244</c:v>
                </c:pt>
                <c:pt idx="7">
                  <c:v>0.74600000000000244</c:v>
                </c:pt>
              </c:numCache>
            </c:numRef>
          </c:val>
        </c:ser>
        <c:ser>
          <c:idx val="1"/>
          <c:order val="1"/>
          <c:tx>
            <c:strRef>
              <c:f>'Dimension 4'!$J$51</c:f>
              <c:strCache>
                <c:ptCount val="1"/>
                <c:pt idx="0">
                  <c:v>Target</c:v>
                </c:pt>
              </c:strCache>
            </c:strRef>
          </c:tx>
          <c:marker>
            <c:symbol val="none"/>
          </c:marker>
          <c:cat>
            <c:strRef>
              <c:f>'Dimension 4'!$H$37:$H$44</c:f>
              <c:strCache>
                <c:ptCount val="8"/>
                <c:pt idx="0">
                  <c:v>Q1 2010</c:v>
                </c:pt>
                <c:pt idx="1">
                  <c:v>Q2 2010</c:v>
                </c:pt>
                <c:pt idx="2">
                  <c:v>Q3 2010</c:v>
                </c:pt>
                <c:pt idx="3">
                  <c:v>Q4 2010</c:v>
                </c:pt>
                <c:pt idx="4">
                  <c:v>Q1 2011</c:v>
                </c:pt>
                <c:pt idx="5">
                  <c:v>Q2 1011</c:v>
                </c:pt>
                <c:pt idx="6">
                  <c:v>Q3 2011</c:v>
                </c:pt>
                <c:pt idx="7">
                  <c:v>Q4 2011</c:v>
                </c:pt>
              </c:strCache>
            </c:strRef>
          </c:cat>
          <c:val>
            <c:numRef>
              <c:f>'Dimension 4'!$J$52:$J$55</c:f>
              <c:numCache>
                <c:formatCode>0%</c:formatCode>
                <c:ptCount val="4"/>
                <c:pt idx="0">
                  <c:v>0.72000000000000064</c:v>
                </c:pt>
                <c:pt idx="1">
                  <c:v>0.72000000000000064</c:v>
                </c:pt>
                <c:pt idx="2">
                  <c:v>0.72000000000000064</c:v>
                </c:pt>
                <c:pt idx="3">
                  <c:v>0.72000000000000064</c:v>
                </c:pt>
              </c:numCache>
            </c:numRef>
          </c:val>
        </c:ser>
        <c:marker val="1"/>
        <c:axId val="60109952"/>
        <c:axId val="60111488"/>
      </c:lineChart>
      <c:catAx>
        <c:axId val="60109952"/>
        <c:scaling>
          <c:orientation val="minMax"/>
        </c:scaling>
        <c:axPos val="b"/>
        <c:tickLblPos val="nextTo"/>
        <c:crossAx val="60111488"/>
        <c:crosses val="autoZero"/>
        <c:auto val="1"/>
        <c:lblAlgn val="ctr"/>
        <c:lblOffset val="100"/>
      </c:catAx>
      <c:valAx>
        <c:axId val="60111488"/>
        <c:scaling>
          <c:orientation val="minMax"/>
          <c:max val="1"/>
          <c:min val="0"/>
        </c:scaling>
        <c:axPos val="l"/>
        <c:majorGridlines/>
        <c:title>
          <c:tx>
            <c:rich>
              <a:bodyPr/>
              <a:lstStyle/>
              <a:p>
                <a:pPr>
                  <a:defRPr/>
                </a:pPr>
                <a:r>
                  <a:rPr lang="en-GB"/>
                  <a:t>% in accommodation</a:t>
                </a:r>
              </a:p>
            </c:rich>
          </c:tx>
        </c:title>
        <c:numFmt formatCode="0%" sourceLinked="1"/>
        <c:majorTickMark val="none"/>
        <c:tickLblPos val="nextTo"/>
        <c:crossAx val="60109952"/>
        <c:crosses val="autoZero"/>
        <c:crossBetween val="between"/>
      </c:valAx>
    </c:plotArea>
    <c:legend>
      <c:legendPos val="b"/>
    </c:legend>
    <c:plotVisOnly val="1"/>
  </c:chart>
  <c:spPr>
    <a:solidFill>
      <a:srgbClr val="4F81BD">
        <a:lumMod val="20000"/>
        <a:lumOff val="80000"/>
      </a:srgbClr>
    </a:solidFill>
    <a:ln>
      <a:noFill/>
    </a:ln>
  </c:spPr>
  <c:externalData r:id="rId1"/>
</c:chartSpace>
</file>

<file path=word/drawings/drawing1.xml><?xml version="1.0" encoding="utf-8"?>
<c:userShapes xmlns:c="http://schemas.openxmlformats.org/drawingml/2006/chart">
  <cdr:relSizeAnchor xmlns:cdr="http://schemas.openxmlformats.org/drawingml/2006/chartDrawing">
    <cdr:from>
      <cdr:x>0.60037</cdr:x>
      <cdr:y>0.71875</cdr:y>
    </cdr:from>
    <cdr:to>
      <cdr:x>0.98711</cdr:x>
      <cdr:y>0.97917</cdr:y>
    </cdr:to>
    <cdr:sp macro="" textlink="">
      <cdr:nvSpPr>
        <cdr:cNvPr id="2" name="TextBox 1"/>
        <cdr:cNvSpPr txBox="1"/>
      </cdr:nvSpPr>
      <cdr:spPr>
        <a:xfrm xmlns:a="http://schemas.openxmlformats.org/drawingml/2006/main">
          <a:off x="2967915" y="1971676"/>
          <a:ext cx="1911840" cy="7143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t>Survey: </a:t>
          </a:r>
        </a:p>
        <a:p xmlns:a="http://schemas.openxmlformats.org/drawingml/2006/main">
          <a:pPr algn="ctr"/>
          <a:r>
            <a:rPr lang="en-GB" sz="1100"/>
            <a:t>April 2011 - March 2012</a:t>
          </a:r>
          <a:endParaRPr lang="en-GB" sz="1100" baseline="0"/>
        </a:p>
        <a:p xmlns:a="http://schemas.openxmlformats.org/drawingml/2006/main">
          <a:pPr algn="ctr"/>
          <a:r>
            <a:rPr lang="en-GB" sz="1100" baseline="0"/>
            <a:t>Number of respondents: 2258</a:t>
          </a:r>
          <a:endParaRPr lang="en-GB" sz="1100"/>
        </a:p>
      </cdr:txBody>
    </cdr:sp>
  </cdr:relSizeAnchor>
  <cdr:relSizeAnchor xmlns:cdr="http://schemas.openxmlformats.org/drawingml/2006/chartDrawing">
    <cdr:from>
      <cdr:x>0.01692</cdr:x>
      <cdr:y>0.80903</cdr:y>
    </cdr:from>
    <cdr:to>
      <cdr:x>0.34586</cdr:x>
      <cdr:y>0.92361</cdr:y>
    </cdr:to>
    <cdr:sp macro="" textlink="">
      <cdr:nvSpPr>
        <cdr:cNvPr id="3" name="TextBox 1"/>
        <cdr:cNvSpPr txBox="1"/>
      </cdr:nvSpPr>
      <cdr:spPr>
        <a:xfrm xmlns:a="http://schemas.openxmlformats.org/drawingml/2006/main">
          <a:off x="85725" y="2219325"/>
          <a:ext cx="1666876" cy="3143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a:t>Mean rating score: 78%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7616-57F1-44EB-B72E-5E4E9BF5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14100</Words>
  <Characters>78514</Characters>
  <Application>Microsoft Office Word</Application>
  <DocSecurity>4</DocSecurity>
  <Lines>654</Lines>
  <Paragraphs>184</Paragraphs>
  <ScaleCrop>false</ScaleCrop>
  <HeadingPairs>
    <vt:vector size="2" baseType="variant">
      <vt:variant>
        <vt:lpstr>Title</vt:lpstr>
      </vt:variant>
      <vt:variant>
        <vt:i4>1</vt:i4>
      </vt:variant>
    </vt:vector>
  </HeadingPairs>
  <TitlesOfParts>
    <vt:vector size="1" baseType="lpstr">
      <vt:lpstr>PRIORITIES FOR IMPROVEMENT 2010-11</vt:lpstr>
    </vt:vector>
  </TitlesOfParts>
  <Company>TOSHIBA</Company>
  <LinksUpToDate>false</LinksUpToDate>
  <CharactersWithSpaces>92430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FOR IMPROVEMENT 2010-11</dc:title>
  <dc:creator>caroline.birch</dc:creator>
  <cp:lastModifiedBy>Habner Justinian (RNU) OBMH</cp:lastModifiedBy>
  <cp:revision>2</cp:revision>
  <cp:lastPrinted>2012-04-27T11:38:00Z</cp:lastPrinted>
  <dcterms:created xsi:type="dcterms:W3CDTF">2012-04-30T12:35:00Z</dcterms:created>
  <dcterms:modified xsi:type="dcterms:W3CDTF">2012-04-30T12:35:00Z</dcterms:modified>
</cp:coreProperties>
</file>