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7C690C"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4D181D">
      <w:pPr>
        <w:jc w:val="center"/>
        <w:rPr>
          <w:rFonts w:ascii="Frutiger" w:hAnsi="Frutiger"/>
        </w:rPr>
      </w:pPr>
      <w:r>
        <w:rPr>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4114800</wp:posOffset>
                </wp:positionH>
                <wp:positionV relativeFrom="paragraph">
                  <wp:posOffset>51435</wp:posOffset>
                </wp:positionV>
                <wp:extent cx="1371600" cy="571500"/>
                <wp:effectExtent l="9525" t="13335" r="9525" b="571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1101AA" w:rsidRDefault="001101AA">
                            <w:pPr>
                              <w:pStyle w:val="Heading1"/>
                              <w:jc w:val="center"/>
                              <w:rPr>
                                <w:sz w:val="24"/>
                                <w:u w:val="none"/>
                              </w:rPr>
                            </w:pPr>
                            <w:r>
                              <w:rPr>
                                <w:sz w:val="24"/>
                                <w:u w:val="none"/>
                              </w:rPr>
                              <w:t>PAPER</w:t>
                            </w:r>
                          </w:p>
                          <w:p w:rsidR="001101AA" w:rsidRDefault="001D46F2" w:rsidP="00FC7C2C">
                            <w:pPr>
                              <w:pStyle w:val="BodyText"/>
                              <w:rPr>
                                <w:b w:val="0"/>
                                <w:sz w:val="22"/>
                              </w:rPr>
                            </w:pPr>
                            <w:r>
                              <w:rPr>
                                <w:b w:val="0"/>
                                <w:sz w:val="22"/>
                              </w:rPr>
                              <w:t>CG</w:t>
                            </w:r>
                            <w:r w:rsidR="00B52E28">
                              <w:rPr>
                                <w:b w:val="0"/>
                                <w:sz w:val="22"/>
                              </w:rPr>
                              <w:t xml:space="preserve"> 20</w:t>
                            </w:r>
                            <w:r w:rsidR="00FC7C2C">
                              <w:rPr>
                                <w:b w:val="0"/>
                                <w:sz w:val="22"/>
                              </w:rPr>
                              <w:t>/2016</w:t>
                            </w:r>
                          </w:p>
                          <w:p w:rsidR="00FC7C2C" w:rsidRPr="001101AA" w:rsidRDefault="001D46F2" w:rsidP="00FC7C2C">
                            <w:pPr>
                              <w:pStyle w:val="BodyText"/>
                              <w:rPr>
                                <w:b w:val="0"/>
                                <w:sz w:val="22"/>
                              </w:rPr>
                            </w:pPr>
                            <w:r>
                              <w:rPr>
                                <w:b w:val="0"/>
                                <w:sz w:val="22"/>
                              </w:rPr>
                              <w:t>(Agenda Item:</w:t>
                            </w:r>
                            <w:r w:rsidR="00B52E28">
                              <w:rPr>
                                <w:b w:val="0"/>
                                <w:sz w:val="22"/>
                              </w:rPr>
                              <w:t xml:space="preserve"> 6</w:t>
                            </w:r>
                            <w:bookmarkStart w:id="0" w:name="_GoBack"/>
                            <w:bookmarkEnd w:id="0"/>
                            <w:r w:rsidR="00FC7C2C">
                              <w:rPr>
                                <w:b w:val="0"/>
                                <w:sz w:val="22"/>
                              </w:rPr>
                              <w:t>)</w:t>
                            </w:r>
                          </w:p>
                          <w:p w:rsidR="001101AA" w:rsidRDefault="001101AA">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rsidR="001101AA" w:rsidRDefault="001101AA">
                      <w:pPr>
                        <w:pStyle w:val="Heading1"/>
                        <w:jc w:val="center"/>
                        <w:rPr>
                          <w:sz w:val="24"/>
                          <w:u w:val="none"/>
                        </w:rPr>
                      </w:pPr>
                      <w:r>
                        <w:rPr>
                          <w:sz w:val="24"/>
                          <w:u w:val="none"/>
                        </w:rPr>
                        <w:t>PAPER</w:t>
                      </w:r>
                    </w:p>
                    <w:p w:rsidR="001101AA" w:rsidRDefault="001D46F2" w:rsidP="00FC7C2C">
                      <w:pPr>
                        <w:pStyle w:val="BodyText"/>
                        <w:rPr>
                          <w:b w:val="0"/>
                          <w:sz w:val="22"/>
                        </w:rPr>
                      </w:pPr>
                      <w:r>
                        <w:rPr>
                          <w:b w:val="0"/>
                          <w:sz w:val="22"/>
                        </w:rPr>
                        <w:t>CG</w:t>
                      </w:r>
                      <w:r w:rsidR="00B52E28">
                        <w:rPr>
                          <w:b w:val="0"/>
                          <w:sz w:val="22"/>
                        </w:rPr>
                        <w:t xml:space="preserve"> 20</w:t>
                      </w:r>
                      <w:r w:rsidR="00FC7C2C">
                        <w:rPr>
                          <w:b w:val="0"/>
                          <w:sz w:val="22"/>
                        </w:rPr>
                        <w:t>/2016</w:t>
                      </w:r>
                    </w:p>
                    <w:p w:rsidR="00FC7C2C" w:rsidRPr="001101AA" w:rsidRDefault="001D46F2" w:rsidP="00FC7C2C">
                      <w:pPr>
                        <w:pStyle w:val="BodyText"/>
                        <w:rPr>
                          <w:b w:val="0"/>
                          <w:sz w:val="22"/>
                        </w:rPr>
                      </w:pPr>
                      <w:r>
                        <w:rPr>
                          <w:b w:val="0"/>
                          <w:sz w:val="22"/>
                        </w:rPr>
                        <w:t>(Agenda Item:</w:t>
                      </w:r>
                      <w:r w:rsidR="00B52E28">
                        <w:rPr>
                          <w:b w:val="0"/>
                          <w:sz w:val="22"/>
                        </w:rPr>
                        <w:t xml:space="preserve"> 6</w:t>
                      </w:r>
                      <w:bookmarkStart w:id="1" w:name="_GoBack"/>
                      <w:bookmarkEnd w:id="1"/>
                      <w:r w:rsidR="00FC7C2C">
                        <w:rPr>
                          <w:b w:val="0"/>
                          <w:sz w:val="22"/>
                        </w:rPr>
                        <w:t>)</w:t>
                      </w:r>
                    </w:p>
                    <w:p w:rsidR="001101AA" w:rsidRDefault="001101AA">
                      <w:pPr>
                        <w:jc w:val="center"/>
                        <w:rPr>
                          <w:b/>
                        </w:rPr>
                      </w:pPr>
                    </w:p>
                  </w:txbxContent>
                </v:textbox>
              </v:rect>
            </w:pict>
          </mc:Fallback>
        </mc:AlternateContent>
      </w: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D0374" w:rsidRPr="005D0374" w:rsidRDefault="005D0374" w:rsidP="005D0374">
      <w:pPr>
        <w:pStyle w:val="Heading1"/>
        <w:jc w:val="center"/>
        <w:rPr>
          <w:sz w:val="28"/>
          <w:u w:val="none"/>
        </w:rPr>
      </w:pPr>
      <w:r w:rsidRPr="005D0374">
        <w:rPr>
          <w:sz w:val="28"/>
          <w:u w:val="none"/>
        </w:rPr>
        <w:t xml:space="preserve">Report to the Meeting of the </w:t>
      </w:r>
      <w:r w:rsidRPr="005D0374">
        <w:rPr>
          <w:sz w:val="28"/>
        </w:rPr>
        <w:t>Council</w:t>
      </w:r>
      <w:r w:rsidR="00C36ED7">
        <w:rPr>
          <w:sz w:val="28"/>
        </w:rPr>
        <w:t xml:space="preserve"> of Governors</w:t>
      </w:r>
    </w:p>
    <w:p w:rsidR="005D3499" w:rsidRDefault="005D3499" w:rsidP="00A85311">
      <w:pPr>
        <w:rPr>
          <w:rFonts w:ascii="Arial" w:hAnsi="Arial" w:cs="Arial"/>
          <w:b/>
        </w:rPr>
      </w:pPr>
    </w:p>
    <w:p w:rsidR="005D3499" w:rsidRDefault="001D46F2">
      <w:pPr>
        <w:jc w:val="center"/>
        <w:rPr>
          <w:rFonts w:ascii="Arial" w:hAnsi="Arial" w:cs="Arial"/>
          <w:b/>
        </w:rPr>
      </w:pPr>
      <w:r>
        <w:rPr>
          <w:rFonts w:ascii="Arial" w:hAnsi="Arial" w:cs="Arial"/>
          <w:b/>
        </w:rPr>
        <w:t>14</w:t>
      </w:r>
      <w:r w:rsidRPr="001D46F2">
        <w:rPr>
          <w:rFonts w:ascii="Arial" w:hAnsi="Arial" w:cs="Arial"/>
          <w:b/>
          <w:vertAlign w:val="superscript"/>
        </w:rPr>
        <w:t>th</w:t>
      </w:r>
      <w:r>
        <w:rPr>
          <w:rFonts w:ascii="Arial" w:hAnsi="Arial" w:cs="Arial"/>
          <w:b/>
        </w:rPr>
        <w:t xml:space="preserve"> September </w:t>
      </w:r>
      <w:r w:rsidR="004326BB">
        <w:rPr>
          <w:rFonts w:ascii="Arial" w:hAnsi="Arial" w:cs="Arial"/>
          <w:b/>
        </w:rPr>
        <w:t>20</w:t>
      </w:r>
      <w:r w:rsidR="00D07064">
        <w:rPr>
          <w:rFonts w:ascii="Arial" w:hAnsi="Arial" w:cs="Arial"/>
          <w:b/>
        </w:rPr>
        <w:t>1</w:t>
      </w:r>
      <w:r w:rsidR="00814D26">
        <w:rPr>
          <w:rFonts w:ascii="Arial" w:hAnsi="Arial" w:cs="Arial"/>
          <w:b/>
        </w:rPr>
        <w:t>6</w:t>
      </w:r>
    </w:p>
    <w:p w:rsidR="005D3499" w:rsidRDefault="005D3499">
      <w:pPr>
        <w:jc w:val="center"/>
        <w:rPr>
          <w:rFonts w:ascii="Arial" w:hAnsi="Arial" w:cs="Arial"/>
          <w:b/>
        </w:rPr>
      </w:pPr>
    </w:p>
    <w:p w:rsidR="005D3499" w:rsidRDefault="00431086">
      <w:pPr>
        <w:jc w:val="center"/>
        <w:rPr>
          <w:rFonts w:ascii="Arial" w:hAnsi="Arial" w:cs="Arial"/>
          <w:b/>
        </w:rPr>
      </w:pPr>
      <w:r>
        <w:rPr>
          <w:rFonts w:ascii="Arial" w:hAnsi="Arial" w:cs="Arial"/>
          <w:b/>
        </w:rPr>
        <w:t xml:space="preserve"> Chief Executive</w:t>
      </w:r>
      <w:r w:rsidR="006C2656">
        <w:rPr>
          <w:rFonts w:ascii="Arial" w:hAnsi="Arial" w:cs="Arial"/>
          <w:b/>
        </w:rPr>
        <w:t>’s Report</w:t>
      </w:r>
    </w:p>
    <w:p w:rsidR="005D3499" w:rsidRDefault="005D3499">
      <w:pPr>
        <w:rPr>
          <w:rFonts w:ascii="Arial" w:hAnsi="Arial" w:cs="Arial"/>
          <w:b/>
        </w:rPr>
      </w:pPr>
    </w:p>
    <w:p w:rsidR="00292613" w:rsidRPr="00BE73D6" w:rsidRDefault="00292613" w:rsidP="00292613">
      <w:pPr>
        <w:rPr>
          <w:rFonts w:ascii="Arial" w:hAnsi="Arial" w:cs="Arial"/>
          <w:b/>
          <w:sz w:val="22"/>
          <w:szCs w:val="22"/>
          <w:u w:val="single"/>
        </w:rPr>
      </w:pPr>
      <w:r w:rsidRPr="00BE73D6">
        <w:rPr>
          <w:rFonts w:ascii="Arial" w:hAnsi="Arial" w:cs="Arial"/>
          <w:b/>
          <w:sz w:val="22"/>
          <w:szCs w:val="22"/>
          <w:u w:val="single"/>
        </w:rPr>
        <w:t>For</w:t>
      </w:r>
      <w:r w:rsidR="001101AA" w:rsidRPr="00BE73D6">
        <w:rPr>
          <w:rFonts w:ascii="Arial" w:hAnsi="Arial" w:cs="Arial"/>
          <w:b/>
          <w:sz w:val="22"/>
          <w:szCs w:val="22"/>
          <w:u w:val="single"/>
        </w:rPr>
        <w:t xml:space="preserve"> </w:t>
      </w:r>
      <w:r w:rsidR="006C2656" w:rsidRPr="00BE73D6">
        <w:rPr>
          <w:rFonts w:ascii="Arial" w:hAnsi="Arial" w:cs="Arial"/>
          <w:b/>
          <w:sz w:val="22"/>
          <w:szCs w:val="22"/>
          <w:u w:val="single"/>
        </w:rPr>
        <w:t>Approval</w:t>
      </w:r>
    </w:p>
    <w:p w:rsidR="00292613" w:rsidRPr="00BE73D6" w:rsidRDefault="00292613">
      <w:pPr>
        <w:rPr>
          <w:rFonts w:ascii="Arial" w:hAnsi="Arial" w:cs="Arial"/>
          <w:b/>
          <w:sz w:val="22"/>
          <w:szCs w:val="22"/>
        </w:rPr>
      </w:pPr>
    </w:p>
    <w:p w:rsidR="000A317C" w:rsidRDefault="000A317C" w:rsidP="000A317C">
      <w:pPr>
        <w:jc w:val="both"/>
        <w:rPr>
          <w:rFonts w:ascii="Segoe UI" w:eastAsia="Calibri" w:hAnsi="Segoe UI" w:cs="Segoe UI"/>
          <w:bCs/>
          <w:sz w:val="22"/>
          <w:szCs w:val="22"/>
        </w:rPr>
      </w:pPr>
      <w:r>
        <w:rPr>
          <w:rFonts w:ascii="Segoe UI" w:eastAsia="Calibri" w:hAnsi="Segoe UI" w:cs="Segoe UI"/>
          <w:bCs/>
          <w:sz w:val="22"/>
          <w:szCs w:val="22"/>
        </w:rPr>
        <w:t xml:space="preserve">It has been a particularly eventful quarter with a number of significant developments, both locally and nationally.  </w:t>
      </w:r>
    </w:p>
    <w:p w:rsidR="000A317C" w:rsidRDefault="000A317C" w:rsidP="000A317C">
      <w:pPr>
        <w:jc w:val="both"/>
        <w:rPr>
          <w:rFonts w:ascii="Segoe UI" w:eastAsia="Calibri" w:hAnsi="Segoe UI" w:cs="Segoe UI"/>
          <w:bCs/>
          <w:sz w:val="22"/>
          <w:szCs w:val="22"/>
        </w:rPr>
      </w:pPr>
    </w:p>
    <w:p w:rsidR="00994D21" w:rsidRDefault="00994D21" w:rsidP="000A317C">
      <w:pPr>
        <w:jc w:val="both"/>
        <w:rPr>
          <w:rFonts w:ascii="Segoe UI" w:eastAsia="Calibri" w:hAnsi="Segoe UI" w:cs="Segoe UI"/>
          <w:bCs/>
          <w:sz w:val="22"/>
          <w:szCs w:val="22"/>
        </w:rPr>
      </w:pPr>
      <w:r w:rsidRPr="00994D21">
        <w:rPr>
          <w:rFonts w:ascii="Segoe UI" w:eastAsia="Calibri" w:hAnsi="Segoe UI" w:cs="Segoe UI"/>
          <w:b/>
          <w:bCs/>
          <w:i/>
          <w:sz w:val="22"/>
          <w:szCs w:val="22"/>
        </w:rPr>
        <w:t>External regulation/inspection/accreditation/learning</w:t>
      </w:r>
    </w:p>
    <w:p w:rsidR="000A317C" w:rsidRPr="005202B1" w:rsidRDefault="000A317C" w:rsidP="000A317C">
      <w:pPr>
        <w:jc w:val="both"/>
        <w:rPr>
          <w:rFonts w:ascii="Segoe UI" w:eastAsia="Calibri" w:hAnsi="Segoe UI" w:cs="Segoe UI"/>
          <w:sz w:val="22"/>
          <w:szCs w:val="22"/>
        </w:rPr>
      </w:pPr>
      <w:r w:rsidRPr="005202B1">
        <w:rPr>
          <w:rFonts w:ascii="Segoe UI" w:eastAsia="Calibri" w:hAnsi="Segoe UI" w:cs="Segoe UI"/>
          <w:sz w:val="22"/>
          <w:szCs w:val="22"/>
        </w:rPr>
        <w:t xml:space="preserve">Following </w:t>
      </w:r>
      <w:r>
        <w:rPr>
          <w:rFonts w:ascii="Segoe UI" w:eastAsia="Calibri" w:hAnsi="Segoe UI" w:cs="Segoe UI"/>
          <w:sz w:val="22"/>
          <w:szCs w:val="22"/>
        </w:rPr>
        <w:t xml:space="preserve">the recent </w:t>
      </w:r>
      <w:r w:rsidRPr="005202B1">
        <w:rPr>
          <w:rFonts w:ascii="Segoe UI" w:eastAsia="Calibri" w:hAnsi="Segoe UI" w:cs="Segoe UI"/>
          <w:sz w:val="22"/>
          <w:szCs w:val="22"/>
        </w:rPr>
        <w:t xml:space="preserve">publication of aggregate results, the NHS </w:t>
      </w:r>
      <w:r>
        <w:rPr>
          <w:rFonts w:ascii="Segoe UI" w:eastAsia="Calibri" w:hAnsi="Segoe UI" w:cs="Segoe UI"/>
          <w:sz w:val="22"/>
          <w:szCs w:val="22"/>
        </w:rPr>
        <w:t xml:space="preserve">is reported to have </w:t>
      </w:r>
      <w:r w:rsidRPr="005202B1">
        <w:rPr>
          <w:rFonts w:ascii="Segoe UI" w:eastAsia="Calibri" w:hAnsi="Segoe UI" w:cs="Segoe UI"/>
          <w:sz w:val="22"/>
          <w:szCs w:val="22"/>
        </w:rPr>
        <w:t xml:space="preserve">ended the financial year 2015-16 with a deficit of £1.85 billion, the </w:t>
      </w:r>
      <w:r>
        <w:rPr>
          <w:rFonts w:ascii="Segoe UI" w:eastAsia="Calibri" w:hAnsi="Segoe UI" w:cs="Segoe UI"/>
          <w:sz w:val="22"/>
          <w:szCs w:val="22"/>
        </w:rPr>
        <w:t>largest aggregate deficit in its history</w:t>
      </w:r>
      <w:r w:rsidRPr="005202B1">
        <w:rPr>
          <w:rFonts w:ascii="Segoe UI" w:eastAsia="Calibri" w:hAnsi="Segoe UI" w:cs="Segoe UI"/>
          <w:sz w:val="22"/>
          <w:szCs w:val="22"/>
        </w:rPr>
        <w:t xml:space="preserve">. </w:t>
      </w:r>
      <w:r>
        <w:rPr>
          <w:rFonts w:ascii="Segoe UI" w:eastAsia="Calibri" w:hAnsi="Segoe UI" w:cs="Segoe UI"/>
          <w:sz w:val="22"/>
          <w:szCs w:val="22"/>
        </w:rPr>
        <w:t>The recent</w:t>
      </w:r>
      <w:r w:rsidRPr="005202B1">
        <w:rPr>
          <w:rFonts w:ascii="Segoe UI" w:eastAsia="Calibri" w:hAnsi="Segoe UI" w:cs="Segoe UI"/>
          <w:sz w:val="22"/>
          <w:szCs w:val="22"/>
        </w:rPr>
        <w:t xml:space="preserve"> King’s Fund report</w:t>
      </w:r>
      <w:r>
        <w:rPr>
          <w:rFonts w:ascii="Segoe UI" w:eastAsia="Calibri" w:hAnsi="Segoe UI" w:cs="Segoe UI"/>
          <w:sz w:val="22"/>
          <w:szCs w:val="22"/>
        </w:rPr>
        <w:t xml:space="preserve">, </w:t>
      </w:r>
      <w:hyperlink r:id="rId9" w:history="1">
        <w:r w:rsidRPr="008C461C">
          <w:rPr>
            <w:rStyle w:val="Hyperlink"/>
            <w:rFonts w:ascii="Segoe UI" w:eastAsia="Calibri" w:hAnsi="Segoe UI" w:cs="Segoe UI"/>
            <w:i/>
            <w:iCs/>
            <w:sz w:val="22"/>
            <w:szCs w:val="22"/>
          </w:rPr>
          <w:t>Deficits in the NHS</w:t>
        </w:r>
      </w:hyperlink>
      <w:r w:rsidRPr="008C461C">
        <w:rPr>
          <w:rFonts w:ascii="Segoe UI" w:eastAsia="Calibri" w:hAnsi="Segoe UI" w:cs="Segoe UI"/>
          <w:sz w:val="22"/>
          <w:szCs w:val="22"/>
        </w:rPr>
        <w:t> </w:t>
      </w:r>
      <w:r>
        <w:rPr>
          <w:rFonts w:ascii="Segoe UI" w:eastAsia="Calibri" w:hAnsi="Segoe UI" w:cs="Segoe UI"/>
          <w:sz w:val="22"/>
          <w:szCs w:val="22"/>
        </w:rPr>
        <w:t xml:space="preserve"> reveals evidence of the</w:t>
      </w:r>
      <w:r w:rsidRPr="005202B1">
        <w:rPr>
          <w:rFonts w:ascii="Segoe UI" w:eastAsia="Calibri" w:hAnsi="Segoe UI" w:cs="Segoe UI"/>
          <w:sz w:val="22"/>
          <w:szCs w:val="22"/>
        </w:rPr>
        <w:t xml:space="preserve"> gap between the quality of care we all want the NHS to provide and the funding available and </w:t>
      </w:r>
      <w:r>
        <w:rPr>
          <w:rFonts w:ascii="Segoe UI" w:eastAsia="Calibri" w:hAnsi="Segoe UI" w:cs="Segoe UI"/>
          <w:sz w:val="22"/>
          <w:szCs w:val="22"/>
        </w:rPr>
        <w:t xml:space="preserve">suggests </w:t>
      </w:r>
      <w:r w:rsidRPr="005202B1">
        <w:rPr>
          <w:rFonts w:ascii="Segoe UI" w:eastAsia="Calibri" w:hAnsi="Segoe UI" w:cs="Segoe UI"/>
          <w:sz w:val="22"/>
          <w:szCs w:val="22"/>
        </w:rPr>
        <w:t>that this</w:t>
      </w:r>
      <w:r>
        <w:rPr>
          <w:rFonts w:ascii="Segoe UI" w:eastAsia="Calibri" w:hAnsi="Segoe UI" w:cs="Segoe UI"/>
          <w:sz w:val="22"/>
          <w:szCs w:val="22"/>
        </w:rPr>
        <w:t xml:space="preserve"> position</w:t>
      </w:r>
      <w:r w:rsidRPr="005202B1">
        <w:rPr>
          <w:rFonts w:ascii="Segoe UI" w:eastAsia="Calibri" w:hAnsi="Segoe UI" w:cs="Segoe UI"/>
          <w:sz w:val="22"/>
          <w:szCs w:val="22"/>
        </w:rPr>
        <w:t xml:space="preserve"> is unsustainable and cannot be continually passed onto NHS trusts.   </w:t>
      </w:r>
    </w:p>
    <w:p w:rsidR="000A317C" w:rsidRPr="005202B1" w:rsidRDefault="000A317C" w:rsidP="000A317C">
      <w:pPr>
        <w:jc w:val="both"/>
        <w:rPr>
          <w:rFonts w:ascii="Segoe UI" w:eastAsia="Calibri" w:hAnsi="Segoe UI" w:cs="Segoe UI"/>
          <w:sz w:val="22"/>
          <w:szCs w:val="22"/>
        </w:rPr>
      </w:pPr>
      <w:r w:rsidRPr="005202B1">
        <w:rPr>
          <w:rFonts w:ascii="Segoe UI" w:eastAsia="Calibri" w:hAnsi="Segoe UI" w:cs="Segoe UI"/>
          <w:sz w:val="22"/>
          <w:szCs w:val="22"/>
        </w:rPr>
        <w:t> </w:t>
      </w:r>
    </w:p>
    <w:p w:rsidR="000A317C" w:rsidRPr="00354470" w:rsidRDefault="000A317C" w:rsidP="006C2656">
      <w:pPr>
        <w:jc w:val="both"/>
        <w:rPr>
          <w:rFonts w:ascii="Segoe UI" w:eastAsia="Calibri" w:hAnsi="Segoe UI" w:cs="Segoe UI"/>
          <w:sz w:val="22"/>
          <w:szCs w:val="22"/>
        </w:rPr>
      </w:pPr>
      <w:r w:rsidRPr="005202B1">
        <w:rPr>
          <w:rFonts w:ascii="Segoe UI" w:eastAsia="Calibri" w:hAnsi="Segoe UI" w:cs="Segoe UI"/>
          <w:sz w:val="22"/>
          <w:szCs w:val="22"/>
        </w:rPr>
        <w:t>Interventions by regulators</w:t>
      </w:r>
      <w:r w:rsidR="00685CF5">
        <w:rPr>
          <w:rFonts w:ascii="Segoe UI" w:eastAsia="Calibri" w:hAnsi="Segoe UI" w:cs="Segoe UI"/>
          <w:sz w:val="22"/>
          <w:szCs w:val="22"/>
        </w:rPr>
        <w:t xml:space="preserve"> commenced in quarter</w:t>
      </w:r>
      <w:r w:rsidRPr="005202B1">
        <w:rPr>
          <w:rFonts w:ascii="Segoe UI" w:eastAsia="Calibri" w:hAnsi="Segoe UI" w:cs="Segoe UI"/>
          <w:sz w:val="22"/>
          <w:szCs w:val="22"/>
        </w:rPr>
        <w:t xml:space="preserve"> to regain control of NHS finances</w:t>
      </w:r>
      <w:r>
        <w:rPr>
          <w:rFonts w:ascii="Segoe UI" w:eastAsia="Calibri" w:hAnsi="Segoe UI" w:cs="Segoe UI"/>
          <w:sz w:val="22"/>
          <w:szCs w:val="22"/>
        </w:rPr>
        <w:t>.</w:t>
      </w:r>
      <w:r w:rsidRPr="005202B1">
        <w:rPr>
          <w:rFonts w:ascii="Segoe UI" w:eastAsia="Calibri" w:hAnsi="Segoe UI" w:cs="Segoe UI"/>
          <w:sz w:val="22"/>
          <w:szCs w:val="22"/>
        </w:rPr>
        <w:t xml:space="preserve"> Efforts to reduce the provider deficit are set to focus on 20-40 trusts where the pay bill either increased</w:t>
      </w:r>
      <w:r>
        <w:rPr>
          <w:rFonts w:ascii="Segoe UI" w:eastAsia="Calibri" w:hAnsi="Segoe UI" w:cs="Segoe UI"/>
          <w:sz w:val="22"/>
          <w:szCs w:val="22"/>
        </w:rPr>
        <w:t xml:space="preserve"> substantially last year, or which</w:t>
      </w:r>
      <w:r w:rsidRPr="005202B1">
        <w:rPr>
          <w:rFonts w:ascii="Segoe UI" w:eastAsia="Calibri" w:hAnsi="Segoe UI" w:cs="Segoe UI"/>
          <w:sz w:val="22"/>
          <w:szCs w:val="22"/>
        </w:rPr>
        <w:t xml:space="preserve"> have planned for growth in 2016/17. </w:t>
      </w:r>
    </w:p>
    <w:p w:rsidR="009C1AFA" w:rsidRPr="00BE73D6" w:rsidRDefault="009C1AFA" w:rsidP="006C2656">
      <w:pPr>
        <w:jc w:val="both"/>
        <w:rPr>
          <w:rFonts w:ascii="Segoe UI" w:hAnsi="Segoe UI" w:cs="Segoe UI"/>
          <w:b/>
          <w:sz w:val="22"/>
          <w:szCs w:val="22"/>
        </w:rPr>
      </w:pPr>
    </w:p>
    <w:p w:rsidR="0055308A" w:rsidRPr="00354470" w:rsidRDefault="006C2656" w:rsidP="00354470">
      <w:pPr>
        <w:pStyle w:val="ListParagraph"/>
        <w:numPr>
          <w:ilvl w:val="0"/>
          <w:numId w:val="20"/>
        </w:numPr>
        <w:jc w:val="both"/>
        <w:rPr>
          <w:rFonts w:ascii="Segoe UI" w:hAnsi="Segoe UI" w:cs="Segoe UI"/>
          <w:b/>
          <w:sz w:val="22"/>
          <w:szCs w:val="22"/>
          <w:lang w:val="en-GB"/>
        </w:rPr>
      </w:pPr>
      <w:r w:rsidRPr="00354470">
        <w:rPr>
          <w:rFonts w:ascii="Segoe UI" w:hAnsi="Segoe UI" w:cs="Segoe UI"/>
          <w:b/>
          <w:sz w:val="22"/>
          <w:szCs w:val="22"/>
        </w:rPr>
        <w:t>Care Quality Commission Inspection</w:t>
      </w:r>
      <w:r w:rsidR="00814B84" w:rsidRPr="00354470">
        <w:rPr>
          <w:rFonts w:ascii="Segoe UI" w:hAnsi="Segoe UI" w:cs="Segoe UI"/>
          <w:b/>
          <w:sz w:val="22"/>
          <w:szCs w:val="22"/>
        </w:rPr>
        <w:t xml:space="preserve"> </w:t>
      </w:r>
      <w:r w:rsidR="0055308A" w:rsidRPr="00354470">
        <w:rPr>
          <w:rFonts w:ascii="Segoe UI" w:hAnsi="Segoe UI" w:cs="Segoe UI"/>
          <w:b/>
          <w:sz w:val="22"/>
          <w:szCs w:val="22"/>
          <w:lang w:val="en-GB"/>
        </w:rPr>
        <w:t>and improvement plans</w:t>
      </w:r>
    </w:p>
    <w:p w:rsidR="000A317C" w:rsidRDefault="000A317C" w:rsidP="000A317C">
      <w:pPr>
        <w:jc w:val="both"/>
        <w:rPr>
          <w:rFonts w:ascii="Segoe UI" w:hAnsi="Segoe UI" w:cs="Segoe UI"/>
          <w:b/>
          <w:sz w:val="22"/>
          <w:szCs w:val="22"/>
          <w:lang w:val="en-GB"/>
        </w:rPr>
      </w:pPr>
    </w:p>
    <w:p w:rsidR="00685CF5" w:rsidRDefault="00685CF5" w:rsidP="00685CF5">
      <w:pPr>
        <w:jc w:val="both"/>
        <w:rPr>
          <w:rFonts w:ascii="Segoe UI" w:hAnsi="Segoe UI" w:cs="Segoe UI"/>
          <w:sz w:val="22"/>
          <w:szCs w:val="22"/>
          <w:lang w:val="en-GB"/>
        </w:rPr>
      </w:pPr>
      <w:r>
        <w:rPr>
          <w:rFonts w:ascii="Segoe UI" w:hAnsi="Segoe UI" w:cs="Segoe UI"/>
          <w:sz w:val="22"/>
          <w:szCs w:val="22"/>
          <w:lang w:val="en-GB"/>
        </w:rPr>
        <w:t>Prior to publication of the results, Governors were given advanced notice of t</w:t>
      </w:r>
      <w:r w:rsidRPr="00685CF5">
        <w:rPr>
          <w:rFonts w:ascii="Segoe UI" w:hAnsi="Segoe UI" w:cs="Segoe UI"/>
          <w:sz w:val="22"/>
          <w:szCs w:val="22"/>
          <w:lang w:val="en-GB"/>
        </w:rPr>
        <w:t xml:space="preserve">he results of our trust’s re-inspection by the Care Quality Commission (CQC) </w:t>
      </w:r>
      <w:r>
        <w:rPr>
          <w:rFonts w:ascii="Segoe UI" w:hAnsi="Segoe UI" w:cs="Segoe UI"/>
          <w:sz w:val="22"/>
          <w:szCs w:val="22"/>
          <w:lang w:val="en-GB"/>
        </w:rPr>
        <w:t>which was</w:t>
      </w:r>
      <w:r w:rsidRPr="00685CF5">
        <w:rPr>
          <w:rFonts w:ascii="Segoe UI" w:hAnsi="Segoe UI" w:cs="Segoe UI"/>
          <w:sz w:val="22"/>
          <w:szCs w:val="22"/>
          <w:lang w:val="en-GB"/>
        </w:rPr>
        <w:t xml:space="preserve"> good news. </w:t>
      </w:r>
    </w:p>
    <w:p w:rsidR="00685CF5" w:rsidRPr="00685CF5" w:rsidRDefault="00685CF5" w:rsidP="00685CF5">
      <w:pPr>
        <w:jc w:val="both"/>
        <w:rPr>
          <w:rFonts w:ascii="Segoe UI" w:hAnsi="Segoe UI" w:cs="Segoe UI"/>
          <w:sz w:val="22"/>
          <w:szCs w:val="22"/>
          <w:lang w:val="en-GB"/>
        </w:rPr>
      </w:pPr>
    </w:p>
    <w:p w:rsidR="00685CF5" w:rsidRPr="00685CF5" w:rsidRDefault="00685CF5" w:rsidP="00685CF5">
      <w:pPr>
        <w:jc w:val="both"/>
        <w:rPr>
          <w:rFonts w:ascii="Segoe UI" w:hAnsi="Segoe UI" w:cs="Segoe UI"/>
          <w:sz w:val="22"/>
          <w:szCs w:val="22"/>
          <w:lang w:val="en-GB"/>
        </w:rPr>
      </w:pPr>
      <w:r w:rsidRPr="00685CF5">
        <w:rPr>
          <w:rFonts w:ascii="Segoe UI" w:hAnsi="Segoe UI" w:cs="Segoe UI"/>
          <w:sz w:val="22"/>
          <w:szCs w:val="22"/>
          <w:lang w:val="en-GB"/>
        </w:rPr>
        <w:t>Following the CQC’s visit in June to reassess adult mental health services, the overall rating for each of the three services has been revised to ‘Good’. This means the rating for the trust has also been revised and we are delighted to announce the trust is now overall officially rated by the CQC as providing ‘Good’ care.</w:t>
      </w:r>
    </w:p>
    <w:p w:rsidR="00685CF5" w:rsidRPr="00685CF5" w:rsidRDefault="00685CF5" w:rsidP="00685CF5">
      <w:pPr>
        <w:jc w:val="both"/>
        <w:rPr>
          <w:rFonts w:ascii="Segoe UI" w:hAnsi="Segoe UI" w:cs="Segoe UI"/>
          <w:sz w:val="22"/>
          <w:szCs w:val="22"/>
          <w:lang w:val="en-GB"/>
        </w:rPr>
      </w:pPr>
    </w:p>
    <w:p w:rsidR="00685CF5" w:rsidRPr="00685CF5" w:rsidRDefault="00685CF5" w:rsidP="00685CF5">
      <w:pPr>
        <w:jc w:val="both"/>
        <w:rPr>
          <w:rFonts w:ascii="Segoe UI" w:hAnsi="Segoe UI" w:cs="Segoe UI"/>
          <w:sz w:val="22"/>
          <w:szCs w:val="22"/>
          <w:lang w:val="en-GB"/>
        </w:rPr>
      </w:pPr>
      <w:r>
        <w:rPr>
          <w:rFonts w:ascii="Segoe UI" w:hAnsi="Segoe UI" w:cs="Segoe UI"/>
          <w:sz w:val="22"/>
          <w:szCs w:val="22"/>
          <w:lang w:val="en-GB"/>
        </w:rPr>
        <w:t xml:space="preserve">This </w:t>
      </w:r>
      <w:r w:rsidRPr="00685CF5">
        <w:rPr>
          <w:rFonts w:ascii="Segoe UI" w:hAnsi="Segoe UI" w:cs="Segoe UI"/>
          <w:sz w:val="22"/>
          <w:szCs w:val="22"/>
          <w:lang w:val="en-GB"/>
        </w:rPr>
        <w:t xml:space="preserve">is a tremendous achievement by our staff, </w:t>
      </w:r>
      <w:proofErr w:type="gramStart"/>
      <w:r w:rsidRPr="00685CF5">
        <w:rPr>
          <w:rFonts w:ascii="Segoe UI" w:hAnsi="Segoe UI" w:cs="Segoe UI"/>
          <w:sz w:val="22"/>
          <w:szCs w:val="22"/>
          <w:lang w:val="en-GB"/>
        </w:rPr>
        <w:t>who</w:t>
      </w:r>
      <w:proofErr w:type="gramEnd"/>
      <w:r w:rsidRPr="00685CF5">
        <w:rPr>
          <w:rFonts w:ascii="Segoe UI" w:hAnsi="Segoe UI" w:cs="Segoe UI"/>
          <w:sz w:val="22"/>
          <w:szCs w:val="22"/>
          <w:lang w:val="en-GB"/>
        </w:rPr>
        <w:t xml:space="preserve"> have made further improvements in a short time and I’d especially like to thank our adult mental health staff for their contribution to this.</w:t>
      </w:r>
      <w:r>
        <w:rPr>
          <w:rFonts w:ascii="Segoe UI" w:hAnsi="Segoe UI" w:cs="Segoe UI"/>
          <w:sz w:val="22"/>
          <w:szCs w:val="22"/>
          <w:lang w:val="en-GB"/>
        </w:rPr>
        <w:t xml:space="preserve">  </w:t>
      </w:r>
      <w:r w:rsidRPr="00685CF5">
        <w:rPr>
          <w:rFonts w:ascii="Segoe UI" w:hAnsi="Segoe UI" w:cs="Segoe UI"/>
          <w:sz w:val="22"/>
          <w:szCs w:val="22"/>
          <w:lang w:val="en-GB"/>
        </w:rPr>
        <w:t> </w:t>
      </w:r>
    </w:p>
    <w:p w:rsidR="00685CF5" w:rsidRPr="00685CF5" w:rsidRDefault="00685CF5" w:rsidP="00685CF5">
      <w:pPr>
        <w:jc w:val="both"/>
        <w:rPr>
          <w:rFonts w:ascii="Segoe UI" w:hAnsi="Segoe UI" w:cs="Segoe UI"/>
          <w:sz w:val="22"/>
          <w:szCs w:val="22"/>
          <w:lang w:val="en-GB"/>
        </w:rPr>
      </w:pPr>
      <w:r>
        <w:rPr>
          <w:rFonts w:ascii="Segoe UI" w:hAnsi="Segoe UI" w:cs="Segoe UI"/>
          <w:sz w:val="22"/>
          <w:szCs w:val="22"/>
          <w:lang w:val="en-GB"/>
        </w:rPr>
        <w:t>The inspection</w:t>
      </w:r>
      <w:r w:rsidRPr="00685CF5">
        <w:rPr>
          <w:rFonts w:ascii="Segoe UI" w:hAnsi="Segoe UI" w:cs="Segoe UI"/>
          <w:sz w:val="22"/>
          <w:szCs w:val="22"/>
          <w:lang w:val="en-GB"/>
        </w:rPr>
        <w:t xml:space="preserve"> has given us external assurance that our on-going work to improve the quality of care for all of our patients is on the right path and we will continue our efforts to make this even better in future.</w:t>
      </w:r>
    </w:p>
    <w:p w:rsidR="00685CF5" w:rsidRPr="00685CF5" w:rsidRDefault="00685CF5" w:rsidP="00685CF5">
      <w:pPr>
        <w:jc w:val="both"/>
        <w:rPr>
          <w:rFonts w:ascii="Segoe UI" w:hAnsi="Segoe UI" w:cs="Segoe UI"/>
          <w:sz w:val="22"/>
          <w:szCs w:val="22"/>
          <w:lang w:val="en-GB"/>
        </w:rPr>
      </w:pPr>
    </w:p>
    <w:p w:rsidR="00685CF5" w:rsidRPr="00685CF5" w:rsidRDefault="00685CF5" w:rsidP="00685CF5">
      <w:pPr>
        <w:jc w:val="both"/>
        <w:rPr>
          <w:rFonts w:ascii="Segoe UI" w:hAnsi="Segoe UI" w:cs="Segoe UI"/>
          <w:sz w:val="22"/>
          <w:szCs w:val="22"/>
          <w:lang w:val="en-GB"/>
        </w:rPr>
      </w:pPr>
      <w:r w:rsidRPr="00685CF5">
        <w:rPr>
          <w:rFonts w:ascii="Segoe UI" w:hAnsi="Segoe UI" w:cs="Segoe UI"/>
          <w:sz w:val="22"/>
          <w:szCs w:val="22"/>
          <w:lang w:val="en-GB"/>
        </w:rPr>
        <w:lastRenderedPageBreak/>
        <w:t xml:space="preserve">The recent re-inspection in June looked at our Adult Mental Health Teams, adult acute mental health wards and adult rehabilitation mental health ward, all of which improved their rating from ‘Requires Improvement’ to ‘Good’. </w:t>
      </w:r>
    </w:p>
    <w:p w:rsidR="00685CF5" w:rsidRPr="00685CF5" w:rsidRDefault="00685CF5" w:rsidP="00685CF5">
      <w:pPr>
        <w:jc w:val="both"/>
        <w:rPr>
          <w:rFonts w:ascii="Segoe UI" w:hAnsi="Segoe UI" w:cs="Segoe UI"/>
          <w:sz w:val="22"/>
          <w:szCs w:val="22"/>
          <w:lang w:val="en-GB"/>
        </w:rPr>
      </w:pPr>
      <w:r w:rsidRPr="00685CF5">
        <w:rPr>
          <w:rFonts w:ascii="Segoe UI" w:hAnsi="Segoe UI" w:cs="Segoe UI"/>
          <w:sz w:val="22"/>
          <w:szCs w:val="22"/>
          <w:lang w:val="en-GB"/>
        </w:rPr>
        <w:t> </w:t>
      </w:r>
    </w:p>
    <w:p w:rsidR="000A317C" w:rsidRPr="000A317C" w:rsidRDefault="00685CF5" w:rsidP="000A317C">
      <w:pPr>
        <w:jc w:val="both"/>
        <w:rPr>
          <w:rFonts w:ascii="Segoe UI" w:hAnsi="Segoe UI" w:cs="Segoe UI"/>
          <w:b/>
          <w:sz w:val="22"/>
          <w:szCs w:val="22"/>
          <w:lang w:val="en-GB"/>
        </w:rPr>
      </w:pPr>
      <w:r w:rsidRPr="00685CF5">
        <w:rPr>
          <w:rFonts w:ascii="Segoe UI" w:hAnsi="Segoe UI" w:cs="Segoe UI"/>
          <w:sz w:val="22"/>
          <w:szCs w:val="22"/>
          <w:lang w:val="en-GB"/>
        </w:rPr>
        <w:t xml:space="preserve">Of 196 CQC inspections of trusts carried out up to August of this year, 62 have been rated good. That represents 60 inspections of community &amp; mental health trusts, of </w:t>
      </w:r>
      <w:proofErr w:type="gramStart"/>
      <w:r w:rsidRPr="00685CF5">
        <w:rPr>
          <w:rFonts w:ascii="Segoe UI" w:hAnsi="Segoe UI" w:cs="Segoe UI"/>
          <w:sz w:val="22"/>
          <w:szCs w:val="22"/>
          <w:lang w:val="en-GB"/>
        </w:rPr>
        <w:t>whom</w:t>
      </w:r>
      <w:proofErr w:type="gramEnd"/>
      <w:r w:rsidRPr="00685CF5">
        <w:rPr>
          <w:rFonts w:ascii="Segoe UI" w:hAnsi="Segoe UI" w:cs="Segoe UI"/>
          <w:sz w:val="22"/>
          <w:szCs w:val="22"/>
          <w:lang w:val="en-GB"/>
        </w:rPr>
        <w:t xml:space="preserve"> 25 have been rated good.</w:t>
      </w:r>
      <w:r>
        <w:rPr>
          <w:rFonts w:ascii="Segoe UI" w:hAnsi="Segoe UI" w:cs="Segoe UI"/>
          <w:sz w:val="22"/>
          <w:szCs w:val="22"/>
          <w:lang w:val="en-GB"/>
        </w:rPr>
        <w:t xml:space="preserve">  </w:t>
      </w:r>
      <w:r w:rsidRPr="00685CF5">
        <w:rPr>
          <w:rFonts w:ascii="Segoe UI" w:hAnsi="Segoe UI" w:cs="Segoe UI"/>
          <w:sz w:val="22"/>
          <w:szCs w:val="22"/>
          <w:lang w:val="en-GB"/>
        </w:rPr>
        <w:t>We will be marking and celebrating this achievement with staff and patients in a variety of ways in the coming weeks.</w:t>
      </w:r>
      <w:r>
        <w:rPr>
          <w:rFonts w:ascii="Segoe UI" w:hAnsi="Segoe UI" w:cs="Segoe UI"/>
          <w:sz w:val="22"/>
          <w:szCs w:val="22"/>
          <w:lang w:val="en-GB"/>
        </w:rPr>
        <w:t xml:space="preserve">   </w:t>
      </w:r>
    </w:p>
    <w:p w:rsidR="00E36AE0" w:rsidRPr="00BE73D6" w:rsidRDefault="006C2656" w:rsidP="00E36AE0">
      <w:pPr>
        <w:jc w:val="both"/>
        <w:rPr>
          <w:rFonts w:ascii="Segoe UI" w:hAnsi="Segoe UI" w:cs="Segoe UI"/>
          <w:sz w:val="22"/>
          <w:szCs w:val="22"/>
        </w:rPr>
      </w:pPr>
      <w:r w:rsidRPr="00BE73D6">
        <w:rPr>
          <w:rFonts w:ascii="Segoe UI" w:hAnsi="Segoe UI" w:cs="Segoe UI"/>
          <w:sz w:val="22"/>
          <w:szCs w:val="22"/>
        </w:rPr>
        <w:tab/>
      </w:r>
      <w:r w:rsidR="00E36AE0" w:rsidRPr="00BE73D6">
        <w:rPr>
          <w:rFonts w:ascii="Segoe UI" w:hAnsi="Segoe UI" w:cs="Segoe UI"/>
          <w:sz w:val="22"/>
          <w:szCs w:val="22"/>
        </w:rPr>
        <w:t xml:space="preserve">  </w:t>
      </w:r>
    </w:p>
    <w:p w:rsidR="00354470" w:rsidRPr="000018CF" w:rsidRDefault="000A317C" w:rsidP="000A317C">
      <w:pPr>
        <w:pStyle w:val="ListParagraph"/>
        <w:numPr>
          <w:ilvl w:val="0"/>
          <w:numId w:val="20"/>
        </w:numPr>
        <w:spacing w:after="200"/>
        <w:jc w:val="both"/>
        <w:rPr>
          <w:rFonts w:ascii="Segoe UI" w:eastAsia="Calibri" w:hAnsi="Segoe UI" w:cs="Segoe UI"/>
          <w:b/>
          <w:sz w:val="22"/>
          <w:szCs w:val="22"/>
        </w:rPr>
      </w:pPr>
      <w:r w:rsidRPr="000018CF">
        <w:rPr>
          <w:rFonts w:ascii="Segoe UI" w:eastAsia="Calibri" w:hAnsi="Segoe UI" w:cs="Segoe UI"/>
          <w:b/>
          <w:bCs/>
          <w:sz w:val="22"/>
          <w:szCs w:val="22"/>
          <w:lang w:val="en"/>
        </w:rPr>
        <w:t xml:space="preserve">NHS Improvement – </w:t>
      </w:r>
      <w:r w:rsidRPr="000018CF">
        <w:rPr>
          <w:rFonts w:ascii="Segoe UI" w:eastAsia="Calibri" w:hAnsi="Segoe UI" w:cs="Segoe UI"/>
          <w:b/>
          <w:bCs/>
          <w:sz w:val="22"/>
          <w:szCs w:val="22"/>
        </w:rPr>
        <w:t>Annual Plan FY17 submission and financial sustainability.</w:t>
      </w:r>
    </w:p>
    <w:p w:rsidR="000A317C" w:rsidRPr="000018CF" w:rsidRDefault="000A317C" w:rsidP="00685CF5">
      <w:pPr>
        <w:spacing w:after="200"/>
        <w:jc w:val="both"/>
        <w:rPr>
          <w:rFonts w:ascii="Segoe UI" w:eastAsia="Calibri" w:hAnsi="Segoe UI" w:cs="Segoe UI"/>
          <w:sz w:val="22"/>
          <w:szCs w:val="22"/>
        </w:rPr>
      </w:pPr>
      <w:r w:rsidRPr="000018CF">
        <w:rPr>
          <w:rFonts w:ascii="Segoe UI" w:hAnsi="Segoe UI" w:cs="Segoe UI"/>
          <w:sz w:val="22"/>
          <w:szCs w:val="22"/>
        </w:rPr>
        <w:t>The FY17 financial plan, amended to include the allocation of £1.8m from the Sustainable Transformation Fund (</w:t>
      </w:r>
      <w:r w:rsidRPr="000018CF">
        <w:rPr>
          <w:rFonts w:ascii="Segoe UI" w:hAnsi="Segoe UI" w:cs="Segoe UI"/>
          <w:b/>
          <w:sz w:val="22"/>
          <w:szCs w:val="22"/>
        </w:rPr>
        <w:t>STF</w:t>
      </w:r>
      <w:r w:rsidRPr="000018CF">
        <w:rPr>
          <w:rFonts w:ascii="Segoe UI" w:hAnsi="Segoe UI" w:cs="Segoe UI"/>
          <w:sz w:val="22"/>
          <w:szCs w:val="22"/>
        </w:rPr>
        <w:t xml:space="preserve">), has been agreed with NHSI who have issued confirmation of how and on what terms this additional funding allocation will be distributed.  For OHFT, the funding will be paid quarterly in arrears subject to the achievement of the financial plan within the NHSI control total. The current plan includes an estimated agency </w:t>
      </w:r>
      <w:proofErr w:type="gramStart"/>
      <w:r w:rsidRPr="000018CF">
        <w:rPr>
          <w:rFonts w:ascii="Segoe UI" w:hAnsi="Segoe UI" w:cs="Segoe UI"/>
          <w:sz w:val="22"/>
          <w:szCs w:val="22"/>
        </w:rPr>
        <w:t>staff spend</w:t>
      </w:r>
      <w:proofErr w:type="gramEnd"/>
      <w:r w:rsidRPr="000018CF">
        <w:rPr>
          <w:rFonts w:ascii="Segoe UI" w:hAnsi="Segoe UI" w:cs="Segoe UI"/>
          <w:sz w:val="22"/>
          <w:szCs w:val="22"/>
        </w:rPr>
        <w:t xml:space="preserve"> of £11.6m which exceeds the ceiling of £9.1m set by NHSI, although it has been confirmed that this will not be a risk to the receipt of the STF money if we remain within the control total.</w:t>
      </w:r>
    </w:p>
    <w:p w:rsidR="00E36AE0" w:rsidRPr="000A317C" w:rsidRDefault="000A317C" w:rsidP="000018CF">
      <w:pPr>
        <w:spacing w:after="200"/>
        <w:jc w:val="both"/>
      </w:pPr>
      <w:r w:rsidRPr="000018CF">
        <w:rPr>
          <w:rFonts w:ascii="Segoe UI" w:hAnsi="Segoe UI" w:cs="Segoe UI"/>
          <w:sz w:val="22"/>
          <w:szCs w:val="22"/>
        </w:rPr>
        <w:t xml:space="preserve">The focus on reducing agency </w:t>
      </w:r>
      <w:proofErr w:type="gramStart"/>
      <w:r w:rsidRPr="000018CF">
        <w:rPr>
          <w:rFonts w:ascii="Segoe UI" w:hAnsi="Segoe UI" w:cs="Segoe UI"/>
          <w:sz w:val="22"/>
          <w:szCs w:val="22"/>
        </w:rPr>
        <w:t>staff spend</w:t>
      </w:r>
      <w:proofErr w:type="gramEnd"/>
      <w:r w:rsidRPr="000018CF">
        <w:rPr>
          <w:rFonts w:ascii="Segoe UI" w:hAnsi="Segoe UI" w:cs="Segoe UI"/>
          <w:sz w:val="22"/>
          <w:szCs w:val="22"/>
        </w:rPr>
        <w:t xml:space="preserve"> continues with the third wave of the e-rostering system rollout commencing and the recruitment of new staff to the OHFT internal bank. Whilst demand for agency staff remains relatively high, the prices have started to reduce noticeably.</w:t>
      </w:r>
    </w:p>
    <w:p w:rsidR="0055308A" w:rsidRPr="00BE73D6" w:rsidRDefault="0055308A" w:rsidP="000018CF">
      <w:pPr>
        <w:jc w:val="both"/>
        <w:rPr>
          <w:rFonts w:ascii="Segoe UI" w:hAnsi="Segoe UI" w:cs="Segoe UI"/>
          <w:sz w:val="22"/>
          <w:szCs w:val="22"/>
        </w:rPr>
      </w:pPr>
    </w:p>
    <w:p w:rsidR="004F44AB" w:rsidRPr="000A317C" w:rsidRDefault="00283F1C" w:rsidP="000018CF">
      <w:pPr>
        <w:jc w:val="both"/>
        <w:rPr>
          <w:rFonts w:ascii="Segoe UI" w:hAnsi="Segoe UI" w:cs="Segoe UI"/>
          <w:b/>
          <w:sz w:val="22"/>
          <w:szCs w:val="22"/>
        </w:rPr>
      </w:pPr>
      <w:r w:rsidRPr="00BE73D6">
        <w:rPr>
          <w:rFonts w:ascii="Segoe UI" w:hAnsi="Segoe UI" w:cs="Segoe UI"/>
          <w:b/>
          <w:i/>
          <w:sz w:val="22"/>
          <w:szCs w:val="22"/>
        </w:rPr>
        <w:t>Local system-wide initiatives/matters</w:t>
      </w:r>
      <w:r w:rsidR="006C2656" w:rsidRPr="00BE73D6">
        <w:rPr>
          <w:rFonts w:ascii="Segoe UI" w:hAnsi="Segoe UI" w:cs="Segoe UI"/>
          <w:sz w:val="22"/>
          <w:szCs w:val="22"/>
        </w:rPr>
        <w:tab/>
      </w:r>
    </w:p>
    <w:p w:rsidR="00994D21" w:rsidRPr="000018CF" w:rsidRDefault="00994D21" w:rsidP="00354470">
      <w:pPr>
        <w:pStyle w:val="ListParagraph"/>
        <w:numPr>
          <w:ilvl w:val="0"/>
          <w:numId w:val="20"/>
        </w:numPr>
        <w:jc w:val="both"/>
        <w:rPr>
          <w:rFonts w:ascii="Segoe UI" w:hAnsi="Segoe UI" w:cs="Segoe UI"/>
          <w:b/>
          <w:sz w:val="22"/>
          <w:szCs w:val="22"/>
          <w:lang w:val="en-GB"/>
        </w:rPr>
      </w:pPr>
      <w:r w:rsidRPr="000018CF">
        <w:rPr>
          <w:rFonts w:ascii="Segoe UI" w:hAnsi="Segoe UI" w:cs="Segoe UI"/>
          <w:b/>
          <w:sz w:val="22"/>
          <w:szCs w:val="22"/>
          <w:lang w:val="en-GB"/>
        </w:rPr>
        <w:t>Finances YTD</w:t>
      </w:r>
    </w:p>
    <w:p w:rsidR="000B2355" w:rsidRDefault="000B2355" w:rsidP="000B2355">
      <w:pPr>
        <w:jc w:val="both"/>
        <w:rPr>
          <w:rFonts w:ascii="Segoe UI" w:hAnsi="Segoe UI" w:cs="Segoe UI"/>
          <w:b/>
          <w:sz w:val="22"/>
          <w:szCs w:val="22"/>
          <w:lang w:val="en-GB"/>
        </w:rPr>
      </w:pPr>
    </w:p>
    <w:p w:rsidR="000B2355" w:rsidRDefault="000B2355" w:rsidP="000B2355">
      <w:pPr>
        <w:jc w:val="both"/>
        <w:rPr>
          <w:rFonts w:ascii="Segoe UI" w:hAnsi="Segoe UI" w:cs="Segoe UI"/>
          <w:sz w:val="22"/>
          <w:szCs w:val="22"/>
          <w:lang w:val="en-GB"/>
        </w:rPr>
      </w:pPr>
      <w:r>
        <w:rPr>
          <w:rFonts w:ascii="Segoe UI" w:hAnsi="Segoe UI" w:cs="Segoe UI"/>
          <w:sz w:val="22"/>
          <w:szCs w:val="22"/>
          <w:lang w:val="en-GB"/>
        </w:rPr>
        <w:t>The financial performance for the 4 months to July shows a shortfall to plan of £1.2m largely due to  revenue risk in the Oxfordshire CCG contract that is yet to be signed, operational overspends and delayed CIP delivery. All three of these aspects are being worked upon to recover the position as quickly and as much as possible. The contingency reserve remains untouched hence we continue to forecast that the plan will be delivered.</w:t>
      </w:r>
    </w:p>
    <w:p w:rsidR="000018CF" w:rsidRPr="000B2355" w:rsidRDefault="000018CF" w:rsidP="000B2355">
      <w:pPr>
        <w:jc w:val="both"/>
        <w:rPr>
          <w:rFonts w:ascii="Segoe UI" w:hAnsi="Segoe UI" w:cs="Segoe UI"/>
          <w:sz w:val="22"/>
          <w:szCs w:val="22"/>
          <w:lang w:val="en-GB"/>
        </w:rPr>
      </w:pPr>
    </w:p>
    <w:p w:rsidR="000A317C" w:rsidRPr="00354470" w:rsidRDefault="00187BDE" w:rsidP="00354470">
      <w:pPr>
        <w:pStyle w:val="ListParagraph"/>
        <w:numPr>
          <w:ilvl w:val="0"/>
          <w:numId w:val="20"/>
        </w:numPr>
        <w:jc w:val="both"/>
        <w:rPr>
          <w:rFonts w:ascii="Segoe UI" w:hAnsi="Segoe UI" w:cs="Segoe UI"/>
          <w:b/>
          <w:sz w:val="22"/>
          <w:szCs w:val="22"/>
          <w:lang w:val="en-GB"/>
        </w:rPr>
      </w:pPr>
      <w:r w:rsidRPr="00354470">
        <w:rPr>
          <w:rFonts w:ascii="Segoe UI" w:hAnsi="Segoe UI" w:cs="Segoe UI"/>
          <w:b/>
          <w:sz w:val="22"/>
          <w:szCs w:val="22"/>
          <w:lang w:val="en-GB"/>
        </w:rPr>
        <w:t>Contract position</w:t>
      </w:r>
      <w:r w:rsidR="00354470">
        <w:rPr>
          <w:rFonts w:ascii="Segoe UI" w:hAnsi="Segoe UI" w:cs="Segoe UI"/>
          <w:b/>
          <w:sz w:val="22"/>
          <w:szCs w:val="22"/>
          <w:lang w:val="en-GB"/>
        </w:rPr>
        <w:t xml:space="preserve"> </w:t>
      </w:r>
      <w:r w:rsidR="000A317C" w:rsidRPr="00354470">
        <w:rPr>
          <w:rFonts w:ascii="Segoe UI" w:eastAsia="Calibri" w:hAnsi="Segoe UI" w:cs="Segoe UI"/>
          <w:b/>
          <w:bCs/>
          <w:sz w:val="22"/>
          <w:szCs w:val="22"/>
          <w:lang w:val="en-GB"/>
        </w:rPr>
        <w:t>FY17</w:t>
      </w:r>
    </w:p>
    <w:p w:rsidR="00354470" w:rsidRDefault="00354470" w:rsidP="000A317C">
      <w:pPr>
        <w:rPr>
          <w:rFonts w:ascii="Segoe UI" w:eastAsia="Calibri" w:hAnsi="Segoe UI" w:cs="Segoe UI"/>
          <w:bCs/>
          <w:sz w:val="22"/>
          <w:szCs w:val="22"/>
          <w:lang w:val="en-GB"/>
        </w:rPr>
      </w:pPr>
    </w:p>
    <w:p w:rsidR="000B2355" w:rsidRDefault="000B2355" w:rsidP="000A317C">
      <w:pPr>
        <w:rPr>
          <w:rFonts w:ascii="Segoe UI" w:eastAsia="Calibri" w:hAnsi="Segoe UI" w:cs="Segoe UI"/>
          <w:bCs/>
          <w:sz w:val="22"/>
          <w:szCs w:val="22"/>
          <w:lang w:val="en-GB"/>
        </w:rPr>
      </w:pPr>
      <w:r>
        <w:rPr>
          <w:rFonts w:ascii="Segoe UI" w:eastAsia="Calibri" w:hAnsi="Segoe UI" w:cs="Segoe UI"/>
          <w:bCs/>
          <w:sz w:val="22"/>
          <w:szCs w:val="22"/>
          <w:lang w:val="en-GB"/>
        </w:rPr>
        <w:t>Only one contract remains to be signed, that with Oxfordshire CCG.</w:t>
      </w:r>
      <w:r w:rsidR="00EF2875">
        <w:rPr>
          <w:rFonts w:ascii="Segoe UI" w:eastAsia="Calibri" w:hAnsi="Segoe UI" w:cs="Segoe UI"/>
          <w:bCs/>
          <w:sz w:val="22"/>
          <w:szCs w:val="22"/>
          <w:lang w:val="en-GB"/>
        </w:rPr>
        <w:t xml:space="preserve"> An interim agreement, which was extended one month to the end of July, was put in place to allow OCCG, OUH and OH to develop an integrated partnership approach, particularly around the frail&amp; elderly urgent care pathway. Unfortunately, agreement could not be reached on an effective partnership approach and OCCG consequently agreed a contract with OUH for £8m more than was anticipated. With OCCG in a tight financial position we are working to finalise our contract in line with our original financial plan assumptions in September.</w:t>
      </w:r>
    </w:p>
    <w:p w:rsidR="000A317C" w:rsidRPr="00B278B7" w:rsidRDefault="000A317C" w:rsidP="000A317C">
      <w:pPr>
        <w:ind w:left="720"/>
        <w:rPr>
          <w:rFonts w:ascii="Segoe UI" w:eastAsia="Calibri" w:hAnsi="Segoe UI" w:cs="Segoe UI"/>
          <w:bCs/>
          <w:sz w:val="22"/>
          <w:szCs w:val="22"/>
          <w:highlight w:val="yellow"/>
          <w:lang w:val="en-GB"/>
        </w:rPr>
      </w:pPr>
    </w:p>
    <w:p w:rsidR="000A317C" w:rsidRPr="000A317C" w:rsidRDefault="000A317C" w:rsidP="000A317C">
      <w:pPr>
        <w:rPr>
          <w:rFonts w:ascii="Segoe UI" w:eastAsia="Calibri" w:hAnsi="Segoe UI" w:cs="Segoe UI"/>
          <w:bCs/>
          <w:sz w:val="22"/>
          <w:szCs w:val="22"/>
          <w:lang w:val="en-GB"/>
        </w:rPr>
      </w:pPr>
      <w:proofErr w:type="gramStart"/>
      <w:r w:rsidRPr="00CC7542">
        <w:rPr>
          <w:rFonts w:ascii="Segoe UI" w:eastAsia="Calibri" w:hAnsi="Segoe UI" w:cs="Segoe UI"/>
          <w:bCs/>
          <w:sz w:val="22"/>
          <w:szCs w:val="22"/>
          <w:lang w:val="en-GB"/>
        </w:rPr>
        <w:t>from</w:t>
      </w:r>
      <w:proofErr w:type="gramEnd"/>
      <w:r w:rsidRPr="00CC7542">
        <w:rPr>
          <w:rFonts w:ascii="Segoe UI" w:eastAsia="Calibri" w:hAnsi="Segoe UI" w:cs="Segoe UI"/>
          <w:bCs/>
          <w:sz w:val="22"/>
          <w:szCs w:val="22"/>
          <w:lang w:val="en-GB"/>
        </w:rPr>
        <w:t xml:space="preserve"> 2017/18 onwards it is essential that primary care is fully involved, and discussions with Oxfordshire GP Federations in the City and the north and west have progressed to the point where some formal partnership options can be explored in more detail. This important, not least because the CCG has indicated that it wishes to consider options concerning the long term direction for the </w:t>
      </w:r>
      <w:r w:rsidRPr="00CC7542">
        <w:rPr>
          <w:rFonts w:ascii="Segoe UI" w:eastAsia="Calibri" w:hAnsi="Segoe UI" w:cs="Segoe UI"/>
          <w:bCs/>
          <w:sz w:val="22"/>
          <w:szCs w:val="22"/>
          <w:lang w:val="en-GB"/>
        </w:rPr>
        <w:lastRenderedPageBreak/>
        <w:t xml:space="preserve">delivery of this important element of the transformational change in Oxfordshire, which will be particularly </w:t>
      </w:r>
      <w:proofErr w:type="gramStart"/>
      <w:r w:rsidRPr="00CC7542">
        <w:rPr>
          <w:rFonts w:ascii="Segoe UI" w:eastAsia="Calibri" w:hAnsi="Segoe UI" w:cs="Segoe UI"/>
          <w:bCs/>
          <w:sz w:val="22"/>
          <w:szCs w:val="22"/>
          <w:lang w:val="en-GB"/>
        </w:rPr>
        <w:t>key</w:t>
      </w:r>
      <w:proofErr w:type="gramEnd"/>
      <w:r w:rsidRPr="00CC7542">
        <w:rPr>
          <w:rFonts w:ascii="Segoe UI" w:eastAsia="Calibri" w:hAnsi="Segoe UI" w:cs="Segoe UI"/>
          <w:bCs/>
          <w:sz w:val="22"/>
          <w:szCs w:val="22"/>
          <w:lang w:val="en-GB"/>
        </w:rPr>
        <w:t xml:space="preserve"> if consensus on arrangements for 2016/17 is not obtained.</w:t>
      </w:r>
    </w:p>
    <w:p w:rsidR="00BB141C" w:rsidRPr="00BE73D6" w:rsidRDefault="00BB141C" w:rsidP="006C2656">
      <w:pPr>
        <w:jc w:val="both"/>
        <w:rPr>
          <w:rFonts w:ascii="Segoe UI" w:hAnsi="Segoe UI" w:cs="Segoe UI"/>
          <w:b/>
          <w:sz w:val="22"/>
          <w:szCs w:val="22"/>
        </w:rPr>
      </w:pPr>
    </w:p>
    <w:p w:rsidR="00BB141C" w:rsidRDefault="001773D8" w:rsidP="00AF2F17">
      <w:pPr>
        <w:pStyle w:val="ListParagraph"/>
        <w:numPr>
          <w:ilvl w:val="0"/>
          <w:numId w:val="20"/>
        </w:numPr>
        <w:jc w:val="both"/>
        <w:rPr>
          <w:rFonts w:ascii="Segoe UI" w:hAnsi="Segoe UI" w:cs="Segoe UI"/>
          <w:b/>
          <w:bCs/>
          <w:sz w:val="22"/>
          <w:szCs w:val="22"/>
          <w:lang w:val="en-GB"/>
        </w:rPr>
      </w:pPr>
      <w:r w:rsidRPr="00BB141C">
        <w:rPr>
          <w:rFonts w:ascii="Segoe UI" w:hAnsi="Segoe UI" w:cs="Segoe UI"/>
          <w:b/>
          <w:bCs/>
          <w:sz w:val="22"/>
          <w:szCs w:val="22"/>
          <w:lang w:val="en-GB"/>
        </w:rPr>
        <w:t>Southern Health NHS Foundation Trust</w:t>
      </w:r>
      <w:r w:rsidR="00BF75E0">
        <w:rPr>
          <w:rFonts w:ascii="Segoe UI" w:hAnsi="Segoe UI" w:cs="Segoe UI"/>
          <w:b/>
          <w:bCs/>
          <w:sz w:val="22"/>
          <w:szCs w:val="22"/>
          <w:lang w:val="en-GB"/>
        </w:rPr>
        <w:t xml:space="preserve"> – Learning Disability services</w:t>
      </w:r>
    </w:p>
    <w:p w:rsidR="00AF2F17" w:rsidRPr="00AF2F17" w:rsidRDefault="00AF2F17" w:rsidP="00AF2F17">
      <w:pPr>
        <w:pStyle w:val="ListParagraph"/>
        <w:jc w:val="both"/>
        <w:rPr>
          <w:rFonts w:ascii="Segoe UI" w:hAnsi="Segoe UI" w:cs="Segoe UI"/>
          <w:b/>
          <w:bCs/>
          <w:sz w:val="22"/>
          <w:szCs w:val="22"/>
          <w:lang w:val="en-GB"/>
        </w:rPr>
      </w:pPr>
    </w:p>
    <w:p w:rsidR="00BB141C" w:rsidRPr="00274305" w:rsidRDefault="00BB141C" w:rsidP="00BB141C">
      <w:pPr>
        <w:spacing w:after="200"/>
        <w:jc w:val="both"/>
        <w:rPr>
          <w:rFonts w:ascii="Segoe UI" w:eastAsia="Calibri" w:hAnsi="Segoe UI" w:cs="Segoe UI"/>
          <w:bCs/>
          <w:sz w:val="22"/>
          <w:szCs w:val="22"/>
        </w:rPr>
      </w:pPr>
      <w:r w:rsidRPr="00274305">
        <w:rPr>
          <w:rFonts w:ascii="Segoe UI" w:eastAsia="Calibri" w:hAnsi="Segoe UI" w:cs="Segoe UI"/>
          <w:bCs/>
          <w:sz w:val="22"/>
          <w:szCs w:val="22"/>
        </w:rPr>
        <w:t xml:space="preserve">We are currently working in partnership with Southern Health and other key stakeholders to increase our </w:t>
      </w:r>
      <w:r>
        <w:rPr>
          <w:rFonts w:ascii="Segoe UI" w:eastAsia="Calibri" w:hAnsi="Segoe UI" w:cs="Segoe UI"/>
          <w:bCs/>
          <w:sz w:val="22"/>
          <w:szCs w:val="22"/>
        </w:rPr>
        <w:t xml:space="preserve">in depth </w:t>
      </w:r>
      <w:r w:rsidRPr="00274305">
        <w:rPr>
          <w:rFonts w:ascii="Segoe UI" w:eastAsia="Calibri" w:hAnsi="Segoe UI" w:cs="Segoe UI"/>
          <w:bCs/>
          <w:sz w:val="22"/>
          <w:szCs w:val="22"/>
        </w:rPr>
        <w:t xml:space="preserve">understanding of the services offered by Southern Health to people with a learning disability and their families in Oxford. </w:t>
      </w:r>
    </w:p>
    <w:p w:rsidR="00BB141C" w:rsidRPr="00BE73D6" w:rsidRDefault="00BB141C" w:rsidP="000018CF">
      <w:pPr>
        <w:spacing w:after="200"/>
        <w:jc w:val="both"/>
        <w:rPr>
          <w:rFonts w:ascii="Segoe UI" w:hAnsi="Segoe UI" w:cs="Segoe UI"/>
          <w:b/>
          <w:bCs/>
          <w:sz w:val="22"/>
          <w:szCs w:val="22"/>
          <w:lang w:val="en-GB"/>
        </w:rPr>
      </w:pPr>
      <w:r w:rsidRPr="00274305">
        <w:rPr>
          <w:rFonts w:ascii="Segoe UI" w:eastAsia="Calibri" w:hAnsi="Segoe UI" w:cs="Segoe UI"/>
          <w:bCs/>
          <w:sz w:val="22"/>
          <w:szCs w:val="22"/>
        </w:rPr>
        <w:t xml:space="preserve">This is an extensive piece of detailed work which will guide our decision making with regard to </w:t>
      </w:r>
      <w:r>
        <w:rPr>
          <w:rFonts w:ascii="Segoe UI" w:eastAsia="Calibri" w:hAnsi="Segoe UI" w:cs="Segoe UI"/>
          <w:bCs/>
          <w:sz w:val="22"/>
          <w:szCs w:val="22"/>
        </w:rPr>
        <w:t xml:space="preserve">the potential for </w:t>
      </w:r>
      <w:r w:rsidRPr="00274305">
        <w:rPr>
          <w:rFonts w:ascii="Segoe UI" w:eastAsia="Calibri" w:hAnsi="Segoe UI" w:cs="Segoe UI"/>
          <w:bCs/>
          <w:sz w:val="22"/>
          <w:szCs w:val="22"/>
        </w:rPr>
        <w:t>transitioning these services into Oxford Health.</w:t>
      </w:r>
      <w:r>
        <w:rPr>
          <w:rFonts w:ascii="Segoe UI" w:eastAsia="Calibri" w:hAnsi="Segoe UI" w:cs="Segoe UI"/>
          <w:bCs/>
          <w:sz w:val="22"/>
          <w:szCs w:val="22"/>
        </w:rPr>
        <w:t xml:space="preserve">  A detailed decision timeline is being </w:t>
      </w:r>
      <w:proofErr w:type="spellStart"/>
      <w:r>
        <w:rPr>
          <w:rFonts w:ascii="Segoe UI" w:eastAsia="Calibri" w:hAnsi="Segoe UI" w:cs="Segoe UI"/>
          <w:bCs/>
          <w:sz w:val="22"/>
          <w:szCs w:val="22"/>
        </w:rPr>
        <w:t>finalised</w:t>
      </w:r>
      <w:proofErr w:type="spellEnd"/>
      <w:r>
        <w:rPr>
          <w:rFonts w:ascii="Segoe UI" w:eastAsia="Calibri" w:hAnsi="Segoe UI" w:cs="Segoe UI"/>
          <w:bCs/>
          <w:sz w:val="22"/>
          <w:szCs w:val="22"/>
        </w:rPr>
        <w:t xml:space="preserve"> and </w:t>
      </w:r>
      <w:r w:rsidR="00BF75E0">
        <w:rPr>
          <w:rFonts w:ascii="Segoe UI" w:eastAsia="Calibri" w:hAnsi="Segoe UI" w:cs="Segoe UI"/>
          <w:bCs/>
          <w:sz w:val="22"/>
          <w:szCs w:val="22"/>
        </w:rPr>
        <w:t>a separate paper is on the agenda</w:t>
      </w:r>
      <w:r w:rsidR="00CC7542">
        <w:rPr>
          <w:rFonts w:ascii="Segoe UI" w:eastAsia="Calibri" w:hAnsi="Segoe UI" w:cs="Segoe UI"/>
          <w:bCs/>
          <w:sz w:val="22"/>
          <w:szCs w:val="22"/>
        </w:rPr>
        <w:t xml:space="preserve"> for the Council of Governors’ meeting</w:t>
      </w:r>
      <w:r w:rsidR="00B278B7">
        <w:rPr>
          <w:rFonts w:ascii="Segoe UI" w:eastAsia="Calibri" w:hAnsi="Segoe UI" w:cs="Segoe UI"/>
          <w:bCs/>
          <w:sz w:val="22"/>
          <w:szCs w:val="22"/>
        </w:rPr>
        <w:t>.</w:t>
      </w:r>
    </w:p>
    <w:p w:rsidR="001773D8" w:rsidRPr="00BE73D6" w:rsidRDefault="001773D8" w:rsidP="000018CF">
      <w:pPr>
        <w:jc w:val="both"/>
        <w:rPr>
          <w:rFonts w:ascii="Segoe UI" w:hAnsi="Segoe UI" w:cs="Segoe UI"/>
          <w:b/>
          <w:bCs/>
          <w:sz w:val="22"/>
          <w:szCs w:val="22"/>
          <w:lang w:val="en"/>
        </w:rPr>
      </w:pPr>
      <w:r w:rsidRPr="00BE73D6">
        <w:rPr>
          <w:rFonts w:ascii="Segoe UI" w:hAnsi="Segoe UI" w:cs="Segoe UI"/>
          <w:b/>
          <w:bCs/>
          <w:sz w:val="22"/>
          <w:szCs w:val="22"/>
          <w:lang w:val="en"/>
        </w:rPr>
        <w:t xml:space="preserve"> </w:t>
      </w:r>
    </w:p>
    <w:p w:rsidR="001773D8" w:rsidRDefault="001773D8" w:rsidP="000018CF">
      <w:pPr>
        <w:pStyle w:val="ListParagraph"/>
        <w:numPr>
          <w:ilvl w:val="0"/>
          <w:numId w:val="20"/>
        </w:numPr>
        <w:jc w:val="both"/>
        <w:rPr>
          <w:rFonts w:ascii="Segoe UI" w:hAnsi="Segoe UI" w:cs="Segoe UI"/>
          <w:b/>
          <w:bCs/>
          <w:sz w:val="22"/>
          <w:szCs w:val="22"/>
          <w:lang w:val="en"/>
        </w:rPr>
      </w:pPr>
      <w:r w:rsidRPr="00AF2F17">
        <w:rPr>
          <w:rFonts w:ascii="Segoe UI" w:hAnsi="Segoe UI" w:cs="Segoe UI"/>
          <w:b/>
          <w:bCs/>
          <w:sz w:val="22"/>
          <w:szCs w:val="22"/>
          <w:lang w:val="en"/>
        </w:rPr>
        <w:t>Sustainability and Transformation Plans (STPs)</w:t>
      </w:r>
    </w:p>
    <w:p w:rsidR="000018CF" w:rsidRPr="00AF2F17" w:rsidRDefault="000018CF" w:rsidP="000018CF">
      <w:pPr>
        <w:pStyle w:val="ListParagraph"/>
        <w:jc w:val="both"/>
        <w:rPr>
          <w:rFonts w:ascii="Segoe UI" w:hAnsi="Segoe UI" w:cs="Segoe UI"/>
          <w:b/>
          <w:bCs/>
          <w:sz w:val="22"/>
          <w:szCs w:val="22"/>
          <w:lang w:val="en"/>
        </w:rPr>
      </w:pPr>
    </w:p>
    <w:p w:rsidR="00BB141C" w:rsidRDefault="00BB141C" w:rsidP="000018CF">
      <w:pPr>
        <w:spacing w:after="200"/>
        <w:jc w:val="both"/>
        <w:rPr>
          <w:rFonts w:ascii="Segoe UI" w:eastAsia="Calibri" w:hAnsi="Segoe UI" w:cs="Segoe UI"/>
          <w:bCs/>
          <w:sz w:val="22"/>
          <w:szCs w:val="22"/>
        </w:rPr>
      </w:pPr>
      <w:r w:rsidRPr="00626CF8">
        <w:rPr>
          <w:rFonts w:ascii="Segoe UI" w:eastAsia="Calibri" w:hAnsi="Segoe UI" w:cs="Segoe UI"/>
          <w:bCs/>
          <w:sz w:val="22"/>
          <w:szCs w:val="22"/>
        </w:rPr>
        <w:t xml:space="preserve">The June STP submission </w:t>
      </w:r>
      <w:r>
        <w:rPr>
          <w:rFonts w:ascii="Segoe UI" w:eastAsia="Calibri" w:hAnsi="Segoe UI" w:cs="Segoe UI"/>
          <w:bCs/>
          <w:sz w:val="22"/>
          <w:szCs w:val="22"/>
        </w:rPr>
        <w:t>was made on 30</w:t>
      </w:r>
      <w:r w:rsidRPr="00ED1864">
        <w:rPr>
          <w:rFonts w:ascii="Segoe UI" w:eastAsia="Calibri" w:hAnsi="Segoe UI" w:cs="Segoe UI"/>
          <w:bCs/>
          <w:sz w:val="22"/>
          <w:szCs w:val="22"/>
          <w:vertAlign w:val="superscript"/>
        </w:rPr>
        <w:t>th</w:t>
      </w:r>
      <w:r>
        <w:rPr>
          <w:rFonts w:ascii="Segoe UI" w:eastAsia="Calibri" w:hAnsi="Segoe UI" w:cs="Segoe UI"/>
          <w:bCs/>
          <w:sz w:val="22"/>
          <w:szCs w:val="22"/>
        </w:rPr>
        <w:t xml:space="preserve"> June </w:t>
      </w:r>
      <w:r w:rsidRPr="00626CF8">
        <w:rPr>
          <w:rFonts w:ascii="Segoe UI" w:eastAsia="Calibri" w:hAnsi="Segoe UI" w:cs="Segoe UI"/>
          <w:bCs/>
          <w:sz w:val="22"/>
          <w:szCs w:val="22"/>
        </w:rPr>
        <w:t>as the basis for a further conversation about concrete options, impact and timelines.</w:t>
      </w:r>
    </w:p>
    <w:p w:rsidR="00BB141C" w:rsidRPr="00274305" w:rsidRDefault="00BB141C" w:rsidP="00BB141C">
      <w:pPr>
        <w:spacing w:after="200"/>
        <w:jc w:val="both"/>
        <w:rPr>
          <w:rFonts w:ascii="Segoe UI" w:eastAsia="Calibri" w:hAnsi="Segoe UI" w:cs="Segoe UI"/>
          <w:bCs/>
          <w:sz w:val="22"/>
          <w:szCs w:val="22"/>
        </w:rPr>
      </w:pPr>
      <w:r w:rsidRPr="00274305">
        <w:rPr>
          <w:rFonts w:ascii="Segoe UI" w:eastAsia="Calibri" w:hAnsi="Segoe UI" w:cs="Segoe UI"/>
          <w:bCs/>
          <w:sz w:val="22"/>
          <w:szCs w:val="22"/>
        </w:rPr>
        <w:t>There is still much to do to develop the substance of a pre-consultation business case</w:t>
      </w:r>
      <w:r>
        <w:rPr>
          <w:rFonts w:ascii="Segoe UI" w:eastAsia="Calibri" w:hAnsi="Segoe UI" w:cs="Segoe UI"/>
          <w:bCs/>
          <w:sz w:val="22"/>
          <w:szCs w:val="22"/>
        </w:rPr>
        <w:t xml:space="preserve"> for the Oxfordshire transformation </w:t>
      </w:r>
      <w:proofErr w:type="spellStart"/>
      <w:r>
        <w:rPr>
          <w:rFonts w:ascii="Segoe UI" w:eastAsia="Calibri" w:hAnsi="Segoe UI" w:cs="Segoe UI"/>
          <w:bCs/>
          <w:sz w:val="22"/>
          <w:szCs w:val="22"/>
        </w:rPr>
        <w:t>programme</w:t>
      </w:r>
      <w:proofErr w:type="spellEnd"/>
      <w:r>
        <w:rPr>
          <w:rFonts w:ascii="Segoe UI" w:eastAsia="Calibri" w:hAnsi="Segoe UI" w:cs="Segoe UI"/>
          <w:bCs/>
          <w:sz w:val="22"/>
          <w:szCs w:val="22"/>
        </w:rPr>
        <w:t>, which is a substantial building block of the STP</w:t>
      </w:r>
      <w:r w:rsidRPr="00274305">
        <w:rPr>
          <w:rFonts w:ascii="Segoe UI" w:eastAsia="Calibri" w:hAnsi="Segoe UI" w:cs="Segoe UI"/>
          <w:bCs/>
          <w:sz w:val="22"/>
          <w:szCs w:val="22"/>
        </w:rPr>
        <w:t xml:space="preserve">, in particular around analysis of the emerging models to ensure the options put forward are clinically sustainable, operationally deliverable and financially viable and most specifically in relation to the Urgent &amp; Emergency care, specialist/planned care/diagnostic and primary care </w:t>
      </w:r>
      <w:proofErr w:type="spellStart"/>
      <w:r w:rsidRPr="00274305">
        <w:rPr>
          <w:rFonts w:ascii="Segoe UI" w:eastAsia="Calibri" w:hAnsi="Segoe UI" w:cs="Segoe UI"/>
          <w:bCs/>
          <w:sz w:val="22"/>
          <w:szCs w:val="22"/>
        </w:rPr>
        <w:t>workstreams</w:t>
      </w:r>
      <w:proofErr w:type="spellEnd"/>
      <w:r w:rsidRPr="00274305">
        <w:rPr>
          <w:rFonts w:ascii="Segoe UI" w:eastAsia="Calibri" w:hAnsi="Segoe UI" w:cs="Segoe UI"/>
          <w:bCs/>
          <w:sz w:val="22"/>
          <w:szCs w:val="22"/>
        </w:rPr>
        <w:t xml:space="preserve">. Once </w:t>
      </w:r>
      <w:proofErr w:type="spellStart"/>
      <w:r w:rsidRPr="00274305">
        <w:rPr>
          <w:rFonts w:ascii="Segoe UI" w:eastAsia="Calibri" w:hAnsi="Segoe UI" w:cs="Segoe UI"/>
          <w:bCs/>
          <w:sz w:val="22"/>
          <w:szCs w:val="22"/>
        </w:rPr>
        <w:t>finalised</w:t>
      </w:r>
      <w:proofErr w:type="spellEnd"/>
      <w:r w:rsidRPr="00274305">
        <w:rPr>
          <w:rFonts w:ascii="Segoe UI" w:eastAsia="Calibri" w:hAnsi="Segoe UI" w:cs="Segoe UI"/>
          <w:bCs/>
          <w:sz w:val="22"/>
          <w:szCs w:val="22"/>
        </w:rPr>
        <w:t>, this business case will be an important document for the Trust, and following the outcome of consultation, will set the strategic priorities for the next few years, so it is in our interests to make sure that the shape of it is right, and as such, we are contributing to it as actively as we can as it develops over the next few weeks.</w:t>
      </w:r>
    </w:p>
    <w:p w:rsidR="00BB141C" w:rsidRPr="00BE73D6" w:rsidRDefault="00BB141C" w:rsidP="001773D8">
      <w:pPr>
        <w:jc w:val="both"/>
        <w:rPr>
          <w:rFonts w:ascii="Segoe UI" w:hAnsi="Segoe UI" w:cs="Segoe UI"/>
          <w:b/>
          <w:bCs/>
          <w:sz w:val="22"/>
          <w:szCs w:val="22"/>
          <w:lang w:val="en"/>
        </w:rPr>
      </w:pPr>
    </w:p>
    <w:p w:rsidR="00CC7542" w:rsidRPr="00CC7542" w:rsidRDefault="009962DC" w:rsidP="00354470">
      <w:pPr>
        <w:pStyle w:val="ListParagraph"/>
        <w:numPr>
          <w:ilvl w:val="0"/>
          <w:numId w:val="20"/>
        </w:numPr>
        <w:spacing w:after="200"/>
        <w:jc w:val="both"/>
        <w:rPr>
          <w:rFonts w:ascii="Segoe UI" w:eastAsia="Calibri" w:hAnsi="Segoe UI" w:cs="Segoe UI"/>
          <w:b/>
          <w:sz w:val="22"/>
          <w:szCs w:val="22"/>
          <w:lang w:val="en-GB"/>
        </w:rPr>
      </w:pPr>
      <w:r w:rsidRPr="00CC7542">
        <w:rPr>
          <w:rFonts w:ascii="Segoe UI" w:hAnsi="Segoe UI" w:cs="Segoe UI"/>
          <w:b/>
          <w:sz w:val="22"/>
          <w:szCs w:val="22"/>
        </w:rPr>
        <w:t>Electronic Health Record</w:t>
      </w:r>
      <w:r w:rsidR="00994D21" w:rsidRPr="00CC7542">
        <w:rPr>
          <w:rFonts w:ascii="Segoe UI" w:hAnsi="Segoe UI" w:cs="Segoe UI"/>
          <w:b/>
          <w:sz w:val="22"/>
          <w:szCs w:val="22"/>
        </w:rPr>
        <w:t xml:space="preserve">  </w:t>
      </w:r>
    </w:p>
    <w:p w:rsidR="00BB141C" w:rsidRPr="00CC7542" w:rsidRDefault="00354470" w:rsidP="00CC7542">
      <w:pPr>
        <w:spacing w:after="200"/>
        <w:jc w:val="both"/>
        <w:rPr>
          <w:rFonts w:ascii="Segoe UI" w:eastAsia="Calibri" w:hAnsi="Segoe UI" w:cs="Segoe UI"/>
          <w:sz w:val="22"/>
          <w:szCs w:val="22"/>
          <w:lang w:val="en-GB"/>
        </w:rPr>
      </w:pPr>
      <w:r w:rsidRPr="00CC7542">
        <w:rPr>
          <w:rFonts w:ascii="Segoe UI" w:eastAsia="Calibri" w:hAnsi="Segoe UI" w:cs="Segoe UI"/>
          <w:sz w:val="22"/>
          <w:szCs w:val="22"/>
          <w:lang w:val="en-GB"/>
        </w:rPr>
        <w:t xml:space="preserve">A further significant upgrade of </w:t>
      </w:r>
      <w:proofErr w:type="spellStart"/>
      <w:r w:rsidRPr="00CC7542">
        <w:rPr>
          <w:rFonts w:ascii="Segoe UI" w:eastAsia="Calibri" w:hAnsi="Segoe UI" w:cs="Segoe UI"/>
          <w:sz w:val="22"/>
          <w:szCs w:val="22"/>
          <w:lang w:val="en-GB"/>
        </w:rPr>
        <w:t>Carenotes</w:t>
      </w:r>
      <w:proofErr w:type="spellEnd"/>
      <w:r w:rsidRPr="00CC7542">
        <w:rPr>
          <w:rFonts w:ascii="Segoe UI" w:eastAsia="Calibri" w:hAnsi="Segoe UI" w:cs="Segoe UI"/>
          <w:sz w:val="22"/>
          <w:szCs w:val="22"/>
          <w:lang w:val="en-GB"/>
        </w:rPr>
        <w:t xml:space="preserve"> has been completed.  This now means that both versions of </w:t>
      </w:r>
      <w:proofErr w:type="spellStart"/>
      <w:r w:rsidRPr="00CC7542">
        <w:rPr>
          <w:rFonts w:ascii="Segoe UI" w:eastAsia="Calibri" w:hAnsi="Segoe UI" w:cs="Segoe UI"/>
          <w:sz w:val="22"/>
          <w:szCs w:val="22"/>
          <w:lang w:val="en-GB"/>
        </w:rPr>
        <w:t>Carenotes</w:t>
      </w:r>
      <w:proofErr w:type="spellEnd"/>
      <w:r w:rsidRPr="00CC7542">
        <w:rPr>
          <w:rFonts w:ascii="Segoe UI" w:eastAsia="Calibri" w:hAnsi="Segoe UI" w:cs="Segoe UI"/>
          <w:sz w:val="22"/>
          <w:szCs w:val="22"/>
          <w:lang w:val="en-GB"/>
        </w:rPr>
        <w:t xml:space="preserve"> in use by the Trust are the latest release of the product.  Work continues with the system supplier to improve overall performance.  Based on new insights about system functionality changes have been introduced to improve the usability of some existing features in </w:t>
      </w:r>
      <w:proofErr w:type="spellStart"/>
      <w:r w:rsidRPr="00CC7542">
        <w:rPr>
          <w:rFonts w:ascii="Segoe UI" w:eastAsia="Calibri" w:hAnsi="Segoe UI" w:cs="Segoe UI"/>
          <w:sz w:val="22"/>
          <w:szCs w:val="22"/>
          <w:lang w:val="en-GB"/>
        </w:rPr>
        <w:t>Carenotes</w:t>
      </w:r>
      <w:proofErr w:type="spellEnd"/>
      <w:r w:rsidRPr="00CC7542">
        <w:rPr>
          <w:rFonts w:ascii="Segoe UI" w:eastAsia="Calibri" w:hAnsi="Segoe UI" w:cs="Segoe UI"/>
          <w:sz w:val="22"/>
          <w:szCs w:val="22"/>
          <w:lang w:val="en-GB"/>
        </w:rPr>
        <w:t xml:space="preserve">.  The Trust has met with the system supplier’s senior management team to agree the steps necessary to confirm the roadmap for </w:t>
      </w:r>
      <w:proofErr w:type="spellStart"/>
      <w:r w:rsidRPr="00CC7542">
        <w:rPr>
          <w:rFonts w:ascii="Segoe UI" w:eastAsia="Calibri" w:hAnsi="Segoe UI" w:cs="Segoe UI"/>
          <w:sz w:val="22"/>
          <w:szCs w:val="22"/>
          <w:lang w:val="en-GB"/>
        </w:rPr>
        <w:t>Carenotes</w:t>
      </w:r>
      <w:proofErr w:type="spellEnd"/>
      <w:r w:rsidRPr="00CC7542">
        <w:rPr>
          <w:rFonts w:ascii="Segoe UI" w:eastAsia="Calibri" w:hAnsi="Segoe UI" w:cs="Segoe UI"/>
          <w:sz w:val="22"/>
          <w:szCs w:val="22"/>
          <w:lang w:val="en-GB"/>
        </w:rPr>
        <w:t xml:space="preserve"> over the coming years.</w:t>
      </w:r>
      <w:r w:rsidR="00B278B7" w:rsidRPr="00CC7542">
        <w:rPr>
          <w:rFonts w:ascii="Segoe UI" w:eastAsia="Calibri" w:hAnsi="Segoe UI" w:cs="Segoe UI"/>
          <w:sz w:val="22"/>
          <w:szCs w:val="22"/>
          <w:lang w:val="en-GB"/>
        </w:rPr>
        <w:t xml:space="preserve">  A separate </w:t>
      </w:r>
      <w:r w:rsidR="00BF75E0" w:rsidRPr="00CC7542">
        <w:rPr>
          <w:rFonts w:ascii="Segoe UI" w:eastAsia="Calibri" w:hAnsi="Segoe UI" w:cs="Segoe UI"/>
          <w:sz w:val="22"/>
          <w:szCs w:val="22"/>
          <w:lang w:val="en-GB"/>
        </w:rPr>
        <w:t>paper is included on the agenda</w:t>
      </w:r>
      <w:r w:rsidR="00CC7542" w:rsidRPr="00CC7542">
        <w:rPr>
          <w:rFonts w:ascii="Segoe UI" w:eastAsia="Calibri" w:hAnsi="Segoe UI" w:cs="Segoe UI"/>
          <w:sz w:val="22"/>
          <w:szCs w:val="22"/>
          <w:lang w:val="en-GB"/>
        </w:rPr>
        <w:t xml:space="preserve"> of the Council of Governors’ meeting</w:t>
      </w:r>
      <w:r w:rsidR="00BF75E0" w:rsidRPr="00CC7542">
        <w:rPr>
          <w:rFonts w:ascii="Segoe UI" w:eastAsia="Calibri" w:hAnsi="Segoe UI" w:cs="Segoe UI"/>
          <w:sz w:val="22"/>
          <w:szCs w:val="22"/>
          <w:lang w:val="en-GB"/>
        </w:rPr>
        <w:t>.</w:t>
      </w:r>
    </w:p>
    <w:p w:rsidR="00354470" w:rsidRPr="00AF2F17" w:rsidRDefault="00354470" w:rsidP="00AF2F17">
      <w:pPr>
        <w:pStyle w:val="ListParagraph"/>
        <w:numPr>
          <w:ilvl w:val="0"/>
          <w:numId w:val="20"/>
        </w:numPr>
        <w:spacing w:after="200"/>
        <w:jc w:val="both"/>
        <w:rPr>
          <w:rFonts w:ascii="Segoe UI" w:eastAsia="Calibri" w:hAnsi="Segoe UI" w:cs="Segoe UI"/>
          <w:b/>
          <w:sz w:val="22"/>
          <w:szCs w:val="22"/>
          <w:lang w:val="en-GB"/>
        </w:rPr>
      </w:pPr>
      <w:r w:rsidRPr="00AF2F17">
        <w:rPr>
          <w:rFonts w:ascii="Segoe UI" w:eastAsia="Calibri" w:hAnsi="Segoe UI" w:cs="Segoe UI"/>
          <w:b/>
          <w:sz w:val="22"/>
          <w:szCs w:val="22"/>
          <w:lang w:val="en-GB"/>
        </w:rPr>
        <w:t xml:space="preserve">GP Federations – joint working </w:t>
      </w:r>
    </w:p>
    <w:p w:rsidR="00354470" w:rsidRPr="00354470" w:rsidRDefault="00354470" w:rsidP="00CC7542">
      <w:pPr>
        <w:spacing w:after="200"/>
        <w:jc w:val="both"/>
        <w:rPr>
          <w:rFonts w:ascii="Segoe UI" w:eastAsia="Calibri" w:hAnsi="Segoe UI" w:cs="Segoe UI"/>
          <w:sz w:val="22"/>
          <w:szCs w:val="22"/>
          <w:lang w:val="en-GB"/>
        </w:rPr>
      </w:pPr>
      <w:r w:rsidRPr="00354470">
        <w:rPr>
          <w:rFonts w:ascii="Segoe UI" w:eastAsia="Calibri" w:hAnsi="Segoe UI" w:cs="Segoe UI"/>
          <w:sz w:val="22"/>
          <w:szCs w:val="22"/>
          <w:lang w:val="en-GB"/>
        </w:rPr>
        <w:t xml:space="preserve">Over the next five to ten years, in common with many other cities and counties across England, Oxfordshire’s transformation plans propose that in order for our patients to receive better health outcomes, more care will be delivered by a high quality, responsive, easily accessed primary care led system, and when it is needed specialist care in hospitals will be reliably and consistently excellent and accessible.  </w:t>
      </w:r>
    </w:p>
    <w:p w:rsidR="00354470" w:rsidRPr="00354470" w:rsidRDefault="00354470" w:rsidP="00CC7542">
      <w:pPr>
        <w:spacing w:after="200"/>
        <w:jc w:val="both"/>
        <w:rPr>
          <w:rFonts w:ascii="Segoe UI" w:eastAsia="Calibri" w:hAnsi="Segoe UI" w:cs="Segoe UI"/>
          <w:sz w:val="22"/>
          <w:szCs w:val="22"/>
          <w:lang w:val="en-GB"/>
        </w:rPr>
      </w:pPr>
      <w:r w:rsidRPr="00354470">
        <w:rPr>
          <w:rFonts w:ascii="Segoe UI" w:eastAsia="Calibri" w:hAnsi="Segoe UI" w:cs="Segoe UI"/>
          <w:sz w:val="22"/>
          <w:szCs w:val="22"/>
          <w:lang w:val="en-GB"/>
        </w:rPr>
        <w:t>To that end, we are progressing conversations with Oxford’s GP Federations to establish opportunities for more formal partnerships and collaborations, and other aspects of this agenda will feature as part of wider consultation and engagement activity in the context of the broader transformation themes.</w:t>
      </w:r>
    </w:p>
    <w:p w:rsidR="000018CF" w:rsidRPr="000018CF" w:rsidRDefault="000018CF" w:rsidP="000018CF">
      <w:pPr>
        <w:pStyle w:val="ListParagraph"/>
        <w:numPr>
          <w:ilvl w:val="0"/>
          <w:numId w:val="20"/>
        </w:numPr>
        <w:spacing w:after="200"/>
        <w:jc w:val="both"/>
        <w:rPr>
          <w:rFonts w:ascii="Segoe UI" w:eastAsia="Calibri" w:hAnsi="Segoe UI" w:cs="Segoe UI"/>
          <w:b/>
          <w:bCs/>
          <w:sz w:val="22"/>
          <w:szCs w:val="22"/>
        </w:rPr>
      </w:pPr>
      <w:r w:rsidRPr="000018CF">
        <w:rPr>
          <w:rFonts w:ascii="Segoe UI" w:eastAsia="Calibri" w:hAnsi="Segoe UI" w:cs="Segoe UI"/>
          <w:b/>
          <w:bCs/>
          <w:sz w:val="22"/>
          <w:szCs w:val="22"/>
        </w:rPr>
        <w:t xml:space="preserve">New Models of Care for Tertiary Mental Health Services  </w:t>
      </w:r>
    </w:p>
    <w:p w:rsidR="000018CF" w:rsidRPr="000018CF" w:rsidRDefault="000018CF" w:rsidP="000018CF">
      <w:pPr>
        <w:spacing w:after="200"/>
        <w:jc w:val="both"/>
        <w:rPr>
          <w:rFonts w:ascii="Segoe UI" w:eastAsia="Calibri" w:hAnsi="Segoe UI" w:cs="Segoe UI"/>
          <w:bCs/>
          <w:sz w:val="22"/>
          <w:szCs w:val="22"/>
        </w:rPr>
      </w:pPr>
      <w:r w:rsidRPr="000018CF">
        <w:rPr>
          <w:rFonts w:ascii="Segoe UI" w:eastAsia="Calibri" w:hAnsi="Segoe UI" w:cs="Segoe UI"/>
          <w:bCs/>
          <w:sz w:val="22"/>
          <w:szCs w:val="22"/>
        </w:rPr>
        <w:t xml:space="preserve">We received an invitation from Stephen </w:t>
      </w:r>
      <w:proofErr w:type="spellStart"/>
      <w:r w:rsidRPr="000018CF">
        <w:rPr>
          <w:rFonts w:ascii="Segoe UI" w:eastAsia="Calibri" w:hAnsi="Segoe UI" w:cs="Segoe UI"/>
          <w:bCs/>
          <w:sz w:val="22"/>
          <w:szCs w:val="22"/>
        </w:rPr>
        <w:t>Firn</w:t>
      </w:r>
      <w:proofErr w:type="spellEnd"/>
      <w:r w:rsidRPr="000018CF">
        <w:rPr>
          <w:rFonts w:ascii="Segoe UI" w:eastAsia="Calibri" w:hAnsi="Segoe UI" w:cs="Segoe UI"/>
          <w:bCs/>
          <w:sz w:val="22"/>
          <w:szCs w:val="22"/>
        </w:rPr>
        <w:t xml:space="preserve"> OBE on behalf of NHS England to submit proposals to implement new models of care for low and medium secure adult mental health care and tier 4 CAMHS services, including children’s secure care.  I am pleased to confirm that we were successful in our secure mental health care partnership bid.</w:t>
      </w:r>
    </w:p>
    <w:p w:rsidR="000018CF" w:rsidRPr="00AF2F17" w:rsidRDefault="000018CF" w:rsidP="000018CF">
      <w:pPr>
        <w:spacing w:after="200"/>
        <w:jc w:val="both"/>
        <w:rPr>
          <w:rFonts w:ascii="Segoe UI" w:eastAsia="Calibri" w:hAnsi="Segoe UI" w:cs="Segoe UI"/>
          <w:bCs/>
          <w:sz w:val="22"/>
          <w:szCs w:val="22"/>
        </w:rPr>
      </w:pPr>
      <w:r w:rsidRPr="00AF2F17">
        <w:rPr>
          <w:rFonts w:ascii="Segoe UI" w:eastAsia="Calibri" w:hAnsi="Segoe UI" w:cs="Segoe UI"/>
          <w:bCs/>
          <w:sz w:val="22"/>
          <w:szCs w:val="22"/>
        </w:rPr>
        <w:t>The NHS Planning Guidance 2016/17-2020/21 identified the opportunity for areas to express an interest in ‘</w:t>
      </w:r>
      <w:r w:rsidRPr="00AF2F17">
        <w:rPr>
          <w:rFonts w:ascii="Segoe UI" w:eastAsia="Calibri" w:hAnsi="Segoe UI" w:cs="Segoe UI"/>
          <w:b/>
          <w:bCs/>
          <w:sz w:val="22"/>
          <w:szCs w:val="22"/>
        </w:rPr>
        <w:t>secondary mental health providers managing care budgets for tertiary mental health services</w:t>
      </w:r>
      <w:r w:rsidRPr="00AF2F17">
        <w:rPr>
          <w:rFonts w:ascii="Segoe UI" w:eastAsia="Calibri" w:hAnsi="Segoe UI" w:cs="Segoe UI"/>
          <w:bCs/>
          <w:sz w:val="22"/>
          <w:szCs w:val="22"/>
        </w:rPr>
        <w:t xml:space="preserve">’. The Five Year Forward View for Mental Health set out the rationale for developing new models of care for mental health: </w:t>
      </w:r>
    </w:p>
    <w:p w:rsidR="000018CF" w:rsidRPr="000018CF" w:rsidRDefault="000018CF" w:rsidP="000018CF">
      <w:pPr>
        <w:pStyle w:val="ListParagraph"/>
        <w:numPr>
          <w:ilvl w:val="0"/>
          <w:numId w:val="24"/>
        </w:numPr>
        <w:spacing w:after="200"/>
        <w:jc w:val="both"/>
        <w:rPr>
          <w:rFonts w:ascii="Segoe UI" w:eastAsia="Calibri" w:hAnsi="Segoe UI" w:cs="Segoe UI"/>
          <w:bCs/>
          <w:sz w:val="22"/>
          <w:szCs w:val="22"/>
        </w:rPr>
      </w:pPr>
      <w:r w:rsidRPr="000018CF">
        <w:rPr>
          <w:rFonts w:ascii="Segoe UI" w:eastAsia="Calibri" w:hAnsi="Segoe UI" w:cs="Segoe UI"/>
          <w:bCs/>
          <w:sz w:val="22"/>
          <w:szCs w:val="22"/>
        </w:rPr>
        <w:t xml:space="preserve">Promoting innovation in service commissioning, design and provision that joins up care across in-patient and community pathways (reaching across and beyond the NHS); </w:t>
      </w:r>
    </w:p>
    <w:p w:rsidR="000018CF" w:rsidRPr="000018CF" w:rsidRDefault="000018CF" w:rsidP="000018CF">
      <w:pPr>
        <w:pStyle w:val="ListParagraph"/>
        <w:numPr>
          <w:ilvl w:val="0"/>
          <w:numId w:val="24"/>
        </w:numPr>
        <w:spacing w:after="200"/>
        <w:jc w:val="both"/>
        <w:rPr>
          <w:rFonts w:ascii="Segoe UI" w:eastAsia="Calibri" w:hAnsi="Segoe UI" w:cs="Segoe UI"/>
          <w:bCs/>
          <w:sz w:val="22"/>
          <w:szCs w:val="22"/>
        </w:rPr>
      </w:pPr>
      <w:r w:rsidRPr="000018CF">
        <w:rPr>
          <w:rFonts w:ascii="Segoe UI" w:eastAsia="Calibri" w:hAnsi="Segoe UI" w:cs="Segoe UI"/>
          <w:bCs/>
          <w:sz w:val="22"/>
          <w:szCs w:val="22"/>
        </w:rPr>
        <w:t xml:space="preserve">Making measureable improvements to the outcomes for people of all ages and delivering efficiencies on the basis of good quality data; </w:t>
      </w:r>
    </w:p>
    <w:p w:rsidR="000018CF" w:rsidRPr="000018CF" w:rsidRDefault="000018CF" w:rsidP="000018CF">
      <w:pPr>
        <w:pStyle w:val="ListParagraph"/>
        <w:numPr>
          <w:ilvl w:val="0"/>
          <w:numId w:val="24"/>
        </w:numPr>
        <w:spacing w:after="200"/>
        <w:jc w:val="both"/>
        <w:rPr>
          <w:rFonts w:ascii="Segoe UI" w:eastAsia="Calibri" w:hAnsi="Segoe UI" w:cs="Segoe UI"/>
          <w:bCs/>
          <w:sz w:val="22"/>
          <w:szCs w:val="22"/>
        </w:rPr>
      </w:pPr>
      <w:r w:rsidRPr="000018CF">
        <w:rPr>
          <w:rFonts w:ascii="Segoe UI" w:eastAsia="Calibri" w:hAnsi="Segoe UI" w:cs="Segoe UI"/>
          <w:bCs/>
          <w:sz w:val="22"/>
          <w:szCs w:val="22"/>
        </w:rPr>
        <w:t xml:space="preserve">Eliminating costly and avoidable out of area placements and providing high quality treatment and care, in the least restrictive setting, close to home. </w:t>
      </w:r>
    </w:p>
    <w:p w:rsidR="000018CF" w:rsidRPr="00AF2F17" w:rsidRDefault="000018CF" w:rsidP="000018CF">
      <w:pPr>
        <w:spacing w:after="200"/>
        <w:jc w:val="both"/>
        <w:rPr>
          <w:rFonts w:ascii="Segoe UI" w:eastAsia="Calibri" w:hAnsi="Segoe UI" w:cs="Segoe UI"/>
          <w:bCs/>
          <w:sz w:val="22"/>
          <w:szCs w:val="22"/>
        </w:rPr>
      </w:pPr>
      <w:r w:rsidRPr="00AF2F17">
        <w:rPr>
          <w:rFonts w:ascii="Segoe UI" w:eastAsia="Calibri" w:hAnsi="Segoe UI" w:cs="Segoe UI"/>
          <w:bCs/>
          <w:sz w:val="22"/>
          <w:szCs w:val="22"/>
        </w:rPr>
        <w:t xml:space="preserve">Oxford Health NHS FT (OHFT) led the successful application to develop a new model of care for low and medium secure adult mental health services in Buckinghamshire, Oxfordshire, Berkshire (East and West), Hampshire and Isle of Wight, Dorset and Milton Keynes. The following providers of specialist mental health care will work as a network to coordinate inpatient and community based services to improve the overall value of care provided: </w:t>
      </w:r>
    </w:p>
    <w:p w:rsidR="000018CF" w:rsidRPr="004B73D3" w:rsidRDefault="000018CF" w:rsidP="000018CF">
      <w:pPr>
        <w:pStyle w:val="ListParagraph"/>
        <w:numPr>
          <w:ilvl w:val="0"/>
          <w:numId w:val="23"/>
        </w:numPr>
        <w:ind w:left="1786" w:hanging="357"/>
        <w:contextualSpacing w:val="0"/>
        <w:jc w:val="both"/>
        <w:rPr>
          <w:rFonts w:ascii="Segoe UI" w:eastAsia="Calibri" w:hAnsi="Segoe UI" w:cs="Segoe UI"/>
          <w:bCs/>
          <w:sz w:val="22"/>
          <w:szCs w:val="22"/>
        </w:rPr>
      </w:pPr>
      <w:r w:rsidRPr="004B73D3">
        <w:rPr>
          <w:rFonts w:ascii="Segoe UI" w:eastAsia="Calibri" w:hAnsi="Segoe UI" w:cs="Segoe UI"/>
          <w:bCs/>
          <w:sz w:val="22"/>
          <w:szCs w:val="22"/>
        </w:rPr>
        <w:t>Oxford Health NHS FT</w:t>
      </w:r>
    </w:p>
    <w:p w:rsidR="000018CF" w:rsidRPr="004B73D3" w:rsidRDefault="000018CF" w:rsidP="000018CF">
      <w:pPr>
        <w:pStyle w:val="ListParagraph"/>
        <w:numPr>
          <w:ilvl w:val="0"/>
          <w:numId w:val="23"/>
        </w:numPr>
        <w:ind w:left="1786" w:hanging="357"/>
        <w:contextualSpacing w:val="0"/>
        <w:jc w:val="both"/>
        <w:rPr>
          <w:rFonts w:ascii="Segoe UI" w:eastAsia="Calibri" w:hAnsi="Segoe UI" w:cs="Segoe UI"/>
          <w:bCs/>
          <w:sz w:val="22"/>
          <w:szCs w:val="22"/>
        </w:rPr>
      </w:pPr>
      <w:r w:rsidRPr="004B73D3">
        <w:rPr>
          <w:rFonts w:ascii="Segoe UI" w:eastAsia="Calibri" w:hAnsi="Segoe UI" w:cs="Segoe UI"/>
          <w:bCs/>
          <w:sz w:val="22"/>
          <w:szCs w:val="22"/>
        </w:rPr>
        <w:t>Berkshire Healthcare NHS FT</w:t>
      </w:r>
    </w:p>
    <w:p w:rsidR="000018CF" w:rsidRPr="004B73D3" w:rsidRDefault="000018CF" w:rsidP="000018CF">
      <w:pPr>
        <w:pStyle w:val="ListParagraph"/>
        <w:numPr>
          <w:ilvl w:val="0"/>
          <w:numId w:val="23"/>
        </w:numPr>
        <w:ind w:left="1786" w:hanging="357"/>
        <w:contextualSpacing w:val="0"/>
        <w:jc w:val="both"/>
        <w:rPr>
          <w:rFonts w:ascii="Segoe UI" w:eastAsia="Calibri" w:hAnsi="Segoe UI" w:cs="Segoe UI"/>
          <w:bCs/>
          <w:sz w:val="22"/>
          <w:szCs w:val="22"/>
        </w:rPr>
      </w:pPr>
      <w:r w:rsidRPr="004B73D3">
        <w:rPr>
          <w:rFonts w:ascii="Segoe UI" w:eastAsia="Calibri" w:hAnsi="Segoe UI" w:cs="Segoe UI"/>
          <w:bCs/>
          <w:sz w:val="22"/>
          <w:szCs w:val="22"/>
        </w:rPr>
        <w:t>Southern Health NHS FT</w:t>
      </w:r>
    </w:p>
    <w:p w:rsidR="000018CF" w:rsidRPr="004B73D3" w:rsidRDefault="000018CF" w:rsidP="000018CF">
      <w:pPr>
        <w:pStyle w:val="ListParagraph"/>
        <w:numPr>
          <w:ilvl w:val="0"/>
          <w:numId w:val="23"/>
        </w:numPr>
        <w:ind w:left="1786" w:hanging="357"/>
        <w:contextualSpacing w:val="0"/>
        <w:jc w:val="both"/>
        <w:rPr>
          <w:rFonts w:ascii="Segoe UI" w:eastAsia="Calibri" w:hAnsi="Segoe UI" w:cs="Segoe UI"/>
          <w:bCs/>
          <w:sz w:val="22"/>
          <w:szCs w:val="22"/>
        </w:rPr>
      </w:pPr>
      <w:r w:rsidRPr="004B73D3">
        <w:rPr>
          <w:rFonts w:ascii="Segoe UI" w:eastAsia="Calibri" w:hAnsi="Segoe UI" w:cs="Segoe UI"/>
          <w:bCs/>
          <w:sz w:val="22"/>
          <w:szCs w:val="22"/>
        </w:rPr>
        <w:t>Central and North West London NHS FT</w:t>
      </w:r>
    </w:p>
    <w:p w:rsidR="000018CF" w:rsidRPr="004B73D3" w:rsidRDefault="000018CF" w:rsidP="000018CF">
      <w:pPr>
        <w:pStyle w:val="ListParagraph"/>
        <w:numPr>
          <w:ilvl w:val="0"/>
          <w:numId w:val="23"/>
        </w:numPr>
        <w:ind w:left="1786" w:hanging="357"/>
        <w:contextualSpacing w:val="0"/>
        <w:jc w:val="both"/>
        <w:rPr>
          <w:rFonts w:ascii="Segoe UI" w:eastAsia="Calibri" w:hAnsi="Segoe UI" w:cs="Segoe UI"/>
          <w:bCs/>
          <w:sz w:val="22"/>
          <w:szCs w:val="22"/>
        </w:rPr>
      </w:pPr>
      <w:r w:rsidRPr="004B73D3">
        <w:rPr>
          <w:rFonts w:ascii="Segoe UI" w:eastAsia="Calibri" w:hAnsi="Segoe UI" w:cs="Segoe UI"/>
          <w:bCs/>
          <w:sz w:val="22"/>
          <w:szCs w:val="22"/>
        </w:rPr>
        <w:t>Dorset Healthcare NHS FT</w:t>
      </w:r>
    </w:p>
    <w:p w:rsidR="000018CF" w:rsidRDefault="000018CF" w:rsidP="000018CF">
      <w:pPr>
        <w:pStyle w:val="ListParagraph"/>
        <w:numPr>
          <w:ilvl w:val="0"/>
          <w:numId w:val="23"/>
        </w:numPr>
        <w:ind w:left="1786" w:hanging="357"/>
        <w:contextualSpacing w:val="0"/>
        <w:jc w:val="both"/>
        <w:rPr>
          <w:rFonts w:ascii="Segoe UI" w:eastAsia="Calibri" w:hAnsi="Segoe UI" w:cs="Segoe UI"/>
          <w:bCs/>
          <w:sz w:val="22"/>
          <w:szCs w:val="22"/>
        </w:rPr>
      </w:pPr>
      <w:proofErr w:type="spellStart"/>
      <w:r w:rsidRPr="004B73D3">
        <w:rPr>
          <w:rFonts w:ascii="Segoe UI" w:eastAsia="Calibri" w:hAnsi="Segoe UI" w:cs="Segoe UI"/>
          <w:bCs/>
          <w:sz w:val="22"/>
          <w:szCs w:val="22"/>
        </w:rPr>
        <w:t>Solent</w:t>
      </w:r>
      <w:proofErr w:type="spellEnd"/>
      <w:r w:rsidRPr="004B73D3">
        <w:rPr>
          <w:rFonts w:ascii="Segoe UI" w:eastAsia="Calibri" w:hAnsi="Segoe UI" w:cs="Segoe UI"/>
          <w:bCs/>
          <w:sz w:val="22"/>
          <w:szCs w:val="22"/>
        </w:rPr>
        <w:t xml:space="preserve"> NHS Trust</w:t>
      </w:r>
    </w:p>
    <w:p w:rsidR="000018CF" w:rsidRDefault="000018CF" w:rsidP="000018CF">
      <w:pPr>
        <w:pStyle w:val="ListParagraph"/>
        <w:numPr>
          <w:ilvl w:val="0"/>
          <w:numId w:val="23"/>
        </w:numPr>
        <w:ind w:left="1786" w:hanging="357"/>
        <w:contextualSpacing w:val="0"/>
        <w:jc w:val="both"/>
        <w:rPr>
          <w:rFonts w:ascii="Segoe UI" w:eastAsia="Calibri" w:hAnsi="Segoe UI" w:cs="Segoe UI"/>
          <w:bCs/>
          <w:sz w:val="22"/>
          <w:szCs w:val="22"/>
        </w:rPr>
      </w:pPr>
      <w:r w:rsidRPr="00274305">
        <w:rPr>
          <w:rFonts w:ascii="Segoe UI" w:eastAsia="Calibri" w:hAnsi="Segoe UI" w:cs="Segoe UI"/>
          <w:bCs/>
          <w:sz w:val="22"/>
          <w:szCs w:val="22"/>
        </w:rPr>
        <w:t>Response (voluntary sector provider promoting independent and community living).</w:t>
      </w:r>
    </w:p>
    <w:p w:rsidR="000018CF" w:rsidRPr="00274305" w:rsidRDefault="000018CF" w:rsidP="000018CF">
      <w:pPr>
        <w:pStyle w:val="ListParagraph"/>
        <w:ind w:left="1786"/>
        <w:jc w:val="both"/>
        <w:rPr>
          <w:rFonts w:ascii="Segoe UI" w:eastAsia="Calibri" w:hAnsi="Segoe UI" w:cs="Segoe UI"/>
          <w:bCs/>
          <w:sz w:val="22"/>
          <w:szCs w:val="22"/>
        </w:rPr>
      </w:pPr>
    </w:p>
    <w:p w:rsidR="000018CF" w:rsidRPr="00B278B7" w:rsidRDefault="000018CF" w:rsidP="000018CF">
      <w:pPr>
        <w:jc w:val="both"/>
        <w:rPr>
          <w:rFonts w:ascii="Segoe UI" w:hAnsi="Segoe UI" w:cs="Segoe UI"/>
          <w:sz w:val="22"/>
          <w:szCs w:val="22"/>
        </w:rPr>
      </w:pPr>
      <w:r w:rsidRPr="00B278B7">
        <w:rPr>
          <w:rFonts w:ascii="Segoe UI" w:hAnsi="Segoe UI" w:cs="Segoe UI"/>
          <w:sz w:val="22"/>
          <w:szCs w:val="22"/>
        </w:rPr>
        <w:t>Further discussion will take place with Governors in the private session</w:t>
      </w:r>
      <w:r>
        <w:rPr>
          <w:rFonts w:ascii="Segoe UI" w:hAnsi="Segoe UI" w:cs="Segoe UI"/>
          <w:sz w:val="22"/>
          <w:szCs w:val="22"/>
        </w:rPr>
        <w:t xml:space="preserve"> of September’s meeting</w:t>
      </w:r>
      <w:r w:rsidRPr="00B278B7">
        <w:rPr>
          <w:rFonts w:ascii="Segoe UI" w:hAnsi="Segoe UI" w:cs="Segoe UI"/>
          <w:sz w:val="22"/>
          <w:szCs w:val="22"/>
        </w:rPr>
        <w:t>.</w:t>
      </w:r>
    </w:p>
    <w:p w:rsidR="000018CF" w:rsidRDefault="000018CF" w:rsidP="000018CF">
      <w:pPr>
        <w:pStyle w:val="ListParagraph"/>
        <w:spacing w:after="200"/>
        <w:jc w:val="both"/>
        <w:rPr>
          <w:rFonts w:ascii="Segoe UI" w:eastAsia="Calibri" w:hAnsi="Segoe UI" w:cs="Segoe UI"/>
          <w:b/>
          <w:sz w:val="22"/>
          <w:szCs w:val="22"/>
          <w:lang w:val="en-GB"/>
        </w:rPr>
      </w:pPr>
    </w:p>
    <w:p w:rsidR="00354470" w:rsidRPr="00AF2F17" w:rsidRDefault="00354470" w:rsidP="00AF2F17">
      <w:pPr>
        <w:pStyle w:val="ListParagraph"/>
        <w:numPr>
          <w:ilvl w:val="0"/>
          <w:numId w:val="20"/>
        </w:numPr>
        <w:spacing w:after="200"/>
        <w:jc w:val="both"/>
        <w:rPr>
          <w:rFonts w:ascii="Segoe UI" w:eastAsia="Calibri" w:hAnsi="Segoe UI" w:cs="Segoe UI"/>
          <w:b/>
          <w:sz w:val="22"/>
          <w:szCs w:val="22"/>
          <w:lang w:val="en-GB"/>
        </w:rPr>
      </w:pPr>
      <w:r w:rsidRPr="00AF2F17">
        <w:rPr>
          <w:rFonts w:ascii="Segoe UI" w:eastAsia="Calibri" w:hAnsi="Segoe UI" w:cs="Segoe UI"/>
          <w:b/>
          <w:sz w:val="22"/>
          <w:szCs w:val="22"/>
          <w:lang w:val="en-GB"/>
        </w:rPr>
        <w:t>Collaboration between mental health and community trusts</w:t>
      </w:r>
    </w:p>
    <w:p w:rsidR="00354470" w:rsidRPr="00354470" w:rsidRDefault="00354470" w:rsidP="00CC7542">
      <w:pPr>
        <w:spacing w:after="200"/>
        <w:jc w:val="both"/>
        <w:rPr>
          <w:rFonts w:ascii="Segoe UI" w:eastAsia="Calibri" w:hAnsi="Segoe UI" w:cs="Segoe UI"/>
          <w:sz w:val="22"/>
          <w:szCs w:val="22"/>
          <w:lang w:val="en-GB"/>
        </w:rPr>
      </w:pPr>
      <w:proofErr w:type="gramStart"/>
      <w:r w:rsidRPr="00354470">
        <w:rPr>
          <w:rFonts w:ascii="Segoe UI" w:eastAsia="Calibri" w:hAnsi="Segoe UI" w:cs="Segoe UI"/>
          <w:sz w:val="22"/>
          <w:szCs w:val="22"/>
          <w:lang w:val="en-GB"/>
        </w:rPr>
        <w:t>As part of the very significant changes occurring across the NHS a number of acute hospitals have recently embarked on the establishment of ‘chains’.</w:t>
      </w:r>
      <w:proofErr w:type="gramEnd"/>
      <w:r w:rsidRPr="00354470">
        <w:rPr>
          <w:rFonts w:ascii="Segoe UI" w:eastAsia="Calibri" w:hAnsi="Segoe UI" w:cs="Segoe UI"/>
          <w:sz w:val="22"/>
          <w:szCs w:val="22"/>
          <w:lang w:val="en-GB"/>
        </w:rPr>
        <w:t xml:space="preserve"> The purpose of these arrangements varies, but can include the development of clinical networks, the adoption of common improvement methodologies and standard operating systems, and the sharing of so-called ‘back office functions’. </w:t>
      </w:r>
    </w:p>
    <w:p w:rsidR="00354470" w:rsidRPr="00354470" w:rsidRDefault="00354470" w:rsidP="00354470">
      <w:pPr>
        <w:spacing w:after="200"/>
        <w:jc w:val="both"/>
        <w:rPr>
          <w:rFonts w:ascii="Segoe UI" w:eastAsia="Calibri" w:hAnsi="Segoe UI" w:cs="Segoe UI"/>
          <w:sz w:val="22"/>
          <w:szCs w:val="22"/>
          <w:lang w:val="en-GB"/>
        </w:rPr>
      </w:pPr>
      <w:r w:rsidRPr="00354470">
        <w:rPr>
          <w:rFonts w:ascii="Segoe UI" w:eastAsia="Calibri" w:hAnsi="Segoe UI" w:cs="Segoe UI"/>
          <w:sz w:val="22"/>
          <w:szCs w:val="22"/>
          <w:lang w:val="en-GB"/>
        </w:rPr>
        <w:t>Mental health and community trusts are more used to operating in networks and as systems as a matter of course, and therefore the ‘chain’ model has already to some extent been anticipated. Nevertheless it is an appropriate time to explore what more may be possible, not least because new projects such as the devolution of commissioning for specialist mental health services effectively reinforce this trend, and recent guidance for STPs encourages more collaboration, especially in support functions. The potential for this to realise savings can sometimes be overstated, but it can improve effectiveness and capability, especially when recruitment to key posts is a challenge – as it is increasingly in this area. If Trusts assume more responsibilities for commissioning services, then existing commissioning functions in CCGs, CSUs and NHS England will need to be brought together closer to the clinical services. Combining support services is much more likely to work where they are related to common goals, activities and processes – so ‘shared services’ which serve very disparate clinical activities can often leave some of them in the back room of the back office.</w:t>
      </w:r>
    </w:p>
    <w:p w:rsidR="00354470" w:rsidRDefault="00354470" w:rsidP="00354470">
      <w:pPr>
        <w:jc w:val="both"/>
        <w:rPr>
          <w:rFonts w:ascii="Segoe UI" w:eastAsia="Calibri" w:hAnsi="Segoe UI" w:cs="Segoe UI"/>
          <w:sz w:val="22"/>
          <w:szCs w:val="22"/>
          <w:lang w:val="en-GB"/>
        </w:rPr>
      </w:pPr>
      <w:r w:rsidRPr="00354470">
        <w:rPr>
          <w:rFonts w:ascii="Segoe UI" w:eastAsia="Calibri" w:hAnsi="Segoe UI" w:cs="Segoe UI"/>
          <w:sz w:val="22"/>
          <w:szCs w:val="22"/>
          <w:lang w:val="en-GB"/>
        </w:rPr>
        <w:t xml:space="preserve">With this in mind we have started to identify areas of common interest with other Trusts providing similar service profiles. In particular we have a </w:t>
      </w:r>
      <w:r w:rsidR="00BB141C" w:rsidRPr="00354470">
        <w:rPr>
          <w:rFonts w:ascii="Segoe UI" w:eastAsia="Calibri" w:hAnsi="Segoe UI" w:cs="Segoe UI"/>
          <w:sz w:val="22"/>
          <w:szCs w:val="22"/>
          <w:lang w:val="en-GB"/>
        </w:rPr>
        <w:t>well-established</w:t>
      </w:r>
      <w:r w:rsidRPr="00354470">
        <w:rPr>
          <w:rFonts w:ascii="Segoe UI" w:eastAsia="Calibri" w:hAnsi="Segoe UI" w:cs="Segoe UI"/>
          <w:sz w:val="22"/>
          <w:szCs w:val="22"/>
          <w:lang w:val="en-GB"/>
        </w:rPr>
        <w:t xml:space="preserve"> track record of collaboration with Berkshire Healthcare, in large part through the clinical networks operated by the Oxford AHSN. This has already achieved levels of collaborative service improvement activity which ‘chains’ are only just embarking upon. We intend to list current joint activities and identify future areas for collaboration, and believe that it would be beneficial to formalise that at Board level, drawing on the experience of the Birmingham mental health Vanguard</w:t>
      </w:r>
      <w:r w:rsidR="00BB141C">
        <w:rPr>
          <w:rFonts w:ascii="Segoe UI" w:eastAsia="Calibri" w:hAnsi="Segoe UI" w:cs="Segoe UI"/>
          <w:sz w:val="22"/>
          <w:szCs w:val="22"/>
          <w:lang w:val="en-GB"/>
        </w:rPr>
        <w:t>.</w:t>
      </w:r>
    </w:p>
    <w:p w:rsidR="000018CF" w:rsidRDefault="000018CF" w:rsidP="00354470">
      <w:pPr>
        <w:jc w:val="both"/>
        <w:rPr>
          <w:rFonts w:ascii="Segoe UI" w:eastAsia="Calibri" w:hAnsi="Segoe UI" w:cs="Segoe UI"/>
          <w:sz w:val="22"/>
          <w:szCs w:val="22"/>
          <w:lang w:val="en-GB"/>
        </w:rPr>
      </w:pPr>
    </w:p>
    <w:p w:rsidR="000018CF" w:rsidRPr="00CC7542" w:rsidRDefault="00AF2F17" w:rsidP="000018CF">
      <w:pPr>
        <w:pStyle w:val="ListParagraph"/>
        <w:numPr>
          <w:ilvl w:val="0"/>
          <w:numId w:val="20"/>
        </w:numPr>
        <w:jc w:val="both"/>
        <w:rPr>
          <w:rFonts w:ascii="Segoe UI" w:hAnsi="Segoe UI" w:cs="Segoe UI"/>
          <w:b/>
          <w:sz w:val="22"/>
          <w:szCs w:val="22"/>
          <w:lang w:val="en-GB"/>
        </w:rPr>
      </w:pPr>
      <w:r w:rsidRPr="000018CF">
        <w:rPr>
          <w:rFonts w:ascii="Segoe UI" w:hAnsi="Segoe UI" w:cs="Segoe UI"/>
          <w:b/>
          <w:sz w:val="22"/>
          <w:szCs w:val="22"/>
        </w:rPr>
        <w:t xml:space="preserve"> </w:t>
      </w:r>
      <w:r w:rsidR="000018CF" w:rsidRPr="00CC7542">
        <w:rPr>
          <w:rFonts w:ascii="Segoe UI" w:hAnsi="Segoe UI" w:cs="Segoe UI"/>
          <w:b/>
          <w:sz w:val="22"/>
          <w:szCs w:val="22"/>
        </w:rPr>
        <w:t>T</w:t>
      </w:r>
      <w:proofErr w:type="spellStart"/>
      <w:r w:rsidR="000018CF" w:rsidRPr="00CC7542">
        <w:rPr>
          <w:rFonts w:ascii="Segoe UI" w:hAnsi="Segoe UI" w:cs="Segoe UI"/>
          <w:b/>
          <w:bCs/>
          <w:sz w:val="22"/>
          <w:szCs w:val="22"/>
          <w:lang w:val="en-GB"/>
        </w:rPr>
        <w:t>emporary</w:t>
      </w:r>
      <w:proofErr w:type="spellEnd"/>
      <w:r w:rsidR="000018CF" w:rsidRPr="00CC7542">
        <w:rPr>
          <w:rFonts w:ascii="Segoe UI" w:hAnsi="Segoe UI" w:cs="Segoe UI"/>
          <w:b/>
          <w:bCs/>
          <w:sz w:val="22"/>
          <w:szCs w:val="22"/>
          <w:lang w:val="en-GB"/>
        </w:rPr>
        <w:t xml:space="preserve"> closure of </w:t>
      </w:r>
      <w:proofErr w:type="spellStart"/>
      <w:r w:rsidR="000018CF" w:rsidRPr="00CC7542">
        <w:rPr>
          <w:rFonts w:ascii="Segoe UI" w:hAnsi="Segoe UI" w:cs="Segoe UI"/>
          <w:b/>
          <w:bCs/>
          <w:sz w:val="22"/>
          <w:szCs w:val="22"/>
          <w:lang w:val="en-GB"/>
        </w:rPr>
        <w:t>Wantage</w:t>
      </w:r>
      <w:proofErr w:type="spellEnd"/>
      <w:r w:rsidR="000018CF" w:rsidRPr="00CC7542">
        <w:rPr>
          <w:rFonts w:ascii="Segoe UI" w:hAnsi="Segoe UI" w:cs="Segoe UI"/>
          <w:b/>
          <w:bCs/>
          <w:sz w:val="22"/>
          <w:szCs w:val="22"/>
          <w:lang w:val="en-GB"/>
        </w:rPr>
        <w:t xml:space="preserve"> Community Hospital for safety reasons</w:t>
      </w:r>
    </w:p>
    <w:p w:rsidR="000018CF" w:rsidRPr="00AF2F17" w:rsidRDefault="000018CF" w:rsidP="000018CF">
      <w:pPr>
        <w:jc w:val="both"/>
        <w:rPr>
          <w:rFonts w:ascii="Segoe UI" w:hAnsi="Segoe UI" w:cs="Segoe UI"/>
          <w:b/>
          <w:sz w:val="22"/>
          <w:szCs w:val="22"/>
          <w:lang w:val="en-GB"/>
        </w:rPr>
      </w:pPr>
    </w:p>
    <w:p w:rsidR="000018CF" w:rsidRDefault="000018CF" w:rsidP="000018CF">
      <w:pPr>
        <w:jc w:val="both"/>
        <w:rPr>
          <w:rFonts w:ascii="Segoe UI" w:hAnsi="Segoe UI" w:cs="Segoe UI"/>
          <w:sz w:val="22"/>
          <w:szCs w:val="22"/>
          <w:lang w:val="en-GB"/>
        </w:rPr>
      </w:pPr>
      <w:r w:rsidRPr="00CC7542">
        <w:rPr>
          <w:rFonts w:ascii="Segoe UI" w:hAnsi="Segoe UI" w:cs="Segoe UI"/>
          <w:sz w:val="22"/>
          <w:szCs w:val="22"/>
          <w:lang w:val="en-GB"/>
        </w:rPr>
        <w:t xml:space="preserve">Further to the information provided to the last Council of Governors meeting, the Trust has taken the decision to close the inpatient ward at </w:t>
      </w:r>
      <w:proofErr w:type="spellStart"/>
      <w:r w:rsidRPr="00CC7542">
        <w:rPr>
          <w:rFonts w:ascii="Segoe UI" w:hAnsi="Segoe UI" w:cs="Segoe UI"/>
          <w:sz w:val="22"/>
          <w:szCs w:val="22"/>
          <w:lang w:val="en-GB"/>
        </w:rPr>
        <w:t>Wantage</w:t>
      </w:r>
      <w:proofErr w:type="spellEnd"/>
      <w:r w:rsidRPr="00CC7542">
        <w:rPr>
          <w:rFonts w:ascii="Segoe UI" w:hAnsi="Segoe UI" w:cs="Segoe UI"/>
          <w:sz w:val="22"/>
          <w:szCs w:val="22"/>
          <w:lang w:val="en-GB"/>
        </w:rPr>
        <w:t xml:space="preserve"> Community Hospital for safety reasons due to legionella risks.  The midwifery led unit and outpatient physiotherapy service remain open and weekly legionella counts are being taken.</w:t>
      </w:r>
    </w:p>
    <w:p w:rsidR="001D3DFB" w:rsidRPr="00CC7542" w:rsidRDefault="001D3DFB" w:rsidP="000018CF">
      <w:pPr>
        <w:jc w:val="both"/>
        <w:rPr>
          <w:rFonts w:ascii="Segoe UI" w:hAnsi="Segoe UI" w:cs="Segoe UI"/>
          <w:sz w:val="22"/>
          <w:szCs w:val="22"/>
          <w:lang w:val="en-GB"/>
        </w:rPr>
      </w:pPr>
    </w:p>
    <w:p w:rsidR="00B278B7" w:rsidRPr="000018CF" w:rsidRDefault="001D3DFB" w:rsidP="000018CF">
      <w:pPr>
        <w:pStyle w:val="ListParagraph"/>
        <w:numPr>
          <w:ilvl w:val="0"/>
          <w:numId w:val="20"/>
        </w:numPr>
        <w:spacing w:after="200"/>
        <w:jc w:val="both"/>
        <w:rPr>
          <w:rFonts w:ascii="Segoe UI" w:eastAsia="Calibri" w:hAnsi="Segoe UI" w:cs="Segoe UI"/>
          <w:b/>
          <w:bCs/>
          <w:sz w:val="22"/>
          <w:szCs w:val="22"/>
        </w:rPr>
      </w:pPr>
      <w:r>
        <w:rPr>
          <w:rFonts w:ascii="Segoe UI" w:hAnsi="Segoe UI" w:cs="Segoe UI"/>
          <w:b/>
          <w:sz w:val="22"/>
          <w:szCs w:val="22"/>
        </w:rPr>
        <w:t xml:space="preserve"> </w:t>
      </w:r>
      <w:r w:rsidR="00354470" w:rsidRPr="000018CF">
        <w:rPr>
          <w:rFonts w:ascii="Segoe UI" w:hAnsi="Segoe UI" w:cs="Segoe UI"/>
          <w:b/>
          <w:sz w:val="22"/>
          <w:szCs w:val="22"/>
        </w:rPr>
        <w:t>Junior Doctors</w:t>
      </w:r>
      <w:r w:rsidR="00BF75E0" w:rsidRPr="000018CF">
        <w:rPr>
          <w:rFonts w:ascii="Segoe UI" w:hAnsi="Segoe UI" w:cs="Segoe UI"/>
          <w:b/>
          <w:sz w:val="22"/>
          <w:szCs w:val="22"/>
        </w:rPr>
        <w:t xml:space="preserve">   </w:t>
      </w:r>
    </w:p>
    <w:p w:rsidR="00354470" w:rsidRPr="00EA33E8" w:rsidRDefault="00354470" w:rsidP="00354470">
      <w:pPr>
        <w:spacing w:after="200"/>
        <w:jc w:val="both"/>
        <w:rPr>
          <w:rFonts w:ascii="Segoe UI" w:eastAsia="Calibri" w:hAnsi="Segoe UI" w:cs="Segoe UI"/>
          <w:bCs/>
          <w:sz w:val="22"/>
          <w:szCs w:val="22"/>
        </w:rPr>
      </w:pPr>
      <w:r w:rsidRPr="00EA33E8">
        <w:rPr>
          <w:rFonts w:ascii="Segoe UI" w:eastAsia="Calibri" w:hAnsi="Segoe UI" w:cs="Segoe UI"/>
          <w:bCs/>
          <w:sz w:val="22"/>
          <w:szCs w:val="22"/>
        </w:rPr>
        <w:t xml:space="preserve">The BMA announced </w:t>
      </w:r>
      <w:r>
        <w:rPr>
          <w:rFonts w:ascii="Segoe UI" w:eastAsia="Calibri" w:hAnsi="Segoe UI" w:cs="Segoe UI"/>
          <w:bCs/>
          <w:sz w:val="22"/>
          <w:szCs w:val="22"/>
        </w:rPr>
        <w:t>in July</w:t>
      </w:r>
      <w:r w:rsidRPr="00EA33E8">
        <w:rPr>
          <w:rFonts w:ascii="Segoe UI" w:eastAsia="Calibri" w:hAnsi="Segoe UI" w:cs="Segoe UI"/>
          <w:bCs/>
          <w:sz w:val="22"/>
          <w:szCs w:val="22"/>
        </w:rPr>
        <w:t xml:space="preserve"> that their members</w:t>
      </w:r>
      <w:r>
        <w:rPr>
          <w:rFonts w:ascii="Segoe UI" w:eastAsia="Calibri" w:hAnsi="Segoe UI" w:cs="Segoe UI"/>
          <w:bCs/>
          <w:sz w:val="22"/>
          <w:szCs w:val="22"/>
        </w:rPr>
        <w:t xml:space="preserve"> had</w:t>
      </w:r>
      <w:r w:rsidRPr="00EA33E8">
        <w:rPr>
          <w:rFonts w:ascii="Segoe UI" w:eastAsia="Calibri" w:hAnsi="Segoe UI" w:cs="Segoe UI"/>
          <w:bCs/>
          <w:sz w:val="22"/>
          <w:szCs w:val="22"/>
        </w:rPr>
        <w:t xml:space="preserve"> rejected the proposed new contract for junior doctors despite the best efforts of ACAS, NHS Employers and the BMA junior doctors’ committee. </w:t>
      </w:r>
      <w:r>
        <w:rPr>
          <w:rFonts w:ascii="Segoe UI" w:eastAsia="Calibri" w:hAnsi="Segoe UI" w:cs="Segoe UI"/>
          <w:bCs/>
          <w:sz w:val="22"/>
          <w:szCs w:val="22"/>
        </w:rPr>
        <w:t xml:space="preserve">A total of </w:t>
      </w:r>
      <w:r w:rsidRPr="00EA33E8">
        <w:rPr>
          <w:rFonts w:ascii="Segoe UI" w:eastAsia="Calibri" w:hAnsi="Segoe UI" w:cs="Segoe UI"/>
          <w:bCs/>
          <w:sz w:val="22"/>
          <w:szCs w:val="22"/>
        </w:rPr>
        <w:t xml:space="preserve">58 per cent of its members voted against the offer agreed at ACAS compared to 42 per cent voting to accept with a turnout of 68 per cent in their referendum.  </w:t>
      </w:r>
    </w:p>
    <w:p w:rsidR="00CC7542" w:rsidRDefault="00CC7542" w:rsidP="00354470">
      <w:pPr>
        <w:spacing w:after="200"/>
        <w:jc w:val="both"/>
        <w:rPr>
          <w:rFonts w:ascii="Segoe UI" w:eastAsia="Calibri" w:hAnsi="Segoe UI" w:cs="Segoe UI"/>
          <w:bCs/>
          <w:sz w:val="22"/>
          <w:szCs w:val="22"/>
        </w:rPr>
      </w:pPr>
      <w:r>
        <w:rPr>
          <w:rFonts w:ascii="Segoe UI" w:eastAsia="Calibri" w:hAnsi="Segoe UI" w:cs="Segoe UI"/>
          <w:bCs/>
          <w:sz w:val="22"/>
          <w:szCs w:val="22"/>
        </w:rPr>
        <w:t xml:space="preserve">Since then, it was announced that the BMA intended to call discontinuous </w:t>
      </w:r>
      <w:r w:rsidR="000018CF">
        <w:rPr>
          <w:rFonts w:ascii="Segoe UI" w:eastAsia="Calibri" w:hAnsi="Segoe UI" w:cs="Segoe UI"/>
          <w:bCs/>
          <w:sz w:val="22"/>
          <w:szCs w:val="22"/>
        </w:rPr>
        <w:t>industrial action involv</w:t>
      </w:r>
      <w:r w:rsidR="001D3DFB">
        <w:rPr>
          <w:rFonts w:ascii="Segoe UI" w:eastAsia="Calibri" w:hAnsi="Segoe UI" w:cs="Segoe UI"/>
          <w:bCs/>
          <w:sz w:val="22"/>
          <w:szCs w:val="22"/>
        </w:rPr>
        <w:t>ing a number of</w:t>
      </w:r>
      <w:r w:rsidR="000018CF">
        <w:rPr>
          <w:rFonts w:ascii="Segoe UI" w:eastAsia="Calibri" w:hAnsi="Segoe UI" w:cs="Segoe UI"/>
          <w:bCs/>
          <w:sz w:val="22"/>
          <w:szCs w:val="22"/>
        </w:rPr>
        <w:t xml:space="preserve"> 5 day strikes.  </w:t>
      </w:r>
      <w:r w:rsidR="000018CF">
        <w:rPr>
          <w:rFonts w:ascii="Segoe UI" w:eastAsia="Calibri" w:hAnsi="Segoe UI" w:cs="Segoe UI"/>
          <w:bCs/>
          <w:sz w:val="22"/>
          <w:szCs w:val="22"/>
          <w:lang w:val="en"/>
        </w:rPr>
        <w:t>The BMA subsequently cancelled</w:t>
      </w:r>
      <w:r w:rsidR="000018CF" w:rsidRPr="000018CF">
        <w:rPr>
          <w:rFonts w:ascii="Segoe UI" w:eastAsia="Calibri" w:hAnsi="Segoe UI" w:cs="Segoe UI"/>
          <w:bCs/>
          <w:sz w:val="22"/>
          <w:szCs w:val="22"/>
          <w:lang w:val="en"/>
        </w:rPr>
        <w:t xml:space="preserve"> industrial action from 12 to 16 S</w:t>
      </w:r>
      <w:r w:rsidR="000018CF">
        <w:rPr>
          <w:rFonts w:ascii="Segoe UI" w:eastAsia="Calibri" w:hAnsi="Segoe UI" w:cs="Segoe UI"/>
          <w:bCs/>
          <w:sz w:val="22"/>
          <w:szCs w:val="22"/>
          <w:lang w:val="en"/>
        </w:rPr>
        <w:t>eptember after NHS England warned</w:t>
      </w:r>
      <w:r w:rsidR="000018CF" w:rsidRPr="000018CF">
        <w:rPr>
          <w:rFonts w:ascii="Segoe UI" w:eastAsia="Calibri" w:hAnsi="Segoe UI" w:cs="Segoe UI"/>
          <w:bCs/>
          <w:sz w:val="22"/>
          <w:szCs w:val="22"/>
          <w:lang w:val="en"/>
        </w:rPr>
        <w:t xml:space="preserve"> the strike was announced with too little notice.</w:t>
      </w:r>
    </w:p>
    <w:p w:rsidR="00246977" w:rsidRPr="00BE73D6" w:rsidRDefault="00354470" w:rsidP="001D3DFB">
      <w:pPr>
        <w:spacing w:after="200"/>
        <w:jc w:val="both"/>
        <w:rPr>
          <w:rFonts w:ascii="Segoe UI" w:hAnsi="Segoe UI" w:cs="Segoe UI"/>
          <w:sz w:val="22"/>
          <w:szCs w:val="22"/>
          <w:lang w:val="en-GB"/>
        </w:rPr>
      </w:pPr>
      <w:r w:rsidRPr="00EA33E8">
        <w:rPr>
          <w:rFonts w:ascii="Segoe UI" w:eastAsia="Calibri" w:hAnsi="Segoe UI" w:cs="Segoe UI"/>
          <w:bCs/>
          <w:sz w:val="22"/>
          <w:szCs w:val="22"/>
        </w:rPr>
        <w:t>What happens next is not yet clear, but all are keen to ensure that patients will not be made to suffer any furthe</w:t>
      </w:r>
      <w:r>
        <w:rPr>
          <w:rFonts w:ascii="Segoe UI" w:eastAsia="Calibri" w:hAnsi="Segoe UI" w:cs="Segoe UI"/>
          <w:bCs/>
          <w:sz w:val="22"/>
          <w:szCs w:val="22"/>
        </w:rPr>
        <w:t>r impact over the rejection of the contract</w:t>
      </w:r>
      <w:r w:rsidRPr="00EA33E8">
        <w:rPr>
          <w:rFonts w:ascii="Segoe UI" w:eastAsia="Calibri" w:hAnsi="Segoe UI" w:cs="Segoe UI"/>
          <w:bCs/>
          <w:sz w:val="22"/>
          <w:szCs w:val="22"/>
        </w:rPr>
        <w:t xml:space="preserve">.   </w:t>
      </w:r>
    </w:p>
    <w:p w:rsidR="0073522A" w:rsidRPr="001D3DFB" w:rsidRDefault="001D3DFB" w:rsidP="001D3DFB">
      <w:pPr>
        <w:pStyle w:val="ListParagraph"/>
        <w:numPr>
          <w:ilvl w:val="0"/>
          <w:numId w:val="20"/>
        </w:numPr>
        <w:jc w:val="both"/>
        <w:rPr>
          <w:rFonts w:ascii="Segoe UI" w:hAnsi="Segoe UI" w:cs="Segoe UI"/>
          <w:b/>
          <w:sz w:val="22"/>
          <w:szCs w:val="22"/>
        </w:rPr>
      </w:pPr>
      <w:r>
        <w:rPr>
          <w:rFonts w:ascii="Segoe UI" w:hAnsi="Segoe UI" w:cs="Segoe UI"/>
          <w:b/>
          <w:sz w:val="22"/>
          <w:szCs w:val="22"/>
        </w:rPr>
        <w:t xml:space="preserve"> </w:t>
      </w:r>
      <w:r w:rsidR="0073522A" w:rsidRPr="001D3DFB">
        <w:rPr>
          <w:rFonts w:ascii="Segoe UI" w:hAnsi="Segoe UI" w:cs="Segoe UI"/>
          <w:b/>
          <w:sz w:val="22"/>
          <w:szCs w:val="22"/>
        </w:rPr>
        <w:t>Recommendation</w:t>
      </w:r>
    </w:p>
    <w:p w:rsidR="0073522A" w:rsidRPr="00BE73D6" w:rsidRDefault="001101AA" w:rsidP="0073522A">
      <w:pPr>
        <w:jc w:val="both"/>
        <w:rPr>
          <w:rFonts w:ascii="Segoe UI" w:hAnsi="Segoe UI" w:cs="Segoe UI"/>
          <w:sz w:val="22"/>
          <w:szCs w:val="22"/>
        </w:rPr>
      </w:pPr>
      <w:r w:rsidRPr="00BE73D6">
        <w:rPr>
          <w:rFonts w:ascii="Segoe UI" w:hAnsi="Segoe UI" w:cs="Segoe UI"/>
          <w:sz w:val="22"/>
          <w:szCs w:val="22"/>
        </w:rPr>
        <w:t>The Council</w:t>
      </w:r>
      <w:r w:rsidR="004452E6" w:rsidRPr="00BE73D6">
        <w:rPr>
          <w:rFonts w:ascii="Segoe UI" w:hAnsi="Segoe UI" w:cs="Segoe UI"/>
          <w:sz w:val="22"/>
          <w:szCs w:val="22"/>
        </w:rPr>
        <w:t xml:space="preserve"> of Governors</w:t>
      </w:r>
      <w:r w:rsidR="00E77C2C" w:rsidRPr="00BE73D6">
        <w:rPr>
          <w:rFonts w:ascii="Segoe UI" w:hAnsi="Segoe UI" w:cs="Segoe UI"/>
          <w:sz w:val="22"/>
          <w:szCs w:val="22"/>
        </w:rPr>
        <w:t xml:space="preserve"> is invited</w:t>
      </w:r>
      <w:r w:rsidRPr="00BE73D6">
        <w:rPr>
          <w:rFonts w:ascii="Segoe UI" w:hAnsi="Segoe UI" w:cs="Segoe UI"/>
          <w:sz w:val="22"/>
          <w:szCs w:val="22"/>
        </w:rPr>
        <w:t xml:space="preserve"> to </w:t>
      </w:r>
      <w:r w:rsidR="006C2656" w:rsidRPr="00BE73D6">
        <w:rPr>
          <w:rFonts w:ascii="Segoe UI" w:hAnsi="Segoe UI" w:cs="Segoe UI"/>
          <w:sz w:val="22"/>
          <w:szCs w:val="22"/>
        </w:rPr>
        <w:t>note the report</w:t>
      </w:r>
      <w:r w:rsidR="00E77C2C" w:rsidRPr="00BE73D6">
        <w:rPr>
          <w:rFonts w:ascii="Segoe UI" w:hAnsi="Segoe UI" w:cs="Segoe UI"/>
          <w:sz w:val="22"/>
          <w:szCs w:val="22"/>
        </w:rPr>
        <w:t xml:space="preserve"> and to seek any assurances pertaining to matters arising from it where necessary.</w:t>
      </w:r>
    </w:p>
    <w:p w:rsidR="005D3499" w:rsidRPr="00BE73D6" w:rsidRDefault="005D3499">
      <w:pPr>
        <w:jc w:val="both"/>
        <w:rPr>
          <w:rFonts w:ascii="Segoe UI" w:hAnsi="Segoe UI" w:cs="Segoe UI"/>
          <w:b/>
          <w:sz w:val="22"/>
          <w:szCs w:val="22"/>
        </w:rPr>
      </w:pPr>
    </w:p>
    <w:p w:rsidR="00AF0562" w:rsidRPr="00BE73D6" w:rsidRDefault="002619EF" w:rsidP="004C0983">
      <w:pPr>
        <w:ind w:left="1440" w:hanging="1440"/>
        <w:jc w:val="both"/>
        <w:rPr>
          <w:rFonts w:ascii="Segoe UI" w:hAnsi="Segoe UI" w:cs="Segoe UI"/>
          <w:sz w:val="22"/>
          <w:szCs w:val="22"/>
        </w:rPr>
      </w:pPr>
      <w:r w:rsidRPr="00BE73D6">
        <w:rPr>
          <w:rFonts w:ascii="Segoe UI" w:hAnsi="Segoe UI" w:cs="Segoe UI"/>
          <w:b/>
          <w:sz w:val="22"/>
          <w:szCs w:val="22"/>
        </w:rPr>
        <w:t>Author and T</w:t>
      </w:r>
      <w:r w:rsidR="0073522A" w:rsidRPr="00BE73D6">
        <w:rPr>
          <w:rFonts w:ascii="Segoe UI" w:hAnsi="Segoe UI" w:cs="Segoe UI"/>
          <w:b/>
          <w:sz w:val="22"/>
          <w:szCs w:val="22"/>
        </w:rPr>
        <w:t>itle:</w:t>
      </w:r>
      <w:r w:rsidR="0073522A" w:rsidRPr="00BE73D6">
        <w:rPr>
          <w:rFonts w:ascii="Segoe UI" w:hAnsi="Segoe UI" w:cs="Segoe UI"/>
          <w:sz w:val="22"/>
          <w:szCs w:val="22"/>
        </w:rPr>
        <w:t xml:space="preserve"> </w:t>
      </w:r>
      <w:r w:rsidR="0073522A" w:rsidRPr="00BE73D6">
        <w:rPr>
          <w:rFonts w:ascii="Segoe UI" w:hAnsi="Segoe UI" w:cs="Segoe UI"/>
          <w:sz w:val="22"/>
          <w:szCs w:val="22"/>
        </w:rPr>
        <w:tab/>
      </w:r>
      <w:r w:rsidR="006C2656" w:rsidRPr="00BE73D6">
        <w:rPr>
          <w:rFonts w:ascii="Segoe UI" w:hAnsi="Segoe UI" w:cs="Segoe UI"/>
          <w:sz w:val="22"/>
          <w:szCs w:val="22"/>
        </w:rPr>
        <w:t>Stuart Bell, Chief Executive</w:t>
      </w:r>
      <w:r w:rsidR="001101AA" w:rsidRPr="00BE73D6">
        <w:rPr>
          <w:rFonts w:ascii="Segoe UI" w:hAnsi="Segoe UI" w:cs="Segoe UI"/>
          <w:sz w:val="22"/>
          <w:szCs w:val="22"/>
        </w:rPr>
        <w:tab/>
      </w:r>
    </w:p>
    <w:sectPr w:rsidR="00AF0562" w:rsidRPr="00BE73D6" w:rsidSect="001D3DFB">
      <w:headerReference w:type="default" r:id="rId10"/>
      <w:pgSz w:w="12240" w:h="15840"/>
      <w:pgMar w:top="1134" w:right="1191" w:bottom="1021"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177" w:rsidRDefault="00804177" w:rsidP="005B3E3C">
      <w:r>
        <w:separator/>
      </w:r>
    </w:p>
  </w:endnote>
  <w:endnote w:type="continuationSeparator" w:id="0">
    <w:p w:rsidR="00804177" w:rsidRDefault="00804177"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177" w:rsidRDefault="00804177" w:rsidP="005B3E3C">
      <w:r>
        <w:separator/>
      </w:r>
    </w:p>
  </w:footnote>
  <w:footnote w:type="continuationSeparator" w:id="0">
    <w:p w:rsidR="00804177" w:rsidRDefault="00804177"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1AA" w:rsidRPr="004452E6" w:rsidRDefault="004452E6" w:rsidP="005B3E3C">
    <w:pPr>
      <w:pStyle w:val="Header"/>
      <w:jc w:val="center"/>
      <w:rPr>
        <w:rFonts w:ascii="Arial" w:hAnsi="Arial" w:cs="Arial"/>
      </w:rPr>
    </w:pPr>
    <w:r>
      <w:rPr>
        <w:rFonts w:ascii="Arial" w:hAnsi="Arial" w:cs="Arial"/>
        <w:b/>
        <w:i/>
      </w:rPr>
      <w:t xml:space="preserve">PUBLIC </w:t>
    </w:r>
    <w:r>
      <w:rPr>
        <w:rFonts w:ascii="Arial" w:hAnsi="Arial" w:cs="Arial"/>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2ED"/>
    <w:multiLevelType w:val="multilevel"/>
    <w:tmpl w:val="6FDE21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03FE4AF8"/>
    <w:multiLevelType w:val="multilevel"/>
    <w:tmpl w:val="871A5CC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nsid w:val="05B65129"/>
    <w:multiLevelType w:val="hybridMultilevel"/>
    <w:tmpl w:val="9C806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F23E9D"/>
    <w:multiLevelType w:val="hybridMultilevel"/>
    <w:tmpl w:val="88CEEE94"/>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4">
    <w:nsid w:val="080A1420"/>
    <w:multiLevelType w:val="multilevel"/>
    <w:tmpl w:val="5CFA47BA"/>
    <w:lvl w:ilvl="0">
      <w:start w:val="4"/>
      <w:numFmt w:val="decimal"/>
      <w:lvlText w:val="%1"/>
      <w:lvlJc w:val="left"/>
      <w:pPr>
        <w:ind w:left="525" w:hanging="525"/>
      </w:pPr>
      <w:rPr>
        <w:rFonts w:hint="default"/>
      </w:rPr>
    </w:lvl>
    <w:lvl w:ilvl="1">
      <w:start w:val="2"/>
      <w:numFmt w:val="decimal"/>
      <w:lvlText w:val="%1.%2"/>
      <w:lvlJc w:val="left"/>
      <w:pPr>
        <w:ind w:left="765" w:hanging="525"/>
      </w:pPr>
      <w:rPr>
        <w:rFonts w:hint="default"/>
      </w:rPr>
    </w:lvl>
    <w:lvl w:ilvl="2">
      <w:start w:val="4"/>
      <w:numFmt w:val="decimal"/>
      <w:lvlText w:val="%1.%2.%3"/>
      <w:lvlJc w:val="left"/>
      <w:pPr>
        <w:ind w:left="1200" w:hanging="720"/>
      </w:pPr>
      <w:rPr>
        <w:rFonts w:hint="default"/>
        <w:b w:val="0"/>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5">
    <w:nsid w:val="0F457D24"/>
    <w:multiLevelType w:val="hybridMultilevel"/>
    <w:tmpl w:val="94807042"/>
    <w:lvl w:ilvl="0" w:tplc="69008802">
      <w:start w:val="1"/>
      <w:numFmt w:val="decimal"/>
      <w:lvlText w:val="%1."/>
      <w:lvlJc w:val="left"/>
      <w:pPr>
        <w:ind w:left="720" w:hanging="360"/>
      </w:pPr>
      <w:rPr>
        <w:b w:val="0"/>
        <w:i w:val="0"/>
      </w:rPr>
    </w:lvl>
    <w:lvl w:ilvl="1" w:tplc="FF6ECE8A">
      <w:start w:val="1"/>
      <w:numFmt w:val="lowerLetter"/>
      <w:lvlText w:val="%2."/>
      <w:lvlJc w:val="left"/>
      <w:pPr>
        <w:ind w:left="1440" w:hanging="360"/>
      </w:pPr>
      <w:rPr>
        <w:b/>
      </w:r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27582E"/>
    <w:multiLevelType w:val="hybridMultilevel"/>
    <w:tmpl w:val="607A94D4"/>
    <w:lvl w:ilvl="0" w:tplc="0809000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AC217AA"/>
    <w:multiLevelType w:val="multilevel"/>
    <w:tmpl w:val="065A1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D31647"/>
    <w:multiLevelType w:val="hybridMultilevel"/>
    <w:tmpl w:val="A300EA54"/>
    <w:lvl w:ilvl="0" w:tplc="7EFE3AF6">
      <w:start w:val="2"/>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nsid w:val="35C468C6"/>
    <w:multiLevelType w:val="hybridMultilevel"/>
    <w:tmpl w:val="5DC00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5FD6059"/>
    <w:multiLevelType w:val="hybridMultilevel"/>
    <w:tmpl w:val="EA323A8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nsid w:val="3886308F"/>
    <w:multiLevelType w:val="multilevel"/>
    <w:tmpl w:val="BEEABBA2"/>
    <w:lvl w:ilvl="0">
      <w:start w:val="1"/>
      <w:numFmt w:val="decimal"/>
      <w:lvlText w:val="%1."/>
      <w:lvlJc w:val="left"/>
      <w:pPr>
        <w:ind w:left="720" w:hanging="360"/>
      </w:pPr>
      <w:rPr>
        <w:rFonts w:ascii="Segoe UI" w:hAnsi="Segoe UI" w:cs="Segoe UI" w:hint="default"/>
        <w:b w:val="0"/>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3AF51071"/>
    <w:multiLevelType w:val="hybridMultilevel"/>
    <w:tmpl w:val="2642FED8"/>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CA00A51"/>
    <w:multiLevelType w:val="hybridMultilevel"/>
    <w:tmpl w:val="10B2B7E0"/>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3F83946"/>
    <w:multiLevelType w:val="hybridMultilevel"/>
    <w:tmpl w:val="0FEE8AB0"/>
    <w:lvl w:ilvl="0" w:tplc="ED30F5B0">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48F060AA"/>
    <w:multiLevelType w:val="hybridMultilevel"/>
    <w:tmpl w:val="5FDE3A28"/>
    <w:lvl w:ilvl="0" w:tplc="5CB6333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FBD51CE"/>
    <w:multiLevelType w:val="hybridMultilevel"/>
    <w:tmpl w:val="392CDF9A"/>
    <w:lvl w:ilvl="0" w:tplc="1F36D7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03832F8"/>
    <w:multiLevelType w:val="hybridMultilevel"/>
    <w:tmpl w:val="432EC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26D574E"/>
    <w:multiLevelType w:val="hybridMultilevel"/>
    <w:tmpl w:val="23C8F93A"/>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20">
    <w:nsid w:val="52C648D4"/>
    <w:multiLevelType w:val="hybridMultilevel"/>
    <w:tmpl w:val="71F64A06"/>
    <w:lvl w:ilvl="0" w:tplc="B3400FC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D6E00A8"/>
    <w:multiLevelType w:val="hybridMultilevel"/>
    <w:tmpl w:val="E564D764"/>
    <w:lvl w:ilvl="0" w:tplc="3530BB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3572FF5"/>
    <w:multiLevelType w:val="hybridMultilevel"/>
    <w:tmpl w:val="FA542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A2351FA"/>
    <w:multiLevelType w:val="hybridMultilevel"/>
    <w:tmpl w:val="BB5C30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5"/>
  </w:num>
  <w:num w:numId="3">
    <w:abstractNumId w:val="9"/>
  </w:num>
  <w:num w:numId="4">
    <w:abstractNumId w:val="16"/>
  </w:num>
  <w:num w:numId="5">
    <w:abstractNumId w:val="11"/>
  </w:num>
  <w:num w:numId="6">
    <w:abstractNumId w:val="7"/>
    <w:lvlOverride w:ilvl="0">
      <w:lvl w:ilvl="0">
        <w:numFmt w:val="bullet"/>
        <w:lvlText w:val=""/>
        <w:lvlJc w:val="left"/>
        <w:pPr>
          <w:tabs>
            <w:tab w:val="num" w:pos="1440"/>
          </w:tabs>
          <w:ind w:left="1440" w:hanging="360"/>
        </w:pPr>
        <w:rPr>
          <w:rFonts w:ascii="Wingdings" w:hAnsi="Wingdings" w:hint="default"/>
          <w:sz w:val="20"/>
        </w:rPr>
      </w:lvl>
    </w:lvlOverride>
  </w:num>
  <w:num w:numId="7">
    <w:abstractNumId w:val="1"/>
  </w:num>
  <w:num w:numId="8">
    <w:abstractNumId w:val="4"/>
  </w:num>
  <w:num w:numId="9">
    <w:abstractNumId w:val="12"/>
  </w:num>
  <w:num w:numId="10">
    <w:abstractNumId w:val="13"/>
  </w:num>
  <w:num w:numId="11">
    <w:abstractNumId w:val="14"/>
  </w:num>
  <w:num w:numId="12">
    <w:abstractNumId w:val="20"/>
  </w:num>
  <w:num w:numId="13">
    <w:abstractNumId w:val="0"/>
  </w:num>
  <w:num w:numId="14">
    <w:abstractNumId w:val="21"/>
  </w:num>
  <w:num w:numId="15">
    <w:abstractNumId w:val="6"/>
  </w:num>
  <w:num w:numId="16">
    <w:abstractNumId w:val="17"/>
  </w:num>
  <w:num w:numId="17">
    <w:abstractNumId w:val="5"/>
  </w:num>
  <w:num w:numId="18">
    <w:abstractNumId w:val="23"/>
  </w:num>
  <w:num w:numId="19">
    <w:abstractNumId w:val="10"/>
  </w:num>
  <w:num w:numId="20">
    <w:abstractNumId w:val="18"/>
  </w:num>
  <w:num w:numId="21">
    <w:abstractNumId w:val="8"/>
  </w:num>
  <w:num w:numId="22">
    <w:abstractNumId w:val="3"/>
  </w:num>
  <w:num w:numId="23">
    <w:abstractNumId w:val="19"/>
  </w:num>
  <w:num w:numId="24">
    <w:abstractNumId w:val="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18CF"/>
    <w:rsid w:val="00020ED2"/>
    <w:rsid w:val="0004158E"/>
    <w:rsid w:val="0004606A"/>
    <w:rsid w:val="000A317C"/>
    <w:rsid w:val="000B2355"/>
    <w:rsid w:val="000D59A0"/>
    <w:rsid w:val="001101AA"/>
    <w:rsid w:val="001773D8"/>
    <w:rsid w:val="00187BDE"/>
    <w:rsid w:val="001A17D2"/>
    <w:rsid w:val="001D3DFB"/>
    <w:rsid w:val="001D46F2"/>
    <w:rsid w:val="001F76ED"/>
    <w:rsid w:val="00227FCE"/>
    <w:rsid w:val="00246977"/>
    <w:rsid w:val="002619EF"/>
    <w:rsid w:val="002821F8"/>
    <w:rsid w:val="00283F1C"/>
    <w:rsid w:val="00292613"/>
    <w:rsid w:val="002A73E8"/>
    <w:rsid w:val="002C2F97"/>
    <w:rsid w:val="002D1946"/>
    <w:rsid w:val="002E6FC6"/>
    <w:rsid w:val="00302C2E"/>
    <w:rsid w:val="0033630E"/>
    <w:rsid w:val="00354470"/>
    <w:rsid w:val="003709D4"/>
    <w:rsid w:val="003971F6"/>
    <w:rsid w:val="003C65CE"/>
    <w:rsid w:val="003F6E56"/>
    <w:rsid w:val="00431086"/>
    <w:rsid w:val="004326BB"/>
    <w:rsid w:val="004452E6"/>
    <w:rsid w:val="00472637"/>
    <w:rsid w:val="00496F5B"/>
    <w:rsid w:val="004A5BBE"/>
    <w:rsid w:val="004C0983"/>
    <w:rsid w:val="004D181D"/>
    <w:rsid w:val="004F44AB"/>
    <w:rsid w:val="004F4BBA"/>
    <w:rsid w:val="005233AA"/>
    <w:rsid w:val="0052569F"/>
    <w:rsid w:val="005270CE"/>
    <w:rsid w:val="00551B0F"/>
    <w:rsid w:val="0055308A"/>
    <w:rsid w:val="005659FB"/>
    <w:rsid w:val="005B3E3C"/>
    <w:rsid w:val="005B5A6E"/>
    <w:rsid w:val="005C3FC1"/>
    <w:rsid w:val="005C6A93"/>
    <w:rsid w:val="005D0374"/>
    <w:rsid w:val="005D3499"/>
    <w:rsid w:val="005E6945"/>
    <w:rsid w:val="006079C8"/>
    <w:rsid w:val="00643F12"/>
    <w:rsid w:val="00685CF5"/>
    <w:rsid w:val="006C028E"/>
    <w:rsid w:val="006C2656"/>
    <w:rsid w:val="006C26B0"/>
    <w:rsid w:val="007249DD"/>
    <w:rsid w:val="0073522A"/>
    <w:rsid w:val="00747EDD"/>
    <w:rsid w:val="0076795A"/>
    <w:rsid w:val="00772590"/>
    <w:rsid w:val="007976E7"/>
    <w:rsid w:val="007C27EF"/>
    <w:rsid w:val="007C690C"/>
    <w:rsid w:val="00804177"/>
    <w:rsid w:val="00814B84"/>
    <w:rsid w:val="00814D26"/>
    <w:rsid w:val="0086436B"/>
    <w:rsid w:val="0086577D"/>
    <w:rsid w:val="00894B97"/>
    <w:rsid w:val="008D5194"/>
    <w:rsid w:val="00922A90"/>
    <w:rsid w:val="00946E6E"/>
    <w:rsid w:val="00994D21"/>
    <w:rsid w:val="009962DC"/>
    <w:rsid w:val="009C1AFA"/>
    <w:rsid w:val="009E2D63"/>
    <w:rsid w:val="00A141F0"/>
    <w:rsid w:val="00A26274"/>
    <w:rsid w:val="00A42402"/>
    <w:rsid w:val="00A66D2D"/>
    <w:rsid w:val="00A772DB"/>
    <w:rsid w:val="00A81E27"/>
    <w:rsid w:val="00A85311"/>
    <w:rsid w:val="00AB4CA4"/>
    <w:rsid w:val="00AC3814"/>
    <w:rsid w:val="00AF0562"/>
    <w:rsid w:val="00AF2F17"/>
    <w:rsid w:val="00B26E1A"/>
    <w:rsid w:val="00B278B7"/>
    <w:rsid w:val="00B50D5E"/>
    <w:rsid w:val="00B52E28"/>
    <w:rsid w:val="00B849CF"/>
    <w:rsid w:val="00BA3B3E"/>
    <w:rsid w:val="00BB0184"/>
    <w:rsid w:val="00BB141C"/>
    <w:rsid w:val="00BD4815"/>
    <w:rsid w:val="00BE73D6"/>
    <w:rsid w:val="00BF4A3A"/>
    <w:rsid w:val="00BF5367"/>
    <w:rsid w:val="00BF75E0"/>
    <w:rsid w:val="00C36ED7"/>
    <w:rsid w:val="00CC7542"/>
    <w:rsid w:val="00D07064"/>
    <w:rsid w:val="00D15A0F"/>
    <w:rsid w:val="00D279FC"/>
    <w:rsid w:val="00D55ADD"/>
    <w:rsid w:val="00D608E2"/>
    <w:rsid w:val="00D844C6"/>
    <w:rsid w:val="00DA0FA6"/>
    <w:rsid w:val="00DC559F"/>
    <w:rsid w:val="00DD33DF"/>
    <w:rsid w:val="00DE1293"/>
    <w:rsid w:val="00E36AE0"/>
    <w:rsid w:val="00E77C2C"/>
    <w:rsid w:val="00EA3DAA"/>
    <w:rsid w:val="00EC791A"/>
    <w:rsid w:val="00EF2875"/>
    <w:rsid w:val="00F151E4"/>
    <w:rsid w:val="00F57119"/>
    <w:rsid w:val="00FB1E3B"/>
    <w:rsid w:val="00FC0383"/>
    <w:rsid w:val="00FC6D7E"/>
    <w:rsid w:val="00FC7C2C"/>
    <w:rsid w:val="00FD2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BalloonText">
    <w:name w:val="Balloon Text"/>
    <w:basedOn w:val="Normal"/>
    <w:link w:val="BalloonTextChar"/>
    <w:rsid w:val="004D181D"/>
    <w:rPr>
      <w:rFonts w:ascii="Tahoma" w:hAnsi="Tahoma" w:cs="Tahoma"/>
      <w:sz w:val="16"/>
      <w:szCs w:val="16"/>
    </w:rPr>
  </w:style>
  <w:style w:type="character" w:customStyle="1" w:styleId="BalloonTextChar">
    <w:name w:val="Balloon Text Char"/>
    <w:basedOn w:val="DefaultParagraphFont"/>
    <w:link w:val="BalloonText"/>
    <w:rsid w:val="004D181D"/>
    <w:rPr>
      <w:rFonts w:ascii="Tahoma" w:hAnsi="Tahoma" w:cs="Tahoma"/>
      <w:sz w:val="16"/>
      <w:szCs w:val="16"/>
      <w:lang w:val="en-US" w:eastAsia="en-US"/>
    </w:rPr>
  </w:style>
  <w:style w:type="paragraph" w:styleId="ListParagraph">
    <w:name w:val="List Paragraph"/>
    <w:basedOn w:val="Normal"/>
    <w:uiPriority w:val="34"/>
    <w:qFormat/>
    <w:rsid w:val="00496F5B"/>
    <w:pPr>
      <w:ind w:left="720"/>
      <w:contextualSpacing/>
    </w:pPr>
  </w:style>
  <w:style w:type="character" w:styleId="Hyperlink">
    <w:name w:val="Hyperlink"/>
    <w:basedOn w:val="DefaultParagraphFont"/>
    <w:rsid w:val="00187B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BalloonText">
    <w:name w:val="Balloon Text"/>
    <w:basedOn w:val="Normal"/>
    <w:link w:val="BalloonTextChar"/>
    <w:rsid w:val="004D181D"/>
    <w:rPr>
      <w:rFonts w:ascii="Tahoma" w:hAnsi="Tahoma" w:cs="Tahoma"/>
      <w:sz w:val="16"/>
      <w:szCs w:val="16"/>
    </w:rPr>
  </w:style>
  <w:style w:type="character" w:customStyle="1" w:styleId="BalloonTextChar">
    <w:name w:val="Balloon Text Char"/>
    <w:basedOn w:val="DefaultParagraphFont"/>
    <w:link w:val="BalloonText"/>
    <w:rsid w:val="004D181D"/>
    <w:rPr>
      <w:rFonts w:ascii="Tahoma" w:hAnsi="Tahoma" w:cs="Tahoma"/>
      <w:sz w:val="16"/>
      <w:szCs w:val="16"/>
      <w:lang w:val="en-US" w:eastAsia="en-US"/>
    </w:rPr>
  </w:style>
  <w:style w:type="paragraph" w:styleId="ListParagraph">
    <w:name w:val="List Paragraph"/>
    <w:basedOn w:val="Normal"/>
    <w:uiPriority w:val="34"/>
    <w:qFormat/>
    <w:rsid w:val="00496F5B"/>
    <w:pPr>
      <w:ind w:left="720"/>
      <w:contextualSpacing/>
    </w:pPr>
  </w:style>
  <w:style w:type="character" w:styleId="Hyperlink">
    <w:name w:val="Hyperlink"/>
    <w:basedOn w:val="DefaultParagraphFont"/>
    <w:rsid w:val="00187B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773657">
      <w:bodyDiv w:val="1"/>
      <w:marLeft w:val="0"/>
      <w:marRight w:val="0"/>
      <w:marTop w:val="0"/>
      <w:marBottom w:val="0"/>
      <w:divBdr>
        <w:top w:val="none" w:sz="0" w:space="0" w:color="auto"/>
        <w:left w:val="none" w:sz="0" w:space="0" w:color="auto"/>
        <w:bottom w:val="none" w:sz="0" w:space="0" w:color="auto"/>
        <w:right w:val="none" w:sz="0" w:space="0" w:color="auto"/>
      </w:divBdr>
    </w:div>
    <w:div w:id="1148059684">
      <w:bodyDiv w:val="1"/>
      <w:marLeft w:val="0"/>
      <w:marRight w:val="0"/>
      <w:marTop w:val="0"/>
      <w:marBottom w:val="0"/>
      <w:divBdr>
        <w:top w:val="none" w:sz="0" w:space="0" w:color="auto"/>
        <w:left w:val="none" w:sz="0" w:space="0" w:color="auto"/>
        <w:bottom w:val="none" w:sz="0" w:space="0" w:color="auto"/>
        <w:right w:val="none" w:sz="0" w:space="0" w:color="auto"/>
      </w:divBdr>
    </w:div>
    <w:div w:id="1327048406">
      <w:bodyDiv w:val="1"/>
      <w:marLeft w:val="0"/>
      <w:marRight w:val="0"/>
      <w:marTop w:val="0"/>
      <w:marBottom w:val="0"/>
      <w:divBdr>
        <w:top w:val="none" w:sz="0" w:space="0" w:color="auto"/>
        <w:left w:val="none" w:sz="0" w:space="0" w:color="auto"/>
        <w:bottom w:val="none" w:sz="0" w:space="0" w:color="auto"/>
        <w:right w:val="none" w:sz="0" w:space="0" w:color="auto"/>
      </w:divBdr>
    </w:div>
    <w:div w:id="2012902198">
      <w:bodyDiv w:val="1"/>
      <w:marLeft w:val="0"/>
      <w:marRight w:val="0"/>
      <w:marTop w:val="0"/>
      <w:marBottom w:val="0"/>
      <w:divBdr>
        <w:top w:val="none" w:sz="0" w:space="0" w:color="auto"/>
        <w:left w:val="none" w:sz="0" w:space="0" w:color="auto"/>
        <w:bottom w:val="none" w:sz="0" w:space="0" w:color="auto"/>
        <w:right w:val="none" w:sz="0" w:space="0" w:color="auto"/>
      </w:divBdr>
    </w:div>
    <w:div w:id="2040858691">
      <w:bodyDiv w:val="1"/>
      <w:marLeft w:val="0"/>
      <w:marRight w:val="0"/>
      <w:marTop w:val="0"/>
      <w:marBottom w:val="0"/>
      <w:divBdr>
        <w:top w:val="none" w:sz="0" w:space="0" w:color="auto"/>
        <w:left w:val="none" w:sz="0" w:space="0" w:color="auto"/>
        <w:bottom w:val="none" w:sz="0" w:space="0" w:color="auto"/>
        <w:right w:val="none" w:sz="0" w:space="0" w:color="auto"/>
      </w:divBdr>
    </w:div>
    <w:div w:id="21113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ngsfund.org.uk/sites/files/kf/field/field_publication_file/Deficits_in_the_NHS_Kings_Fund_July_2016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5</Pages>
  <Words>2195</Words>
  <Characters>11800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Twomey Teresa (RNU) Oxford Health</cp:lastModifiedBy>
  <cp:revision>4</cp:revision>
  <cp:lastPrinted>2016-09-05T12:48:00Z</cp:lastPrinted>
  <dcterms:created xsi:type="dcterms:W3CDTF">2016-08-09T11:50:00Z</dcterms:created>
  <dcterms:modified xsi:type="dcterms:W3CDTF">2016-09-07T11:43:00Z</dcterms:modified>
</cp:coreProperties>
</file>