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9E" w:rsidRDefault="005531CE" w:rsidP="009F70C5">
      <w:pPr>
        <w:pStyle w:val="Heading1"/>
        <w:jc w:val="center"/>
        <w:rPr>
          <w:sz w:val="28"/>
          <w:u w:val="none"/>
          <w:lang w:val="en-GB"/>
        </w:rPr>
      </w:pPr>
      <w:r>
        <w:rPr>
          <w:noProof/>
          <w:lang w:eastAsia="en-GB"/>
        </w:rPr>
        <w:pict>
          <v:rect id="_x0000_s1026" style="position:absolute;left:0;text-align:left;margin-left:341.25pt;margin-top:29pt;width:102pt;height:59.25pt;z-index:251658240">
            <v:textbox style="mso-next-textbox:#_x0000_s1026" inset="0,0,0,0">
              <w:txbxContent>
                <w:p w:rsidR="005531CE" w:rsidRDefault="005531CE" w:rsidP="005531CE">
                  <w:pPr>
                    <w:pStyle w:val="Heading1"/>
                    <w:jc w:val="center"/>
                    <w:rPr>
                      <w:sz w:val="24"/>
                    </w:rPr>
                  </w:pPr>
                  <w:r>
                    <w:rPr>
                      <w:sz w:val="24"/>
                    </w:rPr>
                    <w:t>PAPER</w:t>
                  </w:r>
                </w:p>
                <w:p w:rsidR="005531CE" w:rsidRPr="0006136A" w:rsidRDefault="005531CE" w:rsidP="005531CE">
                  <w:pPr>
                    <w:pStyle w:val="BodyText"/>
                    <w:rPr>
                      <w:b w:val="0"/>
                    </w:rPr>
                  </w:pPr>
                  <w:r>
                    <w:rPr>
                      <w:b w:val="0"/>
                    </w:rPr>
                    <w:t>MC 20/2012</w:t>
                  </w:r>
                </w:p>
                <w:p w:rsidR="005531CE" w:rsidRDefault="005531CE" w:rsidP="005531CE">
                  <w:pPr>
                    <w:pStyle w:val="BodyText"/>
                    <w:rPr>
                      <w:sz w:val="22"/>
                    </w:rPr>
                  </w:pPr>
                </w:p>
                <w:p w:rsidR="005531CE" w:rsidRDefault="005531CE" w:rsidP="005531CE">
                  <w:pPr>
                    <w:jc w:val="center"/>
                    <w:rPr>
                      <w:b/>
                    </w:rPr>
                  </w:pPr>
                </w:p>
              </w:txbxContent>
            </v:textbox>
          </v:rect>
        </w:pict>
      </w:r>
      <w:r w:rsidR="00BF10D1">
        <w:rPr>
          <w:sz w:val="28"/>
          <w:u w:val="none"/>
        </w:rPr>
        <w:t>Report to the Meeting of the Members’ Council</w:t>
      </w:r>
      <w:r w:rsidR="00BF10D1">
        <w:rPr>
          <w:sz w:val="28"/>
          <w:u w:val="none"/>
        </w:rPr>
        <w:br/>
      </w:r>
    </w:p>
    <w:p w:rsidR="005531CE" w:rsidRDefault="005531CE" w:rsidP="005531CE"/>
    <w:p w:rsidR="005531CE" w:rsidRPr="005531CE" w:rsidRDefault="005531CE" w:rsidP="005531CE"/>
    <w:p w:rsidR="007633DD" w:rsidRPr="000B059E" w:rsidRDefault="00672EF2" w:rsidP="000B059E">
      <w:pPr>
        <w:jc w:val="center"/>
        <w:rPr>
          <w:b/>
          <w:bCs/>
          <w:sz w:val="28"/>
          <w:szCs w:val="28"/>
        </w:rPr>
      </w:pPr>
      <w:r w:rsidRPr="00672EF2">
        <w:rPr>
          <w:rFonts w:ascii="Arial" w:hAnsi="Arial" w:cs="Arial"/>
          <w:b/>
          <w:sz w:val="24"/>
          <w:szCs w:val="24"/>
        </w:rPr>
        <w:t xml:space="preserve">For </w:t>
      </w:r>
      <w:r w:rsidR="00BF10D1">
        <w:rPr>
          <w:rFonts w:ascii="Arial" w:hAnsi="Arial" w:cs="Arial"/>
          <w:b/>
          <w:sz w:val="24"/>
          <w:szCs w:val="24"/>
        </w:rPr>
        <w:t>Assurance</w:t>
      </w:r>
    </w:p>
    <w:p w:rsidR="00C83A83" w:rsidRPr="00BF10D1" w:rsidRDefault="005531CE" w:rsidP="00A1224A">
      <w:pPr>
        <w:jc w:val="center"/>
        <w:rPr>
          <w:rFonts w:ascii="Arial" w:hAnsi="Arial" w:cs="Arial"/>
          <w:b/>
          <w:sz w:val="24"/>
          <w:szCs w:val="24"/>
        </w:rPr>
      </w:pPr>
      <w:r>
        <w:rPr>
          <w:rFonts w:ascii="Arial" w:hAnsi="Arial" w:cs="Arial"/>
          <w:b/>
          <w:sz w:val="24"/>
          <w:szCs w:val="24"/>
        </w:rPr>
        <w:t>8 May</w:t>
      </w:r>
      <w:r w:rsidR="00BF10D1">
        <w:rPr>
          <w:rFonts w:ascii="Arial" w:hAnsi="Arial" w:cs="Arial"/>
          <w:b/>
          <w:sz w:val="24"/>
          <w:szCs w:val="24"/>
        </w:rPr>
        <w:t xml:space="preserve"> 2012 </w:t>
      </w:r>
    </w:p>
    <w:p w:rsidR="00672EF2" w:rsidRPr="00672EF2" w:rsidRDefault="00A1224A" w:rsidP="00672EF2">
      <w:pPr>
        <w:jc w:val="center"/>
        <w:rPr>
          <w:rFonts w:ascii="Arial" w:hAnsi="Arial" w:cs="Arial"/>
          <w:b/>
          <w:bCs/>
          <w:sz w:val="24"/>
          <w:szCs w:val="24"/>
        </w:rPr>
      </w:pPr>
      <w:r>
        <w:rPr>
          <w:rFonts w:ascii="Arial" w:hAnsi="Arial" w:cs="Arial"/>
          <w:b/>
          <w:bCs/>
          <w:sz w:val="24"/>
          <w:szCs w:val="24"/>
        </w:rPr>
        <w:t>March (Month 12</w:t>
      </w:r>
      <w:r w:rsidR="007633DD">
        <w:rPr>
          <w:rFonts w:ascii="Arial" w:hAnsi="Arial" w:cs="Arial"/>
          <w:b/>
          <w:bCs/>
          <w:sz w:val="24"/>
          <w:szCs w:val="24"/>
        </w:rPr>
        <w:t>), 2011/12</w:t>
      </w:r>
    </w:p>
    <w:p w:rsidR="00C83A83" w:rsidRPr="00A1224A" w:rsidRDefault="00A1224A" w:rsidP="00C83A83">
      <w:pPr>
        <w:rPr>
          <w:rFonts w:ascii="Arial" w:hAnsi="Arial" w:cs="Arial"/>
        </w:rPr>
      </w:pPr>
      <w:r>
        <w:rPr>
          <w:rFonts w:ascii="Arial" w:hAnsi="Arial" w:cs="Arial"/>
        </w:rPr>
        <w:t>The Trust has met</w:t>
      </w:r>
      <w:r w:rsidR="00C83A83" w:rsidRPr="00672EF2">
        <w:rPr>
          <w:rFonts w:ascii="Arial" w:hAnsi="Arial" w:cs="Arial"/>
        </w:rPr>
        <w:t xml:space="preserve"> its key financi</w:t>
      </w:r>
      <w:r>
        <w:rPr>
          <w:rFonts w:ascii="Arial" w:hAnsi="Arial" w:cs="Arial"/>
        </w:rPr>
        <w:t>al targets for the year ending 31</w:t>
      </w:r>
      <w:r w:rsidRPr="00A1224A">
        <w:rPr>
          <w:rFonts w:ascii="Arial" w:hAnsi="Arial" w:cs="Arial"/>
          <w:vertAlign w:val="superscript"/>
        </w:rPr>
        <w:t>st</w:t>
      </w:r>
      <w:r>
        <w:rPr>
          <w:rFonts w:ascii="Arial" w:hAnsi="Arial" w:cs="Arial"/>
        </w:rPr>
        <w:t xml:space="preserve"> March 2012</w:t>
      </w:r>
      <w:r w:rsidR="00C83A83" w:rsidRPr="00672EF2">
        <w:rPr>
          <w:rFonts w:ascii="Arial" w:hAnsi="Arial" w:cs="Arial"/>
        </w:rPr>
        <w:t>:</w:t>
      </w:r>
    </w:p>
    <w:p w:rsidR="007C6437" w:rsidRPr="00672EF2" w:rsidRDefault="007C6437" w:rsidP="002962E5">
      <w:pPr>
        <w:numPr>
          <w:ilvl w:val="0"/>
          <w:numId w:val="1"/>
        </w:numPr>
        <w:rPr>
          <w:rFonts w:ascii="Arial" w:hAnsi="Arial" w:cs="Arial"/>
          <w:lang w:val="en-US"/>
        </w:rPr>
      </w:pPr>
      <w:r w:rsidRPr="00672EF2">
        <w:rPr>
          <w:rFonts w:ascii="Arial" w:hAnsi="Arial" w:cs="Arial"/>
        </w:rPr>
        <w:t xml:space="preserve">A </w:t>
      </w:r>
      <w:r w:rsidR="00724BC7">
        <w:rPr>
          <w:rFonts w:ascii="Arial" w:hAnsi="Arial" w:cs="Arial"/>
          <w:b/>
          <w:bCs/>
        </w:rPr>
        <w:t>£2.2</w:t>
      </w:r>
      <w:r w:rsidRPr="00672EF2">
        <w:rPr>
          <w:rFonts w:ascii="Arial" w:hAnsi="Arial" w:cs="Arial"/>
          <w:b/>
          <w:bCs/>
        </w:rPr>
        <w:t>m</w:t>
      </w:r>
      <w:r w:rsidRPr="00672EF2">
        <w:rPr>
          <w:rFonts w:ascii="Arial" w:hAnsi="Arial" w:cs="Arial"/>
        </w:rPr>
        <w:t xml:space="preserve"> surplus, </w:t>
      </w:r>
      <w:r w:rsidR="00724BC7">
        <w:rPr>
          <w:rFonts w:ascii="Arial" w:hAnsi="Arial" w:cs="Arial"/>
          <w:b/>
          <w:bCs/>
        </w:rPr>
        <w:t>£2.8</w:t>
      </w:r>
      <w:r w:rsidRPr="00672EF2">
        <w:rPr>
          <w:rFonts w:ascii="Arial" w:hAnsi="Arial" w:cs="Arial"/>
          <w:b/>
          <w:bCs/>
        </w:rPr>
        <w:t>m</w:t>
      </w:r>
      <w:r w:rsidRPr="00672EF2">
        <w:rPr>
          <w:rFonts w:ascii="Arial" w:hAnsi="Arial" w:cs="Arial"/>
        </w:rPr>
        <w:t xml:space="preserve"> ahead of plan</w:t>
      </w:r>
    </w:p>
    <w:p w:rsidR="007C6437" w:rsidRPr="00D3289F" w:rsidRDefault="007C6437" w:rsidP="00D3289F">
      <w:pPr>
        <w:numPr>
          <w:ilvl w:val="0"/>
          <w:numId w:val="1"/>
        </w:numPr>
        <w:rPr>
          <w:rFonts w:ascii="Arial" w:hAnsi="Arial" w:cs="Arial"/>
          <w:lang w:val="en-US"/>
        </w:rPr>
      </w:pPr>
      <w:r w:rsidRPr="00672EF2">
        <w:rPr>
          <w:rFonts w:ascii="Arial" w:hAnsi="Arial" w:cs="Arial"/>
        </w:rPr>
        <w:t xml:space="preserve">A cash balance of </w:t>
      </w:r>
      <w:r w:rsidR="003E1AC4">
        <w:rPr>
          <w:rFonts w:ascii="Arial" w:hAnsi="Arial" w:cs="Arial"/>
          <w:b/>
          <w:bCs/>
        </w:rPr>
        <w:t>£</w:t>
      </w:r>
      <w:r w:rsidR="00806B64">
        <w:rPr>
          <w:rFonts w:ascii="Arial" w:hAnsi="Arial" w:cs="Arial"/>
          <w:b/>
          <w:bCs/>
        </w:rPr>
        <w:t>22.8</w:t>
      </w:r>
      <w:r w:rsidRPr="00D3289F">
        <w:rPr>
          <w:rFonts w:ascii="Arial" w:hAnsi="Arial" w:cs="Arial"/>
          <w:b/>
          <w:bCs/>
        </w:rPr>
        <w:t>m</w:t>
      </w:r>
      <w:r w:rsidRPr="00D3289F">
        <w:rPr>
          <w:rFonts w:ascii="Arial" w:hAnsi="Arial" w:cs="Arial"/>
        </w:rPr>
        <w:t xml:space="preserve">, </w:t>
      </w:r>
      <w:r w:rsidR="00806B64">
        <w:rPr>
          <w:rFonts w:ascii="Arial" w:hAnsi="Arial" w:cs="Arial"/>
          <w:b/>
          <w:bCs/>
        </w:rPr>
        <w:t>£4.0</w:t>
      </w:r>
      <w:r w:rsidRPr="00D3289F">
        <w:rPr>
          <w:rFonts w:ascii="Arial" w:hAnsi="Arial" w:cs="Arial"/>
          <w:b/>
          <w:bCs/>
        </w:rPr>
        <w:t>m</w:t>
      </w:r>
      <w:r w:rsidR="00D3289F">
        <w:rPr>
          <w:rFonts w:ascii="Arial" w:hAnsi="Arial" w:cs="Arial"/>
        </w:rPr>
        <w:t xml:space="preserve"> ahead of</w:t>
      </w:r>
      <w:r w:rsidR="003E1AC4" w:rsidRPr="00D3289F">
        <w:rPr>
          <w:rFonts w:ascii="Arial" w:hAnsi="Arial" w:cs="Arial"/>
        </w:rPr>
        <w:t xml:space="preserve"> </w:t>
      </w:r>
      <w:r w:rsidRPr="00D3289F">
        <w:rPr>
          <w:rFonts w:ascii="Arial" w:hAnsi="Arial" w:cs="Arial"/>
        </w:rPr>
        <w:t>plan</w:t>
      </w:r>
    </w:p>
    <w:p w:rsidR="007C6437" w:rsidRPr="00672EF2" w:rsidRDefault="00C10236" w:rsidP="002962E5">
      <w:pPr>
        <w:numPr>
          <w:ilvl w:val="0"/>
          <w:numId w:val="1"/>
        </w:numPr>
        <w:rPr>
          <w:rFonts w:ascii="Arial" w:hAnsi="Arial" w:cs="Arial"/>
        </w:rPr>
      </w:pPr>
      <w:r w:rsidRPr="00672EF2">
        <w:rPr>
          <w:rFonts w:ascii="Arial" w:hAnsi="Arial" w:cs="Arial"/>
        </w:rPr>
        <w:t xml:space="preserve">EBITDA </w:t>
      </w:r>
      <w:r w:rsidR="00C83A83" w:rsidRPr="00672EF2">
        <w:rPr>
          <w:rFonts w:ascii="Arial" w:hAnsi="Arial" w:cs="Arial"/>
        </w:rPr>
        <w:t xml:space="preserve">(Earnings before interest, taxation, depreciation and amortisation) </w:t>
      </w:r>
      <w:r w:rsidR="007C6437" w:rsidRPr="00672EF2">
        <w:rPr>
          <w:rFonts w:ascii="Arial" w:hAnsi="Arial" w:cs="Arial"/>
        </w:rPr>
        <w:t xml:space="preserve">of </w:t>
      </w:r>
      <w:r w:rsidR="00806B64">
        <w:rPr>
          <w:rFonts w:ascii="Arial" w:hAnsi="Arial" w:cs="Arial"/>
          <w:b/>
          <w:bCs/>
        </w:rPr>
        <w:t>£13.3</w:t>
      </w:r>
      <w:r w:rsidR="007C6437" w:rsidRPr="00672EF2">
        <w:rPr>
          <w:rFonts w:ascii="Arial" w:hAnsi="Arial" w:cs="Arial"/>
          <w:b/>
          <w:bCs/>
        </w:rPr>
        <w:t>m</w:t>
      </w:r>
      <w:r w:rsidR="007C6437" w:rsidRPr="00672EF2">
        <w:rPr>
          <w:rFonts w:ascii="Arial" w:hAnsi="Arial" w:cs="Arial"/>
        </w:rPr>
        <w:t xml:space="preserve"> against a plan of </w:t>
      </w:r>
      <w:r w:rsidR="00806B64">
        <w:rPr>
          <w:rFonts w:ascii="Arial" w:hAnsi="Arial" w:cs="Arial"/>
          <w:b/>
          <w:bCs/>
        </w:rPr>
        <w:t>£10.6</w:t>
      </w:r>
      <w:r w:rsidR="007C6437" w:rsidRPr="00672EF2">
        <w:rPr>
          <w:rFonts w:ascii="Arial" w:hAnsi="Arial" w:cs="Arial"/>
          <w:b/>
          <w:bCs/>
        </w:rPr>
        <w:t>m</w:t>
      </w:r>
      <w:r w:rsidR="007C6437" w:rsidRPr="00672EF2">
        <w:rPr>
          <w:rFonts w:ascii="Arial" w:hAnsi="Arial" w:cs="Arial"/>
        </w:rPr>
        <w:t xml:space="preserve"> </w:t>
      </w:r>
    </w:p>
    <w:p w:rsidR="00C83A83" w:rsidRPr="00672EF2" w:rsidRDefault="00C83A83" w:rsidP="002962E5">
      <w:pPr>
        <w:numPr>
          <w:ilvl w:val="0"/>
          <w:numId w:val="1"/>
        </w:numPr>
        <w:rPr>
          <w:rFonts w:ascii="Arial" w:hAnsi="Arial" w:cs="Arial"/>
        </w:rPr>
      </w:pPr>
      <w:r w:rsidRPr="00672EF2">
        <w:rPr>
          <w:rFonts w:ascii="Arial" w:hAnsi="Arial" w:cs="Arial"/>
        </w:rPr>
        <w:t xml:space="preserve">A financial risk </w:t>
      </w:r>
      <w:r w:rsidR="00724BC7">
        <w:rPr>
          <w:rFonts w:ascii="Arial" w:hAnsi="Arial" w:cs="Arial"/>
        </w:rPr>
        <w:t>rating of ‘3</w:t>
      </w:r>
      <w:r w:rsidR="007A7AEB">
        <w:rPr>
          <w:rFonts w:ascii="Arial" w:hAnsi="Arial" w:cs="Arial"/>
        </w:rPr>
        <w:t>’</w:t>
      </w:r>
      <w:r w:rsidR="00116361">
        <w:rPr>
          <w:rFonts w:ascii="Arial" w:hAnsi="Arial" w:cs="Arial"/>
        </w:rPr>
        <w:t>,</w:t>
      </w:r>
      <w:r w:rsidR="007A7AEB">
        <w:rPr>
          <w:rFonts w:ascii="Arial" w:hAnsi="Arial" w:cs="Arial"/>
        </w:rPr>
        <w:t xml:space="preserve"> </w:t>
      </w:r>
      <w:r w:rsidR="007A7AEB" w:rsidRPr="001F245E">
        <w:rPr>
          <w:rFonts w:ascii="Arial" w:hAnsi="Arial" w:cs="Arial"/>
        </w:rPr>
        <w:t>in line with plan</w:t>
      </w:r>
    </w:p>
    <w:p w:rsidR="007C6437" w:rsidRPr="00672EF2" w:rsidRDefault="007C6437" w:rsidP="007C6437">
      <w:pPr>
        <w:spacing w:before="120" w:after="120"/>
        <w:jc w:val="both"/>
        <w:rPr>
          <w:rFonts w:ascii="Arial" w:hAnsi="Arial" w:cs="Arial"/>
          <w:b/>
        </w:rPr>
      </w:pPr>
      <w:r w:rsidRPr="00672EF2">
        <w:rPr>
          <w:rFonts w:ascii="Arial" w:hAnsi="Arial" w:cs="Arial"/>
          <w:b/>
        </w:rPr>
        <w:t>Cost improvement plan and target</w:t>
      </w:r>
    </w:p>
    <w:p w:rsidR="007C6437" w:rsidRPr="00672EF2" w:rsidRDefault="00724BC7" w:rsidP="007C6437">
      <w:pPr>
        <w:numPr>
          <w:ilvl w:val="0"/>
          <w:numId w:val="1"/>
        </w:numPr>
        <w:spacing w:before="120" w:after="120"/>
        <w:jc w:val="both"/>
        <w:rPr>
          <w:rFonts w:ascii="Arial" w:hAnsi="Arial" w:cs="Arial"/>
        </w:rPr>
      </w:pPr>
      <w:r>
        <w:rPr>
          <w:rFonts w:ascii="Arial" w:hAnsi="Arial" w:cs="Arial"/>
        </w:rPr>
        <w:t>The Trust had been</w:t>
      </w:r>
      <w:r w:rsidR="007C6437" w:rsidRPr="00672EF2">
        <w:rPr>
          <w:rFonts w:ascii="Arial" w:hAnsi="Arial" w:cs="Arial"/>
        </w:rPr>
        <w:t xml:space="preserve"> monitoring the delivery of savings against an annual plan target of </w:t>
      </w:r>
      <w:r w:rsidR="00D3289F">
        <w:rPr>
          <w:rFonts w:ascii="Arial" w:hAnsi="Arial" w:cs="Arial"/>
          <w:b/>
        </w:rPr>
        <w:t>£12.5</w:t>
      </w:r>
      <w:r w:rsidR="007C6437" w:rsidRPr="00672EF2">
        <w:rPr>
          <w:rFonts w:ascii="Arial" w:hAnsi="Arial" w:cs="Arial"/>
          <w:b/>
        </w:rPr>
        <w:t>m</w:t>
      </w:r>
      <w:r w:rsidR="00D3289F">
        <w:rPr>
          <w:rFonts w:ascii="Arial" w:hAnsi="Arial" w:cs="Arial"/>
        </w:rPr>
        <w:t>.  Divisions and directorates</w:t>
      </w:r>
      <w:r>
        <w:rPr>
          <w:rFonts w:ascii="Arial" w:hAnsi="Arial" w:cs="Arial"/>
        </w:rPr>
        <w:t xml:space="preserve"> </w:t>
      </w:r>
      <w:r w:rsidR="007C6437" w:rsidRPr="00672EF2">
        <w:rPr>
          <w:rFonts w:ascii="Arial" w:hAnsi="Arial" w:cs="Arial"/>
        </w:rPr>
        <w:t>identifi</w:t>
      </w:r>
      <w:r w:rsidR="00F47662" w:rsidRPr="00672EF2">
        <w:rPr>
          <w:rFonts w:ascii="Arial" w:hAnsi="Arial" w:cs="Arial"/>
        </w:rPr>
        <w:t xml:space="preserve">ed schemes </w:t>
      </w:r>
      <w:r w:rsidR="007C6437" w:rsidRPr="00672EF2">
        <w:rPr>
          <w:rFonts w:ascii="Arial" w:hAnsi="Arial" w:cs="Arial"/>
        </w:rPr>
        <w:t xml:space="preserve">totalling </w:t>
      </w:r>
      <w:r>
        <w:rPr>
          <w:rFonts w:ascii="Arial" w:hAnsi="Arial" w:cs="Arial"/>
          <w:b/>
        </w:rPr>
        <w:t>£13.3</w:t>
      </w:r>
      <w:r w:rsidR="007C6437" w:rsidRPr="00672EF2">
        <w:rPr>
          <w:rFonts w:ascii="Arial" w:hAnsi="Arial" w:cs="Arial"/>
          <w:b/>
        </w:rPr>
        <w:t>m</w:t>
      </w:r>
      <w:r>
        <w:rPr>
          <w:rFonts w:ascii="Arial" w:hAnsi="Arial" w:cs="Arial"/>
        </w:rPr>
        <w:t>. Given that</w:t>
      </w:r>
      <w:r w:rsidR="007C6437" w:rsidRPr="00672EF2">
        <w:rPr>
          <w:rFonts w:ascii="Arial" w:hAnsi="Arial" w:cs="Arial"/>
        </w:rPr>
        <w:t xml:space="preserve"> in previous years the </w:t>
      </w:r>
      <w:r w:rsidR="002962E5" w:rsidRPr="00672EF2">
        <w:rPr>
          <w:rFonts w:ascii="Arial" w:hAnsi="Arial" w:cs="Arial"/>
        </w:rPr>
        <w:t>T</w:t>
      </w:r>
      <w:r w:rsidR="007C6437" w:rsidRPr="00672EF2">
        <w:rPr>
          <w:rFonts w:ascii="Arial" w:hAnsi="Arial" w:cs="Arial"/>
        </w:rPr>
        <w:t xml:space="preserve">rust has achieved around </w:t>
      </w:r>
      <w:r>
        <w:rPr>
          <w:rFonts w:ascii="Arial" w:hAnsi="Arial" w:cs="Arial"/>
        </w:rPr>
        <w:t>85% of planned savings this headroom</w:t>
      </w:r>
      <w:r w:rsidR="00F47662" w:rsidRPr="00672EF2">
        <w:rPr>
          <w:rFonts w:ascii="Arial" w:hAnsi="Arial" w:cs="Arial"/>
        </w:rPr>
        <w:t xml:space="preserve"> </w:t>
      </w:r>
      <w:r>
        <w:rPr>
          <w:rFonts w:ascii="Arial" w:hAnsi="Arial" w:cs="Arial"/>
        </w:rPr>
        <w:t>was necessary to help manage the risk of non-delivery of some schemes.</w:t>
      </w:r>
    </w:p>
    <w:p w:rsidR="002962E5" w:rsidRPr="00672EF2" w:rsidRDefault="003E1AC4" w:rsidP="007C6437">
      <w:pPr>
        <w:numPr>
          <w:ilvl w:val="0"/>
          <w:numId w:val="1"/>
        </w:numPr>
        <w:spacing w:before="120" w:after="120"/>
        <w:jc w:val="both"/>
        <w:rPr>
          <w:rFonts w:ascii="Arial" w:hAnsi="Arial" w:cs="Arial"/>
        </w:rPr>
      </w:pPr>
      <w:r>
        <w:rPr>
          <w:rFonts w:ascii="Arial" w:hAnsi="Arial" w:cs="Arial"/>
        </w:rPr>
        <w:t xml:space="preserve">At </w:t>
      </w:r>
      <w:r w:rsidR="00724BC7">
        <w:rPr>
          <w:rFonts w:ascii="Arial" w:hAnsi="Arial" w:cs="Arial"/>
        </w:rPr>
        <w:t xml:space="preserve">the end of this financial year, savings of </w:t>
      </w:r>
      <w:r w:rsidR="00724BC7" w:rsidRPr="00806B64">
        <w:rPr>
          <w:rFonts w:ascii="Arial" w:hAnsi="Arial" w:cs="Arial"/>
          <w:b/>
        </w:rPr>
        <w:t>£11</w:t>
      </w:r>
      <w:r w:rsidR="00BA01E1">
        <w:rPr>
          <w:rFonts w:ascii="Arial" w:hAnsi="Arial" w:cs="Arial"/>
          <w:b/>
        </w:rPr>
        <w:t>.0</w:t>
      </w:r>
      <w:r w:rsidR="00724BC7" w:rsidRPr="00806B64">
        <w:rPr>
          <w:rFonts w:ascii="Arial" w:hAnsi="Arial" w:cs="Arial"/>
          <w:b/>
        </w:rPr>
        <w:t>m</w:t>
      </w:r>
      <w:r w:rsidR="00724BC7">
        <w:rPr>
          <w:rFonts w:ascii="Arial" w:hAnsi="Arial" w:cs="Arial"/>
        </w:rPr>
        <w:t xml:space="preserve"> were delivered</w:t>
      </w:r>
      <w:r w:rsidR="0046312B">
        <w:rPr>
          <w:rFonts w:ascii="Arial" w:hAnsi="Arial" w:cs="Arial"/>
        </w:rPr>
        <w:t>,</w:t>
      </w:r>
      <w:r w:rsidR="007C6437" w:rsidRPr="00672EF2">
        <w:rPr>
          <w:rFonts w:ascii="Arial" w:hAnsi="Arial" w:cs="Arial"/>
        </w:rPr>
        <w:t xml:space="preserve"> </w:t>
      </w:r>
      <w:r w:rsidR="00D3289F">
        <w:rPr>
          <w:rFonts w:ascii="Arial" w:hAnsi="Arial" w:cs="Arial"/>
          <w:b/>
        </w:rPr>
        <w:t>£</w:t>
      </w:r>
      <w:r w:rsidR="00724BC7">
        <w:rPr>
          <w:rFonts w:ascii="Arial" w:hAnsi="Arial" w:cs="Arial"/>
          <w:b/>
        </w:rPr>
        <w:t xml:space="preserve">2.2m </w:t>
      </w:r>
      <w:r w:rsidR="00D3289F">
        <w:rPr>
          <w:rFonts w:ascii="Arial" w:hAnsi="Arial" w:cs="Arial"/>
        </w:rPr>
        <w:t>below</w:t>
      </w:r>
      <w:r w:rsidR="007C6437" w:rsidRPr="00672EF2">
        <w:rPr>
          <w:rFonts w:ascii="Arial" w:hAnsi="Arial" w:cs="Arial"/>
        </w:rPr>
        <w:t xml:space="preserve"> </w:t>
      </w:r>
      <w:r w:rsidR="0046312B" w:rsidRPr="001F245E">
        <w:rPr>
          <w:rFonts w:ascii="Arial" w:hAnsi="Arial" w:cs="Arial"/>
        </w:rPr>
        <w:t>the</w:t>
      </w:r>
      <w:r w:rsidR="0046312B">
        <w:rPr>
          <w:rFonts w:ascii="Arial" w:hAnsi="Arial" w:cs="Arial"/>
        </w:rPr>
        <w:t xml:space="preserve"> </w:t>
      </w:r>
      <w:r w:rsidR="007C6437" w:rsidRPr="00672EF2">
        <w:rPr>
          <w:rFonts w:ascii="Arial" w:hAnsi="Arial" w:cs="Arial"/>
        </w:rPr>
        <w:t>plan</w:t>
      </w:r>
      <w:r w:rsidR="001F245E">
        <w:rPr>
          <w:rFonts w:ascii="Arial" w:hAnsi="Arial" w:cs="Arial"/>
        </w:rPr>
        <w:t xml:space="preserve"> </w:t>
      </w:r>
      <w:r w:rsidR="0046312B" w:rsidRPr="001F245E">
        <w:rPr>
          <w:rFonts w:ascii="Arial" w:hAnsi="Arial" w:cs="Arial"/>
        </w:rPr>
        <w:t>of</w:t>
      </w:r>
      <w:r w:rsidR="007C6437" w:rsidRPr="00672EF2">
        <w:rPr>
          <w:rFonts w:ascii="Arial" w:hAnsi="Arial" w:cs="Arial"/>
        </w:rPr>
        <w:t xml:space="preserve"> </w:t>
      </w:r>
      <w:r w:rsidR="00724BC7">
        <w:rPr>
          <w:rFonts w:ascii="Arial" w:hAnsi="Arial" w:cs="Arial"/>
          <w:b/>
        </w:rPr>
        <w:t>£13.3</w:t>
      </w:r>
      <w:r w:rsidR="00D3289F">
        <w:rPr>
          <w:rFonts w:ascii="Arial" w:hAnsi="Arial" w:cs="Arial"/>
          <w:b/>
        </w:rPr>
        <w:t>m</w:t>
      </w:r>
      <w:r>
        <w:rPr>
          <w:rFonts w:ascii="Arial" w:hAnsi="Arial" w:cs="Arial"/>
          <w:b/>
        </w:rPr>
        <w:t>.</w:t>
      </w:r>
    </w:p>
    <w:p w:rsidR="007C6437" w:rsidRPr="00672EF2" w:rsidRDefault="007C6437" w:rsidP="007C6437">
      <w:pPr>
        <w:rPr>
          <w:rFonts w:ascii="Arial" w:hAnsi="Arial" w:cs="Arial"/>
        </w:rPr>
      </w:pPr>
      <w:r w:rsidRPr="00672EF2">
        <w:rPr>
          <w:rFonts w:ascii="Arial" w:hAnsi="Arial" w:cs="Arial"/>
        </w:rPr>
        <w:t xml:space="preserve">Despite the overall </w:t>
      </w:r>
      <w:r w:rsidR="00BA01E1">
        <w:rPr>
          <w:rFonts w:ascii="Arial" w:hAnsi="Arial" w:cs="Arial"/>
        </w:rPr>
        <w:t>good</w:t>
      </w:r>
      <w:r w:rsidRPr="00672EF2">
        <w:rPr>
          <w:rFonts w:ascii="Arial" w:hAnsi="Arial" w:cs="Arial"/>
        </w:rPr>
        <w:t xml:space="preserve"> </w:t>
      </w:r>
      <w:r w:rsidR="00F47662" w:rsidRPr="00672EF2">
        <w:rPr>
          <w:rFonts w:ascii="Arial" w:hAnsi="Arial" w:cs="Arial"/>
        </w:rPr>
        <w:t xml:space="preserve">financial </w:t>
      </w:r>
      <w:r w:rsidR="007F5D22">
        <w:rPr>
          <w:rFonts w:ascii="Arial" w:hAnsi="Arial" w:cs="Arial"/>
        </w:rPr>
        <w:t>p</w:t>
      </w:r>
      <w:r w:rsidR="00BA01E1">
        <w:rPr>
          <w:rFonts w:ascii="Arial" w:hAnsi="Arial" w:cs="Arial"/>
        </w:rPr>
        <w:t>erformance against plan</w:t>
      </w:r>
      <w:r w:rsidR="00724BC7">
        <w:rPr>
          <w:rFonts w:ascii="Arial" w:hAnsi="Arial" w:cs="Arial"/>
        </w:rPr>
        <w:t>, two</w:t>
      </w:r>
      <w:r w:rsidR="00806B64">
        <w:rPr>
          <w:rFonts w:ascii="Arial" w:hAnsi="Arial" w:cs="Arial"/>
        </w:rPr>
        <w:t xml:space="preserve"> of the four Clinical Divisions</w:t>
      </w:r>
      <w:r w:rsidR="00724BC7">
        <w:rPr>
          <w:rFonts w:ascii="Arial" w:hAnsi="Arial" w:cs="Arial"/>
        </w:rPr>
        <w:t xml:space="preserve"> did not stay </w:t>
      </w:r>
      <w:r w:rsidRPr="00672EF2">
        <w:rPr>
          <w:rFonts w:ascii="Arial" w:hAnsi="Arial" w:cs="Arial"/>
        </w:rPr>
        <w:t xml:space="preserve">within budget: </w:t>
      </w:r>
    </w:p>
    <w:p w:rsidR="007C6437" w:rsidRPr="003E1AC4" w:rsidRDefault="00D3289F" w:rsidP="007C6437">
      <w:pPr>
        <w:numPr>
          <w:ilvl w:val="1"/>
          <w:numId w:val="3"/>
        </w:numPr>
        <w:rPr>
          <w:rFonts w:ascii="Arial" w:hAnsi="Arial" w:cs="Arial"/>
          <w:lang w:val="en-US"/>
        </w:rPr>
      </w:pPr>
      <w:r>
        <w:rPr>
          <w:rFonts w:ascii="Arial" w:hAnsi="Arial" w:cs="Arial"/>
        </w:rPr>
        <w:t>Community Services</w:t>
      </w:r>
      <w:r w:rsidR="007C6437" w:rsidRPr="00672EF2">
        <w:rPr>
          <w:rFonts w:ascii="Arial" w:hAnsi="Arial" w:cs="Arial"/>
        </w:rPr>
        <w:t xml:space="preserve">– </w:t>
      </w:r>
      <w:r>
        <w:rPr>
          <w:rFonts w:ascii="Arial" w:hAnsi="Arial" w:cs="Arial"/>
        </w:rPr>
        <w:t xml:space="preserve">staffing pressures including high bank and agency usage within Community Hospitals, demand pressures within </w:t>
      </w:r>
      <w:r w:rsidRPr="001F245E">
        <w:rPr>
          <w:rFonts w:ascii="Arial" w:hAnsi="Arial" w:cs="Arial"/>
        </w:rPr>
        <w:t>the Out-of</w:t>
      </w:r>
      <w:r>
        <w:rPr>
          <w:rFonts w:ascii="Arial" w:hAnsi="Arial" w:cs="Arial"/>
        </w:rPr>
        <w:t xml:space="preserve"> </w:t>
      </w:r>
      <w:r w:rsidR="001F245E">
        <w:rPr>
          <w:rFonts w:ascii="Arial" w:hAnsi="Arial" w:cs="Arial"/>
        </w:rPr>
        <w:t>H</w:t>
      </w:r>
      <w:r>
        <w:rPr>
          <w:rFonts w:ascii="Arial" w:hAnsi="Arial" w:cs="Arial"/>
        </w:rPr>
        <w:t>ours services and</w:t>
      </w:r>
      <w:r w:rsidR="007C6437" w:rsidRPr="00672EF2">
        <w:rPr>
          <w:rFonts w:ascii="Arial" w:hAnsi="Arial" w:cs="Arial"/>
        </w:rPr>
        <w:t xml:space="preserve"> slippage on cost improvement plans</w:t>
      </w:r>
    </w:p>
    <w:p w:rsidR="007C6437" w:rsidRPr="008449F4" w:rsidRDefault="008449F4" w:rsidP="00672EF2">
      <w:pPr>
        <w:numPr>
          <w:ilvl w:val="1"/>
          <w:numId w:val="3"/>
        </w:numPr>
        <w:rPr>
          <w:rFonts w:ascii="Arial" w:hAnsi="Arial" w:cs="Arial"/>
          <w:lang w:val="en-US"/>
        </w:rPr>
      </w:pPr>
      <w:r w:rsidRPr="008449F4">
        <w:rPr>
          <w:rFonts w:ascii="Arial" w:hAnsi="Arial" w:cs="Arial"/>
        </w:rPr>
        <w:t>Children and Families</w:t>
      </w:r>
      <w:r w:rsidR="007C6437" w:rsidRPr="008449F4">
        <w:rPr>
          <w:rFonts w:ascii="Arial" w:hAnsi="Arial" w:cs="Arial"/>
        </w:rPr>
        <w:t xml:space="preserve"> – </w:t>
      </w:r>
      <w:r w:rsidRPr="008449F4">
        <w:rPr>
          <w:rFonts w:ascii="Arial" w:hAnsi="Arial" w:cs="Arial"/>
        </w:rPr>
        <w:t>FP10 drugs pressures in Swindon CAMHS, staffing pressures in CAMHS inpatient services, non r</w:t>
      </w:r>
      <w:r w:rsidR="001F245E">
        <w:rPr>
          <w:rFonts w:ascii="Arial" w:hAnsi="Arial" w:cs="Arial"/>
        </w:rPr>
        <w:t xml:space="preserve">ecurrent cost pressures within </w:t>
      </w:r>
      <w:proofErr w:type="spellStart"/>
      <w:r w:rsidRPr="008449F4">
        <w:rPr>
          <w:rFonts w:ascii="Arial" w:hAnsi="Arial" w:cs="Arial"/>
        </w:rPr>
        <w:t>Pyschological</w:t>
      </w:r>
      <w:proofErr w:type="spellEnd"/>
      <w:r w:rsidRPr="008449F4">
        <w:rPr>
          <w:rFonts w:ascii="Arial" w:hAnsi="Arial" w:cs="Arial"/>
        </w:rPr>
        <w:t xml:space="preserve"> Therapies and a shortfall in Eating Disorder income largely</w:t>
      </w:r>
      <w:r w:rsidR="00BA01E1">
        <w:rPr>
          <w:rFonts w:ascii="Arial" w:hAnsi="Arial" w:cs="Arial"/>
        </w:rPr>
        <w:t>,</w:t>
      </w:r>
      <w:r w:rsidRPr="008449F4">
        <w:rPr>
          <w:rFonts w:ascii="Arial" w:hAnsi="Arial" w:cs="Arial"/>
        </w:rPr>
        <w:t xml:space="preserve"> </w:t>
      </w:r>
      <w:proofErr w:type="gramStart"/>
      <w:r w:rsidRPr="008449F4">
        <w:rPr>
          <w:rFonts w:ascii="Arial" w:hAnsi="Arial" w:cs="Arial"/>
        </w:rPr>
        <w:t>driven</w:t>
      </w:r>
      <w:proofErr w:type="gramEnd"/>
      <w:r w:rsidRPr="008449F4">
        <w:rPr>
          <w:rFonts w:ascii="Arial" w:hAnsi="Arial" w:cs="Arial"/>
        </w:rPr>
        <w:t xml:space="preserve"> by over-performance on the block contract. </w:t>
      </w:r>
    </w:p>
    <w:p w:rsidR="000B059E" w:rsidRDefault="008449F4" w:rsidP="008449F4">
      <w:pPr>
        <w:rPr>
          <w:rFonts w:ascii="Arial" w:hAnsi="Arial" w:cs="Arial"/>
        </w:rPr>
      </w:pPr>
      <w:r>
        <w:rPr>
          <w:rFonts w:ascii="Arial" w:hAnsi="Arial" w:cs="Arial"/>
        </w:rPr>
        <w:t xml:space="preserve">The OPS </w:t>
      </w:r>
      <w:r w:rsidR="00BA01E1">
        <w:rPr>
          <w:rFonts w:ascii="Arial" w:hAnsi="Arial" w:cs="Arial"/>
        </w:rPr>
        <w:t xml:space="preserve">pharmacy distribution </w:t>
      </w:r>
      <w:r>
        <w:rPr>
          <w:rFonts w:ascii="Arial" w:hAnsi="Arial" w:cs="Arial"/>
        </w:rPr>
        <w:t xml:space="preserve">trading unit has also </w:t>
      </w:r>
      <w:r w:rsidR="00806B64">
        <w:rPr>
          <w:rFonts w:ascii="Arial" w:hAnsi="Arial" w:cs="Arial"/>
        </w:rPr>
        <w:t>showed</w:t>
      </w:r>
      <w:r w:rsidR="00324270">
        <w:rPr>
          <w:rFonts w:ascii="Arial" w:hAnsi="Arial" w:cs="Arial"/>
        </w:rPr>
        <w:t xml:space="preserve"> an adverse performance against plan driven by in year stock write –down and lower trading margins than planne</w:t>
      </w:r>
      <w:r w:rsidR="000B059E">
        <w:rPr>
          <w:rFonts w:ascii="Arial" w:hAnsi="Arial" w:cs="Arial"/>
        </w:rPr>
        <w:t>d</w:t>
      </w:r>
      <w:r w:rsidR="00BA01E1">
        <w:rPr>
          <w:rFonts w:ascii="Arial" w:hAnsi="Arial" w:cs="Arial"/>
        </w:rPr>
        <w:t>.</w:t>
      </w:r>
    </w:p>
    <w:p w:rsidR="00BF10D1" w:rsidRDefault="00460FA3" w:rsidP="008449F4">
      <w:pPr>
        <w:rPr>
          <w:rFonts w:ascii="Arial" w:hAnsi="Arial" w:cs="Arial"/>
          <w:b/>
          <w:lang w:val="en-US"/>
        </w:rPr>
      </w:pPr>
      <w:r w:rsidRPr="00460FA3">
        <w:rPr>
          <w:rFonts w:ascii="Arial" w:hAnsi="Arial" w:cs="Arial"/>
          <w:b/>
          <w:lang w:val="en-US"/>
        </w:rPr>
        <w:t>Capital Expenditure</w:t>
      </w:r>
    </w:p>
    <w:p w:rsidR="00BA01E1" w:rsidRPr="005531CE" w:rsidRDefault="00460FA3" w:rsidP="008449F4">
      <w:pPr>
        <w:rPr>
          <w:rFonts w:ascii="Arial" w:hAnsi="Arial" w:cs="Arial"/>
          <w:lang w:val="en-US"/>
        </w:rPr>
      </w:pPr>
      <w:r w:rsidRPr="00460FA3">
        <w:rPr>
          <w:rFonts w:ascii="Arial" w:hAnsi="Arial" w:cs="Arial"/>
          <w:lang w:val="en-US"/>
        </w:rPr>
        <w:t xml:space="preserve">Capital Programme </w:t>
      </w:r>
      <w:proofErr w:type="gramStart"/>
      <w:r w:rsidRPr="00460FA3">
        <w:rPr>
          <w:rFonts w:ascii="Arial" w:hAnsi="Arial" w:cs="Arial"/>
          <w:lang w:val="en-US"/>
        </w:rPr>
        <w:t>spend</w:t>
      </w:r>
      <w:proofErr w:type="gramEnd"/>
      <w:r w:rsidRPr="00460FA3">
        <w:rPr>
          <w:rFonts w:ascii="Arial" w:hAnsi="Arial" w:cs="Arial"/>
          <w:lang w:val="en-US"/>
        </w:rPr>
        <w:t xml:space="preserve"> for the year ended 31</w:t>
      </w:r>
      <w:r w:rsidRPr="00460FA3">
        <w:rPr>
          <w:rFonts w:ascii="Arial" w:hAnsi="Arial" w:cs="Arial"/>
          <w:vertAlign w:val="superscript"/>
          <w:lang w:val="en-US"/>
        </w:rPr>
        <w:t>st</w:t>
      </w:r>
      <w:r w:rsidRPr="00460FA3">
        <w:rPr>
          <w:rFonts w:ascii="Arial" w:hAnsi="Arial" w:cs="Arial"/>
          <w:lang w:val="en-US"/>
        </w:rPr>
        <w:t xml:space="preserve"> March was £12.9m, £2.0 lower </w:t>
      </w:r>
      <w:r w:rsidR="001F245E" w:rsidRPr="001F245E">
        <w:rPr>
          <w:rFonts w:ascii="Arial" w:hAnsi="Arial" w:cs="Arial"/>
          <w:lang w:val="en-US"/>
        </w:rPr>
        <w:t>than</w:t>
      </w:r>
      <w:r w:rsidRPr="00460FA3">
        <w:rPr>
          <w:rFonts w:ascii="Arial" w:hAnsi="Arial" w:cs="Arial"/>
          <w:lang w:val="en-US"/>
        </w:rPr>
        <w:t xml:space="preserve"> the revised </w:t>
      </w:r>
      <w:proofErr w:type="spellStart"/>
      <w:r w:rsidRPr="00460FA3">
        <w:rPr>
          <w:rFonts w:ascii="Arial" w:hAnsi="Arial" w:cs="Arial"/>
          <w:lang w:val="en-US"/>
        </w:rPr>
        <w:t>programme</w:t>
      </w:r>
      <w:proofErr w:type="spellEnd"/>
      <w:r w:rsidRPr="00460FA3">
        <w:rPr>
          <w:rFonts w:ascii="Arial" w:hAnsi="Arial" w:cs="Arial"/>
          <w:lang w:val="en-US"/>
        </w:rPr>
        <w:t>.</w:t>
      </w:r>
      <w:r>
        <w:rPr>
          <w:rFonts w:ascii="Arial" w:hAnsi="Arial" w:cs="Arial"/>
          <w:lang w:val="en-US"/>
        </w:rPr>
        <w:t xml:space="preserve"> The material variance was driven by delays on the anticipated spend on the </w:t>
      </w:r>
      <w:proofErr w:type="spellStart"/>
      <w:r w:rsidR="00E86C73">
        <w:rPr>
          <w:rFonts w:ascii="Arial" w:hAnsi="Arial" w:cs="Arial"/>
          <w:lang w:val="en-US"/>
        </w:rPr>
        <w:t>Highfield</w:t>
      </w:r>
      <w:proofErr w:type="spellEnd"/>
      <w:r>
        <w:rPr>
          <w:rFonts w:ascii="Arial" w:hAnsi="Arial" w:cs="Arial"/>
          <w:lang w:val="en-US"/>
        </w:rPr>
        <w:t xml:space="preserve"> Development.</w:t>
      </w:r>
      <w:r w:rsidR="00D82526">
        <w:rPr>
          <w:rFonts w:ascii="Arial" w:hAnsi="Arial" w:cs="Arial"/>
          <w:b/>
          <w:lang w:val="en-US"/>
        </w:rPr>
        <w:br w:type="page"/>
      </w:r>
      <w:r w:rsidR="00BA01E1" w:rsidRPr="00BA01E1">
        <w:rPr>
          <w:rFonts w:ascii="Arial" w:hAnsi="Arial" w:cs="Arial"/>
          <w:b/>
          <w:lang w:val="en-US"/>
        </w:rPr>
        <w:lastRenderedPageBreak/>
        <w:t>Financial Risk Rating</w:t>
      </w:r>
    </w:p>
    <w:p w:rsidR="00022C5D" w:rsidRDefault="00BA01E1" w:rsidP="008449F4">
      <w:pPr>
        <w:rPr>
          <w:rFonts w:ascii="Arial" w:hAnsi="Arial" w:cs="Arial"/>
          <w:lang w:val="en-US"/>
        </w:rPr>
      </w:pPr>
      <w:r>
        <w:rPr>
          <w:rFonts w:ascii="Arial" w:hAnsi="Arial" w:cs="Arial"/>
          <w:lang w:val="en-US"/>
        </w:rPr>
        <w:t xml:space="preserve">The Monitor financial risk rating of 3 is in line with the plan submitted to </w:t>
      </w:r>
      <w:proofErr w:type="gramStart"/>
      <w:r>
        <w:rPr>
          <w:rFonts w:ascii="Arial" w:hAnsi="Arial" w:cs="Arial"/>
          <w:lang w:val="en-US"/>
        </w:rPr>
        <w:t>Monitor</w:t>
      </w:r>
      <w:proofErr w:type="gramEnd"/>
      <w:r>
        <w:rPr>
          <w:rFonts w:ascii="Arial" w:hAnsi="Arial" w:cs="Arial"/>
          <w:lang w:val="en-US"/>
        </w:rPr>
        <w:t xml:space="preserve"> at the beginning of the year</w:t>
      </w:r>
      <w:r w:rsidR="00421108">
        <w:rPr>
          <w:rFonts w:ascii="Arial" w:hAnsi="Arial" w:cs="Arial"/>
          <w:lang w:val="en-US"/>
        </w:rPr>
        <w:t xml:space="preserve"> and demonstrates that the risk of integrating the operations of Community Services with those of Mental Health has been managed. The overall financial position of the Trust is sound and would have achieved a 4 rating if EBITDA margin could have been 5.0% or above.</w:t>
      </w:r>
    </w:p>
    <w:p w:rsidR="00421108" w:rsidRDefault="00421108" w:rsidP="008449F4">
      <w:pPr>
        <w:rPr>
          <w:rFonts w:ascii="Arial" w:hAnsi="Arial" w:cs="Arial"/>
          <w:lang w:val="en-US"/>
        </w:rPr>
      </w:pPr>
    </w:p>
    <w:p w:rsidR="00421108" w:rsidRPr="008449F4" w:rsidRDefault="00421108" w:rsidP="008449F4">
      <w:pPr>
        <w:rPr>
          <w:rFonts w:ascii="Arial" w:hAnsi="Arial" w:cs="Arial"/>
          <w:lang w:val="en-US"/>
        </w:rPr>
      </w:pPr>
    </w:p>
    <w:p w:rsidR="007C6437" w:rsidRDefault="00672EF2" w:rsidP="0042468A">
      <w:pPr>
        <w:rPr>
          <w:rFonts w:ascii="Arial" w:hAnsi="Arial" w:cs="Arial"/>
        </w:rPr>
      </w:pPr>
      <w:r w:rsidRPr="0042468A">
        <w:rPr>
          <w:rFonts w:ascii="Arial" w:hAnsi="Arial" w:cs="Arial"/>
          <w:b/>
        </w:rPr>
        <w:t>Author and Title:</w:t>
      </w:r>
      <w:r w:rsidR="0042468A">
        <w:rPr>
          <w:rFonts w:ascii="Arial" w:hAnsi="Arial" w:cs="Arial"/>
        </w:rPr>
        <w:t xml:space="preserve"> Lindley Nevers, Head of Financial Management</w:t>
      </w:r>
    </w:p>
    <w:p w:rsidR="00BF10D1" w:rsidRPr="0042468A" w:rsidRDefault="00BF10D1" w:rsidP="0042468A">
      <w:pPr>
        <w:rPr>
          <w:rFonts w:ascii="Arial" w:hAnsi="Arial" w:cs="Arial"/>
          <w:lang w:val="en-US"/>
        </w:rPr>
      </w:pPr>
      <w:r>
        <w:rPr>
          <w:rFonts w:ascii="Arial" w:hAnsi="Arial" w:cs="Arial"/>
          <w:b/>
        </w:rPr>
        <w:t>Lead Executive Director</w:t>
      </w:r>
      <w:r w:rsidRPr="00BF10D1">
        <w:rPr>
          <w:rFonts w:ascii="Arial" w:hAnsi="Arial" w:cs="Arial"/>
        </w:rPr>
        <w:t>: Mike McEnaney, Director of Finance</w:t>
      </w:r>
    </w:p>
    <w:sectPr w:rsidR="00BF10D1" w:rsidRPr="0042468A" w:rsidSect="005F6D7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7D" w:rsidRDefault="0078577D" w:rsidP="009F70C5">
      <w:pPr>
        <w:spacing w:after="0" w:line="240" w:lineRule="auto"/>
      </w:pPr>
      <w:r>
        <w:separator/>
      </w:r>
    </w:p>
  </w:endnote>
  <w:endnote w:type="continuationSeparator" w:id="0">
    <w:p w:rsidR="0078577D" w:rsidRDefault="0078577D" w:rsidP="009F7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7D" w:rsidRDefault="0078577D" w:rsidP="009F70C5">
      <w:pPr>
        <w:spacing w:after="0" w:line="240" w:lineRule="auto"/>
      </w:pPr>
      <w:r>
        <w:separator/>
      </w:r>
    </w:p>
  </w:footnote>
  <w:footnote w:type="continuationSeparator" w:id="0">
    <w:p w:rsidR="0078577D" w:rsidRDefault="0078577D" w:rsidP="009F7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C5" w:rsidRDefault="009F70C5" w:rsidP="009F70C5">
    <w:pPr>
      <w:pStyle w:val="Header"/>
      <w:tabs>
        <w:tab w:val="clear" w:pos="4513"/>
      </w:tabs>
      <w:ind w:left="993" w:hanging="993"/>
      <w:jc w:val="right"/>
    </w:pPr>
    <w:r w:rsidRPr="000C65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167.25pt;height:34.5pt;visibility:visible">
          <v:imagedata r:id="rId1" o:title="Lo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5BB5"/>
    <w:multiLevelType w:val="hybridMultilevel"/>
    <w:tmpl w:val="A288EA92"/>
    <w:lvl w:ilvl="0" w:tplc="93ACC040">
      <w:start w:val="1"/>
      <w:numFmt w:val="bullet"/>
      <w:lvlText w:val="•"/>
      <w:lvlJc w:val="left"/>
      <w:pPr>
        <w:tabs>
          <w:tab w:val="num" w:pos="720"/>
        </w:tabs>
        <w:ind w:left="720" w:hanging="360"/>
      </w:pPr>
      <w:rPr>
        <w:rFonts w:ascii="Arial" w:hAnsi="Arial" w:hint="default"/>
      </w:rPr>
    </w:lvl>
    <w:lvl w:ilvl="1" w:tplc="01CEBBCA">
      <w:start w:val="1"/>
      <w:numFmt w:val="bullet"/>
      <w:lvlText w:val="•"/>
      <w:lvlJc w:val="left"/>
      <w:pPr>
        <w:tabs>
          <w:tab w:val="num" w:pos="1440"/>
        </w:tabs>
        <w:ind w:left="1440" w:hanging="360"/>
      </w:pPr>
      <w:rPr>
        <w:rFonts w:ascii="Arial" w:hAnsi="Arial" w:hint="default"/>
      </w:rPr>
    </w:lvl>
    <w:lvl w:ilvl="2" w:tplc="AEC8B0E8" w:tentative="1">
      <w:start w:val="1"/>
      <w:numFmt w:val="bullet"/>
      <w:lvlText w:val="•"/>
      <w:lvlJc w:val="left"/>
      <w:pPr>
        <w:tabs>
          <w:tab w:val="num" w:pos="2160"/>
        </w:tabs>
        <w:ind w:left="2160" w:hanging="360"/>
      </w:pPr>
      <w:rPr>
        <w:rFonts w:ascii="Arial" w:hAnsi="Arial" w:hint="default"/>
      </w:rPr>
    </w:lvl>
    <w:lvl w:ilvl="3" w:tplc="6A62A788" w:tentative="1">
      <w:start w:val="1"/>
      <w:numFmt w:val="bullet"/>
      <w:lvlText w:val="•"/>
      <w:lvlJc w:val="left"/>
      <w:pPr>
        <w:tabs>
          <w:tab w:val="num" w:pos="2880"/>
        </w:tabs>
        <w:ind w:left="2880" w:hanging="360"/>
      </w:pPr>
      <w:rPr>
        <w:rFonts w:ascii="Arial" w:hAnsi="Arial" w:hint="default"/>
      </w:rPr>
    </w:lvl>
    <w:lvl w:ilvl="4" w:tplc="8CE6BE06" w:tentative="1">
      <w:start w:val="1"/>
      <w:numFmt w:val="bullet"/>
      <w:lvlText w:val="•"/>
      <w:lvlJc w:val="left"/>
      <w:pPr>
        <w:tabs>
          <w:tab w:val="num" w:pos="3600"/>
        </w:tabs>
        <w:ind w:left="3600" w:hanging="360"/>
      </w:pPr>
      <w:rPr>
        <w:rFonts w:ascii="Arial" w:hAnsi="Arial" w:hint="default"/>
      </w:rPr>
    </w:lvl>
    <w:lvl w:ilvl="5" w:tplc="5C6291B2" w:tentative="1">
      <w:start w:val="1"/>
      <w:numFmt w:val="bullet"/>
      <w:lvlText w:val="•"/>
      <w:lvlJc w:val="left"/>
      <w:pPr>
        <w:tabs>
          <w:tab w:val="num" w:pos="4320"/>
        </w:tabs>
        <w:ind w:left="4320" w:hanging="360"/>
      </w:pPr>
      <w:rPr>
        <w:rFonts w:ascii="Arial" w:hAnsi="Arial" w:hint="default"/>
      </w:rPr>
    </w:lvl>
    <w:lvl w:ilvl="6" w:tplc="D8582910" w:tentative="1">
      <w:start w:val="1"/>
      <w:numFmt w:val="bullet"/>
      <w:lvlText w:val="•"/>
      <w:lvlJc w:val="left"/>
      <w:pPr>
        <w:tabs>
          <w:tab w:val="num" w:pos="5040"/>
        </w:tabs>
        <w:ind w:left="5040" w:hanging="360"/>
      </w:pPr>
      <w:rPr>
        <w:rFonts w:ascii="Arial" w:hAnsi="Arial" w:hint="default"/>
      </w:rPr>
    </w:lvl>
    <w:lvl w:ilvl="7" w:tplc="8EACD3BC" w:tentative="1">
      <w:start w:val="1"/>
      <w:numFmt w:val="bullet"/>
      <w:lvlText w:val="•"/>
      <w:lvlJc w:val="left"/>
      <w:pPr>
        <w:tabs>
          <w:tab w:val="num" w:pos="5760"/>
        </w:tabs>
        <w:ind w:left="5760" w:hanging="360"/>
      </w:pPr>
      <w:rPr>
        <w:rFonts w:ascii="Arial" w:hAnsi="Arial" w:hint="default"/>
      </w:rPr>
    </w:lvl>
    <w:lvl w:ilvl="8" w:tplc="631EDD72" w:tentative="1">
      <w:start w:val="1"/>
      <w:numFmt w:val="bullet"/>
      <w:lvlText w:val="•"/>
      <w:lvlJc w:val="left"/>
      <w:pPr>
        <w:tabs>
          <w:tab w:val="num" w:pos="6480"/>
        </w:tabs>
        <w:ind w:left="6480" w:hanging="360"/>
      </w:pPr>
      <w:rPr>
        <w:rFonts w:ascii="Arial" w:hAnsi="Arial" w:hint="default"/>
      </w:rPr>
    </w:lvl>
  </w:abstractNum>
  <w:abstractNum w:abstractNumId="1">
    <w:nsid w:val="23E7020F"/>
    <w:multiLevelType w:val="hybridMultilevel"/>
    <w:tmpl w:val="4F8E4CD8"/>
    <w:lvl w:ilvl="0" w:tplc="830CE678">
      <w:start w:val="1"/>
      <w:numFmt w:val="bullet"/>
      <w:lvlText w:val="•"/>
      <w:lvlJc w:val="left"/>
      <w:pPr>
        <w:tabs>
          <w:tab w:val="num" w:pos="720"/>
        </w:tabs>
        <w:ind w:left="720" w:hanging="360"/>
      </w:pPr>
      <w:rPr>
        <w:rFonts w:ascii="Times New Roman" w:hAnsi="Times New Roman" w:hint="default"/>
      </w:rPr>
    </w:lvl>
    <w:lvl w:ilvl="1" w:tplc="1568BD58">
      <w:start w:val="1"/>
      <w:numFmt w:val="bullet"/>
      <w:lvlText w:val="•"/>
      <w:lvlJc w:val="left"/>
      <w:pPr>
        <w:tabs>
          <w:tab w:val="num" w:pos="1440"/>
        </w:tabs>
        <w:ind w:left="1440" w:hanging="360"/>
      </w:pPr>
      <w:rPr>
        <w:rFonts w:ascii="Times New Roman" w:hAnsi="Times New Roman" w:hint="default"/>
      </w:rPr>
    </w:lvl>
    <w:lvl w:ilvl="2" w:tplc="5E60FC94" w:tentative="1">
      <w:start w:val="1"/>
      <w:numFmt w:val="bullet"/>
      <w:lvlText w:val="•"/>
      <w:lvlJc w:val="left"/>
      <w:pPr>
        <w:tabs>
          <w:tab w:val="num" w:pos="2160"/>
        </w:tabs>
        <w:ind w:left="2160" w:hanging="360"/>
      </w:pPr>
      <w:rPr>
        <w:rFonts w:ascii="Times New Roman" w:hAnsi="Times New Roman" w:hint="default"/>
      </w:rPr>
    </w:lvl>
    <w:lvl w:ilvl="3" w:tplc="5192B936" w:tentative="1">
      <w:start w:val="1"/>
      <w:numFmt w:val="bullet"/>
      <w:lvlText w:val="•"/>
      <w:lvlJc w:val="left"/>
      <w:pPr>
        <w:tabs>
          <w:tab w:val="num" w:pos="2880"/>
        </w:tabs>
        <w:ind w:left="2880" w:hanging="360"/>
      </w:pPr>
      <w:rPr>
        <w:rFonts w:ascii="Times New Roman" w:hAnsi="Times New Roman" w:hint="default"/>
      </w:rPr>
    </w:lvl>
    <w:lvl w:ilvl="4" w:tplc="F5848C88" w:tentative="1">
      <w:start w:val="1"/>
      <w:numFmt w:val="bullet"/>
      <w:lvlText w:val="•"/>
      <w:lvlJc w:val="left"/>
      <w:pPr>
        <w:tabs>
          <w:tab w:val="num" w:pos="3600"/>
        </w:tabs>
        <w:ind w:left="3600" w:hanging="360"/>
      </w:pPr>
      <w:rPr>
        <w:rFonts w:ascii="Times New Roman" w:hAnsi="Times New Roman" w:hint="default"/>
      </w:rPr>
    </w:lvl>
    <w:lvl w:ilvl="5" w:tplc="AF5869AE" w:tentative="1">
      <w:start w:val="1"/>
      <w:numFmt w:val="bullet"/>
      <w:lvlText w:val="•"/>
      <w:lvlJc w:val="left"/>
      <w:pPr>
        <w:tabs>
          <w:tab w:val="num" w:pos="4320"/>
        </w:tabs>
        <w:ind w:left="4320" w:hanging="360"/>
      </w:pPr>
      <w:rPr>
        <w:rFonts w:ascii="Times New Roman" w:hAnsi="Times New Roman" w:hint="default"/>
      </w:rPr>
    </w:lvl>
    <w:lvl w:ilvl="6" w:tplc="8F6A44E4" w:tentative="1">
      <w:start w:val="1"/>
      <w:numFmt w:val="bullet"/>
      <w:lvlText w:val="•"/>
      <w:lvlJc w:val="left"/>
      <w:pPr>
        <w:tabs>
          <w:tab w:val="num" w:pos="5040"/>
        </w:tabs>
        <w:ind w:left="5040" w:hanging="360"/>
      </w:pPr>
      <w:rPr>
        <w:rFonts w:ascii="Times New Roman" w:hAnsi="Times New Roman" w:hint="default"/>
      </w:rPr>
    </w:lvl>
    <w:lvl w:ilvl="7" w:tplc="50EE0E84" w:tentative="1">
      <w:start w:val="1"/>
      <w:numFmt w:val="bullet"/>
      <w:lvlText w:val="•"/>
      <w:lvlJc w:val="left"/>
      <w:pPr>
        <w:tabs>
          <w:tab w:val="num" w:pos="5760"/>
        </w:tabs>
        <w:ind w:left="5760" w:hanging="360"/>
      </w:pPr>
      <w:rPr>
        <w:rFonts w:ascii="Times New Roman" w:hAnsi="Times New Roman" w:hint="default"/>
      </w:rPr>
    </w:lvl>
    <w:lvl w:ilvl="8" w:tplc="3DDCA9F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49F0EB7"/>
    <w:multiLevelType w:val="hybridMultilevel"/>
    <w:tmpl w:val="BB2C31A2"/>
    <w:lvl w:ilvl="0" w:tplc="74682A2A">
      <w:start w:val="1"/>
      <w:numFmt w:val="bullet"/>
      <w:lvlText w:val="•"/>
      <w:lvlJc w:val="left"/>
      <w:pPr>
        <w:tabs>
          <w:tab w:val="num" w:pos="720"/>
        </w:tabs>
        <w:ind w:left="720" w:hanging="360"/>
      </w:pPr>
      <w:rPr>
        <w:rFonts w:ascii="Times New Roman" w:hAnsi="Times New Roman" w:hint="default"/>
      </w:rPr>
    </w:lvl>
    <w:lvl w:ilvl="1" w:tplc="DF9AB0F6">
      <w:start w:val="1"/>
      <w:numFmt w:val="bullet"/>
      <w:lvlText w:val="•"/>
      <w:lvlJc w:val="left"/>
      <w:pPr>
        <w:tabs>
          <w:tab w:val="num" w:pos="1440"/>
        </w:tabs>
        <w:ind w:left="1440" w:hanging="360"/>
      </w:pPr>
      <w:rPr>
        <w:rFonts w:ascii="Times New Roman" w:hAnsi="Times New Roman" w:hint="default"/>
      </w:rPr>
    </w:lvl>
    <w:lvl w:ilvl="2" w:tplc="3E522EF2" w:tentative="1">
      <w:start w:val="1"/>
      <w:numFmt w:val="bullet"/>
      <w:lvlText w:val="•"/>
      <w:lvlJc w:val="left"/>
      <w:pPr>
        <w:tabs>
          <w:tab w:val="num" w:pos="2160"/>
        </w:tabs>
        <w:ind w:left="2160" w:hanging="360"/>
      </w:pPr>
      <w:rPr>
        <w:rFonts w:ascii="Times New Roman" w:hAnsi="Times New Roman" w:hint="default"/>
      </w:rPr>
    </w:lvl>
    <w:lvl w:ilvl="3" w:tplc="4476F2E8" w:tentative="1">
      <w:start w:val="1"/>
      <w:numFmt w:val="bullet"/>
      <w:lvlText w:val="•"/>
      <w:lvlJc w:val="left"/>
      <w:pPr>
        <w:tabs>
          <w:tab w:val="num" w:pos="2880"/>
        </w:tabs>
        <w:ind w:left="2880" w:hanging="360"/>
      </w:pPr>
      <w:rPr>
        <w:rFonts w:ascii="Times New Roman" w:hAnsi="Times New Roman" w:hint="default"/>
      </w:rPr>
    </w:lvl>
    <w:lvl w:ilvl="4" w:tplc="76E6B49A" w:tentative="1">
      <w:start w:val="1"/>
      <w:numFmt w:val="bullet"/>
      <w:lvlText w:val="•"/>
      <w:lvlJc w:val="left"/>
      <w:pPr>
        <w:tabs>
          <w:tab w:val="num" w:pos="3600"/>
        </w:tabs>
        <w:ind w:left="3600" w:hanging="360"/>
      </w:pPr>
      <w:rPr>
        <w:rFonts w:ascii="Times New Roman" w:hAnsi="Times New Roman" w:hint="default"/>
      </w:rPr>
    </w:lvl>
    <w:lvl w:ilvl="5" w:tplc="17989576" w:tentative="1">
      <w:start w:val="1"/>
      <w:numFmt w:val="bullet"/>
      <w:lvlText w:val="•"/>
      <w:lvlJc w:val="left"/>
      <w:pPr>
        <w:tabs>
          <w:tab w:val="num" w:pos="4320"/>
        </w:tabs>
        <w:ind w:left="4320" w:hanging="360"/>
      </w:pPr>
      <w:rPr>
        <w:rFonts w:ascii="Times New Roman" w:hAnsi="Times New Roman" w:hint="default"/>
      </w:rPr>
    </w:lvl>
    <w:lvl w:ilvl="6" w:tplc="5F641266" w:tentative="1">
      <w:start w:val="1"/>
      <w:numFmt w:val="bullet"/>
      <w:lvlText w:val="•"/>
      <w:lvlJc w:val="left"/>
      <w:pPr>
        <w:tabs>
          <w:tab w:val="num" w:pos="5040"/>
        </w:tabs>
        <w:ind w:left="5040" w:hanging="360"/>
      </w:pPr>
      <w:rPr>
        <w:rFonts w:ascii="Times New Roman" w:hAnsi="Times New Roman" w:hint="default"/>
      </w:rPr>
    </w:lvl>
    <w:lvl w:ilvl="7" w:tplc="3B549310" w:tentative="1">
      <w:start w:val="1"/>
      <w:numFmt w:val="bullet"/>
      <w:lvlText w:val="•"/>
      <w:lvlJc w:val="left"/>
      <w:pPr>
        <w:tabs>
          <w:tab w:val="num" w:pos="5760"/>
        </w:tabs>
        <w:ind w:left="5760" w:hanging="360"/>
      </w:pPr>
      <w:rPr>
        <w:rFonts w:ascii="Times New Roman" w:hAnsi="Times New Roman" w:hint="default"/>
      </w:rPr>
    </w:lvl>
    <w:lvl w:ilvl="8" w:tplc="4A2A98A2" w:tentative="1">
      <w:start w:val="1"/>
      <w:numFmt w:val="bullet"/>
      <w:lvlText w:val="•"/>
      <w:lvlJc w:val="left"/>
      <w:pPr>
        <w:tabs>
          <w:tab w:val="num" w:pos="6480"/>
        </w:tabs>
        <w:ind w:left="6480" w:hanging="360"/>
      </w:pPr>
      <w:rPr>
        <w:rFonts w:ascii="Times New Roman" w:hAnsi="Times New Roman" w:hint="default"/>
      </w:rPr>
    </w:lvl>
  </w:abstractNum>
  <w:abstractNum w:abstractNumId="3">
    <w:nsid w:val="7C0523E4"/>
    <w:multiLevelType w:val="hybridMultilevel"/>
    <w:tmpl w:val="FF04C1E8"/>
    <w:lvl w:ilvl="0" w:tplc="59B622A2">
      <w:start w:val="1"/>
      <w:numFmt w:val="bullet"/>
      <w:lvlText w:val="•"/>
      <w:lvlJc w:val="left"/>
      <w:pPr>
        <w:tabs>
          <w:tab w:val="num" w:pos="720"/>
        </w:tabs>
        <w:ind w:left="720" w:hanging="360"/>
      </w:pPr>
      <w:rPr>
        <w:rFonts w:ascii="Times New Roman" w:hAnsi="Times New Roman" w:hint="default"/>
      </w:rPr>
    </w:lvl>
    <w:lvl w:ilvl="1" w:tplc="29E48160">
      <w:start w:val="1"/>
      <w:numFmt w:val="bullet"/>
      <w:lvlText w:val="•"/>
      <w:lvlJc w:val="left"/>
      <w:pPr>
        <w:tabs>
          <w:tab w:val="num" w:pos="1440"/>
        </w:tabs>
        <w:ind w:left="1440" w:hanging="360"/>
      </w:pPr>
      <w:rPr>
        <w:rFonts w:ascii="Times New Roman" w:hAnsi="Times New Roman" w:hint="default"/>
      </w:rPr>
    </w:lvl>
    <w:lvl w:ilvl="2" w:tplc="B7E447D8" w:tentative="1">
      <w:start w:val="1"/>
      <w:numFmt w:val="bullet"/>
      <w:lvlText w:val="•"/>
      <w:lvlJc w:val="left"/>
      <w:pPr>
        <w:tabs>
          <w:tab w:val="num" w:pos="2160"/>
        </w:tabs>
        <w:ind w:left="2160" w:hanging="360"/>
      </w:pPr>
      <w:rPr>
        <w:rFonts w:ascii="Times New Roman" w:hAnsi="Times New Roman" w:hint="default"/>
      </w:rPr>
    </w:lvl>
    <w:lvl w:ilvl="3" w:tplc="8312BA64" w:tentative="1">
      <w:start w:val="1"/>
      <w:numFmt w:val="bullet"/>
      <w:lvlText w:val="•"/>
      <w:lvlJc w:val="left"/>
      <w:pPr>
        <w:tabs>
          <w:tab w:val="num" w:pos="2880"/>
        </w:tabs>
        <w:ind w:left="2880" w:hanging="360"/>
      </w:pPr>
      <w:rPr>
        <w:rFonts w:ascii="Times New Roman" w:hAnsi="Times New Roman" w:hint="default"/>
      </w:rPr>
    </w:lvl>
    <w:lvl w:ilvl="4" w:tplc="40964D6C" w:tentative="1">
      <w:start w:val="1"/>
      <w:numFmt w:val="bullet"/>
      <w:lvlText w:val="•"/>
      <w:lvlJc w:val="left"/>
      <w:pPr>
        <w:tabs>
          <w:tab w:val="num" w:pos="3600"/>
        </w:tabs>
        <w:ind w:left="3600" w:hanging="360"/>
      </w:pPr>
      <w:rPr>
        <w:rFonts w:ascii="Times New Roman" w:hAnsi="Times New Roman" w:hint="default"/>
      </w:rPr>
    </w:lvl>
    <w:lvl w:ilvl="5" w:tplc="AB962D78" w:tentative="1">
      <w:start w:val="1"/>
      <w:numFmt w:val="bullet"/>
      <w:lvlText w:val="•"/>
      <w:lvlJc w:val="left"/>
      <w:pPr>
        <w:tabs>
          <w:tab w:val="num" w:pos="4320"/>
        </w:tabs>
        <w:ind w:left="4320" w:hanging="360"/>
      </w:pPr>
      <w:rPr>
        <w:rFonts w:ascii="Times New Roman" w:hAnsi="Times New Roman" w:hint="default"/>
      </w:rPr>
    </w:lvl>
    <w:lvl w:ilvl="6" w:tplc="B9709D64" w:tentative="1">
      <w:start w:val="1"/>
      <w:numFmt w:val="bullet"/>
      <w:lvlText w:val="•"/>
      <w:lvlJc w:val="left"/>
      <w:pPr>
        <w:tabs>
          <w:tab w:val="num" w:pos="5040"/>
        </w:tabs>
        <w:ind w:left="5040" w:hanging="360"/>
      </w:pPr>
      <w:rPr>
        <w:rFonts w:ascii="Times New Roman" w:hAnsi="Times New Roman" w:hint="default"/>
      </w:rPr>
    </w:lvl>
    <w:lvl w:ilvl="7" w:tplc="905E130A" w:tentative="1">
      <w:start w:val="1"/>
      <w:numFmt w:val="bullet"/>
      <w:lvlText w:val="•"/>
      <w:lvlJc w:val="left"/>
      <w:pPr>
        <w:tabs>
          <w:tab w:val="num" w:pos="5760"/>
        </w:tabs>
        <w:ind w:left="5760" w:hanging="360"/>
      </w:pPr>
      <w:rPr>
        <w:rFonts w:ascii="Times New Roman" w:hAnsi="Times New Roman" w:hint="default"/>
      </w:rPr>
    </w:lvl>
    <w:lvl w:ilvl="8" w:tplc="A9BC359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3A83"/>
    <w:rsid w:val="00022C5D"/>
    <w:rsid w:val="000238C4"/>
    <w:rsid w:val="000B059E"/>
    <w:rsid w:val="00116361"/>
    <w:rsid w:val="00153B4F"/>
    <w:rsid w:val="001766F1"/>
    <w:rsid w:val="001B0FB6"/>
    <w:rsid w:val="001D3A0D"/>
    <w:rsid w:val="001F245E"/>
    <w:rsid w:val="002962E5"/>
    <w:rsid w:val="00324270"/>
    <w:rsid w:val="00397525"/>
    <w:rsid w:val="003E1AC4"/>
    <w:rsid w:val="00413C90"/>
    <w:rsid w:val="00421108"/>
    <w:rsid w:val="0042468A"/>
    <w:rsid w:val="004432F6"/>
    <w:rsid w:val="00460FA3"/>
    <w:rsid w:val="0046312B"/>
    <w:rsid w:val="004A6EDD"/>
    <w:rsid w:val="005156B3"/>
    <w:rsid w:val="005531CE"/>
    <w:rsid w:val="005726BF"/>
    <w:rsid w:val="005C306B"/>
    <w:rsid w:val="005F6D75"/>
    <w:rsid w:val="00672EF2"/>
    <w:rsid w:val="00724BC7"/>
    <w:rsid w:val="007633DD"/>
    <w:rsid w:val="0078577D"/>
    <w:rsid w:val="007A7AEB"/>
    <w:rsid w:val="007C6437"/>
    <w:rsid w:val="007F5D22"/>
    <w:rsid w:val="00806B64"/>
    <w:rsid w:val="008449F4"/>
    <w:rsid w:val="008C1F2D"/>
    <w:rsid w:val="009F70C5"/>
    <w:rsid w:val="00A1224A"/>
    <w:rsid w:val="00A3197C"/>
    <w:rsid w:val="00AD4DD8"/>
    <w:rsid w:val="00AF4197"/>
    <w:rsid w:val="00B0435D"/>
    <w:rsid w:val="00BA01E1"/>
    <w:rsid w:val="00BF10D1"/>
    <w:rsid w:val="00C10236"/>
    <w:rsid w:val="00C13CD4"/>
    <w:rsid w:val="00C422BC"/>
    <w:rsid w:val="00C83A83"/>
    <w:rsid w:val="00D15143"/>
    <w:rsid w:val="00D3289F"/>
    <w:rsid w:val="00D82526"/>
    <w:rsid w:val="00DC55E6"/>
    <w:rsid w:val="00DD357C"/>
    <w:rsid w:val="00E86C73"/>
    <w:rsid w:val="00F47662"/>
    <w:rsid w:val="00F57ABF"/>
    <w:rsid w:val="00FC56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75"/>
    <w:pPr>
      <w:spacing w:after="200" w:line="276" w:lineRule="auto"/>
    </w:pPr>
    <w:rPr>
      <w:sz w:val="22"/>
      <w:szCs w:val="22"/>
      <w:lang w:eastAsia="en-US"/>
    </w:rPr>
  </w:style>
  <w:style w:type="paragraph" w:styleId="Heading1">
    <w:name w:val="heading 1"/>
    <w:basedOn w:val="Normal"/>
    <w:next w:val="Normal"/>
    <w:link w:val="Heading1Char"/>
    <w:qFormat/>
    <w:rsid w:val="00672EF2"/>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2EF2"/>
    <w:rPr>
      <w:rFonts w:ascii="Arial" w:eastAsia="Times New Roman" w:hAnsi="Arial"/>
      <w:b/>
      <w:u w:val="single"/>
      <w:lang w:eastAsia="en-US"/>
    </w:rPr>
  </w:style>
  <w:style w:type="paragraph" w:styleId="Header">
    <w:name w:val="header"/>
    <w:basedOn w:val="Normal"/>
    <w:link w:val="HeaderChar"/>
    <w:uiPriority w:val="99"/>
    <w:unhideWhenUsed/>
    <w:rsid w:val="009F70C5"/>
    <w:pPr>
      <w:tabs>
        <w:tab w:val="center" w:pos="4513"/>
        <w:tab w:val="right" w:pos="9026"/>
      </w:tabs>
    </w:pPr>
    <w:rPr>
      <w:lang/>
    </w:rPr>
  </w:style>
  <w:style w:type="character" w:customStyle="1" w:styleId="HeaderChar">
    <w:name w:val="Header Char"/>
    <w:link w:val="Header"/>
    <w:uiPriority w:val="99"/>
    <w:rsid w:val="009F70C5"/>
    <w:rPr>
      <w:sz w:val="22"/>
      <w:szCs w:val="22"/>
      <w:lang w:eastAsia="en-US"/>
    </w:rPr>
  </w:style>
  <w:style w:type="paragraph" w:styleId="Footer">
    <w:name w:val="footer"/>
    <w:basedOn w:val="Normal"/>
    <w:link w:val="FooterChar"/>
    <w:uiPriority w:val="99"/>
    <w:semiHidden/>
    <w:unhideWhenUsed/>
    <w:rsid w:val="009F70C5"/>
    <w:pPr>
      <w:tabs>
        <w:tab w:val="center" w:pos="4513"/>
        <w:tab w:val="right" w:pos="9026"/>
      </w:tabs>
    </w:pPr>
    <w:rPr>
      <w:lang/>
    </w:rPr>
  </w:style>
  <w:style w:type="character" w:customStyle="1" w:styleId="FooterChar">
    <w:name w:val="Footer Char"/>
    <w:link w:val="Footer"/>
    <w:uiPriority w:val="99"/>
    <w:semiHidden/>
    <w:rsid w:val="009F70C5"/>
    <w:rPr>
      <w:sz w:val="22"/>
      <w:szCs w:val="22"/>
      <w:lang w:eastAsia="en-US"/>
    </w:rPr>
  </w:style>
  <w:style w:type="paragraph" w:styleId="BalloonText">
    <w:name w:val="Balloon Text"/>
    <w:basedOn w:val="Normal"/>
    <w:link w:val="BalloonTextChar"/>
    <w:uiPriority w:val="99"/>
    <w:semiHidden/>
    <w:unhideWhenUsed/>
    <w:rsid w:val="009F70C5"/>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F70C5"/>
    <w:rPr>
      <w:rFonts w:ascii="Tahoma" w:hAnsi="Tahoma" w:cs="Tahoma"/>
      <w:sz w:val="16"/>
      <w:szCs w:val="16"/>
      <w:lang w:eastAsia="en-US"/>
    </w:rPr>
  </w:style>
  <w:style w:type="paragraph" w:styleId="BodyText">
    <w:name w:val="Body Text"/>
    <w:basedOn w:val="Normal"/>
    <w:link w:val="BodyTextChar"/>
    <w:rsid w:val="005531CE"/>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5531CE"/>
    <w:rPr>
      <w:rFonts w:ascii="Arial" w:eastAsia="Times New Roman" w:hAnsi="Arial" w:cs="Arial"/>
      <w:b/>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30495716">
      <w:bodyDiv w:val="1"/>
      <w:marLeft w:val="0"/>
      <w:marRight w:val="0"/>
      <w:marTop w:val="0"/>
      <w:marBottom w:val="0"/>
      <w:divBdr>
        <w:top w:val="none" w:sz="0" w:space="0" w:color="auto"/>
        <w:left w:val="none" w:sz="0" w:space="0" w:color="auto"/>
        <w:bottom w:val="none" w:sz="0" w:space="0" w:color="auto"/>
        <w:right w:val="none" w:sz="0" w:space="0" w:color="auto"/>
      </w:divBdr>
      <w:divsChild>
        <w:div w:id="758988310">
          <w:marLeft w:val="1123"/>
          <w:marRight w:val="0"/>
          <w:marTop w:val="0"/>
          <w:marBottom w:val="0"/>
          <w:divBdr>
            <w:top w:val="none" w:sz="0" w:space="0" w:color="auto"/>
            <w:left w:val="none" w:sz="0" w:space="0" w:color="auto"/>
            <w:bottom w:val="none" w:sz="0" w:space="0" w:color="auto"/>
            <w:right w:val="none" w:sz="0" w:space="0" w:color="auto"/>
          </w:divBdr>
        </w:div>
        <w:div w:id="1143543180">
          <w:marLeft w:val="1123"/>
          <w:marRight w:val="0"/>
          <w:marTop w:val="0"/>
          <w:marBottom w:val="0"/>
          <w:divBdr>
            <w:top w:val="none" w:sz="0" w:space="0" w:color="auto"/>
            <w:left w:val="none" w:sz="0" w:space="0" w:color="auto"/>
            <w:bottom w:val="none" w:sz="0" w:space="0" w:color="auto"/>
            <w:right w:val="none" w:sz="0" w:space="0" w:color="auto"/>
          </w:divBdr>
        </w:div>
        <w:div w:id="1548758374">
          <w:marLeft w:val="1123"/>
          <w:marRight w:val="0"/>
          <w:marTop w:val="0"/>
          <w:marBottom w:val="0"/>
          <w:divBdr>
            <w:top w:val="none" w:sz="0" w:space="0" w:color="auto"/>
            <w:left w:val="none" w:sz="0" w:space="0" w:color="auto"/>
            <w:bottom w:val="none" w:sz="0" w:space="0" w:color="auto"/>
            <w:right w:val="none" w:sz="0" w:space="0" w:color="auto"/>
          </w:divBdr>
        </w:div>
        <w:div w:id="2048405987">
          <w:marLeft w:val="1123"/>
          <w:marRight w:val="0"/>
          <w:marTop w:val="0"/>
          <w:marBottom w:val="0"/>
          <w:divBdr>
            <w:top w:val="none" w:sz="0" w:space="0" w:color="auto"/>
            <w:left w:val="none" w:sz="0" w:space="0" w:color="auto"/>
            <w:bottom w:val="none" w:sz="0" w:space="0" w:color="auto"/>
            <w:right w:val="none" w:sz="0" w:space="0" w:color="auto"/>
          </w:divBdr>
        </w:div>
      </w:divsChild>
    </w:div>
    <w:div w:id="847715880">
      <w:bodyDiv w:val="1"/>
      <w:marLeft w:val="0"/>
      <w:marRight w:val="0"/>
      <w:marTop w:val="0"/>
      <w:marBottom w:val="0"/>
      <w:divBdr>
        <w:top w:val="none" w:sz="0" w:space="0" w:color="auto"/>
        <w:left w:val="none" w:sz="0" w:space="0" w:color="auto"/>
        <w:bottom w:val="none" w:sz="0" w:space="0" w:color="auto"/>
        <w:right w:val="none" w:sz="0" w:space="0" w:color="auto"/>
      </w:divBdr>
      <w:divsChild>
        <w:div w:id="388454881">
          <w:marLeft w:val="1123"/>
          <w:marRight w:val="0"/>
          <w:marTop w:val="14"/>
          <w:marBottom w:val="14"/>
          <w:divBdr>
            <w:top w:val="none" w:sz="0" w:space="0" w:color="auto"/>
            <w:left w:val="none" w:sz="0" w:space="0" w:color="auto"/>
            <w:bottom w:val="none" w:sz="0" w:space="0" w:color="auto"/>
            <w:right w:val="none" w:sz="0" w:space="0" w:color="auto"/>
          </w:divBdr>
        </w:div>
        <w:div w:id="1123160926">
          <w:marLeft w:val="1123"/>
          <w:marRight w:val="0"/>
          <w:marTop w:val="14"/>
          <w:marBottom w:val="14"/>
          <w:divBdr>
            <w:top w:val="none" w:sz="0" w:space="0" w:color="auto"/>
            <w:left w:val="none" w:sz="0" w:space="0" w:color="auto"/>
            <w:bottom w:val="none" w:sz="0" w:space="0" w:color="auto"/>
            <w:right w:val="none" w:sz="0" w:space="0" w:color="auto"/>
          </w:divBdr>
        </w:div>
        <w:div w:id="1859810647">
          <w:marLeft w:val="1123"/>
          <w:marRight w:val="0"/>
          <w:marTop w:val="14"/>
          <w:marBottom w:val="14"/>
          <w:divBdr>
            <w:top w:val="none" w:sz="0" w:space="0" w:color="auto"/>
            <w:left w:val="none" w:sz="0" w:space="0" w:color="auto"/>
            <w:bottom w:val="none" w:sz="0" w:space="0" w:color="auto"/>
            <w:right w:val="none" w:sz="0" w:space="0" w:color="auto"/>
          </w:divBdr>
        </w:div>
      </w:divsChild>
    </w:div>
    <w:div w:id="979381253">
      <w:bodyDiv w:val="1"/>
      <w:marLeft w:val="0"/>
      <w:marRight w:val="0"/>
      <w:marTop w:val="0"/>
      <w:marBottom w:val="0"/>
      <w:divBdr>
        <w:top w:val="none" w:sz="0" w:space="0" w:color="auto"/>
        <w:left w:val="none" w:sz="0" w:space="0" w:color="auto"/>
        <w:bottom w:val="none" w:sz="0" w:space="0" w:color="auto"/>
        <w:right w:val="none" w:sz="0" w:space="0" w:color="auto"/>
      </w:divBdr>
    </w:div>
    <w:div w:id="1195272211">
      <w:bodyDiv w:val="1"/>
      <w:marLeft w:val="0"/>
      <w:marRight w:val="0"/>
      <w:marTop w:val="0"/>
      <w:marBottom w:val="0"/>
      <w:divBdr>
        <w:top w:val="none" w:sz="0" w:space="0" w:color="auto"/>
        <w:left w:val="none" w:sz="0" w:space="0" w:color="auto"/>
        <w:bottom w:val="none" w:sz="0" w:space="0" w:color="auto"/>
        <w:right w:val="none" w:sz="0" w:space="0" w:color="auto"/>
      </w:divBdr>
      <w:divsChild>
        <w:div w:id="1334261586">
          <w:marLeft w:val="1123"/>
          <w:marRight w:val="0"/>
          <w:marTop w:val="14"/>
          <w:marBottom w:val="14"/>
          <w:divBdr>
            <w:top w:val="none" w:sz="0" w:space="0" w:color="auto"/>
            <w:left w:val="none" w:sz="0" w:space="0" w:color="auto"/>
            <w:bottom w:val="none" w:sz="0" w:space="0" w:color="auto"/>
            <w:right w:val="none" w:sz="0" w:space="0" w:color="auto"/>
          </w:divBdr>
        </w:div>
        <w:div w:id="1497720808">
          <w:marLeft w:val="1123"/>
          <w:marRight w:val="0"/>
          <w:marTop w:val="14"/>
          <w:marBottom w:val="14"/>
          <w:divBdr>
            <w:top w:val="none" w:sz="0" w:space="0" w:color="auto"/>
            <w:left w:val="none" w:sz="0" w:space="0" w:color="auto"/>
            <w:bottom w:val="none" w:sz="0" w:space="0" w:color="auto"/>
            <w:right w:val="none" w:sz="0" w:space="0" w:color="auto"/>
          </w:divBdr>
        </w:div>
        <w:div w:id="1737242453">
          <w:marLeft w:val="1123"/>
          <w:marRight w:val="0"/>
          <w:marTop w:val="14"/>
          <w:marBottom w:val="14"/>
          <w:divBdr>
            <w:top w:val="none" w:sz="0" w:space="0" w:color="auto"/>
            <w:left w:val="none" w:sz="0" w:space="0" w:color="auto"/>
            <w:bottom w:val="none" w:sz="0" w:space="0" w:color="auto"/>
            <w:right w:val="none" w:sz="0" w:space="0" w:color="auto"/>
          </w:divBdr>
        </w:div>
        <w:div w:id="1976177701">
          <w:marLeft w:val="1123"/>
          <w:marRight w:val="0"/>
          <w:marTop w:val="14"/>
          <w:marBottom w:val="1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Finance Report</vt:lpstr>
    </vt:vector>
  </TitlesOfParts>
  <Company>NHS</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Report</dc:title>
  <dc:subject/>
  <dc:creator>julie.waldron</dc:creator>
  <cp:keywords/>
  <dc:description/>
  <cp:lastModifiedBy>Habner Justinian (RNU) OBMH</cp:lastModifiedBy>
  <cp:revision>2</cp:revision>
  <dcterms:created xsi:type="dcterms:W3CDTF">2012-04-30T09:50:00Z</dcterms:created>
  <dcterms:modified xsi:type="dcterms:W3CDTF">2012-04-30T09:50:00Z</dcterms:modified>
</cp:coreProperties>
</file>