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F2" w:rsidRPr="003D4694" w:rsidRDefault="00A17FF2" w:rsidP="003A42AB">
      <w:pPr>
        <w:spacing w:line="240" w:lineRule="auto"/>
        <w:jc w:val="right"/>
        <w:rPr>
          <w:rFonts w:ascii="Segoe UI" w:hAnsi="Segoe UI" w:cs="Segoe UI"/>
        </w:rPr>
      </w:pPr>
      <w:r w:rsidRPr="003D4694">
        <w:rPr>
          <w:rFonts w:ascii="Segoe UI" w:hAnsi="Segoe UI" w:cs="Segoe UI"/>
          <w:noProof/>
          <w:lang w:eastAsia="en-GB"/>
        </w:rPr>
        <w:drawing>
          <wp:inline distT="0" distB="0" distL="0" distR="0">
            <wp:extent cx="2552700" cy="504825"/>
            <wp:effectExtent l="19050" t="0" r="0"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A17FF2" w:rsidRPr="003D4694" w:rsidRDefault="00A17FF2" w:rsidP="009B0BB5">
      <w:pPr>
        <w:spacing w:line="240" w:lineRule="auto"/>
        <w:jc w:val="both"/>
        <w:rPr>
          <w:rFonts w:ascii="Segoe UI" w:hAnsi="Segoe UI" w:cs="Segoe UI"/>
        </w:rPr>
      </w:pPr>
    </w:p>
    <w:p w:rsidR="00A17FF2" w:rsidRPr="003D4694" w:rsidRDefault="0098768F" w:rsidP="009B0BB5">
      <w:pPr>
        <w:spacing w:line="240" w:lineRule="auto"/>
        <w:jc w:val="both"/>
        <w:rPr>
          <w:rFonts w:ascii="Segoe UI" w:hAnsi="Segoe UI" w:cs="Segoe UI"/>
        </w:rPr>
      </w:pPr>
      <w:r w:rsidRPr="0098768F">
        <w:rPr>
          <w:rFonts w:ascii="Segoe UI" w:hAnsi="Segoe UI" w:cs="Segoe UI"/>
          <w:noProof/>
          <w:lang w:val="en-US"/>
        </w:rPr>
        <w:pict>
          <v:rect id="_x0000_s1026" style="position:absolute;left:0;text-align:left;margin-left:324pt;margin-top:4.05pt;width:108pt;height:45pt;z-index:251660288">
            <v:textbox inset="0,0,0,0">
              <w:txbxContent>
                <w:p w:rsidR="003914A0" w:rsidRDefault="003914A0" w:rsidP="00A17FF2">
                  <w:pPr>
                    <w:jc w:val="center"/>
                    <w:rPr>
                      <w:b/>
                    </w:rPr>
                  </w:pPr>
                </w:p>
              </w:txbxContent>
            </v:textbox>
          </v:rect>
        </w:pict>
      </w:r>
    </w:p>
    <w:p w:rsidR="00A17FF2" w:rsidRPr="003D4694" w:rsidRDefault="00A17FF2" w:rsidP="009B0BB5">
      <w:pPr>
        <w:pStyle w:val="Heading1"/>
        <w:jc w:val="both"/>
        <w:rPr>
          <w:rFonts w:ascii="Segoe UI" w:hAnsi="Segoe UI" w:cs="Segoe UI"/>
          <w:sz w:val="22"/>
          <w:szCs w:val="22"/>
        </w:rPr>
      </w:pPr>
    </w:p>
    <w:p w:rsidR="00A17FF2" w:rsidRPr="003D4694" w:rsidRDefault="00A17FF2" w:rsidP="009B0BB5">
      <w:pPr>
        <w:pStyle w:val="Heading1"/>
        <w:jc w:val="both"/>
        <w:rPr>
          <w:rFonts w:ascii="Segoe UI" w:hAnsi="Segoe UI" w:cs="Segoe UI"/>
          <w:sz w:val="22"/>
          <w:szCs w:val="22"/>
        </w:rPr>
      </w:pPr>
    </w:p>
    <w:p w:rsidR="00A17FF2" w:rsidRPr="003D4694" w:rsidRDefault="00A17FF2" w:rsidP="009B0BB5">
      <w:pPr>
        <w:pStyle w:val="Heading1"/>
        <w:jc w:val="both"/>
        <w:rPr>
          <w:rFonts w:ascii="Segoe UI" w:hAnsi="Segoe UI" w:cs="Segoe UI"/>
          <w:sz w:val="22"/>
          <w:szCs w:val="22"/>
          <w:u w:val="none"/>
        </w:rPr>
      </w:pPr>
    </w:p>
    <w:p w:rsidR="00A17FF2" w:rsidRPr="003D4694" w:rsidRDefault="00A17FF2" w:rsidP="00181D52">
      <w:pPr>
        <w:pStyle w:val="Heading1"/>
        <w:jc w:val="center"/>
        <w:rPr>
          <w:rFonts w:ascii="Segoe UI" w:hAnsi="Segoe UI" w:cs="Segoe UI"/>
          <w:sz w:val="22"/>
          <w:szCs w:val="22"/>
        </w:rPr>
      </w:pPr>
      <w:r w:rsidRPr="003D4694">
        <w:rPr>
          <w:rFonts w:ascii="Segoe UI" w:hAnsi="Segoe UI" w:cs="Segoe UI"/>
          <w:sz w:val="22"/>
          <w:szCs w:val="22"/>
        </w:rPr>
        <w:t>Report to the Meeting of the</w:t>
      </w:r>
    </w:p>
    <w:p w:rsidR="00A17FF2" w:rsidRPr="003D4694" w:rsidRDefault="00A17FF2" w:rsidP="00181D52">
      <w:pPr>
        <w:pStyle w:val="Heading1"/>
        <w:jc w:val="center"/>
        <w:rPr>
          <w:rFonts w:ascii="Segoe UI" w:hAnsi="Segoe UI" w:cs="Segoe UI"/>
          <w:sz w:val="22"/>
          <w:szCs w:val="22"/>
          <w:u w:val="none"/>
        </w:rPr>
      </w:pPr>
      <w:r w:rsidRPr="003D4694">
        <w:rPr>
          <w:rFonts w:ascii="Segoe UI" w:hAnsi="Segoe UI" w:cs="Segoe UI"/>
          <w:sz w:val="22"/>
          <w:szCs w:val="22"/>
        </w:rPr>
        <w:t>Members’ Council</w:t>
      </w:r>
    </w:p>
    <w:p w:rsidR="00A17FF2" w:rsidRPr="003D4694" w:rsidRDefault="00A17FF2" w:rsidP="00181D52">
      <w:pPr>
        <w:spacing w:line="240" w:lineRule="auto"/>
        <w:jc w:val="center"/>
        <w:rPr>
          <w:rFonts w:ascii="Segoe UI" w:hAnsi="Segoe UI" w:cs="Segoe UI"/>
          <w:b/>
        </w:rPr>
      </w:pPr>
    </w:p>
    <w:p w:rsidR="00A17FF2" w:rsidRPr="003D4694" w:rsidRDefault="00181D52" w:rsidP="00181D52">
      <w:pPr>
        <w:spacing w:line="240" w:lineRule="auto"/>
        <w:jc w:val="center"/>
        <w:rPr>
          <w:rFonts w:ascii="Segoe UI" w:hAnsi="Segoe UI" w:cs="Segoe UI"/>
          <w:b/>
        </w:rPr>
      </w:pPr>
      <w:r w:rsidRPr="003D4694">
        <w:rPr>
          <w:rFonts w:ascii="Segoe UI" w:hAnsi="Segoe UI" w:cs="Segoe UI"/>
          <w:b/>
        </w:rPr>
        <w:t xml:space="preserve">August </w:t>
      </w:r>
      <w:r w:rsidR="00A17FF2" w:rsidRPr="003D4694">
        <w:rPr>
          <w:rFonts w:ascii="Segoe UI" w:hAnsi="Segoe UI" w:cs="Segoe UI"/>
          <w:b/>
        </w:rPr>
        <w:t>2012</w:t>
      </w:r>
    </w:p>
    <w:p w:rsidR="00A17FF2" w:rsidRPr="003D4694" w:rsidRDefault="00A17FF2" w:rsidP="00181D52">
      <w:pPr>
        <w:spacing w:line="240" w:lineRule="auto"/>
        <w:jc w:val="center"/>
        <w:rPr>
          <w:rFonts w:ascii="Segoe UI" w:hAnsi="Segoe UI" w:cs="Segoe UI"/>
          <w:b/>
        </w:rPr>
      </w:pPr>
      <w:r w:rsidRPr="003D4694">
        <w:rPr>
          <w:rFonts w:ascii="Segoe UI" w:hAnsi="Segoe UI" w:cs="Segoe UI"/>
          <w:b/>
        </w:rPr>
        <w:t>Quality &amp; Safety Report</w:t>
      </w:r>
    </w:p>
    <w:p w:rsidR="00A17FF2" w:rsidRPr="003D4694" w:rsidRDefault="00A17FF2" w:rsidP="00181D52">
      <w:pPr>
        <w:spacing w:line="240" w:lineRule="auto"/>
        <w:jc w:val="center"/>
        <w:rPr>
          <w:rFonts w:ascii="Segoe UI" w:hAnsi="Segoe UI" w:cs="Segoe UI"/>
          <w:b/>
        </w:rPr>
      </w:pPr>
    </w:p>
    <w:p w:rsidR="00A17FF2" w:rsidRPr="003D4694" w:rsidRDefault="00A17FF2" w:rsidP="009B0BB5">
      <w:pPr>
        <w:spacing w:line="240" w:lineRule="auto"/>
        <w:jc w:val="both"/>
        <w:rPr>
          <w:rFonts w:ascii="Segoe UI" w:hAnsi="Segoe UI" w:cs="Segoe UI"/>
        </w:rPr>
      </w:pPr>
      <w:r w:rsidRPr="003D4694">
        <w:rPr>
          <w:rFonts w:ascii="Segoe UI" w:hAnsi="Segoe UI" w:cs="Segoe UI"/>
          <w:b/>
          <w:u w:val="single"/>
        </w:rPr>
        <w:t>For: Information</w:t>
      </w:r>
    </w:p>
    <w:p w:rsidR="00A17FF2" w:rsidRPr="003D4694" w:rsidRDefault="00A17FF2" w:rsidP="009B0BB5">
      <w:pPr>
        <w:spacing w:line="240" w:lineRule="auto"/>
        <w:jc w:val="both"/>
        <w:rPr>
          <w:rFonts w:ascii="Segoe UI" w:hAnsi="Segoe UI" w:cs="Segoe UI"/>
        </w:rPr>
      </w:pPr>
    </w:p>
    <w:p w:rsidR="00A17FF2" w:rsidRPr="003D4694" w:rsidRDefault="00A17FF2" w:rsidP="009B0BB5">
      <w:pPr>
        <w:spacing w:line="240" w:lineRule="auto"/>
        <w:jc w:val="both"/>
        <w:rPr>
          <w:rFonts w:ascii="Segoe UI" w:hAnsi="Segoe UI" w:cs="Segoe UI"/>
          <w:b/>
        </w:rPr>
      </w:pPr>
      <w:r w:rsidRPr="003D4694">
        <w:rPr>
          <w:rFonts w:ascii="Segoe UI" w:hAnsi="Segoe UI" w:cs="Segoe UI"/>
          <w:b/>
        </w:rPr>
        <w:t xml:space="preserve">Executive Summary: </w:t>
      </w:r>
    </w:p>
    <w:p w:rsidR="00A17FF2" w:rsidRPr="003D4694" w:rsidRDefault="00A17FF2" w:rsidP="009B0BB5">
      <w:pPr>
        <w:spacing w:line="240" w:lineRule="auto"/>
        <w:jc w:val="both"/>
        <w:rPr>
          <w:rFonts w:ascii="Segoe UI" w:hAnsi="Segoe UI" w:cs="Segoe UI"/>
        </w:rPr>
      </w:pPr>
      <w:r w:rsidRPr="003D4694">
        <w:rPr>
          <w:rFonts w:ascii="Segoe UI" w:hAnsi="Segoe UI" w:cs="Segoe UI"/>
        </w:rPr>
        <w:t>The report gives a summary of activity in respect of Patient Experience, Safety and general information including</w:t>
      </w:r>
      <w:r w:rsidR="00F15429" w:rsidRPr="003D4694">
        <w:rPr>
          <w:rFonts w:ascii="Segoe UI" w:hAnsi="Segoe UI" w:cs="Segoe UI"/>
        </w:rPr>
        <w:t xml:space="preserve"> a summary of </w:t>
      </w:r>
      <w:r w:rsidRPr="003D4694">
        <w:rPr>
          <w:rFonts w:ascii="Segoe UI" w:hAnsi="Segoe UI" w:cs="Segoe UI"/>
        </w:rPr>
        <w:t xml:space="preserve">the current Quality and Risk Profile </w:t>
      </w:r>
      <w:r w:rsidR="00F15429" w:rsidRPr="003D4694">
        <w:rPr>
          <w:rFonts w:ascii="Segoe UI" w:hAnsi="Segoe UI" w:cs="Segoe UI"/>
        </w:rPr>
        <w:t xml:space="preserve">relating to Oxford Health NHS Foundation Trust, </w:t>
      </w:r>
      <w:r w:rsidRPr="003D4694">
        <w:rPr>
          <w:rFonts w:ascii="Segoe UI" w:hAnsi="Segoe UI" w:cs="Segoe UI"/>
        </w:rPr>
        <w:t>held by the CQC.</w:t>
      </w:r>
    </w:p>
    <w:p w:rsidR="00A17FF2" w:rsidRPr="003D4694" w:rsidRDefault="00A17FF2" w:rsidP="009B0BB5">
      <w:pPr>
        <w:spacing w:line="240" w:lineRule="auto"/>
        <w:jc w:val="both"/>
        <w:rPr>
          <w:rFonts w:ascii="Segoe UI" w:hAnsi="Segoe UI" w:cs="Segoe UI"/>
        </w:rPr>
      </w:pPr>
    </w:p>
    <w:p w:rsidR="00A17FF2" w:rsidRPr="003D4694" w:rsidRDefault="00A17FF2" w:rsidP="009B0BB5">
      <w:pPr>
        <w:spacing w:line="240" w:lineRule="auto"/>
        <w:jc w:val="both"/>
        <w:rPr>
          <w:rFonts w:ascii="Segoe UI" w:hAnsi="Segoe UI" w:cs="Segoe UI"/>
          <w:b/>
        </w:rPr>
      </w:pPr>
      <w:r w:rsidRPr="003D4694">
        <w:rPr>
          <w:rFonts w:ascii="Segoe UI" w:hAnsi="Segoe UI" w:cs="Segoe UI"/>
          <w:b/>
        </w:rPr>
        <w:t xml:space="preserve">Recommendation: </w:t>
      </w:r>
    </w:p>
    <w:p w:rsidR="00A17FF2" w:rsidRPr="003D4694" w:rsidRDefault="00A17FF2" w:rsidP="009B0BB5">
      <w:pPr>
        <w:spacing w:line="240" w:lineRule="auto"/>
        <w:jc w:val="both"/>
        <w:rPr>
          <w:rFonts w:ascii="Segoe UI" w:hAnsi="Segoe UI" w:cs="Segoe UI"/>
          <w:b/>
        </w:rPr>
      </w:pPr>
      <w:r w:rsidRPr="003D4694">
        <w:rPr>
          <w:rFonts w:ascii="Segoe UI" w:hAnsi="Segoe UI" w:cs="Segoe UI"/>
        </w:rPr>
        <w:t>The Members Council is asked to note this report.</w:t>
      </w:r>
      <w:r w:rsidRPr="003D4694">
        <w:rPr>
          <w:rFonts w:ascii="Segoe UI" w:hAnsi="Segoe UI" w:cs="Segoe UI"/>
          <w:b/>
        </w:rPr>
        <w:t xml:space="preserve"> </w:t>
      </w:r>
    </w:p>
    <w:p w:rsidR="00A17FF2" w:rsidRPr="003D4694" w:rsidRDefault="00A17FF2" w:rsidP="009B0BB5">
      <w:pPr>
        <w:spacing w:line="240" w:lineRule="auto"/>
        <w:jc w:val="both"/>
        <w:rPr>
          <w:rFonts w:ascii="Segoe UI" w:hAnsi="Segoe UI" w:cs="Segoe UI"/>
          <w:b/>
        </w:rPr>
      </w:pPr>
    </w:p>
    <w:p w:rsidR="00A17FF2" w:rsidRPr="003D4694" w:rsidRDefault="00A17FF2" w:rsidP="009B0BB5">
      <w:pPr>
        <w:spacing w:line="240" w:lineRule="auto"/>
        <w:jc w:val="both"/>
        <w:rPr>
          <w:rFonts w:ascii="Segoe UI" w:hAnsi="Segoe UI" w:cs="Segoe UI"/>
        </w:rPr>
      </w:pPr>
    </w:p>
    <w:p w:rsidR="00A17FF2" w:rsidRPr="003D4694" w:rsidRDefault="00A17FF2" w:rsidP="009B0BB5">
      <w:pPr>
        <w:spacing w:line="240" w:lineRule="auto"/>
        <w:jc w:val="both"/>
        <w:rPr>
          <w:rFonts w:ascii="Segoe UI" w:hAnsi="Segoe UI" w:cs="Segoe UI"/>
        </w:rPr>
      </w:pPr>
    </w:p>
    <w:p w:rsidR="00A17FF2" w:rsidRPr="003D4694" w:rsidRDefault="00A17FF2" w:rsidP="009B0BB5">
      <w:pPr>
        <w:spacing w:line="240" w:lineRule="auto"/>
        <w:jc w:val="both"/>
        <w:rPr>
          <w:rFonts w:ascii="Segoe UI" w:hAnsi="Segoe UI" w:cs="Segoe UI"/>
        </w:rPr>
      </w:pPr>
    </w:p>
    <w:p w:rsidR="00A17FF2" w:rsidRPr="003D4694" w:rsidRDefault="00A17FF2" w:rsidP="009B0BB5">
      <w:pPr>
        <w:spacing w:line="240" w:lineRule="auto"/>
        <w:jc w:val="both"/>
        <w:rPr>
          <w:rFonts w:ascii="Segoe UI" w:hAnsi="Segoe UI" w:cs="Segoe UI"/>
        </w:rPr>
      </w:pPr>
    </w:p>
    <w:p w:rsidR="00A17FF2" w:rsidRPr="003D4694" w:rsidRDefault="00A17FF2" w:rsidP="009B0BB5">
      <w:pPr>
        <w:spacing w:line="240" w:lineRule="auto"/>
        <w:jc w:val="both"/>
        <w:rPr>
          <w:rFonts w:ascii="Segoe UI" w:hAnsi="Segoe UI" w:cs="Segoe UI"/>
        </w:rPr>
      </w:pPr>
    </w:p>
    <w:p w:rsidR="00A17FF2" w:rsidRPr="003D4694" w:rsidRDefault="00A17FF2" w:rsidP="009B0BB5">
      <w:pPr>
        <w:spacing w:line="240" w:lineRule="auto"/>
        <w:jc w:val="both"/>
        <w:rPr>
          <w:rFonts w:ascii="Segoe UI" w:hAnsi="Segoe UI" w:cs="Segoe UI"/>
          <w:b/>
        </w:rPr>
      </w:pPr>
      <w:r w:rsidRPr="003D4694">
        <w:rPr>
          <w:rFonts w:ascii="Segoe UI" w:hAnsi="Segoe UI" w:cs="Segoe UI"/>
          <w:b/>
        </w:rPr>
        <w:t>Author and Title: Caroline Birch (Deputy Director of Nursing)</w:t>
      </w:r>
    </w:p>
    <w:p w:rsidR="00A17FF2" w:rsidRDefault="00A17FF2" w:rsidP="009B0BB5">
      <w:pPr>
        <w:spacing w:line="240" w:lineRule="auto"/>
        <w:jc w:val="both"/>
        <w:rPr>
          <w:rFonts w:ascii="Segoe UI" w:hAnsi="Segoe UI" w:cs="Segoe UI"/>
          <w:b/>
        </w:rPr>
      </w:pPr>
      <w:r w:rsidRPr="003D4694">
        <w:rPr>
          <w:rFonts w:ascii="Segoe UI" w:hAnsi="Segoe UI" w:cs="Segoe UI"/>
          <w:b/>
        </w:rPr>
        <w:t>Lead Executive Director:</w:t>
      </w:r>
      <w:r w:rsidRPr="003D4694">
        <w:rPr>
          <w:rFonts w:ascii="Segoe UI" w:hAnsi="Segoe UI" w:cs="Segoe UI"/>
          <w:b/>
        </w:rPr>
        <w:tab/>
        <w:t>Ros Alstead, Director of Nursing &amp; Clinical Standards</w:t>
      </w:r>
    </w:p>
    <w:p w:rsidR="003C6B98" w:rsidRDefault="003C6B98" w:rsidP="009B0BB5">
      <w:pPr>
        <w:spacing w:line="240" w:lineRule="auto"/>
        <w:jc w:val="both"/>
        <w:rPr>
          <w:rFonts w:ascii="Segoe UI" w:hAnsi="Segoe UI" w:cs="Segoe UI"/>
          <w:b/>
        </w:rPr>
      </w:pPr>
    </w:p>
    <w:p w:rsidR="003C6B98" w:rsidRPr="003D4694" w:rsidRDefault="003C6B98" w:rsidP="009B0BB5">
      <w:pPr>
        <w:spacing w:line="240" w:lineRule="auto"/>
        <w:jc w:val="both"/>
        <w:rPr>
          <w:rFonts w:ascii="Segoe UI" w:hAnsi="Segoe UI" w:cs="Segoe UI"/>
          <w:b/>
        </w:rPr>
      </w:pPr>
    </w:p>
    <w:p w:rsidR="00643F83" w:rsidRPr="003D4694" w:rsidRDefault="00643F83" w:rsidP="00643F83">
      <w:pPr>
        <w:spacing w:line="240" w:lineRule="auto"/>
        <w:jc w:val="center"/>
        <w:rPr>
          <w:rFonts w:ascii="Segoe UI" w:hAnsi="Segoe UI" w:cs="Segoe UI"/>
          <w:b/>
          <w:u w:val="single"/>
        </w:rPr>
      </w:pPr>
      <w:r w:rsidRPr="003D4694">
        <w:rPr>
          <w:rFonts w:ascii="Segoe UI" w:hAnsi="Segoe UI" w:cs="Segoe UI"/>
          <w:b/>
          <w:u w:val="single"/>
        </w:rPr>
        <w:lastRenderedPageBreak/>
        <w:t>Members Council Quality and Safety Report</w:t>
      </w:r>
    </w:p>
    <w:p w:rsidR="00643F83" w:rsidRPr="003D4694" w:rsidRDefault="00643F83" w:rsidP="00643F83">
      <w:pPr>
        <w:spacing w:line="240" w:lineRule="auto"/>
        <w:jc w:val="both"/>
        <w:rPr>
          <w:rFonts w:ascii="Segoe UI" w:hAnsi="Segoe UI" w:cs="Segoe UI"/>
          <w:b/>
          <w:u w:val="single"/>
        </w:rPr>
      </w:pPr>
    </w:p>
    <w:p w:rsidR="00643F83" w:rsidRPr="003D4694" w:rsidRDefault="00643F83" w:rsidP="003D4694">
      <w:pPr>
        <w:pStyle w:val="ListParagraph"/>
        <w:numPr>
          <w:ilvl w:val="0"/>
          <w:numId w:val="12"/>
        </w:numPr>
        <w:spacing w:after="0" w:line="240" w:lineRule="auto"/>
        <w:jc w:val="both"/>
        <w:rPr>
          <w:rFonts w:ascii="Segoe UI" w:hAnsi="Segoe UI" w:cs="Segoe UI"/>
          <w:b/>
          <w:u w:val="single"/>
        </w:rPr>
      </w:pPr>
      <w:r w:rsidRPr="003D4694">
        <w:rPr>
          <w:rFonts w:ascii="Segoe UI" w:hAnsi="Segoe UI" w:cs="Segoe UI"/>
          <w:b/>
          <w:u w:val="single"/>
        </w:rPr>
        <w:t>Care Quality Commission Community Mental Health Service User Survey 2012</w:t>
      </w:r>
    </w:p>
    <w:p w:rsidR="00643F83" w:rsidRPr="003D4694" w:rsidRDefault="00643F83" w:rsidP="003D4694">
      <w:pPr>
        <w:pStyle w:val="NormalWeb"/>
        <w:shd w:val="clear" w:color="auto" w:fill="FFFFFF"/>
        <w:spacing w:before="0" w:beforeAutospacing="0" w:after="0" w:afterAutospacing="0"/>
        <w:jc w:val="both"/>
        <w:rPr>
          <w:rFonts w:ascii="Segoe UI" w:hAnsi="Segoe UI" w:cs="Segoe UI"/>
          <w:sz w:val="22"/>
          <w:szCs w:val="22"/>
        </w:rPr>
      </w:pPr>
      <w:r w:rsidRPr="003D4694">
        <w:rPr>
          <w:rFonts w:ascii="Segoe UI" w:hAnsi="Segoe UI" w:cs="Segoe UI"/>
          <w:sz w:val="22"/>
          <w:szCs w:val="22"/>
        </w:rPr>
        <w:t>The 2012 Community Mental Health Service Users Survey commenced Mon 27</w:t>
      </w:r>
      <w:r w:rsidRPr="003D4694">
        <w:rPr>
          <w:rFonts w:ascii="Segoe UI" w:hAnsi="Segoe UI" w:cs="Segoe UI"/>
          <w:sz w:val="22"/>
          <w:szCs w:val="22"/>
          <w:vertAlign w:val="superscript"/>
        </w:rPr>
        <w:t>th</w:t>
      </w:r>
      <w:r w:rsidRPr="003D4694">
        <w:rPr>
          <w:rFonts w:ascii="Segoe UI" w:hAnsi="Segoe UI" w:cs="Segoe UI"/>
          <w:sz w:val="22"/>
          <w:szCs w:val="22"/>
        </w:rPr>
        <w:t xml:space="preserve"> Feb 2012 and closed on 15</w:t>
      </w:r>
      <w:r w:rsidRPr="003D4694">
        <w:rPr>
          <w:rFonts w:ascii="Segoe UI" w:hAnsi="Segoe UI" w:cs="Segoe UI"/>
          <w:sz w:val="22"/>
          <w:szCs w:val="22"/>
          <w:vertAlign w:val="superscript"/>
        </w:rPr>
        <w:t>th</w:t>
      </w:r>
      <w:r w:rsidRPr="003D4694">
        <w:rPr>
          <w:rFonts w:ascii="Segoe UI" w:hAnsi="Segoe UI" w:cs="Segoe UI"/>
          <w:sz w:val="22"/>
          <w:szCs w:val="22"/>
        </w:rPr>
        <w:t xml:space="preserve"> June 2012. This survey was mandated by the Care Quality Commission (CQC). The Trust has not yet received the CQC report.</w:t>
      </w:r>
    </w:p>
    <w:p w:rsidR="00643F83" w:rsidRPr="003D4694" w:rsidRDefault="00643F83" w:rsidP="00643F83">
      <w:pPr>
        <w:spacing w:line="240" w:lineRule="auto"/>
        <w:jc w:val="both"/>
        <w:rPr>
          <w:rFonts w:ascii="Segoe UI" w:hAnsi="Segoe UI" w:cs="Segoe UI"/>
          <w:lang w:eastAsia="en-GB"/>
        </w:rPr>
      </w:pPr>
      <w:r w:rsidRPr="003D4694">
        <w:rPr>
          <w:rFonts w:ascii="Segoe UI" w:hAnsi="Segoe UI" w:cs="Segoe UI"/>
        </w:rPr>
        <w:t xml:space="preserve">The action plan developed following the 2011 national community mental health service user survey was to ensure all patients regardless of whether on CPA or not, received the same essential standards of care. Between February and March 2012 a local survey was coordinated to repeat some of the key questions from the national survey that would test the success of the improvement plan. Two of the questions were slightly re-worded to help patients understand the question, for example, “have you been given (or offered) a written or printed copy of your NHS care plan?” was </w:t>
      </w:r>
      <w:proofErr w:type="spellStart"/>
      <w:r w:rsidRPr="003D4694">
        <w:rPr>
          <w:rFonts w:ascii="Segoe UI" w:hAnsi="Segoe UI" w:cs="Segoe UI"/>
        </w:rPr>
        <w:t>reworded</w:t>
      </w:r>
      <w:proofErr w:type="spellEnd"/>
      <w:r w:rsidRPr="003D4694">
        <w:rPr>
          <w:rFonts w:ascii="Segoe UI" w:hAnsi="Segoe UI" w:cs="Segoe UI"/>
        </w:rPr>
        <w:t xml:space="preserve"> in the local survey to “</w:t>
      </w:r>
      <w:r w:rsidRPr="003D4694">
        <w:rPr>
          <w:rFonts w:ascii="Segoe UI" w:hAnsi="Segoe UI" w:cs="Segoe UI"/>
          <w:lang w:eastAsia="en-GB"/>
        </w:rPr>
        <w:t xml:space="preserve">do you have a copy of your care plan or a letter which explains what treatment you will have?” </w:t>
      </w:r>
    </w:p>
    <w:tbl>
      <w:tblPr>
        <w:tblStyle w:val="TableGrid"/>
        <w:tblW w:w="9013" w:type="dxa"/>
        <w:tblLook w:val="04A0"/>
      </w:tblPr>
      <w:tblGrid>
        <w:gridCol w:w="3939"/>
        <w:gridCol w:w="1666"/>
        <w:gridCol w:w="1725"/>
        <w:gridCol w:w="1683"/>
      </w:tblGrid>
      <w:tr w:rsidR="0051580B" w:rsidRPr="003D4694" w:rsidTr="0051580B">
        <w:tc>
          <w:tcPr>
            <w:tcW w:w="3939"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Question</w:t>
            </w:r>
          </w:p>
        </w:tc>
        <w:tc>
          <w:tcPr>
            <w:tcW w:w="1666"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CQC National Survey 2011 (n=208)</w:t>
            </w:r>
          </w:p>
        </w:tc>
        <w:tc>
          <w:tcPr>
            <w:tcW w:w="1725"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CQC National Survey 2012 (n=268)</w:t>
            </w:r>
          </w:p>
        </w:tc>
        <w:tc>
          <w:tcPr>
            <w:tcW w:w="1683"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Local survey (Q4 2011/12) (n=271)</w:t>
            </w:r>
            <w:r w:rsidRPr="003D4694">
              <w:rPr>
                <w:rStyle w:val="FootnoteReference"/>
                <w:rFonts w:ascii="Segoe UI" w:hAnsi="Segoe UI" w:cs="Segoe UI"/>
                <w:lang w:eastAsia="en-GB"/>
              </w:rPr>
              <w:footnoteReference w:id="1"/>
            </w:r>
          </w:p>
        </w:tc>
      </w:tr>
      <w:tr w:rsidR="0051580B" w:rsidRPr="003D4694" w:rsidTr="0051580B">
        <w:tc>
          <w:tcPr>
            <w:tcW w:w="3939"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Do you know who your care coordinator or lead professional in the mental health services is?</w:t>
            </w:r>
          </w:p>
        </w:tc>
        <w:tc>
          <w:tcPr>
            <w:tcW w:w="1666"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67%</w:t>
            </w:r>
          </w:p>
        </w:tc>
        <w:tc>
          <w:tcPr>
            <w:tcW w:w="1725"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53%</w:t>
            </w:r>
          </w:p>
        </w:tc>
        <w:tc>
          <w:tcPr>
            <w:tcW w:w="1683"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88%</w:t>
            </w:r>
          </w:p>
        </w:tc>
      </w:tr>
      <w:tr w:rsidR="0051580B" w:rsidRPr="003D4694" w:rsidTr="0051580B">
        <w:tc>
          <w:tcPr>
            <w:tcW w:w="3939"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Do you have a copy of your care plan or a letter which explains what treatment you will have?</w:t>
            </w:r>
          </w:p>
        </w:tc>
        <w:tc>
          <w:tcPr>
            <w:tcW w:w="1666"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75%</w:t>
            </w:r>
          </w:p>
        </w:tc>
        <w:tc>
          <w:tcPr>
            <w:tcW w:w="1725"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63%</w:t>
            </w:r>
          </w:p>
        </w:tc>
        <w:tc>
          <w:tcPr>
            <w:tcW w:w="1683"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67%</w:t>
            </w:r>
          </w:p>
        </w:tc>
      </w:tr>
      <w:tr w:rsidR="0051580B" w:rsidRPr="003D4694" w:rsidTr="0051580B">
        <w:tc>
          <w:tcPr>
            <w:tcW w:w="3939"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Have you had a meeting to review your care in the last 12 months?</w:t>
            </w:r>
            <w:r w:rsidRPr="003D4694">
              <w:rPr>
                <w:rStyle w:val="FootnoteReference"/>
                <w:rFonts w:ascii="Segoe UI" w:hAnsi="Segoe UI" w:cs="Segoe UI"/>
                <w:lang w:eastAsia="en-GB"/>
              </w:rPr>
              <w:footnoteReference w:id="2"/>
            </w:r>
          </w:p>
        </w:tc>
        <w:tc>
          <w:tcPr>
            <w:tcW w:w="1666"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71%</w:t>
            </w:r>
          </w:p>
        </w:tc>
        <w:tc>
          <w:tcPr>
            <w:tcW w:w="1725"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72%</w:t>
            </w:r>
          </w:p>
        </w:tc>
        <w:tc>
          <w:tcPr>
            <w:tcW w:w="1683"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94% (n=171)</w:t>
            </w:r>
          </w:p>
        </w:tc>
      </w:tr>
      <w:tr w:rsidR="0051580B" w:rsidRPr="003D4694" w:rsidTr="0051580B">
        <w:tc>
          <w:tcPr>
            <w:tcW w:w="3939"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Has someone spoken to you about having your physical health checked?</w:t>
            </w:r>
          </w:p>
        </w:tc>
        <w:tc>
          <w:tcPr>
            <w:tcW w:w="1666"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38%</w:t>
            </w:r>
          </w:p>
        </w:tc>
        <w:tc>
          <w:tcPr>
            <w:tcW w:w="1725"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46%</w:t>
            </w:r>
          </w:p>
        </w:tc>
        <w:tc>
          <w:tcPr>
            <w:tcW w:w="1683"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63%</w:t>
            </w:r>
          </w:p>
        </w:tc>
      </w:tr>
      <w:tr w:rsidR="0051580B" w:rsidRPr="003D4694" w:rsidTr="0051580B">
        <w:tc>
          <w:tcPr>
            <w:tcW w:w="3939"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Do you have a phone number to call mental health services outside of normal office hours?</w:t>
            </w:r>
          </w:p>
        </w:tc>
        <w:tc>
          <w:tcPr>
            <w:tcW w:w="1666"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50%</w:t>
            </w:r>
          </w:p>
        </w:tc>
        <w:tc>
          <w:tcPr>
            <w:tcW w:w="1725"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55%</w:t>
            </w:r>
          </w:p>
        </w:tc>
        <w:tc>
          <w:tcPr>
            <w:tcW w:w="1683" w:type="dxa"/>
          </w:tcPr>
          <w:p w:rsidR="0051580B" w:rsidRPr="003D4694" w:rsidRDefault="0051580B" w:rsidP="0051580B">
            <w:pPr>
              <w:jc w:val="both"/>
              <w:rPr>
                <w:rFonts w:ascii="Segoe UI" w:hAnsi="Segoe UI" w:cs="Segoe UI"/>
                <w:lang w:eastAsia="en-GB"/>
              </w:rPr>
            </w:pPr>
            <w:r w:rsidRPr="003D4694">
              <w:rPr>
                <w:rFonts w:ascii="Segoe UI" w:hAnsi="Segoe UI" w:cs="Segoe UI"/>
                <w:lang w:eastAsia="en-GB"/>
              </w:rPr>
              <w:t>82%</w:t>
            </w:r>
          </w:p>
        </w:tc>
      </w:tr>
    </w:tbl>
    <w:p w:rsidR="00D8126C" w:rsidRDefault="00D8126C" w:rsidP="00643F83">
      <w:pPr>
        <w:spacing w:line="240" w:lineRule="auto"/>
        <w:jc w:val="both"/>
        <w:rPr>
          <w:rFonts w:ascii="Segoe UI" w:hAnsi="Segoe UI" w:cs="Segoe UI"/>
          <w:lang w:eastAsia="en-GB"/>
        </w:rPr>
      </w:pPr>
    </w:p>
    <w:p w:rsidR="00643F83" w:rsidRPr="003D4694" w:rsidRDefault="00643F83" w:rsidP="00643F83">
      <w:pPr>
        <w:spacing w:line="240" w:lineRule="auto"/>
        <w:jc w:val="both"/>
        <w:rPr>
          <w:rFonts w:ascii="Segoe UI" w:hAnsi="Segoe UI" w:cs="Segoe UI"/>
          <w:lang w:eastAsia="en-GB"/>
        </w:rPr>
      </w:pPr>
      <w:r w:rsidRPr="003D4694">
        <w:rPr>
          <w:rFonts w:ascii="Segoe UI" w:hAnsi="Segoe UI" w:cs="Segoe UI"/>
          <w:lang w:eastAsia="en-GB"/>
        </w:rPr>
        <w:t>Chart 1 – Results of 5 questions from 3 surveys over time.</w:t>
      </w:r>
    </w:p>
    <w:p w:rsidR="003D4694" w:rsidRDefault="003C6B98" w:rsidP="00643F83">
      <w:pPr>
        <w:tabs>
          <w:tab w:val="left" w:pos="1418"/>
        </w:tabs>
        <w:spacing w:line="240" w:lineRule="auto"/>
        <w:jc w:val="both"/>
        <w:rPr>
          <w:rFonts w:ascii="Segoe UI" w:hAnsi="Segoe UI" w:cs="Segoe UI"/>
        </w:rPr>
      </w:pPr>
      <w:r>
        <w:rPr>
          <w:rFonts w:ascii="Segoe UI" w:hAnsi="Segoe UI" w:cs="Segoe UI"/>
        </w:rPr>
        <w:t>T</w:t>
      </w:r>
      <w:r w:rsidR="00643F83" w:rsidRPr="003D4694">
        <w:rPr>
          <w:rFonts w:ascii="Segoe UI" w:hAnsi="Segoe UI" w:cs="Segoe UI"/>
        </w:rPr>
        <w:t xml:space="preserve">he comparisons between the National survey (2011) and the local survey showed that overall there was an improvement in four of the five questions, indicating improvements in ensuring patients know the person who is managing their care, how to make contact outside of office hours, checking physical health and having care reviewed. </w:t>
      </w:r>
    </w:p>
    <w:p w:rsidR="00D8126C" w:rsidRDefault="00643F83" w:rsidP="00643F83">
      <w:pPr>
        <w:tabs>
          <w:tab w:val="left" w:pos="1418"/>
        </w:tabs>
        <w:spacing w:line="240" w:lineRule="auto"/>
        <w:jc w:val="both"/>
        <w:rPr>
          <w:rFonts w:ascii="Segoe UI" w:hAnsi="Segoe UI" w:cs="Segoe UI"/>
          <w:lang w:eastAsia="en-GB"/>
        </w:rPr>
      </w:pPr>
      <w:r w:rsidRPr="003D4694">
        <w:rPr>
          <w:rFonts w:ascii="Segoe UI" w:hAnsi="Segoe UI" w:cs="Segoe UI"/>
        </w:rPr>
        <w:t xml:space="preserve">There was a moderate overall decline in patients getting a copy of their care plan either in original form or outlined in a letter. However for patients not on CPA there was a small improvement on last year’s results. </w:t>
      </w:r>
      <w:r w:rsidRPr="003D4694">
        <w:rPr>
          <w:rFonts w:ascii="Segoe UI" w:hAnsi="Segoe UI" w:cs="Segoe UI"/>
          <w:lang w:eastAsia="en-GB"/>
        </w:rPr>
        <w:t xml:space="preserve"> </w:t>
      </w:r>
    </w:p>
    <w:p w:rsidR="006B7742" w:rsidRDefault="00643F83" w:rsidP="00643F83">
      <w:pPr>
        <w:tabs>
          <w:tab w:val="left" w:pos="1418"/>
        </w:tabs>
        <w:spacing w:line="240" w:lineRule="auto"/>
        <w:jc w:val="both"/>
        <w:rPr>
          <w:rFonts w:ascii="Segoe UI" w:hAnsi="Segoe UI" w:cs="Segoe UI"/>
          <w:lang w:eastAsia="en-GB"/>
        </w:rPr>
      </w:pPr>
      <w:r w:rsidRPr="003D4694">
        <w:rPr>
          <w:rFonts w:ascii="Segoe UI" w:hAnsi="Segoe UI" w:cs="Segoe UI"/>
          <w:lang w:eastAsia="en-GB"/>
        </w:rPr>
        <w:lastRenderedPageBreak/>
        <w:t xml:space="preserve">The results show that patients not subject to CPA respond equally favourably to questions as those on CPA, with the exception of having a number to contact out of hours. Patients not on CPA also respond more favourably to knowing who manages their care. </w:t>
      </w:r>
    </w:p>
    <w:p w:rsidR="00643F83" w:rsidRPr="003D4694" w:rsidRDefault="00643F83" w:rsidP="00643F83">
      <w:pPr>
        <w:tabs>
          <w:tab w:val="left" w:pos="1418"/>
        </w:tabs>
        <w:spacing w:line="240" w:lineRule="auto"/>
        <w:jc w:val="both"/>
        <w:rPr>
          <w:rFonts w:ascii="Segoe UI" w:hAnsi="Segoe UI" w:cs="Segoe UI"/>
        </w:rPr>
      </w:pPr>
      <w:r w:rsidRPr="003D4694">
        <w:rPr>
          <w:rFonts w:ascii="Segoe UI" w:hAnsi="Segoe UI" w:cs="Segoe UI"/>
          <w:lang w:eastAsia="en-GB"/>
        </w:rPr>
        <w:t>T</w:t>
      </w:r>
      <w:r w:rsidRPr="003D4694">
        <w:rPr>
          <w:rFonts w:ascii="Segoe UI" w:hAnsi="Segoe UI" w:cs="Segoe UI"/>
        </w:rPr>
        <w:t>he survey completed in quarter 4 indicates that the actions taken by the Mental Health Division in response to the 2011 National survey were successful, however the results from the National survey 2012, which we rece</w:t>
      </w:r>
      <w:r w:rsidR="00D5202C" w:rsidRPr="003D4694">
        <w:rPr>
          <w:rFonts w:ascii="Segoe UI" w:hAnsi="Segoe UI" w:cs="Segoe UI"/>
        </w:rPr>
        <w:t xml:space="preserve">ived </w:t>
      </w:r>
      <w:r w:rsidRPr="003D4694">
        <w:rPr>
          <w:rFonts w:ascii="Segoe UI" w:hAnsi="Segoe UI" w:cs="Segoe UI"/>
        </w:rPr>
        <w:t>at the end of July 2012, are less favourable (see chart 1). Historically our real-time feedback (RTF) has always been more favourable than delayed feedback, this factor is recognised nationally.</w:t>
      </w:r>
    </w:p>
    <w:p w:rsidR="00643F83" w:rsidRPr="003D4694" w:rsidRDefault="00643F83" w:rsidP="00643F83">
      <w:pPr>
        <w:tabs>
          <w:tab w:val="left" w:pos="1418"/>
        </w:tabs>
        <w:spacing w:line="240" w:lineRule="auto"/>
        <w:jc w:val="both"/>
        <w:rPr>
          <w:rFonts w:ascii="Segoe UI" w:hAnsi="Segoe UI" w:cs="Segoe UI"/>
        </w:rPr>
      </w:pPr>
      <w:r w:rsidRPr="003D4694">
        <w:rPr>
          <w:rFonts w:ascii="Segoe UI" w:hAnsi="Segoe UI" w:cs="Segoe UI"/>
        </w:rPr>
        <w:t>The Division are currently developing an improvement plan, building on the previous year’s plans. Although the chart above gives some idea about patients</w:t>
      </w:r>
      <w:r w:rsidR="003D4694">
        <w:rPr>
          <w:rFonts w:ascii="Segoe UI" w:hAnsi="Segoe UI" w:cs="Segoe UI"/>
        </w:rPr>
        <w:t>’</w:t>
      </w:r>
      <w:r w:rsidRPr="003D4694">
        <w:rPr>
          <w:rFonts w:ascii="Segoe UI" w:hAnsi="Segoe UI" w:cs="Segoe UI"/>
        </w:rPr>
        <w:t xml:space="preserve"> responses to the five questions there are some precautionary notes when comparing year on year</w:t>
      </w:r>
      <w:r w:rsidR="00FE0E60" w:rsidRPr="003D4694">
        <w:rPr>
          <w:rFonts w:ascii="Segoe UI" w:hAnsi="Segoe UI" w:cs="Segoe UI"/>
        </w:rPr>
        <w:t xml:space="preserve"> or survey on survey</w:t>
      </w:r>
      <w:r w:rsidRPr="003D4694">
        <w:rPr>
          <w:rFonts w:ascii="Segoe UI" w:hAnsi="Segoe UI" w:cs="Segoe UI"/>
        </w:rPr>
        <w:t>;</w:t>
      </w:r>
    </w:p>
    <w:p w:rsidR="00643F83" w:rsidRPr="003D4694" w:rsidRDefault="00643F83" w:rsidP="00643F83">
      <w:pPr>
        <w:pStyle w:val="ListParagraph"/>
        <w:numPr>
          <w:ilvl w:val="0"/>
          <w:numId w:val="8"/>
        </w:numPr>
        <w:tabs>
          <w:tab w:val="left" w:pos="1418"/>
        </w:tabs>
        <w:spacing w:line="240" w:lineRule="auto"/>
        <w:jc w:val="both"/>
        <w:rPr>
          <w:rFonts w:ascii="Segoe UI" w:hAnsi="Segoe UI" w:cs="Segoe UI"/>
        </w:rPr>
      </w:pPr>
      <w:r w:rsidRPr="003D4694">
        <w:rPr>
          <w:rFonts w:ascii="Segoe UI" w:hAnsi="Segoe UI" w:cs="Segoe UI"/>
        </w:rPr>
        <w:t xml:space="preserve">The CQC periodically change the questions they ask e.g. between 2010/11 and 2012 the care coordinator question </w:t>
      </w:r>
      <w:r w:rsidR="0051580B" w:rsidRPr="003D4694">
        <w:rPr>
          <w:rFonts w:ascii="Segoe UI" w:hAnsi="Segoe UI" w:cs="Segoe UI"/>
        </w:rPr>
        <w:t>was</w:t>
      </w:r>
      <w:r w:rsidRPr="003D4694">
        <w:rPr>
          <w:rFonts w:ascii="Segoe UI" w:hAnsi="Segoe UI" w:cs="Segoe UI"/>
        </w:rPr>
        <w:t xml:space="preserve"> changed </w:t>
      </w:r>
      <w:r w:rsidR="0051580B" w:rsidRPr="003D4694">
        <w:rPr>
          <w:rFonts w:ascii="Segoe UI" w:hAnsi="Segoe UI" w:cs="Segoe UI"/>
        </w:rPr>
        <w:t xml:space="preserve">from </w:t>
      </w:r>
      <w:r w:rsidRPr="003D4694">
        <w:rPr>
          <w:rFonts w:ascii="Segoe UI" w:hAnsi="Segoe UI" w:cs="Segoe UI"/>
        </w:rPr>
        <w:t>using the word “told” to “know”</w:t>
      </w:r>
      <w:r w:rsidR="0051580B" w:rsidRPr="003D4694">
        <w:rPr>
          <w:rFonts w:ascii="Segoe UI" w:hAnsi="Segoe UI" w:cs="Segoe UI"/>
        </w:rPr>
        <w:t xml:space="preserve"> who your care coordinator is</w:t>
      </w:r>
    </w:p>
    <w:p w:rsidR="00643F83" w:rsidRPr="003D4694" w:rsidRDefault="00643F83" w:rsidP="00643F83">
      <w:pPr>
        <w:pStyle w:val="ListParagraph"/>
        <w:numPr>
          <w:ilvl w:val="0"/>
          <w:numId w:val="8"/>
        </w:numPr>
        <w:tabs>
          <w:tab w:val="left" w:pos="1418"/>
        </w:tabs>
        <w:spacing w:line="240" w:lineRule="auto"/>
        <w:jc w:val="both"/>
        <w:rPr>
          <w:rFonts w:ascii="Segoe UI" w:hAnsi="Segoe UI" w:cs="Segoe UI"/>
        </w:rPr>
      </w:pPr>
      <w:r w:rsidRPr="003D4694">
        <w:rPr>
          <w:rFonts w:ascii="Segoe UI" w:hAnsi="Segoe UI" w:cs="Segoe UI"/>
        </w:rPr>
        <w:t>The local survey used handheld devices for RTF which meant that the patients worker was there when they completed the survey</w:t>
      </w:r>
    </w:p>
    <w:p w:rsidR="00FE0E60" w:rsidRPr="003D4694" w:rsidRDefault="00FE0E60" w:rsidP="00643F83">
      <w:pPr>
        <w:pStyle w:val="ListParagraph"/>
        <w:numPr>
          <w:ilvl w:val="0"/>
          <w:numId w:val="8"/>
        </w:numPr>
        <w:tabs>
          <w:tab w:val="left" w:pos="1418"/>
        </w:tabs>
        <w:spacing w:line="240" w:lineRule="auto"/>
        <w:jc w:val="both"/>
        <w:rPr>
          <w:rFonts w:ascii="Segoe UI" w:hAnsi="Segoe UI" w:cs="Segoe UI"/>
        </w:rPr>
      </w:pPr>
      <w:r w:rsidRPr="003D4694">
        <w:rPr>
          <w:rFonts w:ascii="Segoe UI" w:hAnsi="Segoe UI" w:cs="Segoe UI"/>
        </w:rPr>
        <w:t>The local survey occurs at the point of care i.e. the patient is currently receiving care, whereas the National surveys are sent to patients who were receiving care 6-8 months previously.</w:t>
      </w:r>
    </w:p>
    <w:p w:rsidR="00643F83" w:rsidRPr="003D4694" w:rsidRDefault="00643F83" w:rsidP="00643F83">
      <w:pPr>
        <w:pStyle w:val="ListParagraph"/>
        <w:numPr>
          <w:ilvl w:val="0"/>
          <w:numId w:val="8"/>
        </w:numPr>
        <w:tabs>
          <w:tab w:val="left" w:pos="1418"/>
        </w:tabs>
        <w:spacing w:line="240" w:lineRule="auto"/>
        <w:jc w:val="both"/>
        <w:rPr>
          <w:rFonts w:ascii="Segoe UI" w:hAnsi="Segoe UI" w:cs="Segoe UI"/>
        </w:rPr>
      </w:pPr>
      <w:r w:rsidRPr="003D4694">
        <w:rPr>
          <w:rFonts w:ascii="Segoe UI" w:hAnsi="Segoe UI" w:cs="Segoe UI"/>
        </w:rPr>
        <w:t xml:space="preserve">In terms of recognising improvement, patients drawn for the second National survey in 2012 were receiving care at the time that the Trust received the results of the 2011 survey so the actions taken </w:t>
      </w:r>
      <w:r w:rsidR="0051580B" w:rsidRPr="003D4694">
        <w:rPr>
          <w:rFonts w:ascii="Segoe UI" w:hAnsi="Segoe UI" w:cs="Segoe UI"/>
        </w:rPr>
        <w:t xml:space="preserve">in response to the 2011 survey </w:t>
      </w:r>
      <w:r w:rsidRPr="003D4694">
        <w:rPr>
          <w:rFonts w:ascii="Segoe UI" w:hAnsi="Segoe UI" w:cs="Segoe UI"/>
        </w:rPr>
        <w:t>would not have impacted on t</w:t>
      </w:r>
      <w:r w:rsidR="0051580B" w:rsidRPr="003D4694">
        <w:rPr>
          <w:rFonts w:ascii="Segoe UI" w:hAnsi="Segoe UI" w:cs="Segoe UI"/>
        </w:rPr>
        <w:t>he sample in the 2012 survey</w:t>
      </w:r>
      <w:r w:rsidR="00D5202C" w:rsidRPr="003D4694">
        <w:rPr>
          <w:rFonts w:ascii="Segoe UI" w:hAnsi="Segoe UI" w:cs="Segoe UI"/>
        </w:rPr>
        <w:t>.</w:t>
      </w:r>
      <w:r w:rsidRPr="003D4694">
        <w:rPr>
          <w:rFonts w:ascii="Segoe UI" w:hAnsi="Segoe UI" w:cs="Segoe UI"/>
        </w:rPr>
        <w:t xml:space="preserve"> </w:t>
      </w:r>
    </w:p>
    <w:p w:rsidR="00643F83" w:rsidRPr="003D4694" w:rsidRDefault="00643F83" w:rsidP="00643F83">
      <w:pPr>
        <w:pStyle w:val="ListParagraph"/>
        <w:numPr>
          <w:ilvl w:val="0"/>
          <w:numId w:val="8"/>
        </w:numPr>
        <w:tabs>
          <w:tab w:val="left" w:pos="1418"/>
        </w:tabs>
        <w:spacing w:line="240" w:lineRule="auto"/>
        <w:jc w:val="both"/>
        <w:rPr>
          <w:rFonts w:ascii="Segoe UI" w:hAnsi="Segoe UI" w:cs="Segoe UI"/>
        </w:rPr>
      </w:pPr>
      <w:r w:rsidRPr="003D4694">
        <w:rPr>
          <w:rFonts w:ascii="Segoe UI" w:hAnsi="Segoe UI" w:cs="Segoe UI"/>
        </w:rPr>
        <w:t xml:space="preserve">The 2012 data used </w:t>
      </w:r>
      <w:r w:rsidR="00D5202C" w:rsidRPr="003D4694">
        <w:rPr>
          <w:rFonts w:ascii="Segoe UI" w:hAnsi="Segoe UI" w:cs="Segoe UI"/>
        </w:rPr>
        <w:t xml:space="preserve">for the purposes of this report is from Quality Health and the data from the 2011 survey is from CQC reporting. Quality Health </w:t>
      </w:r>
      <w:r w:rsidR="00FE0E60" w:rsidRPr="003D4694">
        <w:rPr>
          <w:rFonts w:ascii="Segoe UI" w:hAnsi="Segoe UI" w:cs="Segoe UI"/>
        </w:rPr>
        <w:t>passes</w:t>
      </w:r>
      <w:r w:rsidR="00D5202C" w:rsidRPr="003D4694">
        <w:rPr>
          <w:rFonts w:ascii="Segoe UI" w:hAnsi="Segoe UI" w:cs="Segoe UI"/>
        </w:rPr>
        <w:t xml:space="preserve"> </w:t>
      </w:r>
      <w:r w:rsidR="00FE0E60" w:rsidRPr="003D4694">
        <w:rPr>
          <w:rFonts w:ascii="Segoe UI" w:hAnsi="Segoe UI" w:cs="Segoe UI"/>
        </w:rPr>
        <w:t>their</w:t>
      </w:r>
      <w:r w:rsidR="00D5202C" w:rsidRPr="003D4694">
        <w:rPr>
          <w:rFonts w:ascii="Segoe UI" w:hAnsi="Segoe UI" w:cs="Segoe UI"/>
        </w:rPr>
        <w:t xml:space="preserve"> data to the CQC who then </w:t>
      </w:r>
      <w:r w:rsidRPr="003D4694">
        <w:rPr>
          <w:rFonts w:ascii="Segoe UI" w:hAnsi="Segoe UI" w:cs="Segoe UI"/>
        </w:rPr>
        <w:t>c</w:t>
      </w:r>
      <w:r w:rsidR="00D5202C" w:rsidRPr="003D4694">
        <w:rPr>
          <w:rFonts w:ascii="Segoe UI" w:hAnsi="Segoe UI" w:cs="Segoe UI"/>
        </w:rPr>
        <w:t>omplete further analysis on the</w:t>
      </w:r>
      <w:r w:rsidRPr="003D4694">
        <w:rPr>
          <w:rFonts w:ascii="Segoe UI" w:hAnsi="Segoe UI" w:cs="Segoe UI"/>
        </w:rPr>
        <w:t xml:space="preserve"> information</w:t>
      </w:r>
      <w:r w:rsidR="00D5202C" w:rsidRPr="003D4694">
        <w:rPr>
          <w:rFonts w:ascii="Segoe UI" w:hAnsi="Segoe UI" w:cs="Segoe UI"/>
        </w:rPr>
        <w:t>. T</w:t>
      </w:r>
      <w:r w:rsidRPr="003D4694">
        <w:rPr>
          <w:rFonts w:ascii="Segoe UI" w:hAnsi="Segoe UI" w:cs="Segoe UI"/>
        </w:rPr>
        <w:t xml:space="preserve">here may be </w:t>
      </w:r>
      <w:r w:rsidR="00D5202C" w:rsidRPr="003D4694">
        <w:rPr>
          <w:rFonts w:ascii="Segoe UI" w:hAnsi="Segoe UI" w:cs="Segoe UI"/>
        </w:rPr>
        <w:t xml:space="preserve">a </w:t>
      </w:r>
      <w:r w:rsidRPr="003D4694">
        <w:rPr>
          <w:rFonts w:ascii="Segoe UI" w:hAnsi="Segoe UI" w:cs="Segoe UI"/>
        </w:rPr>
        <w:t>sm</w:t>
      </w:r>
      <w:r w:rsidR="00D5202C" w:rsidRPr="003D4694">
        <w:rPr>
          <w:rFonts w:ascii="Segoe UI" w:hAnsi="Segoe UI" w:cs="Segoe UI"/>
        </w:rPr>
        <w:t>all, usually favourably, uplift</w:t>
      </w:r>
      <w:r w:rsidRPr="003D4694">
        <w:rPr>
          <w:rFonts w:ascii="Segoe UI" w:hAnsi="Segoe UI" w:cs="Segoe UI"/>
        </w:rPr>
        <w:t xml:space="preserve"> on p</w:t>
      </w:r>
      <w:r w:rsidR="00D5202C" w:rsidRPr="003D4694">
        <w:rPr>
          <w:rFonts w:ascii="Segoe UI" w:hAnsi="Segoe UI" w:cs="Segoe UI"/>
        </w:rPr>
        <w:t>ercentages when we receive the CQC</w:t>
      </w:r>
      <w:r w:rsidRPr="003D4694">
        <w:rPr>
          <w:rFonts w:ascii="Segoe UI" w:hAnsi="Segoe UI" w:cs="Segoe UI"/>
        </w:rPr>
        <w:t xml:space="preserve"> report. They also indicate where differences are statistically significant.</w:t>
      </w:r>
    </w:p>
    <w:p w:rsidR="00643F83" w:rsidRPr="003D4694" w:rsidRDefault="00643F83" w:rsidP="00643F83">
      <w:pPr>
        <w:tabs>
          <w:tab w:val="left" w:pos="1418"/>
        </w:tabs>
        <w:spacing w:line="240" w:lineRule="auto"/>
        <w:jc w:val="both"/>
        <w:rPr>
          <w:rFonts w:ascii="Segoe UI" w:hAnsi="Segoe UI" w:cs="Segoe UI"/>
        </w:rPr>
      </w:pPr>
      <w:r w:rsidRPr="003D4694">
        <w:rPr>
          <w:rFonts w:ascii="Segoe UI" w:hAnsi="Segoe UI" w:cs="Segoe UI"/>
        </w:rPr>
        <w:t xml:space="preserve">The graphs below indicate the changes over time </w:t>
      </w:r>
      <w:r w:rsidR="00D5202C" w:rsidRPr="003D4694">
        <w:rPr>
          <w:rFonts w:ascii="Segoe UI" w:hAnsi="Segoe UI" w:cs="Segoe UI"/>
        </w:rPr>
        <w:t xml:space="preserve">from National surveys </w:t>
      </w:r>
      <w:r w:rsidRPr="003D4694">
        <w:rPr>
          <w:rFonts w:ascii="Segoe UI" w:hAnsi="Segoe UI" w:cs="Segoe UI"/>
        </w:rPr>
        <w:t>for these areas where the data is available. These show that last year we made improvements on patients being given a copy of their care plan but this fell back this year. Knowing who the care coordinator is has dropped back over time. Care plan review taking place in the last 12 months has remained fairly static</w:t>
      </w:r>
      <w:r w:rsidR="00D5202C" w:rsidRPr="003D4694">
        <w:rPr>
          <w:rFonts w:ascii="Segoe UI" w:hAnsi="Segoe UI" w:cs="Segoe UI"/>
        </w:rPr>
        <w:t>. T</w:t>
      </w:r>
      <w:r w:rsidRPr="003D4694">
        <w:rPr>
          <w:rFonts w:ascii="Segoe UI" w:hAnsi="Segoe UI" w:cs="Segoe UI"/>
        </w:rPr>
        <w:t>here has been a small incremental improvement over the years that the CQC has mandated the survey, since 20</w:t>
      </w:r>
      <w:r w:rsidR="00D5202C" w:rsidRPr="003D4694">
        <w:rPr>
          <w:rFonts w:ascii="Segoe UI" w:hAnsi="Segoe UI" w:cs="Segoe UI"/>
        </w:rPr>
        <w:t>05, in patients having a number to contact out of hours.</w:t>
      </w:r>
    </w:p>
    <w:p w:rsidR="00643F83" w:rsidRPr="003D4694" w:rsidRDefault="00643F83" w:rsidP="00643F83">
      <w:pPr>
        <w:tabs>
          <w:tab w:val="left" w:pos="1418"/>
        </w:tabs>
        <w:spacing w:line="240" w:lineRule="auto"/>
        <w:jc w:val="both"/>
        <w:rPr>
          <w:rFonts w:ascii="Segoe UI" w:hAnsi="Segoe UI" w:cs="Segoe UI"/>
        </w:rPr>
      </w:pPr>
      <w:r w:rsidRPr="003D4694">
        <w:rPr>
          <w:rFonts w:ascii="Segoe UI" w:hAnsi="Segoe UI" w:cs="Segoe UI"/>
          <w:noProof/>
          <w:lang w:eastAsia="en-GB"/>
        </w:rPr>
        <w:drawing>
          <wp:inline distT="0" distB="0" distL="0" distR="0">
            <wp:extent cx="5324475" cy="16383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351226" cy="1646531"/>
                    </a:xfrm>
                    <a:prstGeom prst="rect">
                      <a:avLst/>
                    </a:prstGeom>
                    <a:noFill/>
                    <a:ln w="9525">
                      <a:noFill/>
                      <a:miter lim="800000"/>
                      <a:headEnd/>
                      <a:tailEnd/>
                    </a:ln>
                  </pic:spPr>
                </pic:pic>
              </a:graphicData>
            </a:graphic>
          </wp:inline>
        </w:drawing>
      </w:r>
    </w:p>
    <w:p w:rsidR="00643F83" w:rsidRPr="003D4694" w:rsidRDefault="00643F83" w:rsidP="00643F83">
      <w:pPr>
        <w:rPr>
          <w:rFonts w:ascii="Segoe UI" w:hAnsi="Segoe UI" w:cs="Segoe UI"/>
        </w:rPr>
      </w:pPr>
      <w:r w:rsidRPr="003D4694">
        <w:rPr>
          <w:rFonts w:ascii="Segoe UI" w:hAnsi="Segoe UI" w:cs="Segoe UI"/>
          <w:noProof/>
          <w:lang w:eastAsia="en-GB"/>
        </w:rPr>
        <w:lastRenderedPageBreak/>
        <w:drawing>
          <wp:inline distT="0" distB="0" distL="0" distR="0">
            <wp:extent cx="5324475" cy="212407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28516" cy="2125687"/>
                    </a:xfrm>
                    <a:prstGeom prst="rect">
                      <a:avLst/>
                    </a:prstGeom>
                    <a:noFill/>
                    <a:ln w="9525">
                      <a:noFill/>
                      <a:miter lim="800000"/>
                      <a:headEnd/>
                      <a:tailEnd/>
                    </a:ln>
                  </pic:spPr>
                </pic:pic>
              </a:graphicData>
            </a:graphic>
          </wp:inline>
        </w:drawing>
      </w:r>
    </w:p>
    <w:p w:rsidR="00643F83" w:rsidRPr="003D4694" w:rsidRDefault="003D4694" w:rsidP="00643F83">
      <w:pPr>
        <w:rPr>
          <w:rFonts w:ascii="Segoe UI" w:hAnsi="Segoe UI" w:cs="Segoe UI"/>
          <w:noProof/>
          <w:lang w:eastAsia="en-GB"/>
        </w:rPr>
      </w:pPr>
      <w:r w:rsidRPr="003D4694">
        <w:rPr>
          <w:rFonts w:ascii="Segoe UI" w:hAnsi="Segoe UI" w:cs="Segoe UI"/>
          <w:noProof/>
          <w:lang w:eastAsia="en-GB"/>
        </w:rPr>
        <w:drawing>
          <wp:inline distT="0" distB="0" distL="0" distR="0">
            <wp:extent cx="2886075" cy="2076450"/>
            <wp:effectExtent l="19050" t="0" r="9525"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891928" cy="2080661"/>
                    </a:xfrm>
                    <a:prstGeom prst="rect">
                      <a:avLst/>
                    </a:prstGeom>
                    <a:noFill/>
                    <a:ln w="9525">
                      <a:noFill/>
                      <a:miter lim="800000"/>
                      <a:headEnd/>
                      <a:tailEnd/>
                    </a:ln>
                  </pic:spPr>
                </pic:pic>
              </a:graphicData>
            </a:graphic>
          </wp:inline>
        </w:drawing>
      </w:r>
      <w:r w:rsidR="00643F83" w:rsidRPr="003D4694">
        <w:rPr>
          <w:rFonts w:ascii="Segoe UI" w:hAnsi="Segoe UI" w:cs="Segoe UI"/>
          <w:noProof/>
          <w:lang w:eastAsia="en-GB"/>
        </w:rPr>
        <w:drawing>
          <wp:inline distT="0" distB="0" distL="0" distR="0">
            <wp:extent cx="2698295" cy="2076450"/>
            <wp:effectExtent l="19050" t="0" r="6805"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708082" cy="2083982"/>
                    </a:xfrm>
                    <a:prstGeom prst="rect">
                      <a:avLst/>
                    </a:prstGeom>
                    <a:noFill/>
                    <a:ln w="9525">
                      <a:noFill/>
                      <a:miter lim="800000"/>
                      <a:headEnd/>
                      <a:tailEnd/>
                    </a:ln>
                  </pic:spPr>
                </pic:pic>
              </a:graphicData>
            </a:graphic>
          </wp:inline>
        </w:drawing>
      </w:r>
    </w:p>
    <w:p w:rsidR="00643F83" w:rsidRPr="003D4694" w:rsidRDefault="003D4694" w:rsidP="003D4694">
      <w:pPr>
        <w:pStyle w:val="BodyText2"/>
        <w:spacing w:after="0" w:line="240" w:lineRule="auto"/>
        <w:rPr>
          <w:rFonts w:ascii="Segoe UI" w:hAnsi="Segoe UI" w:cs="Segoe UI"/>
          <w:color w:val="auto"/>
          <w:sz w:val="22"/>
          <w:szCs w:val="22"/>
        </w:rPr>
      </w:pPr>
      <w:r w:rsidRPr="003D4694">
        <w:rPr>
          <w:rFonts w:ascii="Segoe UI" w:hAnsi="Segoe UI" w:cs="Segoe UI"/>
          <w:color w:val="auto"/>
          <w:sz w:val="22"/>
          <w:szCs w:val="22"/>
        </w:rPr>
        <w:t>The Trust received the full report from Quality Health at the end of July 2012.</w:t>
      </w:r>
    </w:p>
    <w:p w:rsidR="003D4694" w:rsidRPr="003D4694" w:rsidRDefault="003D4694" w:rsidP="009B0BB5">
      <w:pPr>
        <w:pStyle w:val="BodyText2"/>
        <w:spacing w:before="20" w:after="0" w:line="240" w:lineRule="auto"/>
        <w:rPr>
          <w:rFonts w:ascii="Segoe UI" w:hAnsi="Segoe UI" w:cs="Segoe UI"/>
          <w:b/>
          <w:color w:val="auto"/>
          <w:sz w:val="22"/>
          <w:szCs w:val="22"/>
          <w:u w:val="single"/>
        </w:rPr>
      </w:pPr>
    </w:p>
    <w:p w:rsidR="007942A6" w:rsidRPr="003D4694" w:rsidRDefault="007942A6" w:rsidP="003D4694">
      <w:pPr>
        <w:pStyle w:val="BodyText2"/>
        <w:numPr>
          <w:ilvl w:val="0"/>
          <w:numId w:val="12"/>
        </w:numPr>
        <w:spacing w:before="20" w:after="0" w:line="240" w:lineRule="auto"/>
        <w:rPr>
          <w:rFonts w:ascii="Segoe UI" w:hAnsi="Segoe UI" w:cs="Segoe UI"/>
          <w:b/>
          <w:color w:val="auto"/>
          <w:sz w:val="22"/>
          <w:szCs w:val="22"/>
          <w:u w:val="single"/>
        </w:rPr>
      </w:pPr>
      <w:r w:rsidRPr="003D4694">
        <w:rPr>
          <w:rFonts w:ascii="Segoe UI" w:hAnsi="Segoe UI" w:cs="Segoe UI"/>
          <w:b/>
          <w:color w:val="auto"/>
          <w:sz w:val="22"/>
          <w:szCs w:val="22"/>
          <w:u w:val="single"/>
        </w:rPr>
        <w:t>The National Inpatient survey</w:t>
      </w:r>
    </w:p>
    <w:p w:rsidR="007942A6" w:rsidRPr="003D4694" w:rsidRDefault="007942A6" w:rsidP="009B0BB5">
      <w:pPr>
        <w:pStyle w:val="BodyText2"/>
        <w:spacing w:before="20" w:after="0" w:line="240" w:lineRule="auto"/>
        <w:rPr>
          <w:rFonts w:ascii="Segoe UI" w:hAnsi="Segoe UI" w:cs="Segoe UI"/>
          <w:color w:val="auto"/>
          <w:sz w:val="22"/>
          <w:szCs w:val="22"/>
        </w:rPr>
      </w:pPr>
      <w:r w:rsidRPr="003D4694">
        <w:rPr>
          <w:rFonts w:ascii="Segoe UI" w:hAnsi="Segoe UI" w:cs="Segoe UI"/>
          <w:color w:val="auto"/>
          <w:sz w:val="22"/>
          <w:szCs w:val="22"/>
        </w:rPr>
        <w:t xml:space="preserve">The Trust commissioned Quality Health to rerun the National Inpatient survey in 2011 as did 26 other Mental Health Trusts. A summary of results was presented in the March quality report to the Board of Directors, including the agreed action plan. The Mental Health Division is making progress with the </w:t>
      </w:r>
      <w:proofErr w:type="gramStart"/>
      <w:r w:rsidRPr="003D4694">
        <w:rPr>
          <w:rFonts w:ascii="Segoe UI" w:hAnsi="Segoe UI" w:cs="Segoe UI"/>
          <w:color w:val="auto"/>
          <w:sz w:val="22"/>
          <w:szCs w:val="22"/>
        </w:rPr>
        <w:t>plan,</w:t>
      </w:r>
      <w:proofErr w:type="gramEnd"/>
      <w:r w:rsidRPr="003D4694">
        <w:rPr>
          <w:rFonts w:ascii="Segoe UI" w:hAnsi="Segoe UI" w:cs="Segoe UI"/>
          <w:color w:val="auto"/>
          <w:sz w:val="22"/>
          <w:szCs w:val="22"/>
        </w:rPr>
        <w:t xml:space="preserve"> there is minor slippage on timescales which are largely due to the Division not having all substantive Modern Matrons and Service Managers in post. As of the end of May all the vacancies have been filled and people have commenced in post. </w:t>
      </w:r>
    </w:p>
    <w:p w:rsidR="007942A6" w:rsidRPr="003D4694" w:rsidRDefault="007942A6" w:rsidP="009B0BB5">
      <w:pPr>
        <w:pStyle w:val="BodyText2"/>
        <w:spacing w:before="20" w:after="0" w:line="240" w:lineRule="auto"/>
        <w:rPr>
          <w:rFonts w:ascii="Segoe UI" w:hAnsi="Segoe UI" w:cs="Segoe UI"/>
          <w:color w:val="auto"/>
          <w:sz w:val="22"/>
          <w:szCs w:val="22"/>
        </w:rPr>
      </w:pPr>
    </w:p>
    <w:p w:rsidR="007942A6" w:rsidRPr="003D4694" w:rsidRDefault="007942A6" w:rsidP="009B0BB5">
      <w:pPr>
        <w:pStyle w:val="BodyText2"/>
        <w:spacing w:before="20" w:after="0" w:line="240" w:lineRule="auto"/>
        <w:rPr>
          <w:rFonts w:ascii="Segoe UI" w:hAnsi="Segoe UI" w:cs="Segoe UI"/>
          <w:color w:val="auto"/>
          <w:sz w:val="22"/>
          <w:szCs w:val="22"/>
        </w:rPr>
      </w:pPr>
      <w:r w:rsidRPr="003D4694">
        <w:rPr>
          <w:rFonts w:ascii="Segoe UI" w:hAnsi="Segoe UI" w:cs="Segoe UI"/>
          <w:color w:val="auto"/>
          <w:sz w:val="22"/>
          <w:szCs w:val="22"/>
        </w:rPr>
        <w:t>In order to reduce the duplication of questions in surveys and the number of surveys for patient feedback being undertaken in Mental Health services one questionnaire has been developed to be used across the wards, this will cove</w:t>
      </w:r>
      <w:r w:rsidR="003A42AB" w:rsidRPr="003D4694">
        <w:rPr>
          <w:rFonts w:ascii="Segoe UI" w:hAnsi="Segoe UI" w:cs="Segoe UI"/>
          <w:color w:val="auto"/>
          <w:sz w:val="22"/>
          <w:szCs w:val="22"/>
        </w:rPr>
        <w:t xml:space="preserve">r the productive ward questions and </w:t>
      </w:r>
      <w:r w:rsidR="003D4694">
        <w:rPr>
          <w:rFonts w:ascii="Segoe UI" w:hAnsi="Segoe UI" w:cs="Segoe UI"/>
          <w:color w:val="auto"/>
          <w:sz w:val="22"/>
          <w:szCs w:val="22"/>
        </w:rPr>
        <w:t xml:space="preserve">the Trust </w:t>
      </w:r>
      <w:r w:rsidRPr="003D4694">
        <w:rPr>
          <w:rFonts w:ascii="Segoe UI" w:hAnsi="Segoe UI" w:cs="Segoe UI"/>
          <w:color w:val="auto"/>
          <w:sz w:val="22"/>
          <w:szCs w:val="22"/>
        </w:rPr>
        <w:t xml:space="preserve">4 </w:t>
      </w:r>
      <w:r w:rsidR="003A42AB" w:rsidRPr="003D4694">
        <w:rPr>
          <w:rFonts w:ascii="Segoe UI" w:hAnsi="Segoe UI" w:cs="Segoe UI"/>
          <w:color w:val="auto"/>
          <w:sz w:val="22"/>
          <w:szCs w:val="22"/>
        </w:rPr>
        <w:t xml:space="preserve">key </w:t>
      </w:r>
      <w:r w:rsidRPr="003D4694">
        <w:rPr>
          <w:rFonts w:ascii="Segoe UI" w:hAnsi="Segoe UI" w:cs="Segoe UI"/>
          <w:color w:val="auto"/>
          <w:sz w:val="22"/>
          <w:szCs w:val="22"/>
        </w:rPr>
        <w:t xml:space="preserve">questions and </w:t>
      </w:r>
      <w:r w:rsidR="003A42AB" w:rsidRPr="003D4694">
        <w:rPr>
          <w:rFonts w:ascii="Segoe UI" w:hAnsi="Segoe UI" w:cs="Segoe UI"/>
          <w:color w:val="auto"/>
          <w:sz w:val="22"/>
          <w:szCs w:val="22"/>
        </w:rPr>
        <w:t xml:space="preserve">will </w:t>
      </w:r>
      <w:r w:rsidRPr="003D4694">
        <w:rPr>
          <w:rFonts w:ascii="Segoe UI" w:hAnsi="Segoe UI" w:cs="Segoe UI"/>
          <w:color w:val="auto"/>
          <w:sz w:val="22"/>
          <w:szCs w:val="22"/>
        </w:rPr>
        <w:t>also includes key questions to monitor the progress of the inpatient action plan.</w:t>
      </w:r>
    </w:p>
    <w:p w:rsidR="007942A6" w:rsidRPr="003D4694" w:rsidRDefault="007942A6" w:rsidP="009B0BB5">
      <w:pPr>
        <w:pStyle w:val="BodyText2"/>
        <w:spacing w:before="20" w:after="0" w:line="240" w:lineRule="auto"/>
        <w:rPr>
          <w:rFonts w:ascii="Segoe UI" w:hAnsi="Segoe UI" w:cs="Segoe UI"/>
          <w:color w:val="auto"/>
          <w:sz w:val="22"/>
          <w:szCs w:val="22"/>
        </w:rPr>
      </w:pPr>
    </w:p>
    <w:p w:rsidR="007942A6" w:rsidRPr="003D4694" w:rsidRDefault="007942A6" w:rsidP="003D4694">
      <w:pPr>
        <w:pStyle w:val="ListParagraph"/>
        <w:numPr>
          <w:ilvl w:val="0"/>
          <w:numId w:val="12"/>
        </w:numPr>
        <w:spacing w:after="0" w:line="240" w:lineRule="auto"/>
        <w:jc w:val="both"/>
        <w:rPr>
          <w:rFonts w:ascii="Segoe UI" w:hAnsi="Segoe UI" w:cs="Segoe UI"/>
          <w:b/>
          <w:u w:val="single"/>
        </w:rPr>
      </w:pPr>
      <w:r w:rsidRPr="003D4694">
        <w:rPr>
          <w:rFonts w:ascii="Segoe UI" w:hAnsi="Segoe UI" w:cs="Segoe UI"/>
          <w:b/>
          <w:u w:val="single"/>
        </w:rPr>
        <w:t>Responses to Trust wide Patient Experience Questions in 2011-2012</w:t>
      </w:r>
    </w:p>
    <w:p w:rsidR="007942A6" w:rsidRDefault="007942A6" w:rsidP="003D4694">
      <w:pPr>
        <w:spacing w:after="0" w:line="240" w:lineRule="auto"/>
        <w:jc w:val="both"/>
        <w:rPr>
          <w:rFonts w:ascii="Segoe UI" w:hAnsi="Segoe UI" w:cs="Segoe UI"/>
        </w:rPr>
      </w:pPr>
      <w:r w:rsidRPr="003D4694">
        <w:rPr>
          <w:rFonts w:ascii="Segoe UI" w:hAnsi="Segoe UI" w:cs="Segoe UI"/>
        </w:rPr>
        <w:t xml:space="preserve">Over the year the 26 hand held devices have been rotating around the services, excluding Community Service Oxfordshire. The feedback received for the 4 key questions has remained fairly stable </w:t>
      </w:r>
      <w:r w:rsidR="00253678" w:rsidRPr="003D4694">
        <w:rPr>
          <w:rFonts w:ascii="Segoe UI" w:hAnsi="Segoe UI" w:cs="Segoe UI"/>
        </w:rPr>
        <w:t xml:space="preserve">(Graph 1). </w:t>
      </w:r>
      <w:r w:rsidR="00181D52" w:rsidRPr="003D4694">
        <w:rPr>
          <w:rFonts w:ascii="Segoe UI" w:hAnsi="Segoe UI" w:cs="Segoe UI"/>
        </w:rPr>
        <w:t>This</w:t>
      </w:r>
      <w:r w:rsidRPr="003D4694">
        <w:rPr>
          <w:rFonts w:ascii="Segoe UI" w:hAnsi="Segoe UI" w:cs="Segoe UI"/>
        </w:rPr>
        <w:t xml:space="preserve"> would suggest that patients’ views of services are consistent across the Trust. </w:t>
      </w:r>
      <w:r w:rsidR="00253678" w:rsidRPr="003D4694">
        <w:rPr>
          <w:rFonts w:ascii="Segoe UI" w:hAnsi="Segoe UI" w:cs="Segoe UI"/>
        </w:rPr>
        <w:t>Graph 2</w:t>
      </w:r>
      <w:r w:rsidRPr="003D4694">
        <w:rPr>
          <w:rFonts w:ascii="Segoe UI" w:hAnsi="Segoe UI" w:cs="Segoe UI"/>
        </w:rPr>
        <w:t xml:space="preserve"> shows a small reduction in January in overall satisfaction and patients feeling helped to manage difficulties however this did not fall below the lower </w:t>
      </w:r>
      <w:r w:rsidRPr="003D4694">
        <w:rPr>
          <w:rFonts w:ascii="Segoe UI" w:hAnsi="Segoe UI" w:cs="Segoe UI"/>
        </w:rPr>
        <w:lastRenderedPageBreak/>
        <w:t xml:space="preserve">confidence level and has not be a sustained deterioration. At this time the devices were in Oxford City CAMHS. </w:t>
      </w:r>
    </w:p>
    <w:p w:rsidR="003C6B98" w:rsidRPr="003D4694" w:rsidRDefault="003C6B98" w:rsidP="003D4694">
      <w:pPr>
        <w:spacing w:after="0" w:line="240" w:lineRule="auto"/>
        <w:jc w:val="both"/>
        <w:rPr>
          <w:rFonts w:ascii="Segoe UI" w:hAnsi="Segoe UI" w:cs="Segoe UI"/>
        </w:rPr>
      </w:pPr>
    </w:p>
    <w:p w:rsidR="007942A6" w:rsidRPr="003D4694" w:rsidRDefault="007942A6" w:rsidP="009B0BB5">
      <w:pPr>
        <w:spacing w:line="240" w:lineRule="auto"/>
        <w:jc w:val="both"/>
        <w:rPr>
          <w:rFonts w:ascii="Segoe UI" w:hAnsi="Segoe UI" w:cs="Segoe UI"/>
        </w:rPr>
      </w:pPr>
      <w:r w:rsidRPr="003D4694">
        <w:rPr>
          <w:rFonts w:ascii="Segoe UI" w:hAnsi="Segoe UI" w:cs="Segoe UI"/>
          <w:noProof/>
          <w:lang w:eastAsia="en-GB"/>
        </w:rPr>
        <w:drawing>
          <wp:inline distT="0" distB="0" distL="0" distR="0">
            <wp:extent cx="6219825" cy="28765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219825" cy="2876550"/>
                    </a:xfrm>
                    <a:prstGeom prst="rect">
                      <a:avLst/>
                    </a:prstGeom>
                    <a:noFill/>
                    <a:ln w="9525">
                      <a:noFill/>
                      <a:miter lim="800000"/>
                      <a:headEnd/>
                      <a:tailEnd/>
                    </a:ln>
                  </pic:spPr>
                </pic:pic>
              </a:graphicData>
            </a:graphic>
          </wp:inline>
        </w:drawing>
      </w:r>
    </w:p>
    <w:p w:rsidR="007942A6" w:rsidRDefault="00253678" w:rsidP="009B0BB5">
      <w:pPr>
        <w:pStyle w:val="BodyText2"/>
        <w:spacing w:before="20" w:after="0" w:line="240" w:lineRule="auto"/>
        <w:rPr>
          <w:rFonts w:ascii="Segoe UI" w:hAnsi="Segoe UI" w:cs="Segoe UI"/>
          <w:color w:val="auto"/>
          <w:sz w:val="22"/>
          <w:szCs w:val="22"/>
        </w:rPr>
      </w:pPr>
      <w:r w:rsidRPr="003D4694">
        <w:rPr>
          <w:rFonts w:ascii="Segoe UI" w:hAnsi="Segoe UI" w:cs="Segoe UI"/>
          <w:color w:val="auto"/>
          <w:sz w:val="22"/>
          <w:szCs w:val="22"/>
        </w:rPr>
        <w:t>Graph 1 – 2011 – 2012 responses to 4 key patient experience questions</w:t>
      </w:r>
    </w:p>
    <w:p w:rsidR="003D4694" w:rsidRPr="003D4694" w:rsidRDefault="003D4694" w:rsidP="009B0BB5">
      <w:pPr>
        <w:pStyle w:val="BodyText2"/>
        <w:spacing w:before="20" w:after="0" w:line="240" w:lineRule="auto"/>
        <w:rPr>
          <w:rFonts w:ascii="Segoe UI" w:hAnsi="Segoe UI" w:cs="Segoe UI"/>
          <w:color w:val="auto"/>
          <w:sz w:val="22"/>
          <w:szCs w:val="22"/>
        </w:rPr>
      </w:pPr>
    </w:p>
    <w:p w:rsidR="007942A6" w:rsidRPr="003D4694" w:rsidRDefault="007942A6" w:rsidP="009B0BB5">
      <w:pPr>
        <w:spacing w:line="240" w:lineRule="auto"/>
        <w:jc w:val="both"/>
        <w:rPr>
          <w:rFonts w:ascii="Segoe UI" w:hAnsi="Segoe UI" w:cs="Segoe UI"/>
        </w:rPr>
      </w:pPr>
      <w:r w:rsidRPr="003D4694">
        <w:rPr>
          <w:rFonts w:ascii="Segoe UI" w:hAnsi="Segoe UI" w:cs="Segoe UI"/>
          <w:noProof/>
          <w:lang w:eastAsia="en-GB"/>
        </w:rPr>
        <w:drawing>
          <wp:inline distT="0" distB="0" distL="0" distR="0">
            <wp:extent cx="5731510" cy="2495836"/>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31510" cy="2495836"/>
                    </a:xfrm>
                    <a:prstGeom prst="rect">
                      <a:avLst/>
                    </a:prstGeom>
                    <a:noFill/>
                    <a:ln w="9525">
                      <a:noFill/>
                      <a:miter lim="800000"/>
                      <a:headEnd/>
                      <a:tailEnd/>
                    </a:ln>
                  </pic:spPr>
                </pic:pic>
              </a:graphicData>
            </a:graphic>
          </wp:inline>
        </w:drawing>
      </w:r>
    </w:p>
    <w:p w:rsidR="007740FA" w:rsidRDefault="00253678" w:rsidP="00253678">
      <w:pPr>
        <w:tabs>
          <w:tab w:val="left" w:pos="1440"/>
        </w:tabs>
        <w:spacing w:line="240" w:lineRule="auto"/>
        <w:jc w:val="both"/>
        <w:rPr>
          <w:rFonts w:ascii="Segoe UI" w:hAnsi="Segoe UI" w:cs="Segoe UI"/>
        </w:rPr>
      </w:pPr>
      <w:r w:rsidRPr="003D4694">
        <w:rPr>
          <w:rFonts w:ascii="Segoe UI" w:hAnsi="Segoe UI" w:cs="Segoe UI"/>
        </w:rPr>
        <w:t>Graph 2 –</w:t>
      </w:r>
      <w:r w:rsidR="00CC2241" w:rsidRPr="003D4694">
        <w:rPr>
          <w:rFonts w:ascii="Segoe UI" w:hAnsi="Segoe UI" w:cs="Segoe UI"/>
        </w:rPr>
        <w:t xml:space="preserve"> 2011/</w:t>
      </w:r>
      <w:r w:rsidRPr="003D4694">
        <w:rPr>
          <w:rFonts w:ascii="Segoe UI" w:hAnsi="Segoe UI" w:cs="Segoe UI"/>
        </w:rPr>
        <w:t xml:space="preserve">12 overall </w:t>
      </w:r>
      <w:proofErr w:type="gramStart"/>
      <w:r w:rsidRPr="003D4694">
        <w:rPr>
          <w:rFonts w:ascii="Segoe UI" w:hAnsi="Segoe UI" w:cs="Segoe UI"/>
        </w:rPr>
        <w:t>satisfaction</w:t>
      </w:r>
      <w:proofErr w:type="gramEnd"/>
      <w:r w:rsidRPr="003D4694">
        <w:rPr>
          <w:rFonts w:ascii="Segoe UI" w:hAnsi="Segoe UI" w:cs="Segoe UI"/>
        </w:rPr>
        <w:t xml:space="preserve"> with services</w:t>
      </w:r>
      <w:r w:rsidRPr="003D4694">
        <w:rPr>
          <w:rFonts w:ascii="Segoe UI" w:hAnsi="Segoe UI" w:cs="Segoe UI"/>
        </w:rPr>
        <w:tab/>
      </w:r>
    </w:p>
    <w:p w:rsidR="00595870" w:rsidRPr="003D4694" w:rsidRDefault="007942A6" w:rsidP="003D4694">
      <w:pPr>
        <w:pStyle w:val="ListParagraph"/>
        <w:numPr>
          <w:ilvl w:val="0"/>
          <w:numId w:val="12"/>
        </w:numPr>
        <w:spacing w:after="0" w:line="240" w:lineRule="auto"/>
        <w:jc w:val="both"/>
        <w:rPr>
          <w:rFonts w:ascii="Segoe UI" w:hAnsi="Segoe UI" w:cs="Segoe UI"/>
          <w:b/>
          <w:noProof/>
          <w:lang w:eastAsia="en-GB"/>
        </w:rPr>
      </w:pPr>
      <w:r w:rsidRPr="003D4694">
        <w:rPr>
          <w:rFonts w:ascii="Segoe UI" w:hAnsi="Segoe UI" w:cs="Segoe UI"/>
          <w:b/>
          <w:u w:val="single"/>
        </w:rPr>
        <w:t>Complaints</w:t>
      </w:r>
    </w:p>
    <w:p w:rsidR="007740FA" w:rsidRDefault="007740FA" w:rsidP="003D4694">
      <w:pPr>
        <w:spacing w:after="0" w:line="240" w:lineRule="auto"/>
        <w:jc w:val="both"/>
        <w:rPr>
          <w:rFonts w:ascii="Segoe UI" w:hAnsi="Segoe UI" w:cs="Segoe UI"/>
        </w:rPr>
      </w:pPr>
      <w:r w:rsidRPr="003D4694">
        <w:rPr>
          <w:rFonts w:ascii="Segoe UI" w:hAnsi="Segoe UI" w:cs="Segoe UI"/>
        </w:rPr>
        <w:t>There was a significant decrease in the number of complaints received in quarter 1</w:t>
      </w:r>
      <w:r w:rsidR="003A42AB" w:rsidRPr="003D4694">
        <w:rPr>
          <w:rFonts w:ascii="Segoe UI" w:hAnsi="Segoe UI" w:cs="Segoe UI"/>
        </w:rPr>
        <w:t xml:space="preserve"> (33)</w:t>
      </w:r>
      <w:r w:rsidRPr="003D4694">
        <w:rPr>
          <w:rFonts w:ascii="Segoe UI" w:hAnsi="Segoe UI" w:cs="Segoe UI"/>
        </w:rPr>
        <w:t xml:space="preserve"> of 2012/13 compared to </w:t>
      </w:r>
      <w:r w:rsidR="00181D52" w:rsidRPr="003D4694">
        <w:rPr>
          <w:rFonts w:ascii="Segoe UI" w:hAnsi="Segoe UI" w:cs="Segoe UI"/>
        </w:rPr>
        <w:t>the quarters</w:t>
      </w:r>
      <w:r w:rsidRPr="003D4694">
        <w:rPr>
          <w:rFonts w:ascii="Segoe UI" w:hAnsi="Segoe UI" w:cs="Segoe UI"/>
        </w:rPr>
        <w:t xml:space="preserve"> in 2011/12 as seen below</w:t>
      </w:r>
    </w:p>
    <w:p w:rsidR="003D4694" w:rsidRPr="003D4694" w:rsidRDefault="003D4694" w:rsidP="003D4694">
      <w:pPr>
        <w:spacing w:after="0" w:line="240" w:lineRule="auto"/>
        <w:jc w:val="both"/>
        <w:rPr>
          <w:rFonts w:ascii="Segoe UI" w:hAnsi="Segoe UI" w:cs="Segoe UI"/>
        </w:rPr>
      </w:pPr>
    </w:p>
    <w:tbl>
      <w:tblPr>
        <w:tblStyle w:val="TableGrid"/>
        <w:tblW w:w="0" w:type="auto"/>
        <w:tblLook w:val="04A0"/>
      </w:tblPr>
      <w:tblGrid>
        <w:gridCol w:w="1848"/>
        <w:gridCol w:w="1848"/>
        <w:gridCol w:w="1848"/>
        <w:gridCol w:w="1849"/>
        <w:gridCol w:w="1849"/>
      </w:tblGrid>
      <w:tr w:rsidR="007740FA" w:rsidRPr="003D4694" w:rsidTr="007740FA">
        <w:tc>
          <w:tcPr>
            <w:tcW w:w="8545" w:type="dxa"/>
            <w:gridSpan w:val="4"/>
          </w:tcPr>
          <w:p w:rsidR="007740FA" w:rsidRPr="003D4694" w:rsidRDefault="007740FA" w:rsidP="009B0BB5">
            <w:pPr>
              <w:jc w:val="both"/>
              <w:rPr>
                <w:rFonts w:ascii="Segoe UI" w:hAnsi="Segoe UI" w:cs="Segoe UI"/>
              </w:rPr>
            </w:pPr>
            <w:r w:rsidRPr="003D4694">
              <w:rPr>
                <w:rFonts w:ascii="Segoe UI" w:hAnsi="Segoe UI" w:cs="Segoe UI"/>
              </w:rPr>
              <w:t>2011-2012</w:t>
            </w:r>
          </w:p>
        </w:tc>
        <w:tc>
          <w:tcPr>
            <w:tcW w:w="2137" w:type="dxa"/>
          </w:tcPr>
          <w:p w:rsidR="007740FA" w:rsidRPr="003D4694" w:rsidRDefault="007740FA" w:rsidP="009B0BB5">
            <w:pPr>
              <w:jc w:val="both"/>
              <w:rPr>
                <w:rFonts w:ascii="Segoe UI" w:hAnsi="Segoe UI" w:cs="Segoe UI"/>
              </w:rPr>
            </w:pPr>
            <w:r w:rsidRPr="003D4694">
              <w:rPr>
                <w:rFonts w:ascii="Segoe UI" w:hAnsi="Segoe UI" w:cs="Segoe UI"/>
              </w:rPr>
              <w:t>2012-2013</w:t>
            </w:r>
          </w:p>
        </w:tc>
      </w:tr>
      <w:tr w:rsidR="007740FA" w:rsidRPr="003D4694" w:rsidTr="007740FA">
        <w:tc>
          <w:tcPr>
            <w:tcW w:w="2136" w:type="dxa"/>
          </w:tcPr>
          <w:p w:rsidR="007740FA" w:rsidRPr="003D4694" w:rsidRDefault="007740FA" w:rsidP="009B0BB5">
            <w:pPr>
              <w:jc w:val="both"/>
              <w:rPr>
                <w:rFonts w:ascii="Segoe UI" w:hAnsi="Segoe UI" w:cs="Segoe UI"/>
              </w:rPr>
            </w:pPr>
            <w:r w:rsidRPr="003D4694">
              <w:rPr>
                <w:rFonts w:ascii="Segoe UI" w:hAnsi="Segoe UI" w:cs="Segoe UI"/>
              </w:rPr>
              <w:t>Quarter 1</w:t>
            </w:r>
          </w:p>
        </w:tc>
        <w:tc>
          <w:tcPr>
            <w:tcW w:w="2136" w:type="dxa"/>
          </w:tcPr>
          <w:p w:rsidR="007740FA" w:rsidRPr="003D4694" w:rsidRDefault="007740FA" w:rsidP="009B0BB5">
            <w:pPr>
              <w:jc w:val="both"/>
              <w:rPr>
                <w:rFonts w:ascii="Segoe UI" w:hAnsi="Segoe UI" w:cs="Segoe UI"/>
              </w:rPr>
            </w:pPr>
            <w:r w:rsidRPr="003D4694">
              <w:rPr>
                <w:rFonts w:ascii="Segoe UI" w:hAnsi="Segoe UI" w:cs="Segoe UI"/>
              </w:rPr>
              <w:t>Quarter 1</w:t>
            </w:r>
          </w:p>
        </w:tc>
        <w:tc>
          <w:tcPr>
            <w:tcW w:w="2136" w:type="dxa"/>
          </w:tcPr>
          <w:p w:rsidR="007740FA" w:rsidRPr="003D4694" w:rsidRDefault="007740FA" w:rsidP="009B0BB5">
            <w:pPr>
              <w:jc w:val="both"/>
              <w:rPr>
                <w:rFonts w:ascii="Segoe UI" w:hAnsi="Segoe UI" w:cs="Segoe UI"/>
              </w:rPr>
            </w:pPr>
            <w:r w:rsidRPr="003D4694">
              <w:rPr>
                <w:rFonts w:ascii="Segoe UI" w:hAnsi="Segoe UI" w:cs="Segoe UI"/>
              </w:rPr>
              <w:t>Quarter 1</w:t>
            </w:r>
          </w:p>
        </w:tc>
        <w:tc>
          <w:tcPr>
            <w:tcW w:w="2137" w:type="dxa"/>
          </w:tcPr>
          <w:p w:rsidR="007740FA" w:rsidRPr="003D4694" w:rsidRDefault="007740FA" w:rsidP="009B0BB5">
            <w:pPr>
              <w:jc w:val="both"/>
              <w:rPr>
                <w:rFonts w:ascii="Segoe UI" w:hAnsi="Segoe UI" w:cs="Segoe UI"/>
              </w:rPr>
            </w:pPr>
            <w:r w:rsidRPr="003D4694">
              <w:rPr>
                <w:rFonts w:ascii="Segoe UI" w:hAnsi="Segoe UI" w:cs="Segoe UI"/>
              </w:rPr>
              <w:t>Quarter 1</w:t>
            </w:r>
          </w:p>
        </w:tc>
        <w:tc>
          <w:tcPr>
            <w:tcW w:w="2137" w:type="dxa"/>
          </w:tcPr>
          <w:p w:rsidR="007740FA" w:rsidRPr="003D4694" w:rsidRDefault="007740FA" w:rsidP="009B0BB5">
            <w:pPr>
              <w:jc w:val="both"/>
              <w:rPr>
                <w:rFonts w:ascii="Segoe UI" w:hAnsi="Segoe UI" w:cs="Segoe UI"/>
              </w:rPr>
            </w:pPr>
            <w:r w:rsidRPr="003D4694">
              <w:rPr>
                <w:rFonts w:ascii="Segoe UI" w:hAnsi="Segoe UI" w:cs="Segoe UI"/>
              </w:rPr>
              <w:t>Quarter 1</w:t>
            </w:r>
          </w:p>
        </w:tc>
      </w:tr>
      <w:tr w:rsidR="007740FA" w:rsidRPr="003D4694" w:rsidTr="007740FA">
        <w:tc>
          <w:tcPr>
            <w:tcW w:w="2136" w:type="dxa"/>
          </w:tcPr>
          <w:p w:rsidR="007740FA" w:rsidRPr="003D4694" w:rsidRDefault="007740FA" w:rsidP="009B0BB5">
            <w:pPr>
              <w:jc w:val="both"/>
              <w:rPr>
                <w:rFonts w:ascii="Segoe UI" w:hAnsi="Segoe UI" w:cs="Segoe UI"/>
              </w:rPr>
            </w:pPr>
            <w:r w:rsidRPr="003D4694">
              <w:rPr>
                <w:rFonts w:ascii="Segoe UI" w:hAnsi="Segoe UI" w:cs="Segoe UI"/>
              </w:rPr>
              <w:t>54</w:t>
            </w:r>
          </w:p>
        </w:tc>
        <w:tc>
          <w:tcPr>
            <w:tcW w:w="2136" w:type="dxa"/>
          </w:tcPr>
          <w:p w:rsidR="007740FA" w:rsidRPr="003D4694" w:rsidRDefault="007740FA" w:rsidP="009B0BB5">
            <w:pPr>
              <w:jc w:val="both"/>
              <w:rPr>
                <w:rFonts w:ascii="Segoe UI" w:hAnsi="Segoe UI" w:cs="Segoe UI"/>
              </w:rPr>
            </w:pPr>
            <w:r w:rsidRPr="003D4694">
              <w:rPr>
                <w:rFonts w:ascii="Segoe UI" w:hAnsi="Segoe UI" w:cs="Segoe UI"/>
              </w:rPr>
              <w:t>60</w:t>
            </w:r>
          </w:p>
        </w:tc>
        <w:tc>
          <w:tcPr>
            <w:tcW w:w="2136" w:type="dxa"/>
          </w:tcPr>
          <w:p w:rsidR="007740FA" w:rsidRPr="003D4694" w:rsidRDefault="007740FA" w:rsidP="009B0BB5">
            <w:pPr>
              <w:jc w:val="both"/>
              <w:rPr>
                <w:rFonts w:ascii="Segoe UI" w:hAnsi="Segoe UI" w:cs="Segoe UI"/>
              </w:rPr>
            </w:pPr>
            <w:r w:rsidRPr="003D4694">
              <w:rPr>
                <w:rFonts w:ascii="Segoe UI" w:hAnsi="Segoe UI" w:cs="Segoe UI"/>
              </w:rPr>
              <w:t>47</w:t>
            </w:r>
          </w:p>
        </w:tc>
        <w:tc>
          <w:tcPr>
            <w:tcW w:w="2137" w:type="dxa"/>
          </w:tcPr>
          <w:p w:rsidR="007740FA" w:rsidRPr="003D4694" w:rsidRDefault="007740FA" w:rsidP="009B0BB5">
            <w:pPr>
              <w:jc w:val="both"/>
              <w:rPr>
                <w:rFonts w:ascii="Segoe UI" w:hAnsi="Segoe UI" w:cs="Segoe UI"/>
              </w:rPr>
            </w:pPr>
            <w:r w:rsidRPr="003D4694">
              <w:rPr>
                <w:rFonts w:ascii="Segoe UI" w:hAnsi="Segoe UI" w:cs="Segoe UI"/>
              </w:rPr>
              <w:t>47</w:t>
            </w:r>
          </w:p>
        </w:tc>
        <w:tc>
          <w:tcPr>
            <w:tcW w:w="2137" w:type="dxa"/>
          </w:tcPr>
          <w:p w:rsidR="007740FA" w:rsidRPr="003D4694" w:rsidRDefault="007740FA" w:rsidP="009B0BB5">
            <w:pPr>
              <w:jc w:val="both"/>
              <w:rPr>
                <w:rFonts w:ascii="Segoe UI" w:hAnsi="Segoe UI" w:cs="Segoe UI"/>
              </w:rPr>
            </w:pPr>
            <w:r w:rsidRPr="003D4694">
              <w:rPr>
                <w:rFonts w:ascii="Segoe UI" w:hAnsi="Segoe UI" w:cs="Segoe UI"/>
              </w:rPr>
              <w:t>33</w:t>
            </w:r>
          </w:p>
        </w:tc>
      </w:tr>
    </w:tbl>
    <w:p w:rsidR="008F0E3C" w:rsidRDefault="008F0E3C" w:rsidP="009B0BB5">
      <w:pPr>
        <w:spacing w:line="240" w:lineRule="auto"/>
        <w:jc w:val="both"/>
        <w:rPr>
          <w:rFonts w:ascii="Segoe UI" w:hAnsi="Segoe UI" w:cs="Segoe UI"/>
        </w:rPr>
      </w:pPr>
    </w:p>
    <w:p w:rsidR="006B7742" w:rsidRPr="003D4694" w:rsidRDefault="006B7742" w:rsidP="009B0BB5">
      <w:pPr>
        <w:spacing w:line="240" w:lineRule="auto"/>
        <w:jc w:val="both"/>
        <w:rPr>
          <w:rFonts w:ascii="Segoe UI" w:hAnsi="Segoe UI" w:cs="Segoe UI"/>
        </w:rPr>
      </w:pPr>
    </w:p>
    <w:p w:rsidR="007740FA" w:rsidRPr="003D4694" w:rsidRDefault="007740FA" w:rsidP="009B0BB5">
      <w:pPr>
        <w:spacing w:line="240" w:lineRule="auto"/>
        <w:jc w:val="both"/>
        <w:rPr>
          <w:rFonts w:ascii="Segoe UI" w:hAnsi="Segoe UI" w:cs="Segoe UI"/>
        </w:rPr>
      </w:pPr>
      <w:r w:rsidRPr="003D4694">
        <w:rPr>
          <w:rFonts w:ascii="Segoe UI" w:hAnsi="Segoe UI" w:cs="Segoe UI"/>
        </w:rPr>
        <w:lastRenderedPageBreak/>
        <w:t xml:space="preserve">The </w:t>
      </w:r>
      <w:r w:rsidR="00CC2241" w:rsidRPr="003D4694">
        <w:rPr>
          <w:rFonts w:ascii="Segoe UI" w:hAnsi="Segoe UI" w:cs="Segoe UI"/>
        </w:rPr>
        <w:t>graph</w:t>
      </w:r>
      <w:r w:rsidRPr="003D4694">
        <w:rPr>
          <w:rFonts w:ascii="Segoe UI" w:hAnsi="Segoe UI" w:cs="Segoe UI"/>
        </w:rPr>
        <w:t xml:space="preserve"> below shows the breakdown of the number of complaints received by month over a 24 month perio</w:t>
      </w:r>
      <w:r w:rsidR="003A42AB" w:rsidRPr="003D4694">
        <w:rPr>
          <w:rFonts w:ascii="Segoe UI" w:hAnsi="Segoe UI" w:cs="Segoe UI"/>
        </w:rPr>
        <w:t xml:space="preserve">d (1 July 2010 to 30 June 2012) showing peaks and troughs but no particular pattern. </w:t>
      </w:r>
    </w:p>
    <w:p w:rsidR="007740FA" w:rsidRPr="003D4694" w:rsidRDefault="007740FA" w:rsidP="009B0BB5">
      <w:pPr>
        <w:spacing w:line="240" w:lineRule="auto"/>
        <w:jc w:val="both"/>
        <w:rPr>
          <w:rFonts w:ascii="Segoe UI" w:hAnsi="Segoe UI" w:cs="Segoe UI"/>
        </w:rPr>
      </w:pPr>
      <w:r w:rsidRPr="003D4694">
        <w:rPr>
          <w:rFonts w:ascii="Segoe UI" w:hAnsi="Segoe UI" w:cs="Segoe UI"/>
          <w:noProof/>
          <w:lang w:eastAsia="en-GB"/>
        </w:rPr>
        <w:drawing>
          <wp:inline distT="0" distB="0" distL="0" distR="0">
            <wp:extent cx="5452745" cy="2220595"/>
            <wp:effectExtent l="1905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452745" cy="2220595"/>
                    </a:xfrm>
                    <a:prstGeom prst="rect">
                      <a:avLst/>
                    </a:prstGeom>
                    <a:noFill/>
                  </pic:spPr>
                </pic:pic>
              </a:graphicData>
            </a:graphic>
          </wp:inline>
        </w:drawing>
      </w:r>
    </w:p>
    <w:p w:rsidR="00CC2241" w:rsidRPr="003D4694" w:rsidRDefault="00CC2241" w:rsidP="009B0BB5">
      <w:pPr>
        <w:spacing w:line="240" w:lineRule="auto"/>
        <w:jc w:val="both"/>
        <w:rPr>
          <w:rFonts w:ascii="Segoe UI" w:hAnsi="Segoe UI" w:cs="Segoe UI"/>
        </w:rPr>
      </w:pPr>
      <w:r w:rsidRPr="003D4694">
        <w:rPr>
          <w:rFonts w:ascii="Segoe UI" w:hAnsi="Segoe UI" w:cs="Segoe UI"/>
        </w:rPr>
        <w:t>Graph 3 – Complaints by Month 2010/2012</w:t>
      </w:r>
    </w:p>
    <w:p w:rsidR="007740FA" w:rsidRPr="003D4694" w:rsidRDefault="007740FA" w:rsidP="003D4694">
      <w:pPr>
        <w:pStyle w:val="ListParagraph"/>
        <w:numPr>
          <w:ilvl w:val="0"/>
          <w:numId w:val="12"/>
        </w:numPr>
        <w:spacing w:after="0" w:line="240" w:lineRule="auto"/>
        <w:jc w:val="both"/>
        <w:rPr>
          <w:rFonts w:ascii="Segoe UI" w:hAnsi="Segoe UI" w:cs="Segoe UI"/>
          <w:b/>
          <w:u w:val="single"/>
        </w:rPr>
      </w:pPr>
      <w:r w:rsidRPr="003D4694">
        <w:rPr>
          <w:rFonts w:ascii="Segoe UI" w:hAnsi="Segoe UI" w:cs="Segoe UI"/>
          <w:b/>
          <w:u w:val="single"/>
        </w:rPr>
        <w:t>Performance</w:t>
      </w:r>
    </w:p>
    <w:p w:rsidR="007740FA" w:rsidRPr="003D4694" w:rsidRDefault="007740FA" w:rsidP="003D4694">
      <w:pPr>
        <w:spacing w:after="0" w:line="240" w:lineRule="auto"/>
        <w:jc w:val="both"/>
        <w:rPr>
          <w:rFonts w:ascii="Segoe UI" w:hAnsi="Segoe UI" w:cs="Segoe UI"/>
        </w:rPr>
      </w:pPr>
      <w:r w:rsidRPr="003D4694">
        <w:rPr>
          <w:rFonts w:ascii="Segoe UI" w:hAnsi="Segoe UI" w:cs="Segoe UI"/>
          <w:i/>
        </w:rPr>
        <w:t xml:space="preserve">Acknowledgement Times:  </w:t>
      </w:r>
      <w:r w:rsidRPr="003D4694">
        <w:rPr>
          <w:rFonts w:ascii="Segoe UI" w:hAnsi="Segoe UI" w:cs="Segoe UI"/>
        </w:rPr>
        <w:t xml:space="preserve">National regulations require that complaints are acknowledged within three working days of receipt.  During Quarter One, 33 complaints (100%) were acknowledged within this timescale.  </w:t>
      </w:r>
    </w:p>
    <w:p w:rsidR="007740FA" w:rsidRPr="003D4694" w:rsidRDefault="007740FA" w:rsidP="009B0BB5">
      <w:pPr>
        <w:spacing w:line="240" w:lineRule="auto"/>
        <w:jc w:val="both"/>
        <w:rPr>
          <w:rFonts w:ascii="Segoe UI" w:hAnsi="Segoe UI" w:cs="Segoe UI"/>
          <w:bCs/>
        </w:rPr>
      </w:pPr>
      <w:r w:rsidRPr="003D4694">
        <w:rPr>
          <w:rFonts w:ascii="Segoe UI" w:hAnsi="Segoe UI" w:cs="Segoe UI"/>
          <w:bCs/>
          <w:i/>
        </w:rPr>
        <w:t xml:space="preserve">Response Times:  </w:t>
      </w:r>
      <w:r w:rsidRPr="003D4694">
        <w:rPr>
          <w:rFonts w:ascii="Segoe UI" w:hAnsi="Segoe UI" w:cs="Segoe UI"/>
          <w:bCs/>
        </w:rPr>
        <w:t>Of the 33 complaints received, 13 (40%) complaints were responded to within the set timescale.  11 (33%) complaints were responded to within an extended timescale which had been agreed with the complaint.  Nine (27%) complaints are still open at the time of writing this report</w:t>
      </w:r>
      <w:r w:rsidR="008F0E3C" w:rsidRPr="003D4694">
        <w:rPr>
          <w:rFonts w:ascii="Segoe UI" w:hAnsi="Segoe UI" w:cs="Segoe UI"/>
          <w:bCs/>
        </w:rPr>
        <w:t>.</w:t>
      </w:r>
    </w:p>
    <w:p w:rsidR="00595870" w:rsidRPr="003D4694" w:rsidRDefault="00595870" w:rsidP="003D4694">
      <w:pPr>
        <w:pStyle w:val="ListParagraph"/>
        <w:numPr>
          <w:ilvl w:val="0"/>
          <w:numId w:val="12"/>
        </w:numPr>
        <w:spacing w:after="0" w:line="240" w:lineRule="auto"/>
        <w:jc w:val="both"/>
        <w:rPr>
          <w:rFonts w:ascii="Segoe UI" w:hAnsi="Segoe UI" w:cs="Segoe UI"/>
          <w:b/>
          <w:u w:val="single"/>
        </w:rPr>
      </w:pPr>
      <w:r w:rsidRPr="003D4694">
        <w:rPr>
          <w:rFonts w:ascii="Segoe UI" w:hAnsi="Segoe UI" w:cs="Segoe UI"/>
          <w:b/>
          <w:u w:val="single"/>
        </w:rPr>
        <w:t>Safety</w:t>
      </w:r>
    </w:p>
    <w:p w:rsidR="00595870" w:rsidRPr="003C6B98" w:rsidRDefault="00595870" w:rsidP="003D4694">
      <w:pPr>
        <w:spacing w:after="0" w:line="240" w:lineRule="auto"/>
        <w:jc w:val="both"/>
        <w:rPr>
          <w:rFonts w:ascii="Segoe UI" w:hAnsi="Segoe UI" w:cs="Segoe UI"/>
          <w:i/>
          <w:noProof/>
          <w:u w:val="single"/>
        </w:rPr>
      </w:pPr>
      <w:r w:rsidRPr="003C6B98">
        <w:rPr>
          <w:rFonts w:ascii="Segoe UI" w:hAnsi="Segoe UI" w:cs="Segoe UI"/>
          <w:i/>
          <w:noProof/>
          <w:u w:val="single"/>
        </w:rPr>
        <w:t>Total Number of Incidents by Quarter</w:t>
      </w:r>
      <w:r w:rsidR="003D4694" w:rsidRPr="003C6B98">
        <w:rPr>
          <w:rFonts w:ascii="Segoe UI" w:hAnsi="Segoe UI" w:cs="Segoe UI"/>
          <w:i/>
          <w:noProof/>
          <w:u w:val="single"/>
        </w:rPr>
        <w:t>:</w:t>
      </w:r>
    </w:p>
    <w:p w:rsidR="00595870" w:rsidRDefault="00595870" w:rsidP="009B0BB5">
      <w:pPr>
        <w:spacing w:line="240" w:lineRule="auto"/>
        <w:jc w:val="both"/>
        <w:rPr>
          <w:rFonts w:ascii="Segoe UI" w:hAnsi="Segoe UI" w:cs="Segoe UI"/>
          <w:color w:val="000000"/>
        </w:rPr>
      </w:pPr>
      <w:r w:rsidRPr="003C6B98">
        <w:rPr>
          <w:rFonts w:ascii="Segoe UI" w:hAnsi="Segoe UI" w:cs="Segoe UI"/>
          <w:color w:val="000000"/>
        </w:rPr>
        <w:t>There were a total of 2227 incidents reported in quarter one (7302 incidents were reported in the whole of 2011/12, a mean of 1825 per quarter).</w:t>
      </w:r>
    </w:p>
    <w:p w:rsidR="003C6B98" w:rsidRPr="003C6B98" w:rsidRDefault="003C6B98" w:rsidP="009B0BB5">
      <w:pPr>
        <w:spacing w:line="240" w:lineRule="auto"/>
        <w:jc w:val="both"/>
        <w:rPr>
          <w:rFonts w:ascii="Segoe UI" w:hAnsi="Segoe UI" w:cs="Segoe UI"/>
          <w:color w:val="000000"/>
        </w:rPr>
      </w:pPr>
    </w:p>
    <w:tbl>
      <w:tblPr>
        <w:tblW w:w="4960"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240"/>
        <w:gridCol w:w="1240"/>
        <w:gridCol w:w="1240"/>
      </w:tblGrid>
      <w:tr w:rsidR="00595870" w:rsidRPr="003C6B98" w:rsidTr="007740FA">
        <w:trPr>
          <w:trHeight w:val="300"/>
        </w:trPr>
        <w:tc>
          <w:tcPr>
            <w:tcW w:w="1240" w:type="dxa"/>
            <w:shd w:val="clear" w:color="auto" w:fill="auto"/>
            <w:noWrap/>
            <w:vAlign w:val="center"/>
            <w:hideMark/>
          </w:tcPr>
          <w:p w:rsidR="00595870" w:rsidRPr="003C6B98" w:rsidRDefault="00595870" w:rsidP="009B0BB5">
            <w:pPr>
              <w:spacing w:line="240" w:lineRule="auto"/>
              <w:jc w:val="both"/>
              <w:rPr>
                <w:rFonts w:ascii="Segoe UI" w:hAnsi="Segoe UI" w:cs="Segoe UI"/>
                <w:bCs/>
                <w:color w:val="000000"/>
              </w:rPr>
            </w:pPr>
            <w:r w:rsidRPr="003C6B98">
              <w:rPr>
                <w:rFonts w:ascii="Segoe UI" w:hAnsi="Segoe UI" w:cs="Segoe UI"/>
                <w:bCs/>
                <w:color w:val="000000"/>
              </w:rPr>
              <w:t>Q2 2011/12</w:t>
            </w:r>
          </w:p>
        </w:tc>
        <w:tc>
          <w:tcPr>
            <w:tcW w:w="1240" w:type="dxa"/>
            <w:vAlign w:val="center"/>
          </w:tcPr>
          <w:p w:rsidR="00595870" w:rsidRPr="003C6B98" w:rsidRDefault="00595870" w:rsidP="009B0BB5">
            <w:pPr>
              <w:spacing w:line="240" w:lineRule="auto"/>
              <w:jc w:val="both"/>
              <w:rPr>
                <w:rFonts w:ascii="Segoe UI" w:hAnsi="Segoe UI" w:cs="Segoe UI"/>
                <w:bCs/>
                <w:color w:val="000000"/>
              </w:rPr>
            </w:pPr>
            <w:r w:rsidRPr="003C6B98">
              <w:rPr>
                <w:rFonts w:ascii="Segoe UI" w:hAnsi="Segoe UI" w:cs="Segoe UI"/>
                <w:bCs/>
                <w:color w:val="000000"/>
              </w:rPr>
              <w:t>Q3 2011/12</w:t>
            </w:r>
          </w:p>
        </w:tc>
        <w:tc>
          <w:tcPr>
            <w:tcW w:w="1240" w:type="dxa"/>
            <w:vAlign w:val="center"/>
          </w:tcPr>
          <w:p w:rsidR="00595870" w:rsidRPr="003C6B98" w:rsidRDefault="00595870" w:rsidP="009B0BB5">
            <w:pPr>
              <w:spacing w:line="240" w:lineRule="auto"/>
              <w:jc w:val="both"/>
              <w:rPr>
                <w:rFonts w:ascii="Segoe UI" w:hAnsi="Segoe UI" w:cs="Segoe UI"/>
                <w:bCs/>
                <w:color w:val="000000"/>
              </w:rPr>
            </w:pPr>
            <w:r w:rsidRPr="003C6B98">
              <w:rPr>
                <w:rFonts w:ascii="Segoe UI" w:hAnsi="Segoe UI" w:cs="Segoe UI"/>
                <w:bCs/>
                <w:color w:val="000000"/>
              </w:rPr>
              <w:t>Q4 2011/12</w:t>
            </w:r>
          </w:p>
        </w:tc>
        <w:tc>
          <w:tcPr>
            <w:tcW w:w="1240" w:type="dxa"/>
            <w:vAlign w:val="center"/>
          </w:tcPr>
          <w:p w:rsidR="00595870" w:rsidRPr="003C6B98" w:rsidRDefault="00595870" w:rsidP="009B0BB5">
            <w:pPr>
              <w:spacing w:line="240" w:lineRule="auto"/>
              <w:jc w:val="both"/>
              <w:rPr>
                <w:rFonts w:ascii="Segoe UI" w:hAnsi="Segoe UI" w:cs="Segoe UI"/>
                <w:bCs/>
                <w:color w:val="000000"/>
              </w:rPr>
            </w:pPr>
            <w:r w:rsidRPr="003C6B98">
              <w:rPr>
                <w:rFonts w:ascii="Segoe UI" w:hAnsi="Segoe UI" w:cs="Segoe UI"/>
                <w:bCs/>
                <w:color w:val="000000"/>
              </w:rPr>
              <w:t>Q1 2012/13</w:t>
            </w:r>
          </w:p>
        </w:tc>
      </w:tr>
      <w:tr w:rsidR="00595870" w:rsidRPr="003C6B98" w:rsidTr="007740FA">
        <w:trPr>
          <w:trHeight w:val="300"/>
        </w:trPr>
        <w:tc>
          <w:tcPr>
            <w:tcW w:w="1240" w:type="dxa"/>
            <w:shd w:val="clear" w:color="auto" w:fill="auto"/>
            <w:noWrap/>
            <w:vAlign w:val="center"/>
            <w:hideMark/>
          </w:tcPr>
          <w:p w:rsidR="00595870" w:rsidRPr="003C6B98" w:rsidRDefault="00595870" w:rsidP="009B0BB5">
            <w:pPr>
              <w:spacing w:line="240" w:lineRule="auto"/>
              <w:jc w:val="both"/>
              <w:rPr>
                <w:rFonts w:ascii="Segoe UI" w:hAnsi="Segoe UI" w:cs="Segoe UI"/>
                <w:color w:val="000000"/>
              </w:rPr>
            </w:pPr>
            <w:r w:rsidRPr="003C6B98">
              <w:rPr>
                <w:rFonts w:ascii="Segoe UI" w:hAnsi="Segoe UI" w:cs="Segoe UI"/>
                <w:color w:val="000000"/>
              </w:rPr>
              <w:t>1481</w:t>
            </w:r>
          </w:p>
        </w:tc>
        <w:tc>
          <w:tcPr>
            <w:tcW w:w="1240" w:type="dxa"/>
            <w:vAlign w:val="center"/>
          </w:tcPr>
          <w:p w:rsidR="00595870" w:rsidRPr="003C6B98" w:rsidRDefault="00595870" w:rsidP="009B0BB5">
            <w:pPr>
              <w:spacing w:line="240" w:lineRule="auto"/>
              <w:jc w:val="both"/>
              <w:rPr>
                <w:rFonts w:ascii="Segoe UI" w:hAnsi="Segoe UI" w:cs="Segoe UI"/>
                <w:color w:val="000000"/>
              </w:rPr>
            </w:pPr>
            <w:r w:rsidRPr="003C6B98">
              <w:rPr>
                <w:rFonts w:ascii="Segoe UI" w:hAnsi="Segoe UI" w:cs="Segoe UI"/>
                <w:color w:val="000000"/>
              </w:rPr>
              <w:t>2089</w:t>
            </w:r>
          </w:p>
        </w:tc>
        <w:tc>
          <w:tcPr>
            <w:tcW w:w="1240" w:type="dxa"/>
            <w:vAlign w:val="center"/>
          </w:tcPr>
          <w:p w:rsidR="00595870" w:rsidRPr="003C6B98" w:rsidRDefault="00595870" w:rsidP="009B0BB5">
            <w:pPr>
              <w:spacing w:line="240" w:lineRule="auto"/>
              <w:jc w:val="both"/>
              <w:rPr>
                <w:rFonts w:ascii="Segoe UI" w:hAnsi="Segoe UI" w:cs="Segoe UI"/>
                <w:color w:val="000000"/>
              </w:rPr>
            </w:pPr>
            <w:r w:rsidRPr="003C6B98">
              <w:rPr>
                <w:rFonts w:ascii="Segoe UI" w:hAnsi="Segoe UI" w:cs="Segoe UI"/>
                <w:color w:val="000000"/>
              </w:rPr>
              <w:t>2169</w:t>
            </w:r>
          </w:p>
        </w:tc>
        <w:tc>
          <w:tcPr>
            <w:tcW w:w="1240" w:type="dxa"/>
            <w:vAlign w:val="center"/>
          </w:tcPr>
          <w:p w:rsidR="00595870" w:rsidRPr="003C6B98" w:rsidRDefault="00595870" w:rsidP="009B0BB5">
            <w:pPr>
              <w:spacing w:line="240" w:lineRule="auto"/>
              <w:jc w:val="both"/>
              <w:rPr>
                <w:rFonts w:ascii="Segoe UI" w:hAnsi="Segoe UI" w:cs="Segoe UI"/>
                <w:color w:val="000000"/>
              </w:rPr>
            </w:pPr>
            <w:r w:rsidRPr="003C6B98">
              <w:rPr>
                <w:rFonts w:ascii="Segoe UI" w:hAnsi="Segoe UI" w:cs="Segoe UI"/>
                <w:color w:val="000000"/>
              </w:rPr>
              <w:t>2227</w:t>
            </w:r>
          </w:p>
        </w:tc>
      </w:tr>
    </w:tbl>
    <w:p w:rsidR="00595870" w:rsidRPr="003C6B98" w:rsidRDefault="00595870" w:rsidP="009B0BB5">
      <w:pPr>
        <w:spacing w:line="240" w:lineRule="auto"/>
        <w:jc w:val="both"/>
        <w:rPr>
          <w:rFonts w:ascii="Segoe UI" w:hAnsi="Segoe UI" w:cs="Segoe UI"/>
          <w:noProof/>
        </w:rPr>
      </w:pPr>
    </w:p>
    <w:p w:rsidR="00595870" w:rsidRPr="003C6B98" w:rsidRDefault="00595870" w:rsidP="003D4694">
      <w:pPr>
        <w:spacing w:after="0" w:line="240" w:lineRule="auto"/>
        <w:jc w:val="both"/>
        <w:rPr>
          <w:rFonts w:ascii="Segoe UI" w:hAnsi="Segoe UI" w:cs="Segoe UI"/>
          <w:i/>
          <w:u w:val="single"/>
        </w:rPr>
      </w:pPr>
      <w:r w:rsidRPr="003C6B98">
        <w:rPr>
          <w:rFonts w:ascii="Segoe UI" w:hAnsi="Segoe UI" w:cs="Segoe UI"/>
          <w:i/>
          <w:u w:val="single"/>
        </w:rPr>
        <w:t xml:space="preserve">Incidents by Risk </w:t>
      </w:r>
      <w:r w:rsidR="00181D52" w:rsidRPr="003C6B98">
        <w:rPr>
          <w:rFonts w:ascii="Segoe UI" w:hAnsi="Segoe UI" w:cs="Segoe UI"/>
          <w:i/>
          <w:u w:val="single"/>
        </w:rPr>
        <w:t>rating</w:t>
      </w:r>
      <w:r w:rsidRPr="003C6B98">
        <w:rPr>
          <w:rFonts w:ascii="Segoe UI" w:hAnsi="Segoe UI" w:cs="Segoe UI"/>
          <w:i/>
          <w:u w:val="single"/>
        </w:rPr>
        <w:t xml:space="preserve"> for the last 4 quarters </w:t>
      </w:r>
    </w:p>
    <w:p w:rsidR="00595870" w:rsidRPr="003C6B98" w:rsidRDefault="00595870" w:rsidP="009B0BB5">
      <w:pPr>
        <w:spacing w:line="240" w:lineRule="auto"/>
        <w:jc w:val="both"/>
        <w:rPr>
          <w:rFonts w:ascii="Segoe UI" w:hAnsi="Segoe UI" w:cs="Segoe UI"/>
          <w:color w:val="000000"/>
        </w:rPr>
      </w:pPr>
      <w:r w:rsidRPr="003C6B98">
        <w:rPr>
          <w:rFonts w:ascii="Segoe UI" w:hAnsi="Segoe UI" w:cs="Segoe UI"/>
          <w:color w:val="000000"/>
        </w:rPr>
        <w:t xml:space="preserve">The number of incidents initially graded as orange and red by staff completing incident forms has stabilised. This follows a shift last year in Nursing and Clinical Governance to rate incidents more highly. The steady increase in green and yellow rated incidents has been maintained (see </w:t>
      </w:r>
      <w:r w:rsidR="006B7742">
        <w:rPr>
          <w:rFonts w:ascii="Segoe UI" w:hAnsi="Segoe UI" w:cs="Segoe UI"/>
          <w:color w:val="000000"/>
        </w:rPr>
        <w:t>g</w:t>
      </w:r>
      <w:r w:rsidR="005D3735" w:rsidRPr="003C6B98">
        <w:rPr>
          <w:rFonts w:ascii="Segoe UI" w:hAnsi="Segoe UI" w:cs="Segoe UI"/>
          <w:color w:val="000000"/>
        </w:rPr>
        <w:t>raph</w:t>
      </w:r>
      <w:r w:rsidRPr="003C6B98">
        <w:rPr>
          <w:rFonts w:ascii="Segoe UI" w:hAnsi="Segoe UI" w:cs="Segoe UI"/>
          <w:color w:val="000000"/>
        </w:rPr>
        <w:t>).</w:t>
      </w:r>
    </w:p>
    <w:p w:rsidR="00595870" w:rsidRPr="003C6B98" w:rsidRDefault="00595870" w:rsidP="009B0BB5">
      <w:pPr>
        <w:spacing w:line="240" w:lineRule="auto"/>
        <w:jc w:val="both"/>
        <w:rPr>
          <w:rFonts w:ascii="Segoe UI" w:hAnsi="Segoe UI" w:cs="Segoe UI"/>
          <w:noProof/>
        </w:rPr>
      </w:pPr>
      <w:r w:rsidRPr="003C6B98">
        <w:rPr>
          <w:rFonts w:ascii="Segoe UI" w:hAnsi="Segoe UI" w:cs="Segoe UI"/>
          <w:noProof/>
          <w:lang w:eastAsia="en-GB"/>
        </w:rPr>
        <w:lastRenderedPageBreak/>
        <w:drawing>
          <wp:inline distT="0" distB="0" distL="0" distR="0">
            <wp:extent cx="4994275" cy="2000250"/>
            <wp:effectExtent l="19050" t="0" r="15875"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3735" w:rsidRPr="003C6B98" w:rsidRDefault="005D3735" w:rsidP="009B0BB5">
      <w:pPr>
        <w:spacing w:line="240" w:lineRule="auto"/>
        <w:jc w:val="both"/>
        <w:rPr>
          <w:rFonts w:ascii="Segoe UI" w:hAnsi="Segoe UI" w:cs="Segoe UI"/>
          <w:noProof/>
        </w:rPr>
      </w:pPr>
      <w:r w:rsidRPr="003C6B98">
        <w:rPr>
          <w:rFonts w:ascii="Segoe UI" w:hAnsi="Segoe UI" w:cs="Segoe UI"/>
          <w:noProof/>
        </w:rPr>
        <w:t xml:space="preserve">Graph </w:t>
      </w:r>
      <w:r w:rsidR="00CC2241" w:rsidRPr="003C6B98">
        <w:rPr>
          <w:rFonts w:ascii="Segoe UI" w:hAnsi="Segoe UI" w:cs="Segoe UI"/>
          <w:noProof/>
        </w:rPr>
        <w:t>6</w:t>
      </w:r>
      <w:r w:rsidRPr="003C6B98">
        <w:rPr>
          <w:rFonts w:ascii="Segoe UI" w:hAnsi="Segoe UI" w:cs="Segoe UI"/>
          <w:noProof/>
        </w:rPr>
        <w:t xml:space="preserve"> - Incidented by risk rating</w:t>
      </w:r>
    </w:p>
    <w:p w:rsidR="00595870" w:rsidRPr="003C6B98" w:rsidRDefault="00595870" w:rsidP="003D4694">
      <w:pPr>
        <w:spacing w:after="0" w:line="240" w:lineRule="auto"/>
        <w:jc w:val="both"/>
        <w:rPr>
          <w:rFonts w:ascii="Segoe UI" w:hAnsi="Segoe UI" w:cs="Segoe UI"/>
          <w:i/>
          <w:u w:val="single"/>
        </w:rPr>
      </w:pPr>
      <w:r w:rsidRPr="003C6B98">
        <w:rPr>
          <w:rFonts w:ascii="Segoe UI" w:hAnsi="Segoe UI" w:cs="Segoe UI"/>
          <w:i/>
          <w:u w:val="single"/>
        </w:rPr>
        <w:t>Progress against LIPS targets</w:t>
      </w:r>
    </w:p>
    <w:p w:rsidR="00595870" w:rsidRPr="003C6B98" w:rsidRDefault="00595870" w:rsidP="003D4694">
      <w:pPr>
        <w:spacing w:line="240" w:lineRule="auto"/>
        <w:jc w:val="both"/>
        <w:rPr>
          <w:rFonts w:ascii="Segoe UI" w:hAnsi="Segoe UI" w:cs="Segoe UI"/>
        </w:rPr>
      </w:pPr>
      <w:r w:rsidRPr="003C6B98">
        <w:rPr>
          <w:rFonts w:ascii="Segoe UI" w:hAnsi="Segoe UI" w:cs="Segoe UI"/>
        </w:rPr>
        <w:t>In 2009, we set a target of increasing the number of less serious (green and yellow) incidents we reported by 50% by March of 2012. It is expected that a Trust with a good safety culture will report high levels of low level incidents and work to learn from incidents and reduce the number of serious incidents. With 2021 green and yellow incidents reported in Quarter one, we are on track for over 8000 being reported this year.</w:t>
      </w:r>
    </w:p>
    <w:p w:rsidR="00595870" w:rsidRPr="003C6B98" w:rsidRDefault="00595870" w:rsidP="003D4694">
      <w:pPr>
        <w:spacing w:after="0" w:line="240" w:lineRule="auto"/>
        <w:jc w:val="both"/>
        <w:rPr>
          <w:rFonts w:ascii="Segoe UI" w:hAnsi="Segoe UI" w:cs="Segoe UI"/>
          <w:i/>
          <w:color w:val="FF0000"/>
          <w:u w:val="single"/>
        </w:rPr>
      </w:pPr>
      <w:r w:rsidRPr="003C6B98">
        <w:rPr>
          <w:rFonts w:ascii="Segoe UI" w:hAnsi="Segoe UI" w:cs="Segoe UI"/>
          <w:i/>
          <w:u w:val="single"/>
        </w:rPr>
        <w:t>Top 6 Categories of Incidents by Month over the last 4 quarters</w:t>
      </w:r>
    </w:p>
    <w:p w:rsidR="00595870" w:rsidRDefault="00595870" w:rsidP="003D4694">
      <w:pPr>
        <w:spacing w:after="0" w:line="240" w:lineRule="auto"/>
        <w:jc w:val="both"/>
        <w:rPr>
          <w:rFonts w:ascii="Segoe UI" w:hAnsi="Segoe UI" w:cs="Segoe UI"/>
        </w:rPr>
      </w:pPr>
      <w:r w:rsidRPr="003C6B98">
        <w:rPr>
          <w:rFonts w:ascii="Segoe UI" w:hAnsi="Segoe UI" w:cs="Segoe UI"/>
        </w:rPr>
        <w:t xml:space="preserve">The </w:t>
      </w:r>
      <w:r w:rsidR="00EE4399" w:rsidRPr="003C6B98">
        <w:rPr>
          <w:rFonts w:ascii="Segoe UI" w:hAnsi="Segoe UI" w:cs="Segoe UI"/>
        </w:rPr>
        <w:t>graph</w:t>
      </w:r>
      <w:r w:rsidRPr="003C6B98">
        <w:rPr>
          <w:rFonts w:ascii="Segoe UI" w:hAnsi="Segoe UI" w:cs="Segoe UI"/>
        </w:rPr>
        <w:t xml:space="preserve"> below shows reporting numbers for the main categories of incident over the last 15 months. The types of incident broadly show random variation over the months. </w:t>
      </w:r>
    </w:p>
    <w:p w:rsidR="006B7742" w:rsidRPr="003C6B98" w:rsidRDefault="006B7742" w:rsidP="003D4694">
      <w:pPr>
        <w:spacing w:after="0" w:line="240" w:lineRule="auto"/>
        <w:jc w:val="both"/>
        <w:rPr>
          <w:rFonts w:ascii="Segoe UI" w:hAnsi="Segoe UI" w:cs="Segoe UI"/>
        </w:rPr>
      </w:pPr>
    </w:p>
    <w:p w:rsidR="00595870" w:rsidRPr="003C6B98" w:rsidRDefault="00595870" w:rsidP="009B0BB5">
      <w:pPr>
        <w:spacing w:line="240" w:lineRule="auto"/>
        <w:ind w:left="-180"/>
        <w:jc w:val="both"/>
        <w:rPr>
          <w:rFonts w:ascii="Segoe UI" w:hAnsi="Segoe UI" w:cs="Segoe UI"/>
          <w:noProof/>
        </w:rPr>
      </w:pPr>
      <w:r w:rsidRPr="003C6B98">
        <w:rPr>
          <w:rFonts w:ascii="Segoe UI" w:hAnsi="Segoe UI" w:cs="Segoe UI"/>
          <w:noProof/>
          <w:lang w:eastAsia="en-GB"/>
        </w:rPr>
        <w:drawing>
          <wp:inline distT="0" distB="0" distL="0" distR="0">
            <wp:extent cx="4543425" cy="2790825"/>
            <wp:effectExtent l="19050" t="0" r="9525" b="0"/>
            <wp:docPr id="6"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17" cstate="print"/>
                    <a:srcRect l="996" t="2446" r="1163" b="2446"/>
                    <a:stretch>
                      <a:fillRect/>
                    </a:stretch>
                  </pic:blipFill>
                  <pic:spPr bwMode="auto">
                    <a:xfrm>
                      <a:off x="0" y="0"/>
                      <a:ext cx="4543425" cy="2790825"/>
                    </a:xfrm>
                    <a:prstGeom prst="rect">
                      <a:avLst/>
                    </a:prstGeom>
                    <a:noFill/>
                    <a:ln w="9525">
                      <a:noFill/>
                      <a:miter lim="800000"/>
                      <a:headEnd/>
                      <a:tailEnd/>
                    </a:ln>
                  </pic:spPr>
                </pic:pic>
              </a:graphicData>
            </a:graphic>
          </wp:inline>
        </w:drawing>
      </w:r>
    </w:p>
    <w:p w:rsidR="00CC2241" w:rsidRPr="003C6B98" w:rsidRDefault="00CC2241" w:rsidP="003C6B98">
      <w:pPr>
        <w:spacing w:line="240" w:lineRule="auto"/>
        <w:jc w:val="both"/>
        <w:rPr>
          <w:rFonts w:ascii="Segoe UI" w:hAnsi="Segoe UI" w:cs="Segoe UI"/>
          <w:noProof/>
        </w:rPr>
      </w:pPr>
      <w:r w:rsidRPr="003C6B98">
        <w:rPr>
          <w:rFonts w:ascii="Segoe UI" w:hAnsi="Segoe UI" w:cs="Segoe UI"/>
          <w:noProof/>
        </w:rPr>
        <w:t>Graph 7 – Incidents by Category</w:t>
      </w:r>
    </w:p>
    <w:p w:rsidR="00595870" w:rsidRPr="003C6B98" w:rsidRDefault="00595870" w:rsidP="003C6B98">
      <w:pPr>
        <w:spacing w:line="240" w:lineRule="auto"/>
        <w:jc w:val="both"/>
        <w:rPr>
          <w:rFonts w:ascii="Segoe UI" w:hAnsi="Segoe UI" w:cs="Segoe UI"/>
          <w:color w:val="FF0000"/>
        </w:rPr>
      </w:pPr>
      <w:r w:rsidRPr="003C6B98">
        <w:rPr>
          <w:rFonts w:ascii="Segoe UI" w:hAnsi="Segoe UI" w:cs="Segoe UI"/>
        </w:rPr>
        <w:t xml:space="preserve">Most notably, the rise in incidents of violence and aggression that was reported in the last two quarters has continued with a new peak in June 2012. This is explored further below. The erratic level of reporting of self harm has continued. AWOLs have stayed at a steady rate though the wards reporting the highest numbers have changed this quarter. </w:t>
      </w:r>
    </w:p>
    <w:p w:rsidR="00595870" w:rsidRPr="003C6B98" w:rsidRDefault="00595870" w:rsidP="003C6B98">
      <w:pPr>
        <w:spacing w:line="240" w:lineRule="auto"/>
        <w:jc w:val="both"/>
        <w:rPr>
          <w:rFonts w:ascii="Segoe UI" w:hAnsi="Segoe UI" w:cs="Segoe UI"/>
        </w:rPr>
      </w:pPr>
      <w:r w:rsidRPr="003C6B98">
        <w:rPr>
          <w:rFonts w:ascii="Segoe UI" w:hAnsi="Segoe UI" w:cs="Segoe UI"/>
        </w:rPr>
        <w:t xml:space="preserve">Numbers of pressure ulcers have fallen this quarter. It takes a while for reported ulcers to be investigated and reviewed to establish if they have occurred whilst under our care </w:t>
      </w:r>
      <w:r w:rsidR="00181D52" w:rsidRPr="003C6B98">
        <w:rPr>
          <w:rFonts w:ascii="Segoe UI" w:hAnsi="Segoe UI" w:cs="Segoe UI"/>
        </w:rPr>
        <w:t xml:space="preserve">and </w:t>
      </w:r>
      <w:r w:rsidR="00181D52" w:rsidRPr="003C6B98">
        <w:rPr>
          <w:rFonts w:ascii="Segoe UI" w:hAnsi="Segoe UI" w:cs="Segoe UI"/>
        </w:rPr>
        <w:lastRenderedPageBreak/>
        <w:t>Pressure</w:t>
      </w:r>
      <w:r w:rsidRPr="003C6B98">
        <w:rPr>
          <w:rFonts w:ascii="Segoe UI" w:hAnsi="Segoe UI" w:cs="Segoe UI"/>
        </w:rPr>
        <w:t xml:space="preserve"> ulcer SIRIs remain at a low level. A detailed pressure ulcer report is provided by the division every month for review within their clinical governance arrangements. </w:t>
      </w:r>
    </w:p>
    <w:p w:rsidR="00595870" w:rsidRPr="003C6B98" w:rsidRDefault="00595870" w:rsidP="003C6B98">
      <w:pPr>
        <w:spacing w:line="240" w:lineRule="auto"/>
        <w:jc w:val="both"/>
        <w:rPr>
          <w:rFonts w:ascii="Segoe UI" w:hAnsi="Segoe UI" w:cs="Segoe UI"/>
          <w:color w:val="000000"/>
        </w:rPr>
      </w:pPr>
      <w:r w:rsidRPr="003C6B98">
        <w:rPr>
          <w:rFonts w:ascii="Segoe UI" w:hAnsi="Segoe UI" w:cs="Segoe UI"/>
          <w:color w:val="000000"/>
        </w:rPr>
        <w:t>Linfoot ward in Witney has been the highest reporter of falls in quarter 1</w:t>
      </w:r>
      <w:r w:rsidR="00EE4399" w:rsidRPr="003C6B98">
        <w:rPr>
          <w:rFonts w:ascii="Segoe UI" w:hAnsi="Segoe UI" w:cs="Segoe UI"/>
          <w:color w:val="000000"/>
        </w:rPr>
        <w:t xml:space="preserve"> </w:t>
      </w:r>
      <w:r w:rsidRPr="003C6B98">
        <w:rPr>
          <w:rFonts w:ascii="Segoe UI" w:hAnsi="Segoe UI" w:cs="Segoe UI"/>
          <w:color w:val="000000"/>
        </w:rPr>
        <w:t>with 41, this ward has not figured previously as a top reporter. The ward has recently increased by 4 beds and has started to provide ‘step down’ care which has led to the admission of more acute patients. Two patients have been vulnerable to falling on several occasions.</w:t>
      </w:r>
    </w:p>
    <w:p w:rsidR="00595870" w:rsidRPr="003C6B98" w:rsidRDefault="00595870" w:rsidP="003C6B98">
      <w:pPr>
        <w:spacing w:line="240" w:lineRule="auto"/>
        <w:jc w:val="both"/>
        <w:rPr>
          <w:rFonts w:ascii="Segoe UI" w:hAnsi="Segoe UI" w:cs="Segoe UI"/>
        </w:rPr>
      </w:pPr>
      <w:r w:rsidRPr="003C6B98">
        <w:rPr>
          <w:rFonts w:ascii="Segoe UI" w:hAnsi="Segoe UI" w:cs="Segoe UI"/>
          <w:color w:val="000000"/>
        </w:rPr>
        <w:t xml:space="preserve">The wards reporting most violence are broadly the same but some other adult wards have experienced rises as described below. The wards reporting most AWOLs have all changed with Phoneix </w:t>
      </w:r>
      <w:r w:rsidR="00262128" w:rsidRPr="003C6B98">
        <w:rPr>
          <w:rFonts w:ascii="Segoe UI" w:hAnsi="Segoe UI" w:cs="Segoe UI"/>
          <w:color w:val="000000"/>
        </w:rPr>
        <w:t xml:space="preserve">being the highest reporter with 10 incidents. </w:t>
      </w:r>
      <w:r w:rsidRPr="003C6B98">
        <w:rPr>
          <w:rFonts w:ascii="Segoe UI" w:hAnsi="Segoe UI" w:cs="Segoe UI"/>
          <w:color w:val="000000"/>
        </w:rPr>
        <w:t>This had been fed in to the division’s clinical governance arrangements.</w:t>
      </w:r>
    </w:p>
    <w:p w:rsidR="00595870" w:rsidRPr="003C6B98" w:rsidRDefault="00595870" w:rsidP="003C6B98">
      <w:pPr>
        <w:spacing w:line="240" w:lineRule="auto"/>
        <w:jc w:val="both"/>
        <w:rPr>
          <w:rFonts w:ascii="Segoe UI" w:hAnsi="Segoe UI" w:cs="Segoe UI"/>
        </w:rPr>
      </w:pPr>
      <w:r w:rsidRPr="003C6B98">
        <w:rPr>
          <w:rFonts w:ascii="Segoe UI" w:hAnsi="Segoe UI" w:cs="Segoe UI"/>
        </w:rPr>
        <w:t>Last quarter‘s report detailed a high number of medication errors on Kimmeridge ward and Bullingdon prison. Both areas implemented actions aimed at reducing errors (see last report). Despite this, Kimmeridge and Bullingdon remain the two</w:t>
      </w:r>
      <w:r w:rsidR="00262128" w:rsidRPr="003C6B98">
        <w:rPr>
          <w:rFonts w:ascii="Segoe UI" w:hAnsi="Segoe UI" w:cs="Segoe UI"/>
        </w:rPr>
        <w:t xml:space="preserve"> highest reporters of </w:t>
      </w:r>
      <w:r w:rsidR="00181D52" w:rsidRPr="003C6B98">
        <w:rPr>
          <w:rFonts w:ascii="Segoe UI" w:hAnsi="Segoe UI" w:cs="Segoe UI"/>
        </w:rPr>
        <w:t>medication related</w:t>
      </w:r>
      <w:r w:rsidRPr="003C6B98">
        <w:rPr>
          <w:rFonts w:ascii="Segoe UI" w:hAnsi="Segoe UI" w:cs="Segoe UI"/>
        </w:rPr>
        <w:t xml:space="preserve"> incidents. A potential explanatory fa</w:t>
      </w:r>
      <w:r w:rsidR="00262128" w:rsidRPr="003C6B98">
        <w:rPr>
          <w:rFonts w:ascii="Segoe UI" w:hAnsi="Segoe UI" w:cs="Segoe UI"/>
        </w:rPr>
        <w:t xml:space="preserve">ctor is that in both areas, medication </w:t>
      </w:r>
      <w:r w:rsidRPr="003C6B98">
        <w:rPr>
          <w:rFonts w:ascii="Segoe UI" w:hAnsi="Segoe UI" w:cs="Segoe UI"/>
        </w:rPr>
        <w:t xml:space="preserve">errors are a focus of the clinical team and this is likely to increase the level of reporting in comparison to other wards. </w:t>
      </w:r>
    </w:p>
    <w:p w:rsidR="00595870" w:rsidRPr="003C6B98" w:rsidRDefault="00181D52" w:rsidP="003C6B98">
      <w:pPr>
        <w:spacing w:after="0" w:line="240" w:lineRule="auto"/>
        <w:jc w:val="both"/>
        <w:rPr>
          <w:rFonts w:ascii="Segoe UI" w:hAnsi="Segoe UI" w:cs="Segoe UI"/>
          <w:i/>
          <w:u w:val="single"/>
        </w:rPr>
      </w:pPr>
      <w:r w:rsidRPr="003C6B98">
        <w:rPr>
          <w:rFonts w:ascii="Segoe UI" w:hAnsi="Segoe UI" w:cs="Segoe UI"/>
          <w:i/>
          <w:u w:val="single"/>
        </w:rPr>
        <w:t xml:space="preserve">Current Concerns </w:t>
      </w:r>
    </w:p>
    <w:p w:rsidR="00595870" w:rsidRPr="003C6B98" w:rsidRDefault="00595870" w:rsidP="003C6B98">
      <w:pPr>
        <w:spacing w:line="240" w:lineRule="auto"/>
        <w:jc w:val="both"/>
        <w:rPr>
          <w:rFonts w:ascii="Segoe UI" w:hAnsi="Segoe UI" w:cs="Segoe UI"/>
        </w:rPr>
      </w:pPr>
      <w:r w:rsidRPr="003C6B98">
        <w:rPr>
          <w:rFonts w:ascii="Segoe UI" w:hAnsi="Segoe UI" w:cs="Segoe UI"/>
        </w:rPr>
        <w:t xml:space="preserve">Violence and Aggression is at its highest for the past 15 months with a 26% increase compared to the previous month.  Further extractions were run that show that the increase of Violence and Aggression was across the whole </w:t>
      </w:r>
      <w:r w:rsidR="00181D52" w:rsidRPr="003C6B98">
        <w:rPr>
          <w:rFonts w:ascii="Segoe UI" w:hAnsi="Segoe UI" w:cs="Segoe UI"/>
        </w:rPr>
        <w:t>Trust;</w:t>
      </w:r>
      <w:r w:rsidRPr="003C6B98">
        <w:rPr>
          <w:rFonts w:ascii="Segoe UI" w:hAnsi="Segoe UI" w:cs="Segoe UI"/>
        </w:rPr>
        <w:t xml:space="preserve"> however the main increase was in the Mental Health Division.  </w:t>
      </w:r>
    </w:p>
    <w:p w:rsidR="00595870" w:rsidRPr="003C6B98" w:rsidRDefault="00595870" w:rsidP="009B0BB5">
      <w:pPr>
        <w:spacing w:line="240" w:lineRule="auto"/>
        <w:ind w:left="-284"/>
        <w:jc w:val="both"/>
        <w:rPr>
          <w:rFonts w:ascii="Segoe UI" w:hAnsi="Segoe UI" w:cs="Segoe UI"/>
          <w:i/>
        </w:rPr>
      </w:pPr>
      <w:r w:rsidRPr="003C6B98">
        <w:rPr>
          <w:rFonts w:ascii="Segoe UI" w:hAnsi="Segoe UI" w:cs="Segoe UI"/>
          <w:noProof/>
          <w:lang w:eastAsia="en-GB"/>
        </w:rPr>
        <w:drawing>
          <wp:inline distT="0" distB="0" distL="0" distR="0">
            <wp:extent cx="5657850" cy="2276475"/>
            <wp:effectExtent l="19050" t="0" r="0" b="0"/>
            <wp:docPr id="7"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noChangeArrowheads="1"/>
                    </pic:cNvPicPr>
                  </pic:nvPicPr>
                  <pic:blipFill>
                    <a:blip r:embed="rId18" cstate="print"/>
                    <a:srcRect l="2075" t="4152" r="2283" b="5191"/>
                    <a:stretch>
                      <a:fillRect/>
                    </a:stretch>
                  </pic:blipFill>
                  <pic:spPr bwMode="auto">
                    <a:xfrm>
                      <a:off x="0" y="0"/>
                      <a:ext cx="5657850" cy="2276475"/>
                    </a:xfrm>
                    <a:prstGeom prst="rect">
                      <a:avLst/>
                    </a:prstGeom>
                    <a:noFill/>
                    <a:ln w="9525">
                      <a:noFill/>
                      <a:miter lim="800000"/>
                      <a:headEnd/>
                      <a:tailEnd/>
                    </a:ln>
                  </pic:spPr>
                </pic:pic>
              </a:graphicData>
            </a:graphic>
          </wp:inline>
        </w:drawing>
      </w:r>
    </w:p>
    <w:p w:rsidR="00CC2241" w:rsidRPr="003C6B98" w:rsidRDefault="00CC2241" w:rsidP="003C6B98">
      <w:pPr>
        <w:spacing w:line="240" w:lineRule="auto"/>
        <w:jc w:val="both"/>
        <w:rPr>
          <w:rFonts w:ascii="Segoe UI" w:hAnsi="Segoe UI" w:cs="Segoe UI"/>
        </w:rPr>
      </w:pPr>
      <w:r w:rsidRPr="003C6B98">
        <w:rPr>
          <w:rFonts w:ascii="Segoe UI" w:hAnsi="Segoe UI" w:cs="Segoe UI"/>
        </w:rPr>
        <w:t>Graph 8 – Violence and aggression incidents by Division</w:t>
      </w:r>
    </w:p>
    <w:p w:rsidR="00595870" w:rsidRPr="003C6B98" w:rsidRDefault="00595870" w:rsidP="003C6B98">
      <w:pPr>
        <w:spacing w:line="240" w:lineRule="auto"/>
        <w:jc w:val="both"/>
        <w:rPr>
          <w:rFonts w:ascii="Segoe UI" w:hAnsi="Segoe UI" w:cs="Segoe UI"/>
          <w:color w:val="FF0000"/>
        </w:rPr>
      </w:pPr>
      <w:r w:rsidRPr="003C6B98">
        <w:rPr>
          <w:rFonts w:ascii="Segoe UI" w:hAnsi="Segoe UI" w:cs="Segoe UI"/>
        </w:rPr>
        <w:t xml:space="preserve">In the Mental Health Division the wards experiencing the greatest increase in violent incidents were Portland (female admissions), Vaughn Thomas (male admissions) and Cromwell (older adults). On all three wards, one individual patient accounted for a large percentage of the rise with multiple incident reports. These hotspots have been noted by the division who are reviewing them in their clinical governance meeting.   </w:t>
      </w:r>
    </w:p>
    <w:p w:rsidR="006B7742" w:rsidRDefault="00595870" w:rsidP="003C6B98">
      <w:pPr>
        <w:spacing w:line="240" w:lineRule="auto"/>
        <w:jc w:val="both"/>
        <w:rPr>
          <w:rFonts w:ascii="Segoe UI" w:hAnsi="Segoe UI" w:cs="Segoe UI"/>
        </w:rPr>
      </w:pPr>
      <w:r w:rsidRPr="003C6B98">
        <w:rPr>
          <w:rFonts w:ascii="Segoe UI" w:hAnsi="Segoe UI" w:cs="Segoe UI"/>
        </w:rPr>
        <w:t xml:space="preserve">A recent report has been submitted to the IGC on physical restraint and seclusion of patients. There were 1013 reported incidents of physical restraint in the 16 month period from January </w:t>
      </w:r>
      <w:r w:rsidRPr="003C6B98">
        <w:rPr>
          <w:rFonts w:ascii="Segoe UI" w:hAnsi="Segoe UI" w:cs="Segoe UI"/>
        </w:rPr>
        <w:lastRenderedPageBreak/>
        <w:t>2012 to April 2012.  For the year from April 2011 to March 2012, there were 777. This is a mean of 63 per month overall (65 per month in 20122/12).</w:t>
      </w:r>
    </w:p>
    <w:p w:rsidR="00595870" w:rsidRPr="003C6B98" w:rsidRDefault="00595870" w:rsidP="003C6B98">
      <w:pPr>
        <w:spacing w:line="240" w:lineRule="auto"/>
        <w:jc w:val="both"/>
        <w:rPr>
          <w:rFonts w:ascii="Segoe UI" w:hAnsi="Segoe UI" w:cs="Segoe UI"/>
        </w:rPr>
      </w:pPr>
      <w:r w:rsidRPr="003C6B98">
        <w:rPr>
          <w:rFonts w:ascii="Segoe UI" w:hAnsi="Segoe UI" w:cs="Segoe UI"/>
        </w:rPr>
        <w:t>In the last quarter (January – March 2012), the mean rose to 88 per month. The number of restraints by month appears to have increased since September of 2011 (see chart below).</w:t>
      </w:r>
    </w:p>
    <w:p w:rsidR="00595870" w:rsidRPr="003C6B98" w:rsidRDefault="00595870" w:rsidP="009B0BB5">
      <w:pPr>
        <w:spacing w:line="240" w:lineRule="auto"/>
        <w:ind w:left="-284"/>
        <w:jc w:val="both"/>
        <w:rPr>
          <w:rFonts w:ascii="Segoe UI" w:hAnsi="Segoe UI" w:cs="Segoe UI"/>
        </w:rPr>
      </w:pPr>
      <w:r w:rsidRPr="003C6B98">
        <w:rPr>
          <w:rFonts w:ascii="Segoe UI" w:hAnsi="Segoe UI" w:cs="Segoe UI"/>
          <w:noProof/>
          <w:lang w:eastAsia="en-GB"/>
        </w:rPr>
        <w:drawing>
          <wp:inline distT="0" distB="0" distL="0" distR="0">
            <wp:extent cx="5848350" cy="2019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848350" cy="2019300"/>
                    </a:xfrm>
                    <a:prstGeom prst="rect">
                      <a:avLst/>
                    </a:prstGeom>
                    <a:noFill/>
                    <a:ln w="9525">
                      <a:noFill/>
                      <a:miter lim="800000"/>
                      <a:headEnd/>
                      <a:tailEnd/>
                    </a:ln>
                  </pic:spPr>
                </pic:pic>
              </a:graphicData>
            </a:graphic>
          </wp:inline>
        </w:drawing>
      </w:r>
    </w:p>
    <w:p w:rsidR="00CC2241" w:rsidRPr="003C6B98" w:rsidRDefault="00CC2241" w:rsidP="003C6B98">
      <w:pPr>
        <w:spacing w:line="240" w:lineRule="auto"/>
        <w:jc w:val="both"/>
        <w:rPr>
          <w:rFonts w:ascii="Segoe UI" w:hAnsi="Segoe UI" w:cs="Segoe UI"/>
          <w:u w:val="single"/>
        </w:rPr>
      </w:pPr>
      <w:r w:rsidRPr="003C6B98">
        <w:rPr>
          <w:rFonts w:ascii="Segoe UI" w:hAnsi="Segoe UI" w:cs="Segoe UI"/>
        </w:rPr>
        <w:t xml:space="preserve">Graph 9 - Number of restraints by month </w:t>
      </w:r>
    </w:p>
    <w:p w:rsidR="00595870" w:rsidRPr="003C6B98" w:rsidRDefault="00595870" w:rsidP="003C6B98">
      <w:pPr>
        <w:spacing w:line="240" w:lineRule="auto"/>
        <w:jc w:val="both"/>
        <w:rPr>
          <w:rFonts w:ascii="Segoe UI" w:hAnsi="Segoe UI" w:cs="Segoe UI"/>
        </w:rPr>
      </w:pPr>
      <w:r w:rsidRPr="003C6B98">
        <w:rPr>
          <w:rFonts w:ascii="Segoe UI" w:hAnsi="Segoe UI" w:cs="Segoe UI"/>
        </w:rPr>
        <w:t xml:space="preserve"> </w:t>
      </w:r>
      <w:r w:rsidR="00181D52" w:rsidRPr="003C6B98">
        <w:rPr>
          <w:rFonts w:ascii="Segoe UI" w:hAnsi="Segoe UI" w:cs="Segoe UI"/>
        </w:rPr>
        <w:t>Lambourn House, Glyme and Chaffron wards reported no incidents of restraint. The number of restraints on the remaining wards ranged from 3 to 155 (see chart below).</w:t>
      </w:r>
    </w:p>
    <w:p w:rsidR="00595870" w:rsidRPr="003C6B98" w:rsidRDefault="00595870" w:rsidP="003C6B98">
      <w:pPr>
        <w:spacing w:line="240" w:lineRule="auto"/>
        <w:jc w:val="both"/>
        <w:rPr>
          <w:rFonts w:ascii="Segoe UI" w:hAnsi="Segoe UI" w:cs="Segoe UI"/>
        </w:rPr>
      </w:pPr>
      <w:r w:rsidRPr="003C6B98">
        <w:rPr>
          <w:rFonts w:ascii="Segoe UI" w:hAnsi="Segoe UI" w:cs="Segoe UI"/>
        </w:rPr>
        <w:t>The three wards with the highest number of restraints were Highfield Oxford (155, mean of 9.7 a month), Ashurst (145, mean of 9 per month) and Kestrel (94, mean of 5.8 per month).</w:t>
      </w:r>
    </w:p>
    <w:p w:rsidR="00595870" w:rsidRPr="003C6B98" w:rsidRDefault="00595870" w:rsidP="003C6B98">
      <w:pPr>
        <w:spacing w:line="240" w:lineRule="auto"/>
        <w:jc w:val="both"/>
        <w:rPr>
          <w:rFonts w:ascii="Segoe UI" w:hAnsi="Segoe UI" w:cs="Segoe UI"/>
          <w:u w:val="single"/>
        </w:rPr>
      </w:pPr>
      <w:r w:rsidRPr="003C6B98">
        <w:rPr>
          <w:rFonts w:ascii="Segoe UI" w:hAnsi="Segoe UI" w:cs="Segoe UI"/>
          <w:noProof/>
          <w:lang w:eastAsia="en-GB"/>
        </w:rPr>
        <w:t>The high reporters, as would be expected, are linked to the presence of individual patients who required multiple restraints</w:t>
      </w:r>
    </w:p>
    <w:p w:rsidR="00595870" w:rsidRPr="003C6B98" w:rsidRDefault="00595870" w:rsidP="003C6B98">
      <w:pPr>
        <w:spacing w:after="0" w:line="240" w:lineRule="auto"/>
        <w:jc w:val="both"/>
        <w:rPr>
          <w:rFonts w:ascii="Segoe UI" w:hAnsi="Segoe UI" w:cs="Segoe UI"/>
          <w:i/>
          <w:noProof/>
          <w:u w:val="single"/>
          <w:lang w:eastAsia="en-GB"/>
        </w:rPr>
      </w:pPr>
      <w:r w:rsidRPr="003C6B98">
        <w:rPr>
          <w:rFonts w:ascii="Segoe UI" w:hAnsi="Segoe UI" w:cs="Segoe UI"/>
          <w:i/>
          <w:noProof/>
          <w:u w:val="single"/>
          <w:lang w:eastAsia="en-GB"/>
        </w:rPr>
        <w:t>Use of Seclusion</w:t>
      </w:r>
    </w:p>
    <w:p w:rsidR="00595870" w:rsidRDefault="00595870" w:rsidP="003C6B98">
      <w:pPr>
        <w:spacing w:after="0" w:line="240" w:lineRule="auto"/>
        <w:jc w:val="both"/>
        <w:rPr>
          <w:rFonts w:ascii="Segoe UI" w:hAnsi="Segoe UI" w:cs="Segoe UI"/>
        </w:rPr>
      </w:pPr>
      <w:r w:rsidRPr="003C6B98">
        <w:rPr>
          <w:rFonts w:ascii="Segoe UI" w:hAnsi="Segoe UI" w:cs="Segoe UI"/>
        </w:rPr>
        <w:t xml:space="preserve">The total number of reported seclusions from January 2011 to April 2012 was 249 (A mean of 15.6 a month). As with restraints, the number appears higher in the last quarter </w:t>
      </w:r>
      <w:r w:rsidR="00181D52" w:rsidRPr="003C6B98">
        <w:rPr>
          <w:rFonts w:ascii="Segoe UI" w:hAnsi="Segoe UI" w:cs="Segoe UI"/>
        </w:rPr>
        <w:t>of 2011</w:t>
      </w:r>
      <w:r w:rsidRPr="003C6B98">
        <w:rPr>
          <w:rFonts w:ascii="Segoe UI" w:hAnsi="Segoe UI" w:cs="Segoe UI"/>
        </w:rPr>
        <w:t>/12.</w:t>
      </w:r>
    </w:p>
    <w:p w:rsidR="003C6B98" w:rsidRPr="003C6B98" w:rsidRDefault="003C6B98" w:rsidP="003C6B98">
      <w:pPr>
        <w:spacing w:after="0" w:line="240" w:lineRule="auto"/>
        <w:jc w:val="both"/>
        <w:rPr>
          <w:rFonts w:ascii="Segoe UI" w:hAnsi="Segoe UI" w:cs="Segoe UI"/>
        </w:rPr>
      </w:pPr>
    </w:p>
    <w:p w:rsidR="00595870" w:rsidRPr="003C6B98" w:rsidRDefault="00595870" w:rsidP="009B0BB5">
      <w:pPr>
        <w:spacing w:line="240" w:lineRule="auto"/>
        <w:ind w:left="-284"/>
        <w:jc w:val="both"/>
        <w:rPr>
          <w:rFonts w:ascii="Segoe UI" w:hAnsi="Segoe UI" w:cs="Segoe UI"/>
        </w:rPr>
      </w:pPr>
      <w:r w:rsidRPr="003C6B98">
        <w:rPr>
          <w:rFonts w:ascii="Segoe UI" w:hAnsi="Segoe UI" w:cs="Segoe UI"/>
          <w:noProof/>
          <w:lang w:eastAsia="en-GB"/>
        </w:rPr>
        <w:drawing>
          <wp:inline distT="0" distB="0" distL="0" distR="0">
            <wp:extent cx="5648325" cy="1724025"/>
            <wp:effectExtent l="19050" t="0" r="9525" b="0"/>
            <wp:docPr id="10"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5870" w:rsidRPr="003C6B98" w:rsidRDefault="00181D52" w:rsidP="003C6B98">
      <w:pPr>
        <w:spacing w:before="80" w:line="240" w:lineRule="auto"/>
        <w:jc w:val="both"/>
        <w:rPr>
          <w:rFonts w:ascii="Segoe UI" w:hAnsi="Segoe UI" w:cs="Segoe UI"/>
        </w:rPr>
      </w:pPr>
      <w:r w:rsidRPr="003C6B98">
        <w:rPr>
          <w:rFonts w:ascii="Segoe UI" w:hAnsi="Segoe UI" w:cs="Segoe UI"/>
        </w:rPr>
        <w:t>Graph 10</w:t>
      </w:r>
      <w:r w:rsidR="00CC2241" w:rsidRPr="003C6B98">
        <w:rPr>
          <w:rFonts w:ascii="Segoe UI" w:hAnsi="Segoe UI" w:cs="Segoe UI"/>
        </w:rPr>
        <w:t xml:space="preserve"> </w:t>
      </w:r>
      <w:r w:rsidR="009E5975" w:rsidRPr="003C6B98">
        <w:rPr>
          <w:rFonts w:ascii="Segoe UI" w:hAnsi="Segoe UI" w:cs="Segoe UI"/>
        </w:rPr>
        <w:t>- Number of seclusions by month</w:t>
      </w:r>
    </w:p>
    <w:p w:rsidR="00262128" w:rsidRDefault="00595870" w:rsidP="00180E4A">
      <w:pPr>
        <w:spacing w:line="240" w:lineRule="auto"/>
        <w:jc w:val="both"/>
        <w:rPr>
          <w:rFonts w:ascii="Segoe UI" w:hAnsi="Segoe UI" w:cs="Segoe UI"/>
        </w:rPr>
      </w:pPr>
      <w:r w:rsidRPr="003C6B98">
        <w:rPr>
          <w:rFonts w:ascii="Segoe UI" w:hAnsi="Segoe UI" w:cs="Segoe UI"/>
        </w:rPr>
        <w:t xml:space="preserve">The highest reporting wards were Ashurst with 62 incidents (3.8 per month), then Kestrel with 49 (3.1 per month), Kimmeridge with 46 (2.9) and Kennet with 31 (1.9). </w:t>
      </w:r>
    </w:p>
    <w:p w:rsidR="003C6B98" w:rsidRDefault="003C6B98" w:rsidP="00180E4A">
      <w:pPr>
        <w:spacing w:line="240" w:lineRule="auto"/>
        <w:jc w:val="both"/>
        <w:rPr>
          <w:rFonts w:ascii="Segoe UI" w:hAnsi="Segoe UI" w:cs="Segoe UI"/>
        </w:rPr>
      </w:pPr>
    </w:p>
    <w:p w:rsidR="006B7742" w:rsidRDefault="006B7742" w:rsidP="00180E4A">
      <w:pPr>
        <w:spacing w:line="240" w:lineRule="auto"/>
        <w:jc w:val="both"/>
        <w:rPr>
          <w:rFonts w:ascii="Segoe UI" w:hAnsi="Segoe UI" w:cs="Segoe UI"/>
        </w:rPr>
      </w:pPr>
    </w:p>
    <w:p w:rsidR="00262128" w:rsidRPr="003C6B98" w:rsidRDefault="00595870" w:rsidP="00180E4A">
      <w:pPr>
        <w:spacing w:after="0" w:line="240" w:lineRule="auto"/>
        <w:jc w:val="both"/>
        <w:rPr>
          <w:rFonts w:ascii="Segoe UI" w:hAnsi="Segoe UI" w:cs="Segoe UI"/>
          <w:i/>
          <w:u w:val="single"/>
        </w:rPr>
      </w:pPr>
      <w:r w:rsidRPr="003C6B98">
        <w:rPr>
          <w:rFonts w:ascii="Segoe UI" w:hAnsi="Segoe UI" w:cs="Segoe UI"/>
          <w:i/>
          <w:u w:val="single"/>
        </w:rPr>
        <w:lastRenderedPageBreak/>
        <w:t>Serious Incidents Requiring Investigation (SIRIs)</w:t>
      </w:r>
    </w:p>
    <w:p w:rsidR="00595870" w:rsidRPr="003C6B98" w:rsidRDefault="00595870" w:rsidP="00180E4A">
      <w:pPr>
        <w:spacing w:line="240" w:lineRule="auto"/>
        <w:jc w:val="both"/>
        <w:rPr>
          <w:rFonts w:ascii="Segoe UI" w:hAnsi="Segoe UI" w:cs="Segoe UI"/>
        </w:rPr>
      </w:pPr>
      <w:r w:rsidRPr="003C6B98">
        <w:rPr>
          <w:rFonts w:ascii="Segoe UI" w:hAnsi="Segoe UI" w:cs="Segoe UI"/>
        </w:rPr>
        <w:t xml:space="preserve">The table below shows the total number of red SIRIs by quarter. There have been less SIRIS in the last two quarters than in any of the previous quarters since the acquisition of community health services. </w:t>
      </w:r>
    </w:p>
    <w:p w:rsidR="009E5975" w:rsidRPr="003C6B98" w:rsidRDefault="00595870" w:rsidP="00180E4A">
      <w:pPr>
        <w:spacing w:line="240" w:lineRule="auto"/>
        <w:jc w:val="both"/>
        <w:rPr>
          <w:rFonts w:ascii="Segoe UI" w:hAnsi="Segoe UI" w:cs="Segoe UI"/>
          <w:noProof/>
        </w:rPr>
      </w:pPr>
      <w:r w:rsidRPr="003C6B98">
        <w:rPr>
          <w:rFonts w:ascii="Segoe UI" w:hAnsi="Segoe UI" w:cs="Segoe UI"/>
          <w:noProof/>
          <w:lang w:eastAsia="en-GB"/>
        </w:rPr>
        <w:drawing>
          <wp:inline distT="0" distB="0" distL="0" distR="0">
            <wp:extent cx="5905500" cy="1619250"/>
            <wp:effectExtent l="0" t="0" r="0" b="0"/>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9E5975" w:rsidRPr="003C6B98">
        <w:rPr>
          <w:rFonts w:ascii="Segoe UI" w:hAnsi="Segoe UI" w:cs="Segoe UI"/>
          <w:noProof/>
          <w:lang w:eastAsia="en-GB"/>
        </w:rPr>
        <w:t xml:space="preserve"> </w:t>
      </w:r>
      <w:r w:rsidR="009E5975" w:rsidRPr="003C6B98">
        <w:rPr>
          <w:rFonts w:ascii="Segoe UI" w:hAnsi="Segoe UI" w:cs="Segoe UI"/>
          <w:noProof/>
        </w:rPr>
        <w:t xml:space="preserve">Graph </w:t>
      </w:r>
      <w:r w:rsidR="00CC2241" w:rsidRPr="003C6B98">
        <w:rPr>
          <w:rFonts w:ascii="Segoe UI" w:hAnsi="Segoe UI" w:cs="Segoe UI"/>
          <w:noProof/>
        </w:rPr>
        <w:t>11</w:t>
      </w:r>
      <w:r w:rsidR="009E5975" w:rsidRPr="003C6B98">
        <w:rPr>
          <w:rFonts w:ascii="Segoe UI" w:hAnsi="Segoe UI" w:cs="Segoe UI"/>
          <w:noProof/>
        </w:rPr>
        <w:t xml:space="preserve"> - SIRIs over four quarters</w:t>
      </w:r>
    </w:p>
    <w:p w:rsidR="00595870" w:rsidRPr="003C6B98" w:rsidRDefault="009E5975" w:rsidP="009B0BB5">
      <w:pPr>
        <w:spacing w:line="240" w:lineRule="auto"/>
        <w:ind w:left="-180"/>
        <w:jc w:val="both"/>
        <w:rPr>
          <w:rFonts w:ascii="Segoe UI" w:hAnsi="Segoe UI" w:cs="Segoe UI"/>
          <w:noProof/>
        </w:rPr>
      </w:pPr>
      <w:r w:rsidRPr="003C6B98">
        <w:rPr>
          <w:rFonts w:ascii="Segoe UI" w:hAnsi="Segoe UI" w:cs="Segoe UI"/>
          <w:noProof/>
          <w:lang w:eastAsia="en-GB"/>
        </w:rPr>
        <w:drawing>
          <wp:inline distT="0" distB="0" distL="0" distR="0">
            <wp:extent cx="5753100" cy="1876425"/>
            <wp:effectExtent l="0" t="0" r="0" b="0"/>
            <wp:docPr id="2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E5975" w:rsidRPr="003C6B98" w:rsidRDefault="009E5975" w:rsidP="009B0BB5">
      <w:pPr>
        <w:spacing w:line="240" w:lineRule="auto"/>
        <w:jc w:val="both"/>
        <w:rPr>
          <w:rFonts w:ascii="Segoe UI" w:hAnsi="Segoe UI" w:cs="Segoe UI"/>
          <w:noProof/>
        </w:rPr>
      </w:pPr>
      <w:r w:rsidRPr="003C6B98">
        <w:rPr>
          <w:rFonts w:ascii="Segoe UI" w:hAnsi="Segoe UI" w:cs="Segoe UI"/>
          <w:noProof/>
        </w:rPr>
        <w:t xml:space="preserve">Graph  </w:t>
      </w:r>
      <w:r w:rsidR="00CC2241" w:rsidRPr="003C6B98">
        <w:rPr>
          <w:rFonts w:ascii="Segoe UI" w:hAnsi="Segoe UI" w:cs="Segoe UI"/>
          <w:noProof/>
        </w:rPr>
        <w:t xml:space="preserve">12 </w:t>
      </w:r>
      <w:r w:rsidRPr="003C6B98">
        <w:rPr>
          <w:rFonts w:ascii="Segoe UI" w:hAnsi="Segoe UI" w:cs="Segoe UI"/>
          <w:noProof/>
        </w:rPr>
        <w:t>- SIRIs by Division</w:t>
      </w:r>
    </w:p>
    <w:p w:rsidR="00595870" w:rsidRPr="003C6B98" w:rsidRDefault="00595870" w:rsidP="00180E4A">
      <w:pPr>
        <w:spacing w:after="0" w:line="240" w:lineRule="auto"/>
        <w:jc w:val="both"/>
        <w:rPr>
          <w:rFonts w:ascii="Segoe UI" w:hAnsi="Segoe UI" w:cs="Segoe UI"/>
          <w:i/>
          <w:color w:val="FF0000"/>
          <w:u w:val="single"/>
        </w:rPr>
      </w:pPr>
      <w:r w:rsidRPr="003C6B98">
        <w:rPr>
          <w:rFonts w:ascii="Segoe UI" w:hAnsi="Segoe UI" w:cs="Segoe UI"/>
          <w:i/>
          <w:u w:val="single"/>
        </w:rPr>
        <w:t xml:space="preserve">Apparent suicides by quarter for the last 2 years </w:t>
      </w:r>
    </w:p>
    <w:p w:rsidR="00595870" w:rsidRPr="003C6B98" w:rsidRDefault="00595870" w:rsidP="00180E4A">
      <w:pPr>
        <w:spacing w:line="240" w:lineRule="auto"/>
        <w:jc w:val="both"/>
        <w:rPr>
          <w:rFonts w:ascii="Segoe UI" w:hAnsi="Segoe UI" w:cs="Segoe UI"/>
          <w:u w:val="single"/>
        </w:rPr>
      </w:pPr>
      <w:r w:rsidRPr="003C6B98">
        <w:rPr>
          <w:rFonts w:ascii="Segoe UI" w:hAnsi="Segoe UI" w:cs="Segoe UI"/>
        </w:rPr>
        <w:t xml:space="preserve">The chart below shows apparent suicides. This report calculates numbers of suicides on the basis of deaths that appear likely to have been suicides on the basis of the information available. </w:t>
      </w:r>
    </w:p>
    <w:p w:rsidR="00595870" w:rsidRPr="003C6B98" w:rsidRDefault="00595870" w:rsidP="009B0BB5">
      <w:pPr>
        <w:spacing w:line="240" w:lineRule="auto"/>
        <w:ind w:left="-180"/>
        <w:jc w:val="both"/>
        <w:rPr>
          <w:rFonts w:ascii="Segoe UI" w:hAnsi="Segoe UI" w:cs="Segoe UI"/>
          <w:u w:val="single"/>
        </w:rPr>
      </w:pPr>
      <w:r w:rsidRPr="003C6B98">
        <w:rPr>
          <w:rFonts w:ascii="Segoe UI" w:hAnsi="Segoe UI" w:cs="Segoe UI"/>
          <w:noProof/>
          <w:lang w:eastAsia="en-GB"/>
        </w:rPr>
        <w:drawing>
          <wp:inline distT="0" distB="0" distL="0" distR="0">
            <wp:extent cx="5391150" cy="1619250"/>
            <wp:effectExtent l="0" t="0" r="0" b="0"/>
            <wp:docPr id="1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E5975" w:rsidRPr="003C6B98" w:rsidRDefault="009E5975" w:rsidP="00180E4A">
      <w:pPr>
        <w:spacing w:line="240" w:lineRule="auto"/>
        <w:jc w:val="both"/>
        <w:rPr>
          <w:rFonts w:ascii="Segoe UI" w:hAnsi="Segoe UI" w:cs="Segoe UI"/>
        </w:rPr>
      </w:pPr>
      <w:r w:rsidRPr="003C6B98">
        <w:rPr>
          <w:rFonts w:ascii="Segoe UI" w:hAnsi="Segoe UI" w:cs="Segoe UI"/>
        </w:rPr>
        <w:t xml:space="preserve">Graph </w:t>
      </w:r>
      <w:r w:rsidR="00CC2241" w:rsidRPr="003C6B98">
        <w:rPr>
          <w:rFonts w:ascii="Segoe UI" w:hAnsi="Segoe UI" w:cs="Segoe UI"/>
        </w:rPr>
        <w:t>13</w:t>
      </w:r>
      <w:r w:rsidRPr="003C6B98">
        <w:rPr>
          <w:rFonts w:ascii="Segoe UI" w:hAnsi="Segoe UI" w:cs="Segoe UI"/>
        </w:rPr>
        <w:t xml:space="preserve"> - Apparent suicides 2010 - 2012</w:t>
      </w:r>
    </w:p>
    <w:p w:rsidR="00595870" w:rsidRPr="003C6B98" w:rsidRDefault="00595870" w:rsidP="009B0BB5">
      <w:pPr>
        <w:spacing w:line="240" w:lineRule="auto"/>
        <w:jc w:val="both"/>
        <w:rPr>
          <w:rFonts w:ascii="Segoe UI" w:hAnsi="Segoe UI" w:cs="Segoe UI"/>
          <w:color w:val="000000"/>
        </w:rPr>
      </w:pPr>
      <w:r w:rsidRPr="003C6B98">
        <w:rPr>
          <w:rFonts w:ascii="Segoe UI" w:hAnsi="Segoe UI" w:cs="Segoe UI"/>
          <w:color w:val="000000"/>
        </w:rPr>
        <w:t>The Quality account retains the LIPS target of reducing community suicides towards zero and having no inpatient suicides this year. In addition, the annual report has a more specific target of ‘to reduce towards zero avoidable community suicides where risk communication is a factor: service users on leave and/ or i</w:t>
      </w:r>
      <w:r w:rsidR="003C6B98">
        <w:rPr>
          <w:rFonts w:ascii="Segoe UI" w:hAnsi="Segoe UI" w:cs="Segoe UI"/>
          <w:color w:val="000000"/>
        </w:rPr>
        <w:t>n contact with crisis services.</w:t>
      </w:r>
    </w:p>
    <w:p w:rsidR="00595870" w:rsidRPr="003C6B98" w:rsidRDefault="00595870" w:rsidP="009B0BB5">
      <w:pPr>
        <w:spacing w:line="240" w:lineRule="auto"/>
        <w:jc w:val="both"/>
        <w:rPr>
          <w:rFonts w:ascii="Segoe UI" w:hAnsi="Segoe UI" w:cs="Segoe UI"/>
          <w:color w:val="000000"/>
        </w:rPr>
      </w:pPr>
      <w:r w:rsidRPr="003C6B98">
        <w:rPr>
          <w:rFonts w:ascii="Segoe UI" w:hAnsi="Segoe UI" w:cs="Segoe UI"/>
          <w:color w:val="000000"/>
        </w:rPr>
        <w:lastRenderedPageBreak/>
        <w:t>A workshop involving regional service providers, commissioners and the Oxford Suicide Research Centre is to take place on the 18/07/12. The LIPS programme is continuing its work targeting suicide risk assessment and management. Potentially, the positive effects of his programme are beginning to be seen.</w:t>
      </w:r>
    </w:p>
    <w:p w:rsidR="00595870" w:rsidRPr="003C6B98" w:rsidRDefault="00595870" w:rsidP="00180E4A">
      <w:pPr>
        <w:spacing w:after="0" w:line="240" w:lineRule="auto"/>
        <w:jc w:val="both"/>
        <w:rPr>
          <w:rFonts w:ascii="Segoe UI" w:hAnsi="Segoe UI" w:cs="Segoe UI"/>
          <w:i/>
          <w:u w:val="single"/>
        </w:rPr>
      </w:pPr>
      <w:r w:rsidRPr="003C6B98">
        <w:rPr>
          <w:rFonts w:ascii="Segoe UI" w:hAnsi="Segoe UI" w:cs="Segoe UI"/>
          <w:i/>
          <w:u w:val="single"/>
        </w:rPr>
        <w:t>Resuscitation</w:t>
      </w:r>
    </w:p>
    <w:p w:rsidR="003914A0" w:rsidRPr="003C6B98" w:rsidRDefault="00595870" w:rsidP="00180E4A">
      <w:pPr>
        <w:spacing w:line="240" w:lineRule="auto"/>
        <w:jc w:val="both"/>
        <w:rPr>
          <w:rFonts w:ascii="Segoe UI" w:hAnsi="Segoe UI" w:cs="Segoe UI"/>
        </w:rPr>
      </w:pPr>
      <w:r w:rsidRPr="003C6B98">
        <w:rPr>
          <w:rFonts w:ascii="Segoe UI" w:hAnsi="Segoe UI" w:cs="Segoe UI"/>
          <w:bCs/>
          <w:color w:val="000000"/>
        </w:rPr>
        <w:t>Resuscitation</w:t>
      </w:r>
      <w:r w:rsidR="00180E4A" w:rsidRPr="003C6B98">
        <w:rPr>
          <w:rFonts w:ascii="Segoe UI" w:hAnsi="Segoe UI" w:cs="Segoe UI"/>
          <w:bCs/>
          <w:color w:val="000000"/>
        </w:rPr>
        <w:t xml:space="preserve"> training to support practice</w:t>
      </w:r>
      <w:r w:rsidRPr="003C6B98">
        <w:rPr>
          <w:rFonts w:ascii="Segoe UI" w:hAnsi="Segoe UI" w:cs="Segoe UI"/>
          <w:bCs/>
          <w:color w:val="000000"/>
        </w:rPr>
        <w:t xml:space="preserve"> within OHNHSFT is </w:t>
      </w:r>
      <w:r w:rsidR="00180E4A" w:rsidRPr="003C6B98">
        <w:rPr>
          <w:rFonts w:ascii="Segoe UI" w:hAnsi="Segoe UI" w:cs="Segoe UI"/>
          <w:bCs/>
          <w:color w:val="000000"/>
        </w:rPr>
        <w:t>changing as the two former Trusts operated different training standards.</w:t>
      </w:r>
      <w:r w:rsidRPr="003C6B98">
        <w:rPr>
          <w:rFonts w:ascii="Segoe UI" w:hAnsi="Segoe UI" w:cs="Segoe UI"/>
          <w:bCs/>
          <w:color w:val="000000"/>
        </w:rPr>
        <w:t xml:space="preserve"> The development of e-learning and face to face assessment sessions for the future is well underway. It is </w:t>
      </w:r>
      <w:r w:rsidR="00180E4A" w:rsidRPr="003C6B98">
        <w:rPr>
          <w:rFonts w:ascii="Segoe UI" w:hAnsi="Segoe UI" w:cs="Segoe UI"/>
          <w:bCs/>
          <w:color w:val="000000"/>
        </w:rPr>
        <w:t>anticipated</w:t>
      </w:r>
      <w:r w:rsidRPr="003C6B98">
        <w:rPr>
          <w:rFonts w:ascii="Segoe UI" w:hAnsi="Segoe UI" w:cs="Segoe UI"/>
          <w:bCs/>
          <w:color w:val="000000"/>
        </w:rPr>
        <w:t xml:space="preserve"> this will be rolled out in September for those that attend the November assessment sessions</w:t>
      </w:r>
      <w:r w:rsidR="00E62D82" w:rsidRPr="003C6B98">
        <w:rPr>
          <w:rFonts w:ascii="Segoe UI" w:hAnsi="Segoe UI" w:cs="Segoe UI"/>
          <w:bCs/>
          <w:color w:val="000000"/>
        </w:rPr>
        <w:t xml:space="preserve">. </w:t>
      </w:r>
      <w:r w:rsidRPr="003C6B98">
        <w:rPr>
          <w:rFonts w:ascii="Segoe UI" w:hAnsi="Segoe UI" w:cs="Segoe UI"/>
          <w:bCs/>
          <w:color w:val="000000"/>
        </w:rPr>
        <w:t xml:space="preserve">Since the Board of Directors </w:t>
      </w:r>
      <w:r w:rsidR="00180E4A" w:rsidRPr="003C6B98">
        <w:rPr>
          <w:rFonts w:ascii="Segoe UI" w:hAnsi="Segoe UI" w:cs="Segoe UI"/>
          <w:bCs/>
          <w:color w:val="000000"/>
        </w:rPr>
        <w:t>set the standard</w:t>
      </w:r>
      <w:r w:rsidRPr="003C6B98">
        <w:rPr>
          <w:rFonts w:ascii="Segoe UI" w:hAnsi="Segoe UI" w:cs="Segoe UI"/>
          <w:bCs/>
          <w:color w:val="000000"/>
        </w:rPr>
        <w:t xml:space="preserve"> that Resuscitation Training needs to achieve 100% attendance per year, plans have been put in place to increase the number of session places available and a business plan has been put forward to </w:t>
      </w:r>
      <w:r w:rsidR="00180E4A" w:rsidRPr="003C6B98">
        <w:rPr>
          <w:rFonts w:ascii="Segoe UI" w:hAnsi="Segoe UI" w:cs="Segoe UI"/>
          <w:bCs/>
          <w:color w:val="000000"/>
        </w:rPr>
        <w:t>enable the 100% standard to be met.</w:t>
      </w:r>
    </w:p>
    <w:p w:rsidR="002824B0" w:rsidRPr="003C6B98" w:rsidRDefault="002824B0" w:rsidP="00180E4A">
      <w:pPr>
        <w:spacing w:after="0" w:line="240" w:lineRule="auto"/>
        <w:ind w:right="-45"/>
        <w:jc w:val="both"/>
        <w:rPr>
          <w:rFonts w:ascii="Segoe UI" w:eastAsia="Arial Unicode MS" w:hAnsi="Segoe UI" w:cs="Segoe UI"/>
          <w:i/>
          <w:u w:val="single"/>
        </w:rPr>
      </w:pPr>
      <w:r w:rsidRPr="003C6B98">
        <w:rPr>
          <w:rFonts w:ascii="Segoe UI" w:eastAsia="Arial Unicode MS" w:hAnsi="Segoe UI" w:cs="Segoe UI"/>
          <w:i/>
          <w:u w:val="single"/>
        </w:rPr>
        <w:t>Care Programme Approach (CPA)</w:t>
      </w:r>
    </w:p>
    <w:p w:rsidR="002824B0" w:rsidRPr="003C6B98" w:rsidRDefault="002824B0" w:rsidP="00180E4A">
      <w:pPr>
        <w:spacing w:after="0" w:line="240" w:lineRule="auto"/>
        <w:jc w:val="both"/>
        <w:rPr>
          <w:rFonts w:ascii="Segoe UI" w:hAnsi="Segoe UI" w:cs="Segoe UI"/>
        </w:rPr>
      </w:pPr>
      <w:r w:rsidRPr="003C6B98">
        <w:rPr>
          <w:rFonts w:ascii="Segoe UI" w:hAnsi="Segoe UI" w:cs="Segoe UI"/>
        </w:rPr>
        <w:t>The result of the CPA audit for quarters 4 can be seen in the table below, which shows an improvement for each of the four key standards over the course of the year.</w:t>
      </w:r>
    </w:p>
    <w:p w:rsidR="002824B0" w:rsidRPr="003D4694" w:rsidRDefault="00180E4A" w:rsidP="00180E4A">
      <w:pPr>
        <w:tabs>
          <w:tab w:val="left" w:pos="3360"/>
        </w:tabs>
        <w:spacing w:after="0" w:line="240" w:lineRule="auto"/>
        <w:ind w:left="-284"/>
        <w:jc w:val="both"/>
        <w:rPr>
          <w:rFonts w:ascii="Segoe UI" w:hAnsi="Segoe UI" w:cs="Segoe UI"/>
        </w:rPr>
      </w:pPr>
      <w:r>
        <w:rPr>
          <w:rFonts w:ascii="Segoe UI" w:hAnsi="Segoe UI" w:cs="Segoe UI"/>
        </w:rPr>
        <w:tab/>
      </w: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2303"/>
        <w:gridCol w:w="2279"/>
      </w:tblGrid>
      <w:tr w:rsidR="002824B0" w:rsidRPr="003D4694" w:rsidTr="00D8126C">
        <w:trPr>
          <w:trHeight w:val="265"/>
        </w:trPr>
        <w:tc>
          <w:tcPr>
            <w:tcW w:w="4961" w:type="dxa"/>
            <w:shd w:val="clear" w:color="auto" w:fill="E6E6E6"/>
          </w:tcPr>
          <w:p w:rsidR="002824B0" w:rsidRPr="00D8126C" w:rsidRDefault="002824B0" w:rsidP="00D8126C">
            <w:pPr>
              <w:spacing w:after="120"/>
              <w:ind w:left="176"/>
              <w:rPr>
                <w:rFonts w:ascii="Segoe UI" w:hAnsi="Segoe UI" w:cs="Segoe UI"/>
                <w:b/>
                <w:sz w:val="21"/>
                <w:szCs w:val="21"/>
                <w:lang w:eastAsia="en-GB"/>
              </w:rPr>
            </w:pPr>
            <w:r w:rsidRPr="00D8126C">
              <w:rPr>
                <w:rFonts w:ascii="Segoe UI" w:hAnsi="Segoe UI" w:cs="Segoe UI"/>
                <w:b/>
                <w:sz w:val="21"/>
                <w:szCs w:val="21"/>
                <w:lang w:eastAsia="en-GB"/>
              </w:rPr>
              <w:t>Board Metrics</w:t>
            </w:r>
          </w:p>
        </w:tc>
        <w:tc>
          <w:tcPr>
            <w:tcW w:w="2303" w:type="dxa"/>
            <w:shd w:val="clear" w:color="auto" w:fill="E6E6E6"/>
          </w:tcPr>
          <w:p w:rsidR="002824B0" w:rsidRPr="00D8126C" w:rsidRDefault="002824B0" w:rsidP="00D8126C">
            <w:pPr>
              <w:spacing w:after="120"/>
              <w:ind w:left="-284" w:firstLine="372"/>
              <w:rPr>
                <w:rFonts w:ascii="Segoe UI" w:hAnsi="Segoe UI" w:cs="Segoe UI"/>
                <w:b/>
                <w:sz w:val="21"/>
                <w:szCs w:val="21"/>
                <w:lang w:eastAsia="en-GB"/>
              </w:rPr>
            </w:pPr>
            <w:r w:rsidRPr="00D8126C">
              <w:rPr>
                <w:rFonts w:ascii="Segoe UI" w:hAnsi="Segoe UI" w:cs="Segoe UI"/>
                <w:b/>
                <w:sz w:val="21"/>
                <w:szCs w:val="21"/>
                <w:lang w:eastAsia="en-GB"/>
              </w:rPr>
              <w:t>Q1 2011/12</w:t>
            </w:r>
          </w:p>
        </w:tc>
        <w:tc>
          <w:tcPr>
            <w:tcW w:w="2279" w:type="dxa"/>
            <w:shd w:val="clear" w:color="auto" w:fill="E6E6E6"/>
          </w:tcPr>
          <w:p w:rsidR="002824B0" w:rsidRPr="00D8126C" w:rsidRDefault="002824B0" w:rsidP="00D8126C">
            <w:pPr>
              <w:spacing w:after="120"/>
              <w:ind w:left="-284" w:firstLine="455"/>
              <w:rPr>
                <w:rFonts w:ascii="Segoe UI" w:hAnsi="Segoe UI" w:cs="Segoe UI"/>
                <w:b/>
                <w:sz w:val="21"/>
                <w:szCs w:val="21"/>
                <w:lang w:eastAsia="en-GB"/>
              </w:rPr>
            </w:pPr>
            <w:r w:rsidRPr="00D8126C">
              <w:rPr>
                <w:rFonts w:ascii="Segoe UI" w:hAnsi="Segoe UI" w:cs="Segoe UI"/>
                <w:b/>
                <w:sz w:val="21"/>
                <w:szCs w:val="21"/>
                <w:lang w:eastAsia="en-GB"/>
              </w:rPr>
              <w:t>Q4 2011/12</w:t>
            </w:r>
          </w:p>
        </w:tc>
      </w:tr>
      <w:tr w:rsidR="002824B0" w:rsidRPr="003D4694" w:rsidTr="00D8126C">
        <w:trPr>
          <w:trHeight w:val="482"/>
        </w:trPr>
        <w:tc>
          <w:tcPr>
            <w:tcW w:w="4961" w:type="dxa"/>
          </w:tcPr>
          <w:p w:rsidR="002824B0" w:rsidRPr="00D8126C" w:rsidRDefault="002824B0" w:rsidP="00D8126C">
            <w:pPr>
              <w:spacing w:after="120"/>
              <w:ind w:left="176"/>
              <w:rPr>
                <w:rFonts w:ascii="Segoe UI" w:hAnsi="Segoe UI" w:cs="Segoe UI"/>
                <w:sz w:val="21"/>
                <w:szCs w:val="21"/>
                <w:lang w:eastAsia="en-GB"/>
              </w:rPr>
            </w:pPr>
            <w:r w:rsidRPr="00D8126C">
              <w:rPr>
                <w:rFonts w:ascii="Segoe UI" w:hAnsi="Segoe UI" w:cs="Segoe UI"/>
                <w:sz w:val="21"/>
                <w:szCs w:val="21"/>
                <w:lang w:eastAsia="en-GB"/>
              </w:rPr>
              <w:t>Is there a CPA care plan?</w:t>
            </w:r>
          </w:p>
        </w:tc>
        <w:tc>
          <w:tcPr>
            <w:tcW w:w="2303" w:type="dxa"/>
          </w:tcPr>
          <w:p w:rsidR="002824B0" w:rsidRPr="00D8126C" w:rsidRDefault="002824B0" w:rsidP="00D8126C">
            <w:pPr>
              <w:spacing w:after="120"/>
              <w:ind w:left="177" w:hanging="89"/>
              <w:rPr>
                <w:rFonts w:ascii="Segoe UI" w:hAnsi="Segoe UI" w:cs="Segoe UI"/>
                <w:bCs/>
                <w:sz w:val="21"/>
                <w:szCs w:val="21"/>
                <w:lang w:eastAsia="en-GB"/>
              </w:rPr>
            </w:pPr>
            <w:r w:rsidRPr="00D8126C">
              <w:rPr>
                <w:rFonts w:ascii="Segoe UI" w:hAnsi="Segoe UI" w:cs="Segoe UI"/>
                <w:bCs/>
                <w:sz w:val="21"/>
                <w:szCs w:val="21"/>
                <w:lang w:eastAsia="en-GB"/>
              </w:rPr>
              <w:t>86% 256/299 (4 n/a)</w:t>
            </w:r>
          </w:p>
        </w:tc>
        <w:tc>
          <w:tcPr>
            <w:tcW w:w="2279" w:type="dxa"/>
          </w:tcPr>
          <w:p w:rsidR="002824B0" w:rsidRPr="00D8126C" w:rsidRDefault="002824B0" w:rsidP="00D8126C">
            <w:pPr>
              <w:spacing w:after="120"/>
              <w:ind w:left="-284" w:firstLine="455"/>
              <w:rPr>
                <w:rFonts w:ascii="Segoe UI" w:hAnsi="Segoe UI" w:cs="Segoe UI"/>
                <w:bCs/>
                <w:sz w:val="21"/>
                <w:szCs w:val="21"/>
                <w:lang w:eastAsia="en-GB"/>
              </w:rPr>
            </w:pPr>
            <w:r w:rsidRPr="00D8126C">
              <w:rPr>
                <w:rFonts w:ascii="Segoe UI" w:hAnsi="Segoe UI" w:cs="Segoe UI"/>
                <w:bCs/>
                <w:sz w:val="21"/>
                <w:szCs w:val="21"/>
                <w:lang w:eastAsia="en-GB"/>
              </w:rPr>
              <w:t>92% - 272/297</w:t>
            </w:r>
          </w:p>
        </w:tc>
      </w:tr>
      <w:tr w:rsidR="002824B0" w:rsidRPr="003D4694" w:rsidTr="00D8126C">
        <w:trPr>
          <w:trHeight w:val="566"/>
        </w:trPr>
        <w:tc>
          <w:tcPr>
            <w:tcW w:w="4961" w:type="dxa"/>
          </w:tcPr>
          <w:p w:rsidR="002824B0" w:rsidRPr="00D8126C" w:rsidRDefault="002824B0" w:rsidP="00D8126C">
            <w:pPr>
              <w:spacing w:after="120"/>
              <w:ind w:left="176"/>
              <w:rPr>
                <w:rFonts w:ascii="Segoe UI" w:hAnsi="Segoe UI" w:cs="Segoe UI"/>
                <w:sz w:val="21"/>
                <w:szCs w:val="21"/>
                <w:lang w:eastAsia="en-GB"/>
              </w:rPr>
            </w:pPr>
            <w:r w:rsidRPr="00D8126C">
              <w:rPr>
                <w:rFonts w:ascii="Segoe UI" w:hAnsi="Segoe UI" w:cs="Segoe UI"/>
                <w:sz w:val="21"/>
                <w:szCs w:val="21"/>
                <w:lang w:eastAsia="en-GB"/>
              </w:rPr>
              <w:t>Has the care plan been reviewed in previous 6 months?</w:t>
            </w:r>
          </w:p>
        </w:tc>
        <w:tc>
          <w:tcPr>
            <w:tcW w:w="2303" w:type="dxa"/>
          </w:tcPr>
          <w:p w:rsidR="002824B0" w:rsidRPr="00D8126C" w:rsidRDefault="002824B0" w:rsidP="00D8126C">
            <w:pPr>
              <w:spacing w:after="120"/>
              <w:ind w:left="177" w:hanging="89"/>
              <w:rPr>
                <w:rFonts w:ascii="Segoe UI" w:hAnsi="Segoe UI" w:cs="Segoe UI"/>
                <w:bCs/>
                <w:sz w:val="21"/>
                <w:szCs w:val="21"/>
                <w:lang w:eastAsia="en-GB"/>
              </w:rPr>
            </w:pPr>
            <w:r w:rsidRPr="00D8126C">
              <w:rPr>
                <w:rFonts w:ascii="Segoe UI" w:hAnsi="Segoe UI" w:cs="Segoe UI"/>
                <w:bCs/>
                <w:sz w:val="21"/>
                <w:szCs w:val="21"/>
                <w:lang w:eastAsia="en-GB"/>
              </w:rPr>
              <w:t>79% 223/284 (24 n/a)</w:t>
            </w:r>
          </w:p>
        </w:tc>
        <w:tc>
          <w:tcPr>
            <w:tcW w:w="2279" w:type="dxa"/>
          </w:tcPr>
          <w:p w:rsidR="002824B0" w:rsidRPr="00D8126C" w:rsidRDefault="002824B0" w:rsidP="00D8126C">
            <w:pPr>
              <w:spacing w:after="120"/>
              <w:ind w:left="-284" w:firstLine="455"/>
              <w:rPr>
                <w:rFonts w:ascii="Segoe UI" w:hAnsi="Segoe UI" w:cs="Segoe UI"/>
                <w:bCs/>
                <w:sz w:val="21"/>
                <w:szCs w:val="21"/>
                <w:lang w:eastAsia="en-GB"/>
              </w:rPr>
            </w:pPr>
            <w:r w:rsidRPr="00D8126C">
              <w:rPr>
                <w:rFonts w:ascii="Segoe UI" w:hAnsi="Segoe UI" w:cs="Segoe UI"/>
                <w:bCs/>
                <w:sz w:val="21"/>
                <w:szCs w:val="21"/>
                <w:lang w:eastAsia="en-GB"/>
              </w:rPr>
              <w:t>88% - 253/289</w:t>
            </w:r>
          </w:p>
        </w:tc>
      </w:tr>
      <w:tr w:rsidR="002824B0" w:rsidRPr="003D4694" w:rsidTr="00D8126C">
        <w:trPr>
          <w:trHeight w:val="512"/>
        </w:trPr>
        <w:tc>
          <w:tcPr>
            <w:tcW w:w="4961" w:type="dxa"/>
          </w:tcPr>
          <w:p w:rsidR="002824B0" w:rsidRPr="00D8126C" w:rsidRDefault="002824B0" w:rsidP="00D8126C">
            <w:pPr>
              <w:spacing w:before="100" w:beforeAutospacing="1" w:after="120" w:line="240" w:lineRule="auto"/>
              <w:ind w:left="176"/>
              <w:rPr>
                <w:rFonts w:ascii="Segoe UI" w:hAnsi="Segoe UI" w:cs="Segoe UI"/>
                <w:sz w:val="21"/>
                <w:szCs w:val="21"/>
                <w:lang w:eastAsia="en-GB"/>
              </w:rPr>
            </w:pPr>
            <w:r w:rsidRPr="00D8126C">
              <w:rPr>
                <w:rFonts w:ascii="Segoe UI" w:hAnsi="Segoe UI" w:cs="Segoe UI"/>
                <w:sz w:val="21"/>
                <w:szCs w:val="21"/>
                <w:lang w:eastAsia="en-GB"/>
              </w:rPr>
              <w:t>Is there a safety/risk assessment and management plan completed that is less than 12 months old?</w:t>
            </w:r>
          </w:p>
        </w:tc>
        <w:tc>
          <w:tcPr>
            <w:tcW w:w="2303" w:type="dxa"/>
          </w:tcPr>
          <w:p w:rsidR="002824B0" w:rsidRPr="00D8126C" w:rsidRDefault="002824B0" w:rsidP="00D8126C">
            <w:pPr>
              <w:spacing w:after="120"/>
              <w:ind w:left="177" w:hanging="89"/>
              <w:rPr>
                <w:rFonts w:ascii="Segoe UI" w:hAnsi="Segoe UI" w:cs="Segoe UI"/>
                <w:bCs/>
                <w:sz w:val="21"/>
                <w:szCs w:val="21"/>
                <w:lang w:eastAsia="en-GB"/>
              </w:rPr>
            </w:pPr>
            <w:r w:rsidRPr="00D8126C">
              <w:rPr>
                <w:rFonts w:ascii="Segoe UI" w:hAnsi="Segoe UI" w:cs="Segoe UI"/>
                <w:bCs/>
                <w:sz w:val="21"/>
                <w:szCs w:val="21"/>
                <w:lang w:eastAsia="en-GB"/>
              </w:rPr>
              <w:t>81% 249/307 (4 n/a)</w:t>
            </w:r>
          </w:p>
        </w:tc>
        <w:tc>
          <w:tcPr>
            <w:tcW w:w="2279" w:type="dxa"/>
          </w:tcPr>
          <w:p w:rsidR="002824B0" w:rsidRPr="00D8126C" w:rsidRDefault="002824B0" w:rsidP="00D8126C">
            <w:pPr>
              <w:spacing w:after="120"/>
              <w:ind w:left="-284" w:firstLine="455"/>
              <w:rPr>
                <w:rFonts w:ascii="Segoe UI" w:hAnsi="Segoe UI" w:cs="Segoe UI"/>
                <w:bCs/>
                <w:sz w:val="21"/>
                <w:szCs w:val="21"/>
                <w:lang w:eastAsia="en-GB"/>
              </w:rPr>
            </w:pPr>
            <w:r w:rsidRPr="00D8126C">
              <w:rPr>
                <w:rFonts w:ascii="Segoe UI" w:hAnsi="Segoe UI" w:cs="Segoe UI"/>
                <w:bCs/>
                <w:sz w:val="21"/>
                <w:szCs w:val="21"/>
                <w:lang w:eastAsia="en-GB"/>
              </w:rPr>
              <w:t>94% - 272/290</w:t>
            </w:r>
          </w:p>
        </w:tc>
      </w:tr>
      <w:tr w:rsidR="002824B0" w:rsidRPr="003D4694" w:rsidTr="00D8126C">
        <w:trPr>
          <w:trHeight w:val="175"/>
        </w:trPr>
        <w:tc>
          <w:tcPr>
            <w:tcW w:w="4961" w:type="dxa"/>
          </w:tcPr>
          <w:p w:rsidR="002824B0" w:rsidRPr="00D8126C" w:rsidRDefault="002824B0" w:rsidP="00D8126C">
            <w:pPr>
              <w:spacing w:after="120"/>
              <w:ind w:left="176"/>
              <w:rPr>
                <w:rFonts w:ascii="Segoe UI" w:hAnsi="Segoe UI" w:cs="Segoe UI"/>
                <w:sz w:val="21"/>
                <w:szCs w:val="21"/>
                <w:lang w:eastAsia="en-GB"/>
              </w:rPr>
            </w:pPr>
            <w:r w:rsidRPr="00D8126C">
              <w:rPr>
                <w:rFonts w:ascii="Segoe UI" w:hAnsi="Segoe UI" w:cs="Segoe UI"/>
                <w:sz w:val="21"/>
                <w:szCs w:val="21"/>
                <w:lang w:eastAsia="en-GB"/>
              </w:rPr>
              <w:t>Is the Care Co-ordinator identified?</w:t>
            </w:r>
          </w:p>
        </w:tc>
        <w:tc>
          <w:tcPr>
            <w:tcW w:w="2303" w:type="dxa"/>
          </w:tcPr>
          <w:p w:rsidR="002824B0" w:rsidRPr="00D8126C" w:rsidRDefault="002824B0" w:rsidP="00D8126C">
            <w:pPr>
              <w:spacing w:after="120"/>
              <w:ind w:left="177" w:hanging="89"/>
              <w:rPr>
                <w:rFonts w:ascii="Segoe UI" w:hAnsi="Segoe UI" w:cs="Segoe UI"/>
                <w:bCs/>
                <w:sz w:val="21"/>
                <w:szCs w:val="21"/>
                <w:lang w:eastAsia="en-GB"/>
              </w:rPr>
            </w:pPr>
            <w:r w:rsidRPr="00D8126C">
              <w:rPr>
                <w:rFonts w:ascii="Segoe UI" w:hAnsi="Segoe UI" w:cs="Segoe UI"/>
                <w:bCs/>
                <w:sz w:val="21"/>
                <w:szCs w:val="21"/>
                <w:lang w:eastAsia="en-GB"/>
              </w:rPr>
              <w:t>95% 291/307</w:t>
            </w:r>
          </w:p>
        </w:tc>
        <w:tc>
          <w:tcPr>
            <w:tcW w:w="2279" w:type="dxa"/>
          </w:tcPr>
          <w:p w:rsidR="002824B0" w:rsidRPr="00D8126C" w:rsidRDefault="002824B0" w:rsidP="00D8126C">
            <w:pPr>
              <w:spacing w:after="120"/>
              <w:ind w:left="-284" w:firstLine="455"/>
              <w:rPr>
                <w:rFonts w:ascii="Segoe UI" w:hAnsi="Segoe UI" w:cs="Segoe UI"/>
                <w:bCs/>
                <w:sz w:val="21"/>
                <w:szCs w:val="21"/>
                <w:lang w:eastAsia="en-GB"/>
              </w:rPr>
            </w:pPr>
            <w:r w:rsidRPr="00D8126C">
              <w:rPr>
                <w:rFonts w:ascii="Segoe UI" w:hAnsi="Segoe UI" w:cs="Segoe UI"/>
                <w:bCs/>
                <w:sz w:val="21"/>
                <w:szCs w:val="21"/>
                <w:lang w:eastAsia="en-GB"/>
              </w:rPr>
              <w:t>100% - 295/296</w:t>
            </w:r>
          </w:p>
        </w:tc>
      </w:tr>
    </w:tbl>
    <w:p w:rsidR="002824B0" w:rsidRPr="00180E4A" w:rsidRDefault="002824B0" w:rsidP="00180E4A">
      <w:pPr>
        <w:spacing w:after="0" w:line="240" w:lineRule="auto"/>
        <w:ind w:left="-284"/>
        <w:jc w:val="both"/>
        <w:rPr>
          <w:rFonts w:ascii="Segoe UI" w:hAnsi="Segoe UI" w:cs="Segoe UI"/>
          <w:b/>
          <w:i/>
          <w:u w:val="single"/>
        </w:rPr>
      </w:pPr>
    </w:p>
    <w:p w:rsidR="00595870" w:rsidRPr="003C6B98" w:rsidRDefault="00595870" w:rsidP="00180E4A">
      <w:pPr>
        <w:spacing w:after="0" w:line="240" w:lineRule="auto"/>
        <w:jc w:val="both"/>
        <w:rPr>
          <w:rFonts w:ascii="Segoe UI" w:hAnsi="Segoe UI" w:cs="Segoe UI"/>
          <w:i/>
          <w:u w:val="single"/>
        </w:rPr>
      </w:pPr>
      <w:r w:rsidRPr="003C6B98">
        <w:rPr>
          <w:rFonts w:ascii="Segoe UI" w:hAnsi="Segoe UI" w:cs="Segoe UI"/>
          <w:i/>
          <w:u w:val="single"/>
        </w:rPr>
        <w:t>Infection Control</w:t>
      </w:r>
    </w:p>
    <w:p w:rsidR="00595870" w:rsidRPr="003D4694" w:rsidRDefault="00595870" w:rsidP="00180E4A">
      <w:pPr>
        <w:spacing w:line="240" w:lineRule="auto"/>
        <w:jc w:val="both"/>
        <w:rPr>
          <w:rFonts w:ascii="Segoe UI" w:hAnsi="Segoe UI" w:cs="Segoe UI"/>
          <w:b/>
          <w:u w:val="single"/>
        </w:rPr>
      </w:pPr>
      <w:r w:rsidRPr="003D4694">
        <w:rPr>
          <w:rFonts w:ascii="Segoe UI" w:hAnsi="Segoe UI" w:cs="Segoe UI"/>
        </w:rPr>
        <w:t>There is a programme of mandatory Infection control training in place in accordance with the trusts learning and development training matrix. T</w:t>
      </w:r>
      <w:r w:rsidR="00E62D82" w:rsidRPr="003D4694">
        <w:rPr>
          <w:rFonts w:ascii="Segoe UI" w:hAnsi="Segoe UI" w:cs="Segoe UI"/>
        </w:rPr>
        <w:t xml:space="preserve">arget attendance is set at 100%, in quarter 4 the achievement </w:t>
      </w:r>
      <w:r w:rsidR="00181D52" w:rsidRPr="003D4694">
        <w:rPr>
          <w:rFonts w:ascii="Segoe UI" w:hAnsi="Segoe UI" w:cs="Segoe UI"/>
        </w:rPr>
        <w:t>against</w:t>
      </w:r>
      <w:r w:rsidR="00E62D82" w:rsidRPr="003D4694">
        <w:rPr>
          <w:rFonts w:ascii="Segoe UI" w:hAnsi="Segoe UI" w:cs="Segoe UI"/>
        </w:rPr>
        <w:t xml:space="preserve"> target was 63% rising to 72% in quarter 1 of 2012/13.</w:t>
      </w:r>
      <w:r w:rsidR="00E62D82" w:rsidRPr="003D4694">
        <w:rPr>
          <w:rFonts w:ascii="Segoe UI" w:hAnsi="Segoe UI" w:cs="Segoe UI"/>
          <w:b/>
          <w:u w:val="single"/>
        </w:rPr>
        <w:t xml:space="preserve"> </w:t>
      </w:r>
    </w:p>
    <w:p w:rsidR="00595870" w:rsidRPr="00180E4A" w:rsidRDefault="00595870" w:rsidP="00180E4A">
      <w:pPr>
        <w:pStyle w:val="ListParagraph"/>
        <w:numPr>
          <w:ilvl w:val="0"/>
          <w:numId w:val="12"/>
        </w:numPr>
        <w:spacing w:after="0" w:line="240" w:lineRule="auto"/>
        <w:ind w:left="357" w:hanging="357"/>
        <w:jc w:val="both"/>
        <w:rPr>
          <w:rFonts w:ascii="Segoe UI" w:hAnsi="Segoe UI" w:cs="Segoe UI"/>
          <w:b/>
          <w:u w:val="single"/>
        </w:rPr>
      </w:pPr>
      <w:r w:rsidRPr="00180E4A">
        <w:rPr>
          <w:rFonts w:ascii="Segoe UI" w:hAnsi="Segoe UI" w:cs="Segoe UI"/>
          <w:b/>
          <w:u w:val="single"/>
        </w:rPr>
        <w:t>Hand Hygiene Audits</w:t>
      </w:r>
    </w:p>
    <w:p w:rsidR="003C6B98" w:rsidRDefault="00595870" w:rsidP="009B0BB5">
      <w:pPr>
        <w:spacing w:line="240" w:lineRule="auto"/>
        <w:jc w:val="both"/>
        <w:rPr>
          <w:rFonts w:ascii="Segoe UI" w:hAnsi="Segoe UI" w:cs="Segoe UI"/>
        </w:rPr>
      </w:pPr>
      <w:r w:rsidRPr="003D4694">
        <w:rPr>
          <w:rFonts w:ascii="Segoe UI" w:hAnsi="Segoe UI" w:cs="Segoe UI"/>
        </w:rPr>
        <w:t xml:space="preserve">Average results for May 2012 within Mental Health wards was 92% (see below for breakdown of standards). Means for the Community hospitals in Quarter 1 were 96.3%     </w:t>
      </w:r>
    </w:p>
    <w:p w:rsidR="00595870" w:rsidRPr="003D4694" w:rsidRDefault="00595870" w:rsidP="009B0BB5">
      <w:pPr>
        <w:spacing w:line="240" w:lineRule="auto"/>
        <w:jc w:val="both"/>
        <w:rPr>
          <w:rFonts w:ascii="Segoe UI" w:hAnsi="Segoe UI" w:cs="Segoe UI"/>
        </w:rPr>
      </w:pPr>
      <w:r w:rsidRPr="003D4694">
        <w:rPr>
          <w:rFonts w:ascii="Segoe UI" w:hAnsi="Segoe UI" w:cs="Segoe UI"/>
          <w:noProof/>
          <w:lang w:eastAsia="en-GB"/>
        </w:rPr>
        <w:drawing>
          <wp:inline distT="0" distB="0" distL="0" distR="0">
            <wp:extent cx="6248400" cy="1514475"/>
            <wp:effectExtent l="19050" t="0" r="19050" b="0"/>
            <wp:docPr id="1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C2241" w:rsidRDefault="00CC2241" w:rsidP="009B0BB5">
      <w:pPr>
        <w:spacing w:line="240" w:lineRule="auto"/>
        <w:jc w:val="both"/>
        <w:rPr>
          <w:rFonts w:ascii="Segoe UI" w:hAnsi="Segoe UI" w:cs="Segoe UI"/>
        </w:rPr>
      </w:pPr>
      <w:r w:rsidRPr="003D4694">
        <w:rPr>
          <w:rFonts w:ascii="Segoe UI" w:hAnsi="Segoe UI" w:cs="Segoe UI"/>
        </w:rPr>
        <w:t>Graph 14 – Hand hygiene audit; 4 key standards</w:t>
      </w:r>
    </w:p>
    <w:p w:rsidR="00595870" w:rsidRPr="00180E4A" w:rsidRDefault="00595870" w:rsidP="00180E4A">
      <w:pPr>
        <w:pStyle w:val="ListParagraph"/>
        <w:numPr>
          <w:ilvl w:val="0"/>
          <w:numId w:val="12"/>
        </w:numPr>
        <w:spacing w:after="0" w:line="240" w:lineRule="auto"/>
        <w:ind w:left="357" w:hanging="357"/>
        <w:jc w:val="both"/>
        <w:rPr>
          <w:rFonts w:ascii="Segoe UI" w:hAnsi="Segoe UI" w:cs="Segoe UI"/>
          <w:b/>
          <w:u w:val="single"/>
        </w:rPr>
      </w:pPr>
      <w:r w:rsidRPr="00180E4A">
        <w:rPr>
          <w:rFonts w:ascii="Segoe UI" w:hAnsi="Segoe UI" w:cs="Segoe UI"/>
          <w:b/>
          <w:u w:val="single"/>
        </w:rPr>
        <w:lastRenderedPageBreak/>
        <w:t xml:space="preserve">Environmental Infection prevention and control audits  </w:t>
      </w:r>
    </w:p>
    <w:p w:rsidR="00595870" w:rsidRPr="003D4694" w:rsidRDefault="00595870" w:rsidP="00180E4A">
      <w:pPr>
        <w:spacing w:line="240" w:lineRule="auto"/>
        <w:jc w:val="both"/>
        <w:rPr>
          <w:rFonts w:ascii="Segoe UI" w:hAnsi="Segoe UI" w:cs="Segoe UI"/>
        </w:rPr>
      </w:pPr>
      <w:r w:rsidRPr="003D4694">
        <w:rPr>
          <w:rFonts w:ascii="Segoe UI" w:hAnsi="Segoe UI" w:cs="Segoe UI"/>
        </w:rPr>
        <w:t>Wards and departments are visited on an unannounced basis by the Infection Prevention and Control Team. An infection prevention and control audit is carried out using a national tool. The pass mark is set at 85%.</w:t>
      </w:r>
    </w:p>
    <w:p w:rsidR="00595870" w:rsidRPr="003D4694" w:rsidRDefault="00595870" w:rsidP="00180E4A">
      <w:pPr>
        <w:spacing w:line="240" w:lineRule="auto"/>
        <w:jc w:val="both"/>
        <w:rPr>
          <w:rFonts w:ascii="Segoe UI" w:hAnsi="Segoe UI" w:cs="Segoe UI"/>
        </w:rPr>
      </w:pPr>
      <w:r w:rsidRPr="003D4694">
        <w:rPr>
          <w:rFonts w:ascii="Segoe UI" w:hAnsi="Segoe UI" w:cs="Segoe UI"/>
        </w:rPr>
        <w:t>During Q1 of 2012/13 a total of 17 audits were completed. For those scoring less than 85%, they are asked to complete an action plan of the highlighted points and are then re audited within 3 months. The action plan is taken to the re audit to ensure that the plans have been carried out. Re-audits of areas in red will take place during quarter 2.</w:t>
      </w:r>
    </w:p>
    <w:p w:rsidR="00595870" w:rsidRPr="003D4694" w:rsidRDefault="00595870" w:rsidP="00180E4A">
      <w:pPr>
        <w:spacing w:line="240" w:lineRule="auto"/>
        <w:jc w:val="both"/>
        <w:rPr>
          <w:rFonts w:ascii="Segoe UI" w:hAnsi="Segoe UI" w:cs="Segoe UI"/>
        </w:rPr>
      </w:pPr>
      <w:r w:rsidRPr="003D4694">
        <w:rPr>
          <w:rFonts w:ascii="Segoe UI" w:hAnsi="Segoe UI" w:cs="Segoe UI"/>
        </w:rPr>
        <w:t>Overall average compliance for Quarter 1 was 80% ac</w:t>
      </w:r>
      <w:r w:rsidR="00E62D82" w:rsidRPr="003D4694">
        <w:rPr>
          <w:rFonts w:ascii="Segoe UI" w:hAnsi="Segoe UI" w:cs="Segoe UI"/>
        </w:rPr>
        <w:t>ross the Trust, with 8 of 17 areas requiring improvement plans.</w:t>
      </w:r>
    </w:p>
    <w:p w:rsidR="00595870" w:rsidRPr="003D4694" w:rsidRDefault="00595870" w:rsidP="00180E4A">
      <w:pPr>
        <w:spacing w:line="240" w:lineRule="auto"/>
        <w:jc w:val="both"/>
        <w:rPr>
          <w:rFonts w:ascii="Segoe UI" w:hAnsi="Segoe UI" w:cs="Segoe UI"/>
        </w:rPr>
      </w:pPr>
      <w:r w:rsidRPr="003D4694">
        <w:rPr>
          <w:rFonts w:ascii="Segoe UI" w:hAnsi="Segoe UI" w:cs="Segoe UI"/>
        </w:rPr>
        <w:t>The Trust has an agreed MRSA screening procedure. Average compliance across community hospitals during quarter 1 was 99%</w:t>
      </w:r>
    </w:p>
    <w:p w:rsidR="00595870" w:rsidRPr="003D4694" w:rsidRDefault="00595870" w:rsidP="00180E4A">
      <w:pPr>
        <w:spacing w:line="240" w:lineRule="auto"/>
        <w:jc w:val="both"/>
        <w:rPr>
          <w:rFonts w:ascii="Segoe UI" w:hAnsi="Segoe UI" w:cs="Segoe UI"/>
        </w:rPr>
      </w:pPr>
      <w:r w:rsidRPr="003D4694">
        <w:rPr>
          <w:rFonts w:ascii="Segoe UI" w:hAnsi="Segoe UI" w:cs="Segoe UI"/>
        </w:rPr>
        <w:t xml:space="preserve">There has been 1 case of </w:t>
      </w:r>
      <w:r w:rsidRPr="003D4694">
        <w:rPr>
          <w:rFonts w:ascii="Segoe UI" w:hAnsi="Segoe UI" w:cs="Segoe UI"/>
          <w:b/>
        </w:rPr>
        <w:t xml:space="preserve">C. difficile </w:t>
      </w:r>
      <w:r w:rsidRPr="003D4694">
        <w:rPr>
          <w:rFonts w:ascii="Segoe UI" w:hAnsi="Segoe UI" w:cs="Segoe UI"/>
        </w:rPr>
        <w:t>in mental health services, on Sandford Ward. In community hospitals there were two cases in April, two in May and no cases in June. All the cases have been fully reviewed and no links between cases have been identified. Peer reviews internal and external to the trust have taken place and all patients were evaluated to have been appropriately managed and the cases unavoidable. All were high risk and received antimicrobial treatment.</w:t>
      </w:r>
    </w:p>
    <w:p w:rsidR="00E62D82" w:rsidRPr="003D4694" w:rsidRDefault="00595870" w:rsidP="00180E4A">
      <w:pPr>
        <w:spacing w:line="240" w:lineRule="auto"/>
        <w:jc w:val="both"/>
        <w:rPr>
          <w:rFonts w:ascii="Segoe UI" w:hAnsi="Segoe UI" w:cs="Segoe UI"/>
        </w:rPr>
      </w:pPr>
      <w:r w:rsidRPr="003D4694">
        <w:rPr>
          <w:rFonts w:ascii="Segoe UI" w:hAnsi="Segoe UI" w:cs="Segoe UI"/>
        </w:rPr>
        <w:t xml:space="preserve">There have been no cases of </w:t>
      </w:r>
      <w:r w:rsidRPr="003D4694">
        <w:rPr>
          <w:rFonts w:ascii="Segoe UI" w:hAnsi="Segoe UI" w:cs="Segoe UI"/>
          <w:b/>
        </w:rPr>
        <w:t xml:space="preserve">MRSA </w:t>
      </w:r>
      <w:r w:rsidR="00181D52" w:rsidRPr="003D4694">
        <w:rPr>
          <w:rFonts w:ascii="Segoe UI" w:hAnsi="Segoe UI" w:cs="Segoe UI"/>
          <w:b/>
        </w:rPr>
        <w:t>Bacteraemia</w:t>
      </w:r>
      <w:r w:rsidR="00181D52" w:rsidRPr="003D4694">
        <w:rPr>
          <w:rFonts w:ascii="Segoe UI" w:hAnsi="Segoe UI" w:cs="Segoe UI"/>
        </w:rPr>
        <w:t xml:space="preserve"> this</w:t>
      </w:r>
      <w:r w:rsidRPr="003D4694">
        <w:rPr>
          <w:rFonts w:ascii="Segoe UI" w:hAnsi="Segoe UI" w:cs="Segoe UI"/>
        </w:rPr>
        <w:t xml:space="preserve"> quarter.</w:t>
      </w:r>
      <w:r w:rsidR="00E62D82" w:rsidRPr="003D4694">
        <w:rPr>
          <w:rFonts w:ascii="Segoe UI" w:hAnsi="Segoe UI" w:cs="Segoe UI"/>
        </w:rPr>
        <w:t xml:space="preserve"> </w:t>
      </w:r>
    </w:p>
    <w:p w:rsidR="009B0BB5" w:rsidRPr="003D4694" w:rsidRDefault="00262128" w:rsidP="00180E4A">
      <w:pPr>
        <w:spacing w:line="240" w:lineRule="auto"/>
        <w:jc w:val="both"/>
        <w:rPr>
          <w:rFonts w:ascii="Segoe UI" w:hAnsi="Segoe UI" w:cs="Segoe UI"/>
        </w:rPr>
      </w:pPr>
      <w:r w:rsidRPr="003D4694">
        <w:rPr>
          <w:rFonts w:ascii="Segoe UI" w:hAnsi="Segoe UI" w:cs="Segoe UI"/>
        </w:rPr>
        <w:t>O</w:t>
      </w:r>
      <w:r w:rsidR="00595870" w:rsidRPr="003D4694">
        <w:rPr>
          <w:rFonts w:ascii="Segoe UI" w:hAnsi="Segoe UI" w:cs="Segoe UI"/>
        </w:rPr>
        <w:t xml:space="preserve">ne case of </w:t>
      </w:r>
      <w:r w:rsidR="00595870" w:rsidRPr="003D4694">
        <w:rPr>
          <w:rFonts w:ascii="Segoe UI" w:hAnsi="Segoe UI" w:cs="Segoe UI"/>
          <w:b/>
        </w:rPr>
        <w:t>campylobacter</w:t>
      </w:r>
      <w:r w:rsidR="00595870" w:rsidRPr="003D4694">
        <w:rPr>
          <w:rFonts w:ascii="Segoe UI" w:hAnsi="Segoe UI" w:cs="Segoe UI"/>
        </w:rPr>
        <w:t xml:space="preserve"> has been reported on Cherwell ward the subsequent review did not identify any failings in c</w:t>
      </w:r>
      <w:r w:rsidRPr="003D4694">
        <w:rPr>
          <w:rFonts w:ascii="Segoe UI" w:hAnsi="Segoe UI" w:cs="Segoe UI"/>
        </w:rPr>
        <w:t>are.</w:t>
      </w:r>
    </w:p>
    <w:p w:rsidR="009B0BB5" w:rsidRPr="003C6B98" w:rsidRDefault="00A17FF2" w:rsidP="003C6B98">
      <w:pPr>
        <w:pStyle w:val="ListParagraph"/>
        <w:numPr>
          <w:ilvl w:val="0"/>
          <w:numId w:val="12"/>
        </w:numPr>
        <w:spacing w:after="0" w:line="240" w:lineRule="auto"/>
        <w:ind w:left="357" w:hanging="357"/>
        <w:jc w:val="both"/>
        <w:rPr>
          <w:rFonts w:ascii="Segoe UI" w:hAnsi="Segoe UI" w:cs="Segoe UI"/>
          <w:b/>
          <w:u w:val="single"/>
        </w:rPr>
      </w:pPr>
      <w:r w:rsidRPr="003C6B98">
        <w:rPr>
          <w:rFonts w:ascii="Segoe UI" w:hAnsi="Segoe UI" w:cs="Segoe UI"/>
          <w:b/>
          <w:u w:val="single"/>
        </w:rPr>
        <w:t>Quality Risk Profile (QRP) Summary</w:t>
      </w:r>
    </w:p>
    <w:p w:rsidR="009B0BB5" w:rsidRPr="003D4694" w:rsidRDefault="00A17FF2" w:rsidP="003C6B98">
      <w:pPr>
        <w:spacing w:line="240" w:lineRule="auto"/>
        <w:jc w:val="both"/>
        <w:rPr>
          <w:rFonts w:ascii="Segoe UI" w:hAnsi="Segoe UI" w:cs="Segoe UI"/>
          <w:noProof/>
        </w:rPr>
      </w:pPr>
      <w:r w:rsidRPr="003D4694">
        <w:rPr>
          <w:rFonts w:ascii="Segoe UI" w:hAnsi="Segoe UI" w:cs="Segoe UI"/>
        </w:rPr>
        <w:t>The CQC produces a Quality Risk Profile (QRP) for all organisations who are registered with the CQC. It is seen as an essential tool for gathering key information about organisations, and assists the CQC to monitor how we are complying with the essential standards by identifying any risks. The CQC’s risk rating scale detailed below goes from reducing risk of non-compliance (green) to increasing risk of non-compliance (red).</w:t>
      </w:r>
      <w:r w:rsidRPr="003D4694">
        <w:rPr>
          <w:rFonts w:ascii="Segoe UI" w:hAnsi="Segoe UI" w:cs="Segoe UI"/>
          <w:noProof/>
        </w:rPr>
        <w:t xml:space="preserve"> </w:t>
      </w:r>
    </w:p>
    <w:p w:rsidR="009B0BB5" w:rsidRPr="003D4694" w:rsidRDefault="00A17FF2" w:rsidP="003C6B98">
      <w:pPr>
        <w:spacing w:line="240" w:lineRule="auto"/>
        <w:jc w:val="both"/>
        <w:rPr>
          <w:rFonts w:ascii="Segoe UI" w:hAnsi="Segoe UI" w:cs="Segoe UI"/>
          <w:color w:val="000000"/>
        </w:rPr>
      </w:pPr>
      <w:r w:rsidRPr="003D4694">
        <w:rPr>
          <w:rFonts w:ascii="Segoe UI" w:hAnsi="Segoe UI" w:cs="Segoe UI"/>
          <w:bCs/>
        </w:rPr>
        <w:t xml:space="preserve">The most recent QRP published in June 2012 shows </w:t>
      </w:r>
      <w:r w:rsidRPr="003D4694">
        <w:rPr>
          <w:rFonts w:ascii="Segoe UI" w:hAnsi="Segoe UI" w:cs="Segoe UI"/>
          <w:color w:val="000000"/>
        </w:rPr>
        <w:t xml:space="preserve">there are </w:t>
      </w:r>
      <w:r w:rsidR="009B0BB5" w:rsidRPr="003D4694">
        <w:rPr>
          <w:rFonts w:ascii="Segoe UI" w:hAnsi="Segoe UI" w:cs="Segoe UI"/>
          <w:color w:val="000000"/>
        </w:rPr>
        <w:t xml:space="preserve">a number of </w:t>
      </w:r>
      <w:r w:rsidRPr="003D4694">
        <w:rPr>
          <w:rFonts w:ascii="Segoe UI" w:hAnsi="Segoe UI" w:cs="Segoe UI"/>
          <w:color w:val="000000"/>
        </w:rPr>
        <w:t>changes in risk ratings. The following is a summary of the changes:</w:t>
      </w:r>
    </w:p>
    <w:p w:rsidR="009B0BB5" w:rsidRPr="003D4694" w:rsidRDefault="00A17FF2" w:rsidP="009B0BB5">
      <w:pPr>
        <w:pStyle w:val="ListParagraph"/>
        <w:numPr>
          <w:ilvl w:val="0"/>
          <w:numId w:val="7"/>
        </w:numPr>
        <w:spacing w:line="240" w:lineRule="auto"/>
        <w:jc w:val="both"/>
        <w:rPr>
          <w:rFonts w:ascii="Segoe UI" w:hAnsi="Segoe UI" w:cs="Segoe UI"/>
          <w:color w:val="000000"/>
        </w:rPr>
      </w:pPr>
      <w:r w:rsidRPr="003D4694">
        <w:rPr>
          <w:rFonts w:ascii="Segoe UI" w:hAnsi="Segoe UI" w:cs="Segoe UI"/>
          <w:color w:val="000000"/>
        </w:rPr>
        <w:t>Care and Welfare</w:t>
      </w:r>
      <w:r w:rsidR="009B0BB5" w:rsidRPr="003D4694">
        <w:rPr>
          <w:rFonts w:ascii="Segoe UI" w:hAnsi="Segoe UI" w:cs="Segoe UI"/>
          <w:color w:val="000000"/>
        </w:rPr>
        <w:t xml:space="preserve"> </w:t>
      </w:r>
      <w:r w:rsidR="00181D52" w:rsidRPr="003D4694">
        <w:rPr>
          <w:rFonts w:ascii="Segoe UI" w:hAnsi="Segoe UI" w:cs="Segoe UI"/>
          <w:color w:val="000000"/>
        </w:rPr>
        <w:t>has moved</w:t>
      </w:r>
      <w:r w:rsidRPr="003D4694">
        <w:rPr>
          <w:rFonts w:ascii="Segoe UI" w:hAnsi="Segoe UI" w:cs="Segoe UI"/>
          <w:color w:val="000000"/>
        </w:rPr>
        <w:t xml:space="preserve"> from insufficient data to high amber </w:t>
      </w:r>
      <w:r w:rsidR="00181D52" w:rsidRPr="003D4694">
        <w:rPr>
          <w:rFonts w:ascii="Segoe UI" w:hAnsi="Segoe UI" w:cs="Segoe UI"/>
          <w:color w:val="000000"/>
        </w:rPr>
        <w:t xml:space="preserve">risk. </w:t>
      </w:r>
      <w:r w:rsidR="009B0BB5" w:rsidRPr="003D4694">
        <w:rPr>
          <w:rFonts w:ascii="Segoe UI" w:hAnsi="Segoe UI" w:cs="Segoe UI"/>
          <w:color w:val="000000"/>
        </w:rPr>
        <w:t xml:space="preserve">This is as a result of </w:t>
      </w:r>
      <w:r w:rsidRPr="003D4694">
        <w:rPr>
          <w:rFonts w:ascii="Segoe UI" w:hAnsi="Segoe UI" w:cs="Segoe UI"/>
          <w:color w:val="000000"/>
        </w:rPr>
        <w:t>new data from MHMDS for Q2 2011-2012 on CPA reviews in last 12 months and HoNOS assessment in last 12 months</w:t>
      </w:r>
      <w:r w:rsidR="009B0BB5" w:rsidRPr="003D4694">
        <w:rPr>
          <w:rFonts w:ascii="Segoe UI" w:hAnsi="Segoe UI" w:cs="Segoe UI"/>
          <w:color w:val="000000"/>
        </w:rPr>
        <w:t xml:space="preserve">. It has also resulted from a </w:t>
      </w:r>
      <w:r w:rsidRPr="003D4694">
        <w:rPr>
          <w:rFonts w:ascii="Segoe UI" w:hAnsi="Segoe UI" w:cs="Segoe UI"/>
          <w:color w:val="000000"/>
        </w:rPr>
        <w:t xml:space="preserve">negative comment from </w:t>
      </w:r>
      <w:r w:rsidR="009B0BB5" w:rsidRPr="003D4694">
        <w:rPr>
          <w:rFonts w:ascii="Segoe UI" w:hAnsi="Segoe UI" w:cs="Segoe UI"/>
          <w:color w:val="000000"/>
        </w:rPr>
        <w:t xml:space="preserve">a </w:t>
      </w:r>
      <w:r w:rsidR="00181D52" w:rsidRPr="003D4694">
        <w:rPr>
          <w:rFonts w:ascii="Segoe UI" w:hAnsi="Segoe UI" w:cs="Segoe UI"/>
          <w:color w:val="000000"/>
        </w:rPr>
        <w:t>coroner’s</w:t>
      </w:r>
      <w:r w:rsidR="009B0BB5" w:rsidRPr="003D4694">
        <w:rPr>
          <w:rFonts w:ascii="Segoe UI" w:hAnsi="Segoe UI" w:cs="Segoe UI"/>
          <w:color w:val="000000"/>
        </w:rPr>
        <w:t xml:space="preserve"> rule 43 in December 2011.</w:t>
      </w:r>
    </w:p>
    <w:p w:rsidR="009B0BB5" w:rsidRPr="003D4694" w:rsidRDefault="00A17FF2" w:rsidP="009B0BB5">
      <w:pPr>
        <w:pStyle w:val="ListParagraph"/>
        <w:numPr>
          <w:ilvl w:val="0"/>
          <w:numId w:val="7"/>
        </w:numPr>
        <w:spacing w:line="240" w:lineRule="auto"/>
        <w:jc w:val="both"/>
        <w:rPr>
          <w:rFonts w:ascii="Segoe UI" w:hAnsi="Segoe UI" w:cs="Segoe UI"/>
          <w:color w:val="000000"/>
        </w:rPr>
      </w:pPr>
      <w:r w:rsidRPr="003D4694">
        <w:rPr>
          <w:rFonts w:ascii="Segoe UI" w:hAnsi="Segoe UI" w:cs="Segoe UI"/>
          <w:color w:val="000000"/>
        </w:rPr>
        <w:t>C</w:t>
      </w:r>
      <w:r w:rsidR="009B0BB5" w:rsidRPr="003D4694">
        <w:rPr>
          <w:rFonts w:ascii="Segoe UI" w:hAnsi="Segoe UI" w:cs="Segoe UI"/>
          <w:color w:val="000000"/>
        </w:rPr>
        <w:t xml:space="preserve">ooperating with other providers has </w:t>
      </w:r>
      <w:r w:rsidRPr="003D4694">
        <w:rPr>
          <w:rFonts w:ascii="Segoe UI" w:hAnsi="Segoe UI" w:cs="Segoe UI"/>
          <w:color w:val="000000"/>
        </w:rPr>
        <w:t>move</w:t>
      </w:r>
      <w:r w:rsidR="009B0BB5" w:rsidRPr="003D4694">
        <w:rPr>
          <w:rFonts w:ascii="Segoe UI" w:hAnsi="Segoe UI" w:cs="Segoe UI"/>
          <w:color w:val="000000"/>
        </w:rPr>
        <w:t>d</w:t>
      </w:r>
      <w:r w:rsidRPr="003D4694">
        <w:rPr>
          <w:rFonts w:ascii="Segoe UI" w:hAnsi="Segoe UI" w:cs="Segoe UI"/>
          <w:color w:val="000000"/>
        </w:rPr>
        <w:t xml:space="preserve"> from insufficient data to high neutral risk</w:t>
      </w:r>
      <w:r w:rsidR="009B0BB5" w:rsidRPr="003D4694">
        <w:rPr>
          <w:rFonts w:ascii="Segoe UI" w:hAnsi="Segoe UI" w:cs="Segoe UI"/>
          <w:color w:val="000000"/>
        </w:rPr>
        <w:t xml:space="preserve"> this is despite there being </w:t>
      </w:r>
      <w:r w:rsidRPr="003D4694">
        <w:rPr>
          <w:rFonts w:ascii="Segoe UI" w:hAnsi="Segoe UI" w:cs="Segoe UI"/>
          <w:color w:val="000000"/>
        </w:rPr>
        <w:t>no new data sources from April 2012.Safety, availability and sui</w:t>
      </w:r>
      <w:r w:rsidR="009B0BB5" w:rsidRPr="003D4694">
        <w:rPr>
          <w:rFonts w:ascii="Segoe UI" w:hAnsi="Segoe UI" w:cs="Segoe UI"/>
          <w:color w:val="000000"/>
        </w:rPr>
        <w:t xml:space="preserve">tability of equipment has </w:t>
      </w:r>
      <w:r w:rsidRPr="003D4694">
        <w:rPr>
          <w:rFonts w:ascii="Segoe UI" w:hAnsi="Segoe UI" w:cs="Segoe UI"/>
          <w:color w:val="000000"/>
        </w:rPr>
        <w:t xml:space="preserve"> move</w:t>
      </w:r>
      <w:r w:rsidR="009B0BB5" w:rsidRPr="003D4694">
        <w:rPr>
          <w:rFonts w:ascii="Segoe UI" w:hAnsi="Segoe UI" w:cs="Segoe UI"/>
          <w:color w:val="000000"/>
        </w:rPr>
        <w:t>d</w:t>
      </w:r>
      <w:r w:rsidRPr="003D4694">
        <w:rPr>
          <w:rFonts w:ascii="Segoe UI" w:hAnsi="Segoe UI" w:cs="Segoe UI"/>
          <w:color w:val="000000"/>
        </w:rPr>
        <w:t xml:space="preserve"> from low green to low neutral risk - negative </w:t>
      </w:r>
      <w:r w:rsidR="009B0BB5" w:rsidRPr="003D4694">
        <w:rPr>
          <w:rFonts w:ascii="Segoe UI" w:hAnsi="Segoe UI" w:cs="Segoe UI"/>
          <w:color w:val="000000"/>
        </w:rPr>
        <w:t xml:space="preserve">again following a </w:t>
      </w:r>
      <w:r w:rsidRPr="003D4694">
        <w:rPr>
          <w:rFonts w:ascii="Segoe UI" w:hAnsi="Segoe UI" w:cs="Segoe UI"/>
          <w:color w:val="000000"/>
        </w:rPr>
        <w:t xml:space="preserve">coroners rule 43 </w:t>
      </w:r>
      <w:r w:rsidR="009B0BB5" w:rsidRPr="003D4694">
        <w:rPr>
          <w:rFonts w:ascii="Segoe UI" w:hAnsi="Segoe UI" w:cs="Segoe UI"/>
          <w:color w:val="000000"/>
        </w:rPr>
        <w:t xml:space="preserve">in </w:t>
      </w:r>
      <w:r w:rsidRPr="003D4694">
        <w:rPr>
          <w:rFonts w:ascii="Segoe UI" w:hAnsi="Segoe UI" w:cs="Segoe UI"/>
          <w:color w:val="000000"/>
        </w:rPr>
        <w:t>Dec</w:t>
      </w:r>
      <w:r w:rsidR="00253678" w:rsidRPr="003D4694">
        <w:rPr>
          <w:rFonts w:ascii="Segoe UI" w:hAnsi="Segoe UI" w:cs="Segoe UI"/>
          <w:color w:val="000000"/>
        </w:rPr>
        <w:t>ember</w:t>
      </w:r>
      <w:r w:rsidRPr="003D4694">
        <w:rPr>
          <w:rFonts w:ascii="Segoe UI" w:hAnsi="Segoe UI" w:cs="Segoe UI"/>
          <w:color w:val="000000"/>
        </w:rPr>
        <w:t xml:space="preserve"> 2011 </w:t>
      </w:r>
    </w:p>
    <w:p w:rsidR="00A17FF2" w:rsidRPr="003D4694" w:rsidRDefault="009B0BB5" w:rsidP="009B0BB5">
      <w:pPr>
        <w:pStyle w:val="ListParagraph"/>
        <w:numPr>
          <w:ilvl w:val="0"/>
          <w:numId w:val="7"/>
        </w:numPr>
        <w:spacing w:line="240" w:lineRule="auto"/>
        <w:jc w:val="both"/>
        <w:rPr>
          <w:rFonts w:ascii="Segoe UI" w:hAnsi="Segoe UI" w:cs="Segoe UI"/>
          <w:color w:val="000000"/>
        </w:rPr>
      </w:pPr>
      <w:r w:rsidRPr="003D4694">
        <w:rPr>
          <w:rFonts w:ascii="Segoe UI" w:hAnsi="Segoe UI" w:cs="Segoe UI"/>
          <w:color w:val="000000"/>
        </w:rPr>
        <w:t xml:space="preserve">Staffing has </w:t>
      </w:r>
      <w:r w:rsidR="00A17FF2" w:rsidRPr="003D4694">
        <w:rPr>
          <w:rFonts w:ascii="Segoe UI" w:hAnsi="Segoe UI" w:cs="Segoe UI"/>
          <w:color w:val="000000"/>
        </w:rPr>
        <w:t xml:space="preserve">move from insufficient data to high red risk </w:t>
      </w:r>
      <w:r w:rsidRPr="003D4694">
        <w:rPr>
          <w:rFonts w:ascii="Segoe UI" w:hAnsi="Segoe UI" w:cs="Segoe UI"/>
          <w:color w:val="000000"/>
        </w:rPr>
        <w:t xml:space="preserve">there are </w:t>
      </w:r>
      <w:r w:rsidR="00A17FF2" w:rsidRPr="003D4694">
        <w:rPr>
          <w:rFonts w:ascii="Segoe UI" w:hAnsi="Segoe UI" w:cs="Segoe UI"/>
          <w:color w:val="000000"/>
        </w:rPr>
        <w:t xml:space="preserve">only 3 items of data used for </w:t>
      </w:r>
      <w:r w:rsidRPr="003D4694">
        <w:rPr>
          <w:rFonts w:ascii="Segoe UI" w:hAnsi="Segoe UI" w:cs="Segoe UI"/>
          <w:color w:val="000000"/>
        </w:rPr>
        <w:t xml:space="preserve">this </w:t>
      </w:r>
      <w:r w:rsidR="00A17FF2" w:rsidRPr="003D4694">
        <w:rPr>
          <w:rFonts w:ascii="Segoe UI" w:hAnsi="Segoe UI" w:cs="Segoe UI"/>
          <w:color w:val="000000"/>
        </w:rPr>
        <w:t>assessment: negative comment from coroners rule 43, national staff survey results for 2011 regarding staff working extra hours and % of staff who have been vaccinated about influenza.</w:t>
      </w:r>
    </w:p>
    <w:p w:rsidR="00A17FF2" w:rsidRPr="003D4694" w:rsidRDefault="00A17FF2" w:rsidP="003C6B98">
      <w:pPr>
        <w:spacing w:line="240" w:lineRule="auto"/>
        <w:ind w:left="76"/>
        <w:jc w:val="both"/>
        <w:rPr>
          <w:rFonts w:ascii="Segoe UI" w:hAnsi="Segoe UI" w:cs="Segoe UI"/>
          <w:bCs/>
          <w:highlight w:val="yellow"/>
        </w:rPr>
      </w:pPr>
      <w:r w:rsidRPr="003D4694">
        <w:rPr>
          <w:rFonts w:ascii="Segoe UI" w:hAnsi="Segoe UI" w:cs="Segoe UI"/>
          <w:color w:val="000000"/>
        </w:rPr>
        <w:lastRenderedPageBreak/>
        <w:t xml:space="preserve">In April 2012 QRP there were 10 standards not risk rated due to insufficient data and in June 2012 QRP this has reduced to 8 standards. </w:t>
      </w:r>
    </w:p>
    <w:p w:rsidR="00A17FF2" w:rsidRPr="003D4694" w:rsidRDefault="00A17FF2" w:rsidP="009B0BB5">
      <w:pPr>
        <w:spacing w:line="240" w:lineRule="auto"/>
        <w:jc w:val="both"/>
        <w:rPr>
          <w:rFonts w:ascii="Segoe UI" w:hAnsi="Segoe UI" w:cs="Segoe UI"/>
          <w:bCs/>
        </w:rPr>
      </w:pPr>
      <w:r w:rsidRPr="003D4694">
        <w:rPr>
          <w:rFonts w:ascii="Segoe UI" w:hAnsi="Segoe UI" w:cs="Segoe UI"/>
          <w:bCs/>
          <w:noProof/>
          <w:lang w:eastAsia="en-GB"/>
        </w:rPr>
        <w:drawing>
          <wp:inline distT="0" distB="0" distL="0" distR="0">
            <wp:extent cx="6067425" cy="291465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6067425" cy="2914650"/>
                    </a:xfrm>
                    <a:prstGeom prst="rect">
                      <a:avLst/>
                    </a:prstGeom>
                    <a:noFill/>
                    <a:ln w="9525">
                      <a:noFill/>
                      <a:miter lim="800000"/>
                      <a:headEnd/>
                      <a:tailEnd/>
                    </a:ln>
                  </pic:spPr>
                </pic:pic>
              </a:graphicData>
            </a:graphic>
          </wp:inline>
        </w:drawing>
      </w:r>
    </w:p>
    <w:p w:rsidR="009B0BB5" w:rsidRPr="003D4694" w:rsidRDefault="00181D52" w:rsidP="003C6B98">
      <w:pPr>
        <w:spacing w:line="240" w:lineRule="auto"/>
        <w:jc w:val="both"/>
        <w:rPr>
          <w:rFonts w:ascii="Segoe UI" w:hAnsi="Segoe UI" w:cs="Segoe UI"/>
          <w:bCs/>
          <w:highlight w:val="yellow"/>
        </w:rPr>
      </w:pPr>
      <w:r w:rsidRPr="003D4694">
        <w:rPr>
          <w:rFonts w:ascii="Segoe UI" w:hAnsi="Segoe UI" w:cs="Segoe UI"/>
          <w:bCs/>
        </w:rPr>
        <w:t>Chart 2</w:t>
      </w:r>
      <w:r w:rsidR="00CC2241" w:rsidRPr="003D4694">
        <w:rPr>
          <w:rFonts w:ascii="Segoe UI" w:hAnsi="Segoe UI" w:cs="Segoe UI"/>
          <w:bCs/>
        </w:rPr>
        <w:t xml:space="preserve"> </w:t>
      </w:r>
      <w:r w:rsidR="009B0BB5" w:rsidRPr="003D4694">
        <w:rPr>
          <w:rFonts w:ascii="Segoe UI" w:hAnsi="Segoe UI" w:cs="Segoe UI"/>
          <w:bCs/>
        </w:rPr>
        <w:t>- June 2012 QRP summary</w:t>
      </w:r>
    </w:p>
    <w:p w:rsidR="00A17FF2" w:rsidRPr="003D4694" w:rsidRDefault="00A17FF2" w:rsidP="009B0BB5">
      <w:pPr>
        <w:shd w:val="clear" w:color="auto" w:fill="FFFFFF" w:themeFill="background1"/>
        <w:spacing w:line="240" w:lineRule="auto"/>
        <w:jc w:val="both"/>
        <w:rPr>
          <w:rFonts w:ascii="Segoe UI" w:hAnsi="Segoe UI" w:cs="Segoe UI"/>
          <w:color w:val="FF0000"/>
        </w:rPr>
      </w:pPr>
    </w:p>
    <w:p w:rsidR="00595870" w:rsidRPr="003D4694" w:rsidRDefault="00595870" w:rsidP="009B0BB5">
      <w:pPr>
        <w:spacing w:line="240" w:lineRule="auto"/>
        <w:jc w:val="both"/>
        <w:rPr>
          <w:rFonts w:ascii="Segoe UI" w:hAnsi="Segoe UI" w:cs="Segoe UI"/>
        </w:rPr>
      </w:pPr>
    </w:p>
    <w:p w:rsidR="007942A6" w:rsidRPr="003D4694" w:rsidRDefault="007942A6" w:rsidP="009B0BB5">
      <w:pPr>
        <w:spacing w:line="240" w:lineRule="auto"/>
        <w:jc w:val="both"/>
        <w:rPr>
          <w:rFonts w:ascii="Segoe UI" w:hAnsi="Segoe UI" w:cs="Segoe UI"/>
        </w:rPr>
      </w:pPr>
    </w:p>
    <w:p w:rsidR="007942A6" w:rsidRPr="003D4694" w:rsidRDefault="007942A6" w:rsidP="009B0BB5">
      <w:pPr>
        <w:spacing w:line="240" w:lineRule="auto"/>
        <w:jc w:val="both"/>
        <w:rPr>
          <w:rFonts w:ascii="Segoe UI" w:hAnsi="Segoe UI" w:cs="Segoe UI"/>
        </w:rPr>
      </w:pPr>
    </w:p>
    <w:sectPr w:rsidR="007942A6" w:rsidRPr="003D4694" w:rsidSect="00D8126C">
      <w:footerReference w:type="default" r:id="rId26"/>
      <w:pgSz w:w="11906" w:h="16838" w:code="9"/>
      <w:pgMar w:top="1440" w:right="1440" w:bottom="992" w:left="144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071" w:rsidRDefault="00504071" w:rsidP="007942A6">
      <w:pPr>
        <w:spacing w:after="0" w:line="240" w:lineRule="auto"/>
      </w:pPr>
      <w:r>
        <w:separator/>
      </w:r>
    </w:p>
  </w:endnote>
  <w:endnote w:type="continuationSeparator" w:id="0">
    <w:p w:rsidR="00504071" w:rsidRDefault="00504071" w:rsidP="00794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1646"/>
      <w:docPartObj>
        <w:docPartGallery w:val="Page Numbers (Bottom of Page)"/>
        <w:docPartUnique/>
      </w:docPartObj>
    </w:sdtPr>
    <w:sdtContent>
      <w:sdt>
        <w:sdtPr>
          <w:id w:val="565050523"/>
          <w:docPartObj>
            <w:docPartGallery w:val="Page Numbers (Top of Page)"/>
            <w:docPartUnique/>
          </w:docPartObj>
        </w:sdtPr>
        <w:sdtContent>
          <w:p w:rsidR="00D8126C" w:rsidRDefault="00D8126C">
            <w:pPr>
              <w:pStyle w:val="Footer"/>
              <w:jc w:val="right"/>
            </w:pPr>
            <w:r>
              <w:t xml:space="preserve">Page </w:t>
            </w:r>
            <w:r w:rsidR="0098768F">
              <w:rPr>
                <w:b/>
                <w:sz w:val="24"/>
                <w:szCs w:val="24"/>
              </w:rPr>
              <w:fldChar w:fldCharType="begin"/>
            </w:r>
            <w:r>
              <w:rPr>
                <w:b/>
              </w:rPr>
              <w:instrText xml:space="preserve"> PAGE </w:instrText>
            </w:r>
            <w:r w:rsidR="0098768F">
              <w:rPr>
                <w:b/>
                <w:sz w:val="24"/>
                <w:szCs w:val="24"/>
              </w:rPr>
              <w:fldChar w:fldCharType="separate"/>
            </w:r>
            <w:r w:rsidR="009813E5">
              <w:rPr>
                <w:b/>
                <w:noProof/>
              </w:rPr>
              <w:t>1</w:t>
            </w:r>
            <w:r w:rsidR="0098768F">
              <w:rPr>
                <w:b/>
                <w:sz w:val="24"/>
                <w:szCs w:val="24"/>
              </w:rPr>
              <w:fldChar w:fldCharType="end"/>
            </w:r>
            <w:r>
              <w:t xml:space="preserve"> of </w:t>
            </w:r>
            <w:r w:rsidR="0098768F">
              <w:rPr>
                <w:b/>
                <w:sz w:val="24"/>
                <w:szCs w:val="24"/>
              </w:rPr>
              <w:fldChar w:fldCharType="begin"/>
            </w:r>
            <w:r>
              <w:rPr>
                <w:b/>
              </w:rPr>
              <w:instrText xml:space="preserve"> NUMPAGES  </w:instrText>
            </w:r>
            <w:r w:rsidR="0098768F">
              <w:rPr>
                <w:b/>
                <w:sz w:val="24"/>
                <w:szCs w:val="24"/>
              </w:rPr>
              <w:fldChar w:fldCharType="separate"/>
            </w:r>
            <w:r w:rsidR="009813E5">
              <w:rPr>
                <w:b/>
                <w:noProof/>
              </w:rPr>
              <w:t>13</w:t>
            </w:r>
            <w:r w:rsidR="0098768F">
              <w:rPr>
                <w:b/>
                <w:sz w:val="24"/>
                <w:szCs w:val="24"/>
              </w:rPr>
              <w:fldChar w:fldCharType="end"/>
            </w:r>
          </w:p>
        </w:sdtContent>
      </w:sdt>
    </w:sdtContent>
  </w:sdt>
  <w:p w:rsidR="006B7742" w:rsidRDefault="006B7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071" w:rsidRDefault="00504071" w:rsidP="007942A6">
      <w:pPr>
        <w:spacing w:after="0" w:line="240" w:lineRule="auto"/>
      </w:pPr>
      <w:r>
        <w:separator/>
      </w:r>
    </w:p>
  </w:footnote>
  <w:footnote w:type="continuationSeparator" w:id="0">
    <w:p w:rsidR="00504071" w:rsidRDefault="00504071" w:rsidP="007942A6">
      <w:pPr>
        <w:spacing w:after="0" w:line="240" w:lineRule="auto"/>
      </w:pPr>
      <w:r>
        <w:continuationSeparator/>
      </w:r>
    </w:p>
  </w:footnote>
  <w:footnote w:id="1">
    <w:p w:rsidR="003914A0" w:rsidRPr="0051580B" w:rsidRDefault="003914A0">
      <w:pPr>
        <w:pStyle w:val="FootnoteText"/>
        <w:rPr>
          <w:lang w:val="en-GB"/>
        </w:rPr>
      </w:pPr>
      <w:r w:rsidRPr="0051580B">
        <w:rPr>
          <w:rStyle w:val="FootnoteReference"/>
          <w:color w:val="auto"/>
        </w:rPr>
        <w:footnoteRef/>
      </w:r>
      <w:r w:rsidRPr="0051580B">
        <w:rPr>
          <w:color w:val="auto"/>
        </w:rPr>
        <w:t xml:space="preserve"> </w:t>
      </w:r>
      <w:r w:rsidRPr="0051580B">
        <w:rPr>
          <w:color w:val="auto"/>
          <w:lang w:val="en-GB"/>
        </w:rPr>
        <w:t>The columns are arranged in order of dates that the samples</w:t>
      </w:r>
      <w:r w:rsidR="00F15429">
        <w:rPr>
          <w:color w:val="auto"/>
          <w:lang w:val="en-GB"/>
        </w:rPr>
        <w:t xml:space="preserve"> of patients</w:t>
      </w:r>
      <w:r w:rsidRPr="0051580B">
        <w:rPr>
          <w:color w:val="auto"/>
          <w:lang w:val="en-GB"/>
        </w:rPr>
        <w:t xml:space="preserve"> were surveyed, rather than order that reports were published</w:t>
      </w:r>
      <w:r>
        <w:rPr>
          <w:lang w:val="en-GB"/>
        </w:rPr>
        <w:t>.</w:t>
      </w:r>
    </w:p>
  </w:footnote>
  <w:footnote w:id="2">
    <w:p w:rsidR="003914A0" w:rsidRPr="00A0712D" w:rsidRDefault="003914A0" w:rsidP="0051580B">
      <w:pPr>
        <w:pStyle w:val="FootnoteText"/>
        <w:rPr>
          <w:color w:val="auto"/>
          <w:lang w:val="en-GB"/>
        </w:rPr>
      </w:pPr>
      <w:r w:rsidRPr="00A0712D">
        <w:rPr>
          <w:rStyle w:val="FootnoteReference"/>
          <w:color w:val="auto"/>
        </w:rPr>
        <w:footnoteRef/>
      </w:r>
      <w:r w:rsidRPr="00A0712D">
        <w:rPr>
          <w:color w:val="auto"/>
        </w:rPr>
        <w:t xml:space="preserve"> Sample</w:t>
      </w:r>
      <w:r w:rsidRPr="00A0712D">
        <w:rPr>
          <w:rFonts w:ascii="Trebuchet MS" w:hAnsi="Trebuchet MS" w:cs="Segoe UI"/>
          <w:color w:val="auto"/>
          <w:lang w:val="en-GB" w:eastAsia="en-GB"/>
        </w:rPr>
        <w:t xml:space="preserve"> only includes those that answered they had been receiving care from mental health services for over 12 months.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402DB"/>
    <w:multiLevelType w:val="multilevel"/>
    <w:tmpl w:val="D6224E86"/>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eastAsia="Arial Unicode MS" w:hint="default"/>
      </w:rPr>
    </w:lvl>
    <w:lvl w:ilvl="2">
      <w:start w:val="1"/>
      <w:numFmt w:val="decimal"/>
      <w:isLgl/>
      <w:lvlText w:val="%1.%2.%3"/>
      <w:lvlJc w:val="left"/>
      <w:pPr>
        <w:tabs>
          <w:tab w:val="num" w:pos="1080"/>
        </w:tabs>
        <w:ind w:left="1080" w:hanging="720"/>
      </w:pPr>
      <w:rPr>
        <w:rFonts w:eastAsia="Arial Unicode MS" w:hint="default"/>
      </w:rPr>
    </w:lvl>
    <w:lvl w:ilvl="3">
      <w:start w:val="1"/>
      <w:numFmt w:val="decimal"/>
      <w:isLgl/>
      <w:lvlText w:val="%1.%2.%3.%4"/>
      <w:lvlJc w:val="left"/>
      <w:pPr>
        <w:tabs>
          <w:tab w:val="num" w:pos="1440"/>
        </w:tabs>
        <w:ind w:left="1440" w:hanging="1080"/>
      </w:pPr>
      <w:rPr>
        <w:rFonts w:eastAsia="Arial Unicode MS" w:hint="default"/>
      </w:rPr>
    </w:lvl>
    <w:lvl w:ilvl="4">
      <w:start w:val="1"/>
      <w:numFmt w:val="decimal"/>
      <w:isLgl/>
      <w:lvlText w:val="%1.%2.%3.%4.%5"/>
      <w:lvlJc w:val="left"/>
      <w:pPr>
        <w:tabs>
          <w:tab w:val="num" w:pos="1440"/>
        </w:tabs>
        <w:ind w:left="1440" w:hanging="1080"/>
      </w:pPr>
      <w:rPr>
        <w:rFonts w:eastAsia="Arial Unicode MS" w:hint="default"/>
      </w:rPr>
    </w:lvl>
    <w:lvl w:ilvl="5">
      <w:start w:val="1"/>
      <w:numFmt w:val="decimal"/>
      <w:isLgl/>
      <w:lvlText w:val="%1.%2.%3.%4.%5.%6"/>
      <w:lvlJc w:val="left"/>
      <w:pPr>
        <w:tabs>
          <w:tab w:val="num" w:pos="1800"/>
        </w:tabs>
        <w:ind w:left="1800" w:hanging="1440"/>
      </w:pPr>
      <w:rPr>
        <w:rFonts w:eastAsia="Arial Unicode MS" w:hint="default"/>
      </w:rPr>
    </w:lvl>
    <w:lvl w:ilvl="6">
      <w:start w:val="1"/>
      <w:numFmt w:val="decimal"/>
      <w:isLgl/>
      <w:lvlText w:val="%1.%2.%3.%4.%5.%6.%7"/>
      <w:lvlJc w:val="left"/>
      <w:pPr>
        <w:tabs>
          <w:tab w:val="num" w:pos="1800"/>
        </w:tabs>
        <w:ind w:left="1800" w:hanging="1440"/>
      </w:pPr>
      <w:rPr>
        <w:rFonts w:eastAsia="Arial Unicode MS" w:hint="default"/>
      </w:rPr>
    </w:lvl>
    <w:lvl w:ilvl="7">
      <w:start w:val="1"/>
      <w:numFmt w:val="decimal"/>
      <w:isLgl/>
      <w:lvlText w:val="%1.%2.%3.%4.%5.%6.%7.%8"/>
      <w:lvlJc w:val="left"/>
      <w:pPr>
        <w:tabs>
          <w:tab w:val="num" w:pos="2160"/>
        </w:tabs>
        <w:ind w:left="2160" w:hanging="1800"/>
      </w:pPr>
      <w:rPr>
        <w:rFonts w:eastAsia="Arial Unicode MS" w:hint="default"/>
      </w:rPr>
    </w:lvl>
    <w:lvl w:ilvl="8">
      <w:start w:val="1"/>
      <w:numFmt w:val="decimal"/>
      <w:isLgl/>
      <w:lvlText w:val="%1.%2.%3.%4.%5.%6.%7.%8.%9"/>
      <w:lvlJc w:val="left"/>
      <w:pPr>
        <w:tabs>
          <w:tab w:val="num" w:pos="2160"/>
        </w:tabs>
        <w:ind w:left="2160" w:hanging="1800"/>
      </w:pPr>
      <w:rPr>
        <w:rFonts w:eastAsia="Arial Unicode MS" w:hint="default"/>
      </w:rPr>
    </w:lvl>
  </w:abstractNum>
  <w:abstractNum w:abstractNumId="1">
    <w:nsid w:val="2A261BC8"/>
    <w:multiLevelType w:val="hybridMultilevel"/>
    <w:tmpl w:val="F06E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C855AA"/>
    <w:multiLevelType w:val="hybridMultilevel"/>
    <w:tmpl w:val="2510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014068"/>
    <w:multiLevelType w:val="hybridMultilevel"/>
    <w:tmpl w:val="527838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459B0019"/>
    <w:multiLevelType w:val="multilevel"/>
    <w:tmpl w:val="93BAC1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B0245A2"/>
    <w:multiLevelType w:val="hybridMultilevel"/>
    <w:tmpl w:val="330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6828F2"/>
    <w:multiLevelType w:val="hybridMultilevel"/>
    <w:tmpl w:val="2CEA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386DDE"/>
    <w:multiLevelType w:val="hybridMultilevel"/>
    <w:tmpl w:val="5C72E3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nsid w:val="57604C25"/>
    <w:multiLevelType w:val="hybridMultilevel"/>
    <w:tmpl w:val="DE70291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F50399F"/>
    <w:multiLevelType w:val="hybridMultilevel"/>
    <w:tmpl w:val="D45EA5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FC86005"/>
    <w:multiLevelType w:val="hybridMultilevel"/>
    <w:tmpl w:val="B1A0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7"/>
  </w:num>
  <w:num w:numId="8">
    <w:abstractNumId w:val="1"/>
  </w:num>
  <w:num w:numId="9">
    <w:abstractNumId w:val="0"/>
  </w:num>
  <w:num w:numId="10">
    <w:abstractNumId w:val="4"/>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942A6"/>
    <w:rsid w:val="000656D9"/>
    <w:rsid w:val="00180E4A"/>
    <w:rsid w:val="00181D52"/>
    <w:rsid w:val="00252D52"/>
    <w:rsid w:val="00253678"/>
    <w:rsid w:val="00262128"/>
    <w:rsid w:val="002824B0"/>
    <w:rsid w:val="002E1B0B"/>
    <w:rsid w:val="00322E25"/>
    <w:rsid w:val="00335ED9"/>
    <w:rsid w:val="003914A0"/>
    <w:rsid w:val="003A42AB"/>
    <w:rsid w:val="003C6B98"/>
    <w:rsid w:val="003D4694"/>
    <w:rsid w:val="00461DB4"/>
    <w:rsid w:val="00504071"/>
    <w:rsid w:val="0051580B"/>
    <w:rsid w:val="00567F3E"/>
    <w:rsid w:val="00595870"/>
    <w:rsid w:val="005A579E"/>
    <w:rsid w:val="005D3735"/>
    <w:rsid w:val="005F5044"/>
    <w:rsid w:val="00643F83"/>
    <w:rsid w:val="00680852"/>
    <w:rsid w:val="006B7742"/>
    <w:rsid w:val="007740FA"/>
    <w:rsid w:val="007942A6"/>
    <w:rsid w:val="008F0E3C"/>
    <w:rsid w:val="009813E5"/>
    <w:rsid w:val="0098768F"/>
    <w:rsid w:val="009B0BB5"/>
    <w:rsid w:val="009E5975"/>
    <w:rsid w:val="00A17FF2"/>
    <w:rsid w:val="00BA3F48"/>
    <w:rsid w:val="00C26F78"/>
    <w:rsid w:val="00CC2241"/>
    <w:rsid w:val="00CC684D"/>
    <w:rsid w:val="00D3585F"/>
    <w:rsid w:val="00D5202C"/>
    <w:rsid w:val="00D8126C"/>
    <w:rsid w:val="00D967D9"/>
    <w:rsid w:val="00DA2A99"/>
    <w:rsid w:val="00DF3A86"/>
    <w:rsid w:val="00E35C88"/>
    <w:rsid w:val="00E62D82"/>
    <w:rsid w:val="00EC1345"/>
    <w:rsid w:val="00EE4399"/>
    <w:rsid w:val="00F15429"/>
    <w:rsid w:val="00F47546"/>
    <w:rsid w:val="00FE0E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44"/>
  </w:style>
  <w:style w:type="paragraph" w:styleId="Heading1">
    <w:name w:val="heading 1"/>
    <w:basedOn w:val="Normal"/>
    <w:next w:val="Normal"/>
    <w:link w:val="Heading1Char"/>
    <w:qFormat/>
    <w:rsid w:val="007740FA"/>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u w:val="single"/>
    </w:rPr>
  </w:style>
  <w:style w:type="paragraph" w:styleId="Heading3">
    <w:name w:val="heading 3"/>
    <w:basedOn w:val="Normal"/>
    <w:next w:val="Normal"/>
    <w:link w:val="Heading3Char"/>
    <w:qFormat/>
    <w:rsid w:val="007740FA"/>
    <w:pPr>
      <w:keepNext/>
      <w:spacing w:before="240" w:after="60" w:line="240" w:lineRule="auto"/>
      <w:outlineLvl w:val="2"/>
    </w:pPr>
    <w:rPr>
      <w:rFonts w:ascii="Arial" w:eastAsia="Times New Roman" w:hAnsi="Arial"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942A6"/>
    <w:pPr>
      <w:spacing w:after="120" w:line="480" w:lineRule="auto"/>
      <w:jc w:val="both"/>
    </w:pPr>
    <w:rPr>
      <w:rFonts w:ascii="Arial" w:eastAsia="Times New Roman" w:hAnsi="Arial" w:cs="Arial"/>
      <w:color w:val="FF0000"/>
      <w:sz w:val="24"/>
      <w:szCs w:val="24"/>
      <w:lang w:val="en-US"/>
    </w:rPr>
  </w:style>
  <w:style w:type="character" w:customStyle="1" w:styleId="BodyText2Char">
    <w:name w:val="Body Text 2 Char"/>
    <w:basedOn w:val="DefaultParagraphFont"/>
    <w:link w:val="BodyText2"/>
    <w:uiPriority w:val="99"/>
    <w:rsid w:val="007942A6"/>
    <w:rPr>
      <w:rFonts w:ascii="Arial" w:eastAsia="Times New Roman" w:hAnsi="Arial" w:cs="Arial"/>
      <w:color w:val="FF0000"/>
      <w:sz w:val="24"/>
      <w:szCs w:val="24"/>
      <w:lang w:val="en-US"/>
    </w:rPr>
  </w:style>
  <w:style w:type="paragraph" w:styleId="NormalWeb">
    <w:name w:val="Normal (Web)"/>
    <w:basedOn w:val="Normal"/>
    <w:uiPriority w:val="99"/>
    <w:unhideWhenUsed/>
    <w:rsid w:val="007942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7942A6"/>
    <w:pPr>
      <w:spacing w:after="0" w:line="240" w:lineRule="auto"/>
      <w:jc w:val="both"/>
    </w:pPr>
    <w:rPr>
      <w:rFonts w:ascii="Arial" w:eastAsia="Times New Roman" w:hAnsi="Arial" w:cs="Arial"/>
      <w:color w:val="FF0000"/>
      <w:sz w:val="20"/>
      <w:szCs w:val="20"/>
      <w:lang w:val="en-US"/>
    </w:rPr>
  </w:style>
  <w:style w:type="character" w:customStyle="1" w:styleId="FootnoteTextChar">
    <w:name w:val="Footnote Text Char"/>
    <w:basedOn w:val="DefaultParagraphFont"/>
    <w:link w:val="FootnoteText"/>
    <w:uiPriority w:val="99"/>
    <w:rsid w:val="007942A6"/>
    <w:rPr>
      <w:rFonts w:ascii="Arial" w:eastAsia="Times New Roman" w:hAnsi="Arial" w:cs="Arial"/>
      <w:color w:val="FF0000"/>
      <w:sz w:val="20"/>
      <w:szCs w:val="20"/>
      <w:lang w:val="en-US"/>
    </w:rPr>
  </w:style>
  <w:style w:type="character" w:styleId="FootnoteReference">
    <w:name w:val="footnote reference"/>
    <w:basedOn w:val="DefaultParagraphFont"/>
    <w:uiPriority w:val="99"/>
    <w:unhideWhenUsed/>
    <w:rsid w:val="007942A6"/>
    <w:rPr>
      <w:vertAlign w:val="superscript"/>
    </w:rPr>
  </w:style>
  <w:style w:type="paragraph" w:styleId="BalloonText">
    <w:name w:val="Balloon Text"/>
    <w:basedOn w:val="Normal"/>
    <w:link w:val="BalloonTextChar"/>
    <w:uiPriority w:val="99"/>
    <w:semiHidden/>
    <w:unhideWhenUsed/>
    <w:rsid w:val="00794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A6"/>
    <w:rPr>
      <w:rFonts w:ascii="Tahoma" w:hAnsi="Tahoma" w:cs="Tahoma"/>
      <w:sz w:val="16"/>
      <w:szCs w:val="16"/>
    </w:rPr>
  </w:style>
  <w:style w:type="paragraph" w:styleId="BodyText">
    <w:name w:val="Body Text"/>
    <w:basedOn w:val="Normal"/>
    <w:link w:val="BodyTextChar"/>
    <w:uiPriority w:val="99"/>
    <w:semiHidden/>
    <w:unhideWhenUsed/>
    <w:rsid w:val="00595870"/>
    <w:pPr>
      <w:spacing w:after="120"/>
    </w:pPr>
  </w:style>
  <w:style w:type="character" w:customStyle="1" w:styleId="BodyTextChar">
    <w:name w:val="Body Text Char"/>
    <w:basedOn w:val="DefaultParagraphFont"/>
    <w:link w:val="BodyText"/>
    <w:uiPriority w:val="99"/>
    <w:semiHidden/>
    <w:rsid w:val="00595870"/>
  </w:style>
  <w:style w:type="character" w:customStyle="1" w:styleId="Heading1Char">
    <w:name w:val="Heading 1 Char"/>
    <w:basedOn w:val="DefaultParagraphFont"/>
    <w:link w:val="Heading1"/>
    <w:rsid w:val="007740FA"/>
    <w:rPr>
      <w:rFonts w:ascii="Arial" w:eastAsia="Times New Roman" w:hAnsi="Arial" w:cs="Times New Roman"/>
      <w:b/>
      <w:sz w:val="20"/>
      <w:szCs w:val="20"/>
      <w:u w:val="single"/>
    </w:rPr>
  </w:style>
  <w:style w:type="character" w:customStyle="1" w:styleId="Heading3Char">
    <w:name w:val="Heading 3 Char"/>
    <w:basedOn w:val="DefaultParagraphFont"/>
    <w:link w:val="Heading3"/>
    <w:rsid w:val="007740FA"/>
    <w:rPr>
      <w:rFonts w:ascii="Arial" w:eastAsia="Times New Roman" w:hAnsi="Arial" w:cs="Times New Roman"/>
      <w:b/>
      <w:bCs/>
      <w:sz w:val="26"/>
      <w:szCs w:val="26"/>
      <w:lang w:eastAsia="en-GB"/>
    </w:rPr>
  </w:style>
  <w:style w:type="table" w:styleId="TableGrid">
    <w:name w:val="Table Grid"/>
    <w:basedOn w:val="TableNormal"/>
    <w:uiPriority w:val="59"/>
    <w:rsid w:val="00774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585F"/>
    <w:pPr>
      <w:ind w:left="720"/>
      <w:contextualSpacing/>
    </w:pPr>
  </w:style>
  <w:style w:type="character" w:styleId="Hyperlink">
    <w:name w:val="Hyperlink"/>
    <w:basedOn w:val="DefaultParagraphFont"/>
    <w:uiPriority w:val="99"/>
    <w:unhideWhenUsed/>
    <w:rsid w:val="00F47546"/>
    <w:rPr>
      <w:color w:val="0000FF" w:themeColor="hyperlink"/>
      <w:u w:val="single"/>
    </w:rPr>
  </w:style>
  <w:style w:type="paragraph" w:styleId="Header">
    <w:name w:val="header"/>
    <w:basedOn w:val="Normal"/>
    <w:link w:val="HeaderChar"/>
    <w:uiPriority w:val="99"/>
    <w:semiHidden/>
    <w:unhideWhenUsed/>
    <w:rsid w:val="006B77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7742"/>
  </w:style>
  <w:style w:type="paragraph" w:styleId="Footer">
    <w:name w:val="footer"/>
    <w:basedOn w:val="Normal"/>
    <w:link w:val="FooterChar"/>
    <w:uiPriority w:val="99"/>
    <w:unhideWhenUsed/>
    <w:rsid w:val="006B7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742"/>
  </w:style>
</w:styles>
</file>

<file path=word/webSettings.xml><?xml version="1.0" encoding="utf-8"?>
<w:webSettings xmlns:r="http://schemas.openxmlformats.org/officeDocument/2006/relationships" xmlns:w="http://schemas.openxmlformats.org/wordprocessingml/2006/main">
  <w:divs>
    <w:div w:id="65237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MHOXFS01\Data\OCCH\SAFEGUARD\Reports\IGC%20Q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gavin.garman\Local%20Settings\Temporary%20Internet%20Files\Content.Outlook\4MG5CMTX\IGC%20report%20data%20Q4%2011-12%20to%20Q1%2012-1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gavin.garman\Local%20Settings\Temporary%20Internet%20Files\Content.Outlook\4MG5CMTX\IGC%20report%20data%20Q4%2011-12%20to%20Q1%2012-1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gavin.garman\Local%20Settings\Temporary%20Internet%20Files\Content.Outlook\4MG5CMTX\IGC%20report%20data%20Q4%2011-12%20to%20Q1%2012-1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bmh.nhs.uk\G_Data\Oxfordshire\Infection%20Control\Safety%20committee\2012\Audit%20results%20summary\Audit%20results%20for%20Safety%20Committee%20upda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8.8212782537582524E-2"/>
          <c:y val="5.1400554097404488E-2"/>
          <c:w val="0.87918356861183544"/>
          <c:h val="0.79822506561679785"/>
        </c:manualLayout>
      </c:layout>
      <c:barChart>
        <c:barDir val="col"/>
        <c:grouping val="clustered"/>
        <c:ser>
          <c:idx val="0"/>
          <c:order val="0"/>
          <c:tx>
            <c:strRef>
              <c:f>Sheet1!$B$2</c:f>
              <c:strCache>
                <c:ptCount val="1"/>
              </c:strCache>
            </c:strRef>
          </c:tx>
          <c:spPr>
            <a:solidFill>
              <a:srgbClr val="00B050"/>
            </a:solidFill>
          </c:spPr>
          <c:cat>
            <c:strRef>
              <c:f>Sheet1!$A$3:$A$10</c:f>
              <c:strCache>
                <c:ptCount val="8"/>
                <c:pt idx="1">
                  <c:v>Q2 2011/12</c:v>
                </c:pt>
                <c:pt idx="3">
                  <c:v>Q3 2011/12</c:v>
                </c:pt>
                <c:pt idx="5">
                  <c:v>Q4  2011/12</c:v>
                </c:pt>
                <c:pt idx="7">
                  <c:v>Q1 2011/12</c:v>
                </c:pt>
              </c:strCache>
            </c:strRef>
          </c:cat>
          <c:val>
            <c:numRef>
              <c:f>Sheet1!$B$3:$B$10</c:f>
              <c:numCache>
                <c:formatCode>General</c:formatCode>
                <c:ptCount val="8"/>
                <c:pt idx="1">
                  <c:v>857</c:v>
                </c:pt>
                <c:pt idx="3">
                  <c:v>1335</c:v>
                </c:pt>
                <c:pt idx="5">
                  <c:v>1308</c:v>
                </c:pt>
                <c:pt idx="7">
                  <c:v>1355</c:v>
                </c:pt>
              </c:numCache>
            </c:numRef>
          </c:val>
        </c:ser>
        <c:ser>
          <c:idx val="1"/>
          <c:order val="1"/>
          <c:tx>
            <c:strRef>
              <c:f>Sheet1!$C$2</c:f>
              <c:strCache>
                <c:ptCount val="1"/>
              </c:strCache>
            </c:strRef>
          </c:tx>
          <c:spPr>
            <a:solidFill>
              <a:srgbClr val="FFFF00"/>
            </a:solidFill>
          </c:spPr>
          <c:cat>
            <c:strRef>
              <c:f>Sheet1!$A$3:$A$10</c:f>
              <c:strCache>
                <c:ptCount val="8"/>
                <c:pt idx="1">
                  <c:v>Q2 2011/12</c:v>
                </c:pt>
                <c:pt idx="3">
                  <c:v>Q3 2011/12</c:v>
                </c:pt>
                <c:pt idx="5">
                  <c:v>Q4  2011/12</c:v>
                </c:pt>
                <c:pt idx="7">
                  <c:v>Q1 2011/12</c:v>
                </c:pt>
              </c:strCache>
            </c:strRef>
          </c:cat>
          <c:val>
            <c:numRef>
              <c:f>Sheet1!$C$3:$C$10</c:f>
              <c:numCache>
                <c:formatCode>General</c:formatCode>
                <c:ptCount val="8"/>
                <c:pt idx="1">
                  <c:v>482</c:v>
                </c:pt>
                <c:pt idx="3">
                  <c:v>569</c:v>
                </c:pt>
                <c:pt idx="5">
                  <c:v>627</c:v>
                </c:pt>
                <c:pt idx="7">
                  <c:v>666</c:v>
                </c:pt>
              </c:numCache>
            </c:numRef>
          </c:val>
        </c:ser>
        <c:ser>
          <c:idx val="2"/>
          <c:order val="2"/>
          <c:tx>
            <c:strRef>
              <c:f>Sheet1!$D$2</c:f>
              <c:strCache>
                <c:ptCount val="1"/>
              </c:strCache>
            </c:strRef>
          </c:tx>
          <c:spPr>
            <a:solidFill>
              <a:schemeClr val="accent6">
                <a:lumMod val="75000"/>
              </a:schemeClr>
            </a:solidFill>
          </c:spPr>
          <c:cat>
            <c:strRef>
              <c:f>Sheet1!$A$3:$A$10</c:f>
              <c:strCache>
                <c:ptCount val="8"/>
                <c:pt idx="1">
                  <c:v>Q2 2011/12</c:v>
                </c:pt>
                <c:pt idx="3">
                  <c:v>Q3 2011/12</c:v>
                </c:pt>
                <c:pt idx="5">
                  <c:v>Q4  2011/12</c:v>
                </c:pt>
                <c:pt idx="7">
                  <c:v>Q1 2011/12</c:v>
                </c:pt>
              </c:strCache>
            </c:strRef>
          </c:cat>
          <c:val>
            <c:numRef>
              <c:f>Sheet1!$D$3:$D$10</c:f>
              <c:numCache>
                <c:formatCode>General</c:formatCode>
                <c:ptCount val="8"/>
                <c:pt idx="1">
                  <c:v>107</c:v>
                </c:pt>
                <c:pt idx="3">
                  <c:v>136</c:v>
                </c:pt>
                <c:pt idx="5">
                  <c:v>134</c:v>
                </c:pt>
                <c:pt idx="7">
                  <c:v>106</c:v>
                </c:pt>
              </c:numCache>
            </c:numRef>
          </c:val>
        </c:ser>
        <c:ser>
          <c:idx val="3"/>
          <c:order val="3"/>
          <c:tx>
            <c:strRef>
              <c:f>Sheet1!$E$2</c:f>
              <c:strCache>
                <c:ptCount val="1"/>
              </c:strCache>
            </c:strRef>
          </c:tx>
          <c:spPr>
            <a:solidFill>
              <a:srgbClr val="C00000"/>
            </a:solidFill>
          </c:spPr>
          <c:cat>
            <c:strRef>
              <c:f>Sheet1!$A$3:$A$10</c:f>
              <c:strCache>
                <c:ptCount val="8"/>
                <c:pt idx="1">
                  <c:v>Q2 2011/12</c:v>
                </c:pt>
                <c:pt idx="3">
                  <c:v>Q3 2011/12</c:v>
                </c:pt>
                <c:pt idx="5">
                  <c:v>Q4  2011/12</c:v>
                </c:pt>
                <c:pt idx="7">
                  <c:v>Q1 2011/12</c:v>
                </c:pt>
              </c:strCache>
            </c:strRef>
          </c:cat>
          <c:val>
            <c:numRef>
              <c:f>Sheet1!$E$3:$E$10</c:f>
              <c:numCache>
                <c:formatCode>General</c:formatCode>
                <c:ptCount val="8"/>
                <c:pt idx="1">
                  <c:v>35</c:v>
                </c:pt>
                <c:pt idx="3">
                  <c:v>49</c:v>
                </c:pt>
                <c:pt idx="5">
                  <c:v>43</c:v>
                </c:pt>
                <c:pt idx="7">
                  <c:v>63</c:v>
                </c:pt>
              </c:numCache>
            </c:numRef>
          </c:val>
        </c:ser>
        <c:axId val="76482816"/>
        <c:axId val="76530048"/>
      </c:barChart>
      <c:catAx>
        <c:axId val="76482816"/>
        <c:scaling>
          <c:orientation val="minMax"/>
        </c:scaling>
        <c:axPos val="b"/>
        <c:numFmt formatCode="General" sourceLinked="1"/>
        <c:tickLblPos val="nextTo"/>
        <c:crossAx val="76530048"/>
        <c:crosses val="autoZero"/>
        <c:auto val="1"/>
        <c:lblAlgn val="ctr"/>
        <c:lblOffset val="100"/>
      </c:catAx>
      <c:valAx>
        <c:axId val="76530048"/>
        <c:scaling>
          <c:orientation val="minMax"/>
        </c:scaling>
        <c:axPos val="l"/>
        <c:majorGridlines/>
        <c:numFmt formatCode="General" sourceLinked="1"/>
        <c:tickLblPos val="nextTo"/>
        <c:crossAx val="7648281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layout/>
    </c:title>
    <c:plotArea>
      <c:layout/>
      <c:lineChart>
        <c:grouping val="standard"/>
        <c:ser>
          <c:idx val="0"/>
          <c:order val="0"/>
          <c:tx>
            <c:strRef>
              <c:f>Sheet1!$P$2</c:f>
              <c:strCache>
                <c:ptCount val="1"/>
                <c:pt idx="0">
                  <c:v>Number</c:v>
                </c:pt>
              </c:strCache>
            </c:strRef>
          </c:tx>
          <c:marker>
            <c:symbol val="none"/>
          </c:marker>
          <c:cat>
            <c:numRef>
              <c:f>Sheet1!$Q$1:$AF$1</c:f>
              <c:numCache>
                <c:formatCode>mmm\-yy</c:formatCode>
                <c:ptCount val="16"/>
                <c:pt idx="0">
                  <c:v>40544</c:v>
                </c:pt>
                <c:pt idx="1">
                  <c:v>40575</c:v>
                </c:pt>
                <c:pt idx="2">
                  <c:v>40603</c:v>
                </c:pt>
                <c:pt idx="3">
                  <c:v>40634</c:v>
                </c:pt>
                <c:pt idx="4">
                  <c:v>40664</c:v>
                </c:pt>
                <c:pt idx="5">
                  <c:v>40695</c:v>
                </c:pt>
                <c:pt idx="6">
                  <c:v>40725</c:v>
                </c:pt>
                <c:pt idx="7">
                  <c:v>40756</c:v>
                </c:pt>
                <c:pt idx="8">
                  <c:v>40787</c:v>
                </c:pt>
                <c:pt idx="9">
                  <c:v>40817</c:v>
                </c:pt>
                <c:pt idx="10">
                  <c:v>40848</c:v>
                </c:pt>
                <c:pt idx="11">
                  <c:v>40878</c:v>
                </c:pt>
                <c:pt idx="12">
                  <c:v>40909</c:v>
                </c:pt>
                <c:pt idx="13">
                  <c:v>40940</c:v>
                </c:pt>
                <c:pt idx="14">
                  <c:v>40969</c:v>
                </c:pt>
                <c:pt idx="15">
                  <c:v>41000</c:v>
                </c:pt>
              </c:numCache>
            </c:numRef>
          </c:cat>
          <c:val>
            <c:numRef>
              <c:f>Sheet1!$Q$2:$AF$2</c:f>
              <c:numCache>
                <c:formatCode>General</c:formatCode>
                <c:ptCount val="16"/>
                <c:pt idx="0">
                  <c:v>15</c:v>
                </c:pt>
                <c:pt idx="1">
                  <c:v>15</c:v>
                </c:pt>
                <c:pt idx="2">
                  <c:v>22</c:v>
                </c:pt>
                <c:pt idx="3">
                  <c:v>12</c:v>
                </c:pt>
                <c:pt idx="4">
                  <c:v>5</c:v>
                </c:pt>
                <c:pt idx="5">
                  <c:v>15</c:v>
                </c:pt>
                <c:pt idx="6">
                  <c:v>17</c:v>
                </c:pt>
                <c:pt idx="7">
                  <c:v>9</c:v>
                </c:pt>
                <c:pt idx="8">
                  <c:v>13</c:v>
                </c:pt>
                <c:pt idx="9">
                  <c:v>16</c:v>
                </c:pt>
                <c:pt idx="10">
                  <c:v>10</c:v>
                </c:pt>
                <c:pt idx="11">
                  <c:v>18</c:v>
                </c:pt>
                <c:pt idx="12">
                  <c:v>25</c:v>
                </c:pt>
                <c:pt idx="13">
                  <c:v>18</c:v>
                </c:pt>
                <c:pt idx="14">
                  <c:v>20</c:v>
                </c:pt>
                <c:pt idx="15">
                  <c:v>19</c:v>
                </c:pt>
              </c:numCache>
            </c:numRef>
          </c:val>
        </c:ser>
        <c:marker val="1"/>
        <c:axId val="84916864"/>
        <c:axId val="101099392"/>
      </c:lineChart>
      <c:dateAx>
        <c:axId val="84916864"/>
        <c:scaling>
          <c:orientation val="minMax"/>
        </c:scaling>
        <c:axPos val="b"/>
        <c:numFmt formatCode="mmm\-yy" sourceLinked="1"/>
        <c:tickLblPos val="nextTo"/>
        <c:crossAx val="101099392"/>
        <c:crosses val="autoZero"/>
        <c:auto val="1"/>
        <c:lblOffset val="100"/>
      </c:dateAx>
      <c:valAx>
        <c:axId val="101099392"/>
        <c:scaling>
          <c:orientation val="minMax"/>
        </c:scaling>
        <c:axPos val="l"/>
        <c:majorGridlines/>
        <c:numFmt formatCode="General" sourceLinked="1"/>
        <c:tickLblPos val="nextTo"/>
        <c:crossAx val="8491686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autoTitleDeleted val="1"/>
    <c:plotArea>
      <c:layout/>
      <c:barChart>
        <c:barDir val="col"/>
        <c:grouping val="clustered"/>
        <c:ser>
          <c:idx val="0"/>
          <c:order val="0"/>
          <c:tx>
            <c:strRef>
              <c:f>'SIRI by quarter'!$A$26</c:f>
              <c:strCache>
                <c:ptCount val="1"/>
                <c:pt idx="0">
                  <c:v>Number of SIRIs</c:v>
                </c:pt>
              </c:strCache>
            </c:strRef>
          </c:tx>
          <c:trendline>
            <c:trendlineType val="linear"/>
          </c:trendline>
          <c:cat>
            <c:strRef>
              <c:f>'SIRI by quarter'!$B$25:$E$25</c:f>
              <c:strCache>
                <c:ptCount val="4"/>
                <c:pt idx="0">
                  <c:v>Q2 11/12</c:v>
                </c:pt>
                <c:pt idx="1">
                  <c:v>Q3 11/12</c:v>
                </c:pt>
                <c:pt idx="2">
                  <c:v>Q4 11/12</c:v>
                </c:pt>
                <c:pt idx="3">
                  <c:v>Q1 12/13</c:v>
                </c:pt>
              </c:strCache>
            </c:strRef>
          </c:cat>
          <c:val>
            <c:numRef>
              <c:f>'SIRI by quarter'!$B$26:$E$26</c:f>
              <c:numCache>
                <c:formatCode>General</c:formatCode>
                <c:ptCount val="4"/>
                <c:pt idx="0">
                  <c:v>23</c:v>
                </c:pt>
                <c:pt idx="1">
                  <c:v>24</c:v>
                </c:pt>
                <c:pt idx="2">
                  <c:v>20</c:v>
                </c:pt>
                <c:pt idx="3">
                  <c:v>20</c:v>
                </c:pt>
              </c:numCache>
            </c:numRef>
          </c:val>
        </c:ser>
        <c:axId val="104488320"/>
        <c:axId val="76633216"/>
      </c:barChart>
      <c:catAx>
        <c:axId val="104488320"/>
        <c:scaling>
          <c:orientation val="minMax"/>
        </c:scaling>
        <c:axPos val="b"/>
        <c:numFmt formatCode="General" sourceLinked="1"/>
        <c:tickLblPos val="nextTo"/>
        <c:crossAx val="76633216"/>
        <c:crosses val="autoZero"/>
        <c:auto val="1"/>
        <c:lblAlgn val="ctr"/>
        <c:lblOffset val="100"/>
      </c:catAx>
      <c:valAx>
        <c:axId val="76633216"/>
        <c:scaling>
          <c:orientation val="minMax"/>
        </c:scaling>
        <c:axPos val="l"/>
        <c:majorGridlines/>
        <c:numFmt formatCode="General" sourceLinked="1"/>
        <c:tickLblPos val="nextTo"/>
        <c:crossAx val="104488320"/>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'SIRI by division'!$A$2</c:f>
              <c:strCache>
                <c:ptCount val="1"/>
                <c:pt idx="0">
                  <c:v>Mental Health Services</c:v>
                </c:pt>
              </c:strCache>
            </c:strRef>
          </c:tx>
          <c:cat>
            <c:strRef>
              <c:f>'SIRI by division'!$B$1:$F$1</c:f>
              <c:strCache>
                <c:ptCount val="5"/>
                <c:pt idx="0">
                  <c:v>Q1 11/12</c:v>
                </c:pt>
                <c:pt idx="1">
                  <c:v>Q2 11/12</c:v>
                </c:pt>
                <c:pt idx="2">
                  <c:v>Q3 11/12</c:v>
                </c:pt>
                <c:pt idx="3">
                  <c:v>Q4 11/12</c:v>
                </c:pt>
                <c:pt idx="4">
                  <c:v>Q1 12/13</c:v>
                </c:pt>
              </c:strCache>
            </c:strRef>
          </c:cat>
          <c:val>
            <c:numRef>
              <c:f>'SIRI by division'!$B$2:$F$2</c:f>
              <c:numCache>
                <c:formatCode>General</c:formatCode>
                <c:ptCount val="5"/>
                <c:pt idx="0">
                  <c:v>12</c:v>
                </c:pt>
                <c:pt idx="1">
                  <c:v>13</c:v>
                </c:pt>
                <c:pt idx="2">
                  <c:v>13</c:v>
                </c:pt>
                <c:pt idx="3">
                  <c:v>15</c:v>
                </c:pt>
                <c:pt idx="4">
                  <c:v>13</c:v>
                </c:pt>
              </c:numCache>
            </c:numRef>
          </c:val>
        </c:ser>
        <c:ser>
          <c:idx val="1"/>
          <c:order val="1"/>
          <c:tx>
            <c:strRef>
              <c:f>'SIRI by division'!$A$3</c:f>
              <c:strCache>
                <c:ptCount val="1"/>
                <c:pt idx="0">
                  <c:v>Oxford Community Services</c:v>
                </c:pt>
              </c:strCache>
            </c:strRef>
          </c:tx>
          <c:cat>
            <c:strRef>
              <c:f>'SIRI by division'!$B$1:$F$1</c:f>
              <c:strCache>
                <c:ptCount val="5"/>
                <c:pt idx="0">
                  <c:v>Q1 11/12</c:v>
                </c:pt>
                <c:pt idx="1">
                  <c:v>Q2 11/12</c:v>
                </c:pt>
                <c:pt idx="2">
                  <c:v>Q3 11/12</c:v>
                </c:pt>
                <c:pt idx="3">
                  <c:v>Q4 11/12</c:v>
                </c:pt>
                <c:pt idx="4">
                  <c:v>Q1 12/13</c:v>
                </c:pt>
              </c:strCache>
            </c:strRef>
          </c:cat>
          <c:val>
            <c:numRef>
              <c:f>'SIRI by division'!$B$3:$F$3</c:f>
              <c:numCache>
                <c:formatCode>General</c:formatCode>
                <c:ptCount val="5"/>
                <c:pt idx="0">
                  <c:v>7</c:v>
                </c:pt>
                <c:pt idx="1">
                  <c:v>6</c:v>
                </c:pt>
                <c:pt idx="2">
                  <c:v>4</c:v>
                </c:pt>
                <c:pt idx="3">
                  <c:v>7</c:v>
                </c:pt>
                <c:pt idx="4">
                  <c:v>5</c:v>
                </c:pt>
              </c:numCache>
            </c:numRef>
          </c:val>
        </c:ser>
        <c:ser>
          <c:idx val="2"/>
          <c:order val="2"/>
          <c:tx>
            <c:strRef>
              <c:f>'SIRI by division'!$A$4</c:f>
              <c:strCache>
                <c:ptCount val="1"/>
                <c:pt idx="0">
                  <c:v>Specialised Services</c:v>
                </c:pt>
              </c:strCache>
            </c:strRef>
          </c:tx>
          <c:cat>
            <c:strRef>
              <c:f>'SIRI by division'!$B$1:$F$1</c:f>
              <c:strCache>
                <c:ptCount val="5"/>
                <c:pt idx="0">
                  <c:v>Q1 11/12</c:v>
                </c:pt>
                <c:pt idx="1">
                  <c:v>Q2 11/12</c:v>
                </c:pt>
                <c:pt idx="2">
                  <c:v>Q3 11/12</c:v>
                </c:pt>
                <c:pt idx="3">
                  <c:v>Q4 11/12</c:v>
                </c:pt>
                <c:pt idx="4">
                  <c:v>Q1 12/13</c:v>
                </c:pt>
              </c:strCache>
            </c:strRef>
          </c:cat>
          <c:val>
            <c:numRef>
              <c:f>'SIRI by division'!$B$4:$F$4</c:f>
              <c:numCache>
                <c:formatCode>General</c:formatCode>
                <c:ptCount val="5"/>
                <c:pt idx="0">
                  <c:v>1</c:v>
                </c:pt>
                <c:pt idx="1">
                  <c:v>4</c:v>
                </c:pt>
                <c:pt idx="2">
                  <c:v>2</c:v>
                </c:pt>
                <c:pt idx="3">
                  <c:v>0</c:v>
                </c:pt>
                <c:pt idx="4">
                  <c:v>1</c:v>
                </c:pt>
              </c:numCache>
            </c:numRef>
          </c:val>
        </c:ser>
        <c:ser>
          <c:idx val="3"/>
          <c:order val="3"/>
          <c:tx>
            <c:strRef>
              <c:f>'SIRI by division'!$A$5</c:f>
              <c:strCache>
                <c:ptCount val="1"/>
                <c:pt idx="0">
                  <c:v>Children and Families Services</c:v>
                </c:pt>
              </c:strCache>
            </c:strRef>
          </c:tx>
          <c:cat>
            <c:strRef>
              <c:f>'SIRI by division'!$B$1:$F$1</c:f>
              <c:strCache>
                <c:ptCount val="5"/>
                <c:pt idx="0">
                  <c:v>Q1 11/12</c:v>
                </c:pt>
                <c:pt idx="1">
                  <c:v>Q2 11/12</c:v>
                </c:pt>
                <c:pt idx="2">
                  <c:v>Q3 11/12</c:v>
                </c:pt>
                <c:pt idx="3">
                  <c:v>Q4 11/12</c:v>
                </c:pt>
                <c:pt idx="4">
                  <c:v>Q1 12/13</c:v>
                </c:pt>
              </c:strCache>
            </c:strRef>
          </c:cat>
          <c:val>
            <c:numRef>
              <c:f>'SIRI by division'!$B$5:$F$5</c:f>
              <c:numCache>
                <c:formatCode>General</c:formatCode>
                <c:ptCount val="5"/>
                <c:pt idx="0">
                  <c:v>3</c:v>
                </c:pt>
                <c:pt idx="1">
                  <c:v>1</c:v>
                </c:pt>
                <c:pt idx="2">
                  <c:v>3</c:v>
                </c:pt>
                <c:pt idx="3">
                  <c:v>0</c:v>
                </c:pt>
                <c:pt idx="4">
                  <c:v>1</c:v>
                </c:pt>
              </c:numCache>
            </c:numRef>
          </c:val>
        </c:ser>
        <c:axId val="76667136"/>
        <c:axId val="98467840"/>
      </c:barChart>
      <c:catAx>
        <c:axId val="76667136"/>
        <c:scaling>
          <c:orientation val="minMax"/>
        </c:scaling>
        <c:axPos val="b"/>
        <c:numFmt formatCode="General" sourceLinked="1"/>
        <c:tickLblPos val="nextTo"/>
        <c:crossAx val="98467840"/>
        <c:crosses val="autoZero"/>
        <c:auto val="1"/>
        <c:lblAlgn val="ctr"/>
        <c:lblOffset val="100"/>
      </c:catAx>
      <c:valAx>
        <c:axId val="98467840"/>
        <c:scaling>
          <c:orientation val="minMax"/>
        </c:scaling>
        <c:axPos val="l"/>
        <c:majorGridlines/>
        <c:numFmt formatCode="General" sourceLinked="1"/>
        <c:tickLblPos val="nextTo"/>
        <c:crossAx val="76667136"/>
        <c:crosses val="autoZero"/>
        <c:crossBetween val="between"/>
      </c:valAx>
    </c:plotArea>
    <c:legend>
      <c:legendPos val="r"/>
      <c:layout/>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col"/>
        <c:grouping val="clustered"/>
        <c:ser>
          <c:idx val="0"/>
          <c:order val="0"/>
          <c:tx>
            <c:strRef>
              <c:f>Suicides!$A$2</c:f>
              <c:strCache>
                <c:ptCount val="1"/>
                <c:pt idx="0">
                  <c:v>Suicides</c:v>
                </c:pt>
              </c:strCache>
            </c:strRef>
          </c:tx>
          <c:trendline>
            <c:trendlineType val="linear"/>
          </c:trendline>
          <c:cat>
            <c:strRef>
              <c:f>Suicides!$B$1:$J$1</c:f>
              <c:strCache>
                <c:ptCount val="9"/>
                <c:pt idx="0">
                  <c:v>Q1 10/11</c:v>
                </c:pt>
                <c:pt idx="1">
                  <c:v>Q2 10/11</c:v>
                </c:pt>
                <c:pt idx="2">
                  <c:v>Q3 10/11</c:v>
                </c:pt>
                <c:pt idx="3">
                  <c:v>Q4 10/11</c:v>
                </c:pt>
                <c:pt idx="4">
                  <c:v>Q1 11/12</c:v>
                </c:pt>
                <c:pt idx="5">
                  <c:v>Q2 11/12</c:v>
                </c:pt>
                <c:pt idx="6">
                  <c:v>Q3 11/12</c:v>
                </c:pt>
                <c:pt idx="7">
                  <c:v>Q4 11/12</c:v>
                </c:pt>
                <c:pt idx="8">
                  <c:v>Q1 12/13</c:v>
                </c:pt>
              </c:strCache>
            </c:strRef>
          </c:cat>
          <c:val>
            <c:numRef>
              <c:f>Suicides!$B$2:$J$2</c:f>
              <c:numCache>
                <c:formatCode>General</c:formatCode>
                <c:ptCount val="9"/>
                <c:pt idx="0">
                  <c:v>14</c:v>
                </c:pt>
                <c:pt idx="1">
                  <c:v>7</c:v>
                </c:pt>
                <c:pt idx="2">
                  <c:v>5</c:v>
                </c:pt>
                <c:pt idx="3">
                  <c:v>10</c:v>
                </c:pt>
                <c:pt idx="4">
                  <c:v>11</c:v>
                </c:pt>
                <c:pt idx="5">
                  <c:v>7</c:v>
                </c:pt>
                <c:pt idx="6">
                  <c:v>6</c:v>
                </c:pt>
                <c:pt idx="7">
                  <c:v>9</c:v>
                </c:pt>
                <c:pt idx="8">
                  <c:v>5</c:v>
                </c:pt>
              </c:numCache>
            </c:numRef>
          </c:val>
        </c:ser>
        <c:axId val="98492416"/>
        <c:axId val="98493952"/>
      </c:barChart>
      <c:catAx>
        <c:axId val="98492416"/>
        <c:scaling>
          <c:orientation val="minMax"/>
        </c:scaling>
        <c:axPos val="b"/>
        <c:numFmt formatCode="General" sourceLinked="1"/>
        <c:tickLblPos val="nextTo"/>
        <c:crossAx val="98493952"/>
        <c:crosses val="autoZero"/>
        <c:auto val="1"/>
        <c:lblAlgn val="ctr"/>
        <c:lblOffset val="100"/>
      </c:catAx>
      <c:valAx>
        <c:axId val="98493952"/>
        <c:scaling>
          <c:orientation val="minMax"/>
        </c:scaling>
        <c:axPos val="l"/>
        <c:majorGridlines/>
        <c:numFmt formatCode="General" sourceLinked="1"/>
        <c:tickLblPos val="nextTo"/>
        <c:crossAx val="98492416"/>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200"/>
              <a:t>Mental Health Hand Hygiene Audit Results - Quarter 1</a:t>
            </a:r>
          </a:p>
        </c:rich>
      </c:tx>
      <c:layout/>
    </c:title>
    <c:plotArea>
      <c:layout/>
      <c:barChart>
        <c:barDir val="col"/>
        <c:grouping val="clustered"/>
        <c:ser>
          <c:idx val="1"/>
          <c:order val="1"/>
          <c:tx>
            <c:strRef>
              <c:f>Sheet1!$C$1</c:f>
              <c:strCache>
                <c:ptCount val="1"/>
                <c:pt idx="0">
                  <c:v>Mar-12</c:v>
                </c:pt>
              </c:strCache>
            </c:strRef>
          </c:tx>
          <c:cat>
            <c:strRef>
              <c:f>Sheet1!$A$2:$A$5</c:f>
              <c:strCache>
                <c:ptCount val="4"/>
                <c:pt idx="0">
                  <c:v>Staff carrying a tottle</c:v>
                </c:pt>
                <c:pt idx="1">
                  <c:v>Staff not wearing  jewellery</c:v>
                </c:pt>
                <c:pt idx="2">
                  <c:v>Staff with no nail varnish, extensions or long nails</c:v>
                </c:pt>
                <c:pt idx="3">
                  <c:v>Overall compliance with hand washing technique</c:v>
                </c:pt>
              </c:strCache>
            </c:strRef>
          </c:cat>
          <c:val>
            <c:numRef>
              <c:f>Sheet1!$C$2:$C$5</c:f>
              <c:numCache>
                <c:formatCode>0%</c:formatCode>
                <c:ptCount val="4"/>
                <c:pt idx="0">
                  <c:v>0.92</c:v>
                </c:pt>
                <c:pt idx="1">
                  <c:v>0.97000000000000064</c:v>
                </c:pt>
                <c:pt idx="2">
                  <c:v>0.96000000000000063</c:v>
                </c:pt>
                <c:pt idx="3">
                  <c:v>0.92</c:v>
                </c:pt>
              </c:numCache>
            </c:numRef>
          </c:val>
        </c:ser>
        <c:ser>
          <c:idx val="2"/>
          <c:order val="2"/>
          <c:tx>
            <c:strRef>
              <c:f>Sheet1!$D$1</c:f>
              <c:strCache>
                <c:ptCount val="1"/>
                <c:pt idx="0">
                  <c:v>May-12</c:v>
                </c:pt>
              </c:strCache>
            </c:strRef>
          </c:tx>
          <c:cat>
            <c:strRef>
              <c:f>Sheet1!$A$2:$A$5</c:f>
              <c:strCache>
                <c:ptCount val="4"/>
                <c:pt idx="0">
                  <c:v>Staff carrying a tottle</c:v>
                </c:pt>
                <c:pt idx="1">
                  <c:v>Staff not wearing  jewellery</c:v>
                </c:pt>
                <c:pt idx="2">
                  <c:v>Staff with no nail varnish, extensions or long nails</c:v>
                </c:pt>
                <c:pt idx="3">
                  <c:v>Overall compliance with hand washing technique</c:v>
                </c:pt>
              </c:strCache>
            </c:strRef>
          </c:cat>
          <c:val>
            <c:numRef>
              <c:f>Sheet1!$D$2:$D$5</c:f>
              <c:numCache>
                <c:formatCode>0%</c:formatCode>
                <c:ptCount val="4"/>
                <c:pt idx="0">
                  <c:v>0.9</c:v>
                </c:pt>
                <c:pt idx="1">
                  <c:v>0.95000000000000062</c:v>
                </c:pt>
                <c:pt idx="2">
                  <c:v>0.97000000000000064</c:v>
                </c:pt>
                <c:pt idx="3">
                  <c:v>0.92</c:v>
                </c:pt>
              </c:numCache>
            </c:numRef>
          </c:val>
        </c:ser>
        <c:gapWidth val="75"/>
        <c:axId val="101083008"/>
        <c:axId val="101101568"/>
      </c:barChart>
      <c:lineChart>
        <c:grouping val="standard"/>
        <c:ser>
          <c:idx val="0"/>
          <c:order val="0"/>
          <c:tx>
            <c:strRef>
              <c:f>Sheet1!$B$1</c:f>
              <c:strCache>
                <c:ptCount val="1"/>
                <c:pt idx="0">
                  <c:v>Compliance set at 85%</c:v>
                </c:pt>
              </c:strCache>
            </c:strRef>
          </c:tx>
          <c:spPr>
            <a:ln w="22225">
              <a:solidFill>
                <a:schemeClr val="tx1"/>
              </a:solidFill>
            </a:ln>
            <a:effectLst/>
          </c:spPr>
          <c:marker>
            <c:symbol val="diamond"/>
            <c:size val="5"/>
            <c:spPr>
              <a:solidFill>
                <a:schemeClr val="tx1"/>
              </a:solidFill>
              <a:ln>
                <a:solidFill>
                  <a:schemeClr val="tx1"/>
                </a:solidFill>
              </a:ln>
            </c:spPr>
          </c:marker>
          <c:cat>
            <c:strRef>
              <c:f>Sheet1!$A$2:$A$5</c:f>
              <c:strCache>
                <c:ptCount val="4"/>
                <c:pt idx="0">
                  <c:v>Staff carrying a tottle</c:v>
                </c:pt>
                <c:pt idx="1">
                  <c:v>Staff not wearing  jewellery</c:v>
                </c:pt>
                <c:pt idx="2">
                  <c:v>Staff with no nail varnish, extensions or long nails</c:v>
                </c:pt>
                <c:pt idx="3">
                  <c:v>Overall compliance with hand washing technique</c:v>
                </c:pt>
              </c:strCache>
            </c:strRef>
          </c:cat>
          <c:val>
            <c:numRef>
              <c:f>Sheet1!$B$2:$B$5</c:f>
              <c:numCache>
                <c:formatCode>0%</c:formatCode>
                <c:ptCount val="4"/>
                <c:pt idx="0">
                  <c:v>0.85000000000000064</c:v>
                </c:pt>
                <c:pt idx="1">
                  <c:v>0.85000000000000064</c:v>
                </c:pt>
                <c:pt idx="2">
                  <c:v>0.85000000000000064</c:v>
                </c:pt>
                <c:pt idx="3">
                  <c:v>0.85000000000000064</c:v>
                </c:pt>
              </c:numCache>
            </c:numRef>
          </c:val>
        </c:ser>
        <c:marker val="1"/>
        <c:axId val="101083008"/>
        <c:axId val="101101568"/>
      </c:lineChart>
      <c:catAx>
        <c:axId val="101083008"/>
        <c:scaling>
          <c:orientation val="minMax"/>
        </c:scaling>
        <c:axPos val="b"/>
        <c:majorTickMark val="none"/>
        <c:tickLblPos val="nextTo"/>
        <c:crossAx val="101101568"/>
        <c:crosses val="autoZero"/>
        <c:auto val="1"/>
        <c:lblAlgn val="ctr"/>
        <c:lblOffset val="100"/>
      </c:catAx>
      <c:valAx>
        <c:axId val="101101568"/>
        <c:scaling>
          <c:orientation val="minMax"/>
          <c:max val="1"/>
          <c:min val="0"/>
        </c:scaling>
        <c:axPos val="l"/>
        <c:majorGridlines/>
        <c:numFmt formatCode="0%" sourceLinked="1"/>
        <c:majorTickMark val="none"/>
        <c:tickLblPos val="nextTo"/>
        <c:spPr>
          <a:ln w="9525">
            <a:noFill/>
          </a:ln>
        </c:spPr>
        <c:crossAx val="101083008"/>
        <c:crosses val="autoZero"/>
        <c:crossBetween val="between"/>
      </c:valAx>
    </c:plotArea>
    <c:legend>
      <c:legendPos val="b"/>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0E86C-5FDE-4D12-A9CA-44036463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2976</Words>
  <Characters>16969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caroline.birch</dc:creator>
  <cp:keywords/>
  <dc:description/>
  <cp:lastModifiedBy>justinian.habner</cp:lastModifiedBy>
  <cp:revision>2</cp:revision>
  <cp:lastPrinted>2012-08-22T08:52:00Z</cp:lastPrinted>
  <dcterms:created xsi:type="dcterms:W3CDTF">2012-08-23T12:44:00Z</dcterms:created>
  <dcterms:modified xsi:type="dcterms:W3CDTF">2012-08-23T12:44:00Z</dcterms:modified>
</cp:coreProperties>
</file>