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3F" w:rsidRDefault="00621883" w:rsidP="007E5BC7">
      <w:pPr>
        <w:ind w:right="-900"/>
        <w:jc w:val="right"/>
      </w:pPr>
      <w:r>
        <w:rPr>
          <w:noProof/>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25693F" w:rsidRDefault="0025693F" w:rsidP="007E5BC7"/>
    <w:p w:rsidR="0025693F" w:rsidRDefault="00FC225E" w:rsidP="007E5BC7">
      <w:pPr>
        <w:jc w:val="center"/>
        <w:rPr>
          <w:rFonts w:ascii="Frutiger" w:hAnsi="Frutiger"/>
        </w:rPr>
      </w:pPr>
      <w:r w:rsidRPr="00FC225E">
        <w:rPr>
          <w:noProof/>
        </w:rPr>
        <w:pict>
          <v:rect id="_x0000_s1026" style="position:absolute;left:0;text-align:left;margin-left:324pt;margin-top:4.05pt;width:108pt;height:45pt;z-index:251657728">
            <v:textbox inset="0,0,0,0">
              <w:txbxContent>
                <w:p w:rsidR="00290439" w:rsidRDefault="00290439" w:rsidP="007E5BC7">
                  <w:pPr>
                    <w:pStyle w:val="Heading1"/>
                    <w:jc w:val="center"/>
                    <w:rPr>
                      <w:sz w:val="24"/>
                      <w:u w:val="none"/>
                    </w:rPr>
                  </w:pPr>
                  <w:r>
                    <w:rPr>
                      <w:sz w:val="24"/>
                      <w:u w:val="none"/>
                    </w:rPr>
                    <w:t>PAPER</w:t>
                  </w:r>
                </w:p>
                <w:p w:rsidR="00290439" w:rsidRDefault="00595F0D" w:rsidP="007E5BC7">
                  <w:pPr>
                    <w:pStyle w:val="BodyText"/>
                    <w:rPr>
                      <w:sz w:val="22"/>
                    </w:rPr>
                  </w:pPr>
                  <w:r>
                    <w:rPr>
                      <w:sz w:val="22"/>
                    </w:rPr>
                    <w:t>BOD 1</w:t>
                  </w:r>
                  <w:r w:rsidR="00735305">
                    <w:rPr>
                      <w:sz w:val="22"/>
                    </w:rPr>
                    <w:t>51</w:t>
                  </w:r>
                  <w:r>
                    <w:rPr>
                      <w:sz w:val="22"/>
                    </w:rPr>
                    <w:t>/2011</w:t>
                  </w:r>
                </w:p>
                <w:p w:rsidR="00290439" w:rsidRPr="00595F0D" w:rsidRDefault="00595F0D" w:rsidP="007E5BC7">
                  <w:pPr>
                    <w:jc w:val="center"/>
                    <w:rPr>
                      <w:rFonts w:ascii="Arial" w:hAnsi="Arial" w:cs="Arial"/>
                      <w:sz w:val="20"/>
                      <w:szCs w:val="20"/>
                    </w:rPr>
                  </w:pPr>
                  <w:r>
                    <w:rPr>
                      <w:rFonts w:ascii="Arial" w:hAnsi="Arial" w:cs="Arial"/>
                      <w:sz w:val="20"/>
                      <w:szCs w:val="20"/>
                    </w:rPr>
                    <w:t xml:space="preserve">(Agenda Item: </w:t>
                  </w:r>
                  <w:r w:rsidR="00735305">
                    <w:rPr>
                      <w:rFonts w:ascii="Arial" w:hAnsi="Arial" w:cs="Arial"/>
                      <w:sz w:val="20"/>
                      <w:szCs w:val="20"/>
                    </w:rPr>
                    <w:t>15)</w:t>
                  </w:r>
                </w:p>
              </w:txbxContent>
            </v:textbox>
          </v:rect>
        </w:pict>
      </w:r>
    </w:p>
    <w:p w:rsidR="0025693F" w:rsidRDefault="0025693F" w:rsidP="007E5BC7">
      <w:pPr>
        <w:pStyle w:val="Heading1"/>
        <w:rPr>
          <w:sz w:val="24"/>
        </w:rPr>
      </w:pPr>
    </w:p>
    <w:p w:rsidR="0025693F" w:rsidRDefault="0025693F" w:rsidP="007E5BC7">
      <w:pPr>
        <w:pStyle w:val="Heading1"/>
        <w:rPr>
          <w:sz w:val="24"/>
        </w:rPr>
      </w:pPr>
    </w:p>
    <w:p w:rsidR="0025693F" w:rsidRDefault="0025693F" w:rsidP="007E5BC7">
      <w:pPr>
        <w:pStyle w:val="Heading1"/>
        <w:rPr>
          <w:sz w:val="24"/>
        </w:rPr>
      </w:pPr>
    </w:p>
    <w:p w:rsidR="0025693F" w:rsidRDefault="0025693F" w:rsidP="007E5BC7">
      <w:pPr>
        <w:pStyle w:val="Heading1"/>
        <w:jc w:val="center"/>
        <w:rPr>
          <w:sz w:val="28"/>
          <w:u w:val="none"/>
        </w:rPr>
      </w:pPr>
    </w:p>
    <w:p w:rsidR="0025693F" w:rsidRDefault="0025693F" w:rsidP="007E5BC7">
      <w:pPr>
        <w:pStyle w:val="Heading1"/>
        <w:jc w:val="center"/>
        <w:rPr>
          <w:sz w:val="28"/>
          <w:u w:val="none"/>
        </w:rPr>
      </w:pPr>
      <w:r>
        <w:rPr>
          <w:sz w:val="28"/>
          <w:u w:val="none"/>
        </w:rPr>
        <w:t xml:space="preserve">Report to the Meeting of the </w:t>
      </w:r>
    </w:p>
    <w:p w:rsidR="0025693F" w:rsidRDefault="0025693F" w:rsidP="007E5BC7">
      <w:pPr>
        <w:pStyle w:val="Heading1"/>
        <w:jc w:val="center"/>
        <w:rPr>
          <w:sz w:val="28"/>
          <w:u w:val="none"/>
        </w:rPr>
      </w:pPr>
      <w:r>
        <w:rPr>
          <w:sz w:val="28"/>
          <w:u w:val="none"/>
        </w:rPr>
        <w:t xml:space="preserve">Oxford Health NHS Foundation Trust </w:t>
      </w:r>
    </w:p>
    <w:p w:rsidR="0025693F" w:rsidRDefault="0025693F" w:rsidP="007E5BC7">
      <w:pPr>
        <w:pStyle w:val="Heading1"/>
        <w:jc w:val="center"/>
        <w:rPr>
          <w:sz w:val="28"/>
          <w:u w:val="none"/>
        </w:rPr>
      </w:pPr>
      <w:r>
        <w:rPr>
          <w:sz w:val="28"/>
          <w:u w:val="none"/>
        </w:rPr>
        <w:t>Board of Directors</w:t>
      </w:r>
    </w:p>
    <w:p w:rsidR="0025693F" w:rsidRDefault="0025693F" w:rsidP="007E5BC7">
      <w:pPr>
        <w:rPr>
          <w:rFonts w:ascii="Arial" w:hAnsi="Arial" w:cs="Arial"/>
          <w:b/>
        </w:rPr>
      </w:pPr>
    </w:p>
    <w:p w:rsidR="0025693F" w:rsidRDefault="0025693F" w:rsidP="001D5BF9">
      <w:pPr>
        <w:jc w:val="center"/>
        <w:rPr>
          <w:rFonts w:ascii="Arial" w:hAnsi="Arial" w:cs="Arial"/>
          <w:b/>
        </w:rPr>
      </w:pPr>
    </w:p>
    <w:p w:rsidR="0025693F" w:rsidRDefault="00B62189" w:rsidP="001D5BF9">
      <w:pPr>
        <w:jc w:val="center"/>
        <w:rPr>
          <w:rFonts w:ascii="Arial" w:hAnsi="Arial" w:cs="Arial"/>
          <w:b/>
        </w:rPr>
      </w:pPr>
      <w:r>
        <w:rPr>
          <w:rFonts w:ascii="Arial" w:hAnsi="Arial" w:cs="Arial"/>
          <w:b/>
        </w:rPr>
        <w:t>26 October</w:t>
      </w:r>
      <w:r w:rsidR="0025693F">
        <w:rPr>
          <w:rFonts w:ascii="Arial" w:hAnsi="Arial" w:cs="Arial"/>
          <w:b/>
        </w:rPr>
        <w:t xml:space="preserve"> 2011</w:t>
      </w:r>
    </w:p>
    <w:p w:rsidR="0025693F" w:rsidRDefault="0025693F" w:rsidP="001D5BF9">
      <w:pPr>
        <w:jc w:val="center"/>
        <w:rPr>
          <w:rFonts w:ascii="Arial" w:hAnsi="Arial" w:cs="Arial"/>
          <w:b/>
        </w:rPr>
      </w:pPr>
    </w:p>
    <w:p w:rsidR="0025693F" w:rsidRPr="00112604" w:rsidRDefault="0025693F" w:rsidP="001D5BF9">
      <w:pPr>
        <w:jc w:val="center"/>
        <w:rPr>
          <w:rFonts w:ascii="Arial" w:hAnsi="Arial" w:cs="Arial"/>
          <w:b/>
        </w:rPr>
      </w:pPr>
      <w:r>
        <w:rPr>
          <w:rFonts w:ascii="Arial" w:hAnsi="Arial" w:cs="Arial"/>
          <w:b/>
        </w:rPr>
        <w:t xml:space="preserve">Annual Plan 2011/12 Quarter </w:t>
      </w:r>
      <w:r w:rsidR="00561B31">
        <w:rPr>
          <w:rFonts w:ascii="Arial" w:hAnsi="Arial" w:cs="Arial"/>
          <w:b/>
        </w:rPr>
        <w:t>2</w:t>
      </w:r>
      <w:r w:rsidRPr="00112604">
        <w:rPr>
          <w:rFonts w:ascii="Arial" w:hAnsi="Arial" w:cs="Arial"/>
          <w:b/>
        </w:rPr>
        <w:t xml:space="preserve"> </w:t>
      </w:r>
      <w:r>
        <w:rPr>
          <w:rFonts w:ascii="Arial" w:hAnsi="Arial" w:cs="Arial"/>
          <w:b/>
        </w:rPr>
        <w:t>R</w:t>
      </w:r>
      <w:r w:rsidRPr="00112604">
        <w:rPr>
          <w:rFonts w:ascii="Arial" w:hAnsi="Arial" w:cs="Arial"/>
          <w:b/>
        </w:rPr>
        <w:t>eport</w:t>
      </w:r>
    </w:p>
    <w:p w:rsidR="0025693F" w:rsidRDefault="0025693F" w:rsidP="00101DD0">
      <w:pPr>
        <w:rPr>
          <w:rFonts w:ascii="Arial" w:hAnsi="Arial" w:cs="Arial"/>
          <w:b/>
        </w:rPr>
      </w:pPr>
    </w:p>
    <w:p w:rsidR="0025693F" w:rsidRDefault="0025693F" w:rsidP="00101DD0">
      <w:pPr>
        <w:rPr>
          <w:rFonts w:ascii="Arial" w:hAnsi="Arial" w:cs="Arial"/>
          <w:b/>
        </w:rPr>
      </w:pPr>
    </w:p>
    <w:p w:rsidR="0025693F" w:rsidRPr="00292A88" w:rsidRDefault="0025693F" w:rsidP="00D83CA2">
      <w:pPr>
        <w:tabs>
          <w:tab w:val="left" w:pos="4880"/>
        </w:tabs>
        <w:rPr>
          <w:rFonts w:ascii="Arial" w:hAnsi="Arial" w:cs="Arial"/>
          <w:b/>
        </w:rPr>
      </w:pPr>
      <w:r w:rsidRPr="00292A88">
        <w:rPr>
          <w:rFonts w:ascii="Arial" w:hAnsi="Arial" w:cs="Arial"/>
          <w:b/>
        </w:rPr>
        <w:t>For: Information</w:t>
      </w:r>
      <w:r w:rsidRPr="00292A88">
        <w:rPr>
          <w:rFonts w:ascii="Arial" w:hAnsi="Arial" w:cs="Arial"/>
          <w:b/>
        </w:rPr>
        <w:tab/>
      </w:r>
    </w:p>
    <w:p w:rsidR="0025693F" w:rsidRPr="00292A88" w:rsidRDefault="0025693F" w:rsidP="00D83CA2">
      <w:pPr>
        <w:tabs>
          <w:tab w:val="left" w:pos="4880"/>
        </w:tabs>
        <w:rPr>
          <w:rFonts w:ascii="Arial" w:hAnsi="Arial" w:cs="Arial"/>
          <w:b/>
        </w:rPr>
      </w:pPr>
    </w:p>
    <w:p w:rsidR="0025693F" w:rsidRDefault="0025693F" w:rsidP="00101DD0">
      <w:pPr>
        <w:jc w:val="both"/>
        <w:rPr>
          <w:rFonts w:ascii="Arial" w:hAnsi="Arial" w:cs="Arial"/>
        </w:rPr>
      </w:pPr>
      <w:r w:rsidRPr="00101DD0">
        <w:rPr>
          <w:rFonts w:ascii="Arial" w:hAnsi="Arial" w:cs="Arial"/>
        </w:rPr>
        <w:t xml:space="preserve">The Board receives a </w:t>
      </w:r>
      <w:r>
        <w:rPr>
          <w:rFonts w:ascii="Arial" w:hAnsi="Arial" w:cs="Arial"/>
        </w:rPr>
        <w:t>quarterly report on the progress the Trust is making in achieving its objectives as set out in the Trust’s Annual Plan. This report states the Q</w:t>
      </w:r>
      <w:r w:rsidR="00561B31">
        <w:rPr>
          <w:rFonts w:ascii="Arial" w:hAnsi="Arial" w:cs="Arial"/>
        </w:rPr>
        <w:t>2</w:t>
      </w:r>
      <w:r>
        <w:rPr>
          <w:rFonts w:ascii="Arial" w:hAnsi="Arial" w:cs="Arial"/>
        </w:rPr>
        <w:t xml:space="preserve"> 2011/12 position and consists of</w:t>
      </w:r>
      <w:r w:rsidRPr="00D23C6F">
        <w:rPr>
          <w:rFonts w:ascii="Arial" w:hAnsi="Arial" w:cs="Arial"/>
        </w:rPr>
        <w:t xml:space="preserve"> </w:t>
      </w:r>
      <w:r>
        <w:rPr>
          <w:rFonts w:ascii="Arial" w:hAnsi="Arial" w:cs="Arial"/>
        </w:rPr>
        <w:t>two sections:</w:t>
      </w:r>
    </w:p>
    <w:p w:rsidR="0025693F" w:rsidRDefault="0025693F" w:rsidP="00101DD0">
      <w:pPr>
        <w:jc w:val="both"/>
        <w:rPr>
          <w:rFonts w:ascii="Arial" w:hAnsi="Arial" w:cs="Arial"/>
        </w:rPr>
      </w:pPr>
    </w:p>
    <w:p w:rsidR="0025693F" w:rsidRDefault="0025693F" w:rsidP="00101DD0">
      <w:pPr>
        <w:numPr>
          <w:ilvl w:val="0"/>
          <w:numId w:val="2"/>
        </w:numPr>
        <w:jc w:val="both"/>
        <w:rPr>
          <w:rFonts w:ascii="Arial" w:hAnsi="Arial" w:cs="Arial"/>
        </w:rPr>
      </w:pPr>
      <w:r>
        <w:rPr>
          <w:rFonts w:ascii="Arial" w:hAnsi="Arial" w:cs="Arial"/>
        </w:rPr>
        <w:t>Q</w:t>
      </w:r>
      <w:r w:rsidR="00561B31">
        <w:rPr>
          <w:rFonts w:ascii="Arial" w:hAnsi="Arial" w:cs="Arial"/>
        </w:rPr>
        <w:t>2</w:t>
      </w:r>
      <w:r>
        <w:rPr>
          <w:rFonts w:ascii="Arial" w:hAnsi="Arial" w:cs="Arial"/>
        </w:rPr>
        <w:t xml:space="preserve"> position against the 2011/12 objective milestones</w:t>
      </w:r>
    </w:p>
    <w:p w:rsidR="00C77BDB" w:rsidRDefault="00C77BDB" w:rsidP="00C77BDB">
      <w:pPr>
        <w:ind w:left="720"/>
        <w:jc w:val="both"/>
        <w:rPr>
          <w:rFonts w:ascii="Arial" w:hAnsi="Arial" w:cs="Arial"/>
        </w:rPr>
      </w:pPr>
    </w:p>
    <w:p w:rsidR="0025693F" w:rsidRDefault="0025693F" w:rsidP="00101DD0">
      <w:pPr>
        <w:numPr>
          <w:ilvl w:val="0"/>
          <w:numId w:val="2"/>
        </w:numPr>
        <w:jc w:val="both"/>
        <w:rPr>
          <w:rFonts w:ascii="Arial" w:hAnsi="Arial" w:cs="Arial"/>
        </w:rPr>
      </w:pPr>
      <w:r>
        <w:rPr>
          <w:rFonts w:ascii="Arial" w:hAnsi="Arial" w:cs="Arial"/>
        </w:rPr>
        <w:t>Risk Report</w:t>
      </w:r>
    </w:p>
    <w:p w:rsidR="0025693F" w:rsidRDefault="0025693F" w:rsidP="00683AB6">
      <w:pPr>
        <w:ind w:left="720"/>
        <w:jc w:val="both"/>
        <w:rPr>
          <w:rFonts w:ascii="Arial" w:hAnsi="Arial" w:cs="Arial"/>
        </w:rPr>
      </w:pPr>
    </w:p>
    <w:p w:rsidR="0025693F" w:rsidRPr="00101DD0" w:rsidRDefault="0025693F" w:rsidP="001D5BF9">
      <w:pPr>
        <w:rPr>
          <w:rFonts w:ascii="Arial" w:hAnsi="Arial" w:cs="Arial"/>
        </w:rPr>
      </w:pPr>
    </w:p>
    <w:p w:rsidR="0025693F" w:rsidRDefault="0025693F" w:rsidP="00101DD0">
      <w:pPr>
        <w:jc w:val="both"/>
      </w:pPr>
    </w:p>
    <w:p w:rsidR="0025693F" w:rsidRDefault="0025693F" w:rsidP="00292A88">
      <w:pPr>
        <w:jc w:val="both"/>
        <w:rPr>
          <w:rFonts w:ascii="Arial" w:hAnsi="Arial" w:cs="Arial"/>
          <w:b/>
        </w:rPr>
      </w:pPr>
      <w:r>
        <w:rPr>
          <w:rFonts w:ascii="Arial" w:hAnsi="Arial" w:cs="Arial"/>
          <w:b/>
        </w:rPr>
        <w:t>Recommendation</w:t>
      </w:r>
    </w:p>
    <w:p w:rsidR="0025693F" w:rsidRDefault="0025693F" w:rsidP="00292A88">
      <w:pPr>
        <w:jc w:val="both"/>
        <w:rPr>
          <w:rFonts w:ascii="Arial" w:hAnsi="Arial" w:cs="Arial"/>
        </w:rPr>
      </w:pPr>
      <w:r>
        <w:rPr>
          <w:rFonts w:ascii="Arial" w:hAnsi="Arial" w:cs="Arial"/>
        </w:rPr>
        <w:t>The Board of Directors is asked to note the Q</w:t>
      </w:r>
      <w:r w:rsidR="00561B31">
        <w:rPr>
          <w:rFonts w:ascii="Arial" w:hAnsi="Arial" w:cs="Arial"/>
        </w:rPr>
        <w:t>2</w:t>
      </w:r>
      <w:r>
        <w:rPr>
          <w:rFonts w:ascii="Arial" w:hAnsi="Arial" w:cs="Arial"/>
        </w:rPr>
        <w:t xml:space="preserve"> position. </w:t>
      </w:r>
    </w:p>
    <w:p w:rsidR="0025693F" w:rsidRDefault="0025693F" w:rsidP="00292A88">
      <w:pPr>
        <w:jc w:val="both"/>
        <w:rPr>
          <w:rFonts w:ascii="Arial" w:hAnsi="Arial" w:cs="Arial"/>
        </w:rPr>
      </w:pPr>
    </w:p>
    <w:p w:rsidR="0025693F" w:rsidRDefault="0025693F" w:rsidP="00292A88">
      <w:pPr>
        <w:ind w:left="1440" w:hanging="1440"/>
        <w:jc w:val="both"/>
        <w:rPr>
          <w:rFonts w:ascii="Arial" w:hAnsi="Arial" w:cs="Arial"/>
          <w:b/>
        </w:rPr>
      </w:pPr>
    </w:p>
    <w:p w:rsidR="0025693F" w:rsidRPr="002C117C" w:rsidRDefault="0025693F" w:rsidP="00292A88">
      <w:pPr>
        <w:ind w:left="1440" w:hanging="1440"/>
        <w:jc w:val="both"/>
        <w:rPr>
          <w:rFonts w:ascii="Arial" w:hAnsi="Arial" w:cs="Arial"/>
          <w:b/>
        </w:rPr>
      </w:pPr>
      <w:r w:rsidRPr="002C117C">
        <w:rPr>
          <w:rFonts w:ascii="Arial" w:hAnsi="Arial" w:cs="Arial"/>
          <w:b/>
        </w:rPr>
        <w:t xml:space="preserve">Author and Title: </w:t>
      </w:r>
      <w:r>
        <w:rPr>
          <w:rFonts w:ascii="Arial" w:hAnsi="Arial" w:cs="Arial"/>
          <w:b/>
        </w:rPr>
        <w:t>James Venables</w:t>
      </w:r>
      <w:r w:rsidRPr="002C117C">
        <w:rPr>
          <w:rFonts w:ascii="Arial" w:hAnsi="Arial" w:cs="Arial"/>
          <w:b/>
        </w:rPr>
        <w:t xml:space="preserve">, </w:t>
      </w:r>
      <w:r>
        <w:rPr>
          <w:rFonts w:ascii="Arial" w:hAnsi="Arial" w:cs="Arial"/>
          <w:b/>
        </w:rPr>
        <w:t>Head of Strategy</w:t>
      </w:r>
      <w:r w:rsidRPr="002C117C">
        <w:rPr>
          <w:rFonts w:ascii="Arial" w:hAnsi="Arial" w:cs="Arial"/>
          <w:b/>
        </w:rPr>
        <w:tab/>
      </w:r>
    </w:p>
    <w:p w:rsidR="0025693F" w:rsidRPr="002C117C" w:rsidRDefault="0025693F" w:rsidP="00292A88">
      <w:pPr>
        <w:rPr>
          <w:rFonts w:ascii="Arial" w:hAnsi="Arial" w:cs="Arial"/>
          <w:b/>
        </w:rPr>
      </w:pPr>
      <w:r w:rsidRPr="002C117C">
        <w:rPr>
          <w:rFonts w:ascii="Arial" w:hAnsi="Arial" w:cs="Arial"/>
          <w:b/>
        </w:rPr>
        <w:t>Lead Executive Director:</w:t>
      </w:r>
      <w:r w:rsidRPr="002C117C">
        <w:rPr>
          <w:rFonts w:ascii="Arial" w:hAnsi="Arial" w:cs="Arial"/>
          <w:b/>
        </w:rPr>
        <w:tab/>
      </w:r>
      <w:r>
        <w:rPr>
          <w:rFonts w:ascii="Arial" w:hAnsi="Arial" w:cs="Arial"/>
          <w:b/>
        </w:rPr>
        <w:t>Stephen Cass, Director of Strategy and Commercial Development</w:t>
      </w:r>
    </w:p>
    <w:p w:rsidR="0025693F" w:rsidRDefault="0025693F" w:rsidP="00101DD0">
      <w:pPr>
        <w:jc w:val="both"/>
        <w:rPr>
          <w:rFonts w:ascii="Arial" w:hAnsi="Arial" w:cs="Arial"/>
          <w:b/>
        </w:rPr>
      </w:pPr>
    </w:p>
    <w:p w:rsidR="0025693F" w:rsidRDefault="0025693F" w:rsidP="00EE450B">
      <w:pPr>
        <w:jc w:val="both"/>
        <w:rPr>
          <w:rFonts w:ascii="Arial" w:hAnsi="Arial" w:cs="Arial"/>
          <w:noProof/>
        </w:rPr>
      </w:pPr>
    </w:p>
    <w:p w:rsidR="0025693F" w:rsidRDefault="0025693F" w:rsidP="00EE450B">
      <w:pPr>
        <w:jc w:val="both"/>
        <w:rPr>
          <w:rFonts w:ascii="Arial" w:hAnsi="Arial" w:cs="Arial"/>
        </w:rPr>
      </w:pPr>
    </w:p>
    <w:p w:rsidR="0025693F" w:rsidRDefault="0025693F" w:rsidP="00101DD0">
      <w:pPr>
        <w:jc w:val="both"/>
        <w:rPr>
          <w:rFonts w:ascii="Arial" w:hAnsi="Arial" w:cs="Arial"/>
          <w:b/>
        </w:rPr>
      </w:pPr>
      <w:r>
        <w:rPr>
          <w:rFonts w:ascii="Arial" w:hAnsi="Arial" w:cs="Arial"/>
        </w:rPr>
        <w:br w:type="page"/>
      </w:r>
    </w:p>
    <w:p w:rsidR="0025693F" w:rsidRPr="00985711" w:rsidRDefault="0025693F" w:rsidP="00985711">
      <w:pPr>
        <w:pStyle w:val="ListParagraph"/>
        <w:numPr>
          <w:ilvl w:val="0"/>
          <w:numId w:val="13"/>
        </w:numPr>
        <w:rPr>
          <w:rFonts w:ascii="Arial" w:hAnsi="Arial" w:cs="Arial"/>
          <w:b/>
        </w:rPr>
      </w:pPr>
      <w:r w:rsidRPr="00985711">
        <w:rPr>
          <w:rFonts w:ascii="Arial" w:hAnsi="Arial" w:cs="Arial"/>
          <w:b/>
        </w:rPr>
        <w:lastRenderedPageBreak/>
        <w:t xml:space="preserve">Quarter </w:t>
      </w:r>
      <w:r w:rsidR="00561B31">
        <w:rPr>
          <w:rFonts w:ascii="Arial" w:hAnsi="Arial" w:cs="Arial"/>
          <w:b/>
        </w:rPr>
        <w:t>2</w:t>
      </w:r>
      <w:r w:rsidRPr="00985711">
        <w:rPr>
          <w:rFonts w:ascii="Arial" w:hAnsi="Arial" w:cs="Arial"/>
          <w:b/>
        </w:rPr>
        <w:t xml:space="preserve"> progress against objective milestone</w:t>
      </w:r>
      <w:r>
        <w:rPr>
          <w:rFonts w:ascii="Arial" w:hAnsi="Arial" w:cs="Arial"/>
          <w:b/>
        </w:rPr>
        <w:t>s in Annual Pl</w:t>
      </w:r>
      <w:r w:rsidRPr="00985711">
        <w:rPr>
          <w:rFonts w:ascii="Arial" w:hAnsi="Arial" w:cs="Arial"/>
          <w:b/>
        </w:rPr>
        <w:t>an</w:t>
      </w:r>
    </w:p>
    <w:p w:rsidR="0025693F" w:rsidRDefault="0025693F" w:rsidP="007E5BC7">
      <w:pPr>
        <w:jc w:val="both"/>
        <w:rPr>
          <w:rFonts w:ascii="Arial" w:hAnsi="Arial" w:cs="Arial"/>
        </w:rPr>
      </w:pPr>
    </w:p>
    <w:p w:rsidR="0025693F" w:rsidRDefault="0025693F" w:rsidP="00985711">
      <w:pPr>
        <w:pStyle w:val="ListParagraph"/>
        <w:ind w:left="0"/>
        <w:jc w:val="both"/>
        <w:rPr>
          <w:rFonts w:ascii="Arial" w:hAnsi="Arial" w:cs="Arial"/>
        </w:rPr>
      </w:pPr>
      <w:r w:rsidRPr="00985711">
        <w:rPr>
          <w:rFonts w:ascii="Arial" w:hAnsi="Arial" w:cs="Arial"/>
        </w:rPr>
        <w:t xml:space="preserve">Appendix A shows the </w:t>
      </w:r>
      <w:r w:rsidR="00561B31">
        <w:rPr>
          <w:rFonts w:ascii="Arial" w:hAnsi="Arial" w:cs="Arial"/>
        </w:rPr>
        <w:t>Q2</w:t>
      </w:r>
      <w:r w:rsidRPr="00985711">
        <w:rPr>
          <w:rFonts w:ascii="Arial" w:hAnsi="Arial" w:cs="Arial"/>
        </w:rPr>
        <w:t xml:space="preserve"> position against the objectives and milestones as agreed as part of the Annual Plan in May 2011. Each milestones is given a RAG status (column headed RAG) indicator showing the level of confidence that the milestone will be achieved to plan or effectively managed.</w:t>
      </w:r>
    </w:p>
    <w:p w:rsidR="0025693F" w:rsidRDefault="0025693F" w:rsidP="00985711">
      <w:pPr>
        <w:pStyle w:val="ListParagraph"/>
        <w:ind w:left="0"/>
        <w:jc w:val="both"/>
        <w:rPr>
          <w:rFonts w:ascii="Arial" w:hAnsi="Arial" w:cs="Arial"/>
        </w:rPr>
      </w:pPr>
    </w:p>
    <w:p w:rsidR="0025693F" w:rsidRPr="00292A88" w:rsidRDefault="0025693F" w:rsidP="00985711">
      <w:pPr>
        <w:pStyle w:val="ListParagraph"/>
        <w:ind w:left="0"/>
        <w:jc w:val="both"/>
        <w:rPr>
          <w:rFonts w:ascii="Arial" w:hAnsi="Arial" w:cs="Arial"/>
          <w:b/>
        </w:rPr>
      </w:pPr>
      <w:r>
        <w:rPr>
          <w:rFonts w:ascii="Arial" w:hAnsi="Arial" w:cs="Arial"/>
          <w:b/>
        </w:rPr>
        <w:t>Overall p</w:t>
      </w:r>
      <w:r w:rsidRPr="00292A88">
        <w:rPr>
          <w:rFonts w:ascii="Arial" w:hAnsi="Arial" w:cs="Arial"/>
          <w:b/>
        </w:rPr>
        <w:t>rogress against objectives</w:t>
      </w:r>
    </w:p>
    <w:p w:rsidR="0025693F" w:rsidRDefault="0025693F" w:rsidP="00985711">
      <w:pPr>
        <w:pStyle w:val="ListParagraph"/>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1546"/>
        <w:gridCol w:w="2110"/>
        <w:gridCol w:w="1403"/>
        <w:gridCol w:w="1403"/>
      </w:tblGrid>
      <w:tr w:rsidR="00242BB3" w:rsidTr="004E3482">
        <w:tc>
          <w:tcPr>
            <w:tcW w:w="2066" w:type="dxa"/>
          </w:tcPr>
          <w:p w:rsidR="00242BB3" w:rsidRPr="00BA50FA" w:rsidRDefault="00242BB3" w:rsidP="00BA50FA">
            <w:pPr>
              <w:pStyle w:val="ListParagraph"/>
              <w:ind w:left="0"/>
              <w:jc w:val="both"/>
              <w:rPr>
                <w:rFonts w:ascii="Arial" w:hAnsi="Arial" w:cs="Arial"/>
                <w:b/>
              </w:rPr>
            </w:pPr>
            <w:r>
              <w:rPr>
                <w:rFonts w:ascii="Arial" w:hAnsi="Arial" w:cs="Arial"/>
                <w:b/>
              </w:rPr>
              <w:t>Total Objectives (55)</w:t>
            </w:r>
          </w:p>
        </w:tc>
        <w:tc>
          <w:tcPr>
            <w:tcW w:w="1546" w:type="dxa"/>
          </w:tcPr>
          <w:p w:rsidR="00242BB3" w:rsidRPr="00BA50FA" w:rsidRDefault="00242BB3" w:rsidP="00242BB3">
            <w:pPr>
              <w:pStyle w:val="ListParagraph"/>
              <w:ind w:left="0"/>
              <w:jc w:val="both"/>
              <w:rPr>
                <w:rFonts w:ascii="Arial" w:hAnsi="Arial" w:cs="Arial"/>
                <w:b/>
              </w:rPr>
            </w:pPr>
            <w:r>
              <w:rPr>
                <w:rFonts w:ascii="Arial" w:hAnsi="Arial" w:cs="Arial"/>
                <w:b/>
              </w:rPr>
              <w:t>Q1</w:t>
            </w:r>
          </w:p>
        </w:tc>
        <w:tc>
          <w:tcPr>
            <w:tcW w:w="2110" w:type="dxa"/>
          </w:tcPr>
          <w:p w:rsidR="00242BB3" w:rsidRPr="00BA50FA" w:rsidRDefault="00242BB3" w:rsidP="00BA50FA">
            <w:pPr>
              <w:pStyle w:val="ListParagraph"/>
              <w:ind w:left="0"/>
              <w:jc w:val="both"/>
              <w:rPr>
                <w:rFonts w:ascii="Arial" w:hAnsi="Arial" w:cs="Arial"/>
                <w:b/>
              </w:rPr>
            </w:pPr>
            <w:r>
              <w:rPr>
                <w:rFonts w:ascii="Arial" w:hAnsi="Arial" w:cs="Arial"/>
                <w:b/>
              </w:rPr>
              <w:t>Q1 %</w:t>
            </w:r>
          </w:p>
        </w:tc>
        <w:tc>
          <w:tcPr>
            <w:tcW w:w="1403" w:type="dxa"/>
          </w:tcPr>
          <w:p w:rsidR="00242BB3" w:rsidRPr="00BA50FA" w:rsidRDefault="00242BB3" w:rsidP="00BA50FA">
            <w:pPr>
              <w:pStyle w:val="ListParagraph"/>
              <w:ind w:left="0"/>
              <w:jc w:val="both"/>
              <w:rPr>
                <w:rFonts w:ascii="Arial" w:hAnsi="Arial" w:cs="Arial"/>
                <w:b/>
              </w:rPr>
            </w:pPr>
            <w:r>
              <w:rPr>
                <w:rFonts w:ascii="Arial" w:hAnsi="Arial" w:cs="Arial"/>
                <w:b/>
              </w:rPr>
              <w:t>Q2</w:t>
            </w:r>
          </w:p>
        </w:tc>
        <w:tc>
          <w:tcPr>
            <w:tcW w:w="1403" w:type="dxa"/>
          </w:tcPr>
          <w:p w:rsidR="00242BB3" w:rsidRPr="00BA50FA" w:rsidRDefault="00242BB3" w:rsidP="00BA50FA">
            <w:pPr>
              <w:pStyle w:val="ListParagraph"/>
              <w:ind w:left="0"/>
              <w:jc w:val="both"/>
              <w:rPr>
                <w:rFonts w:ascii="Arial" w:hAnsi="Arial" w:cs="Arial"/>
                <w:b/>
              </w:rPr>
            </w:pPr>
            <w:r>
              <w:rPr>
                <w:rFonts w:ascii="Arial" w:hAnsi="Arial" w:cs="Arial"/>
                <w:b/>
              </w:rPr>
              <w:t>Q2 %</w:t>
            </w:r>
          </w:p>
        </w:tc>
      </w:tr>
      <w:tr w:rsidR="004E3482" w:rsidTr="004E3482">
        <w:tc>
          <w:tcPr>
            <w:tcW w:w="206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Green</w:t>
            </w:r>
          </w:p>
        </w:tc>
        <w:tc>
          <w:tcPr>
            <w:tcW w:w="154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25</w:t>
            </w:r>
          </w:p>
        </w:tc>
        <w:tc>
          <w:tcPr>
            <w:tcW w:w="2110" w:type="dxa"/>
          </w:tcPr>
          <w:p w:rsidR="004E3482" w:rsidRPr="00BA50FA" w:rsidRDefault="004E3482" w:rsidP="00BA50FA">
            <w:pPr>
              <w:pStyle w:val="ListParagraph"/>
              <w:ind w:left="0"/>
              <w:jc w:val="both"/>
              <w:rPr>
                <w:rFonts w:ascii="Arial" w:hAnsi="Arial" w:cs="Arial"/>
              </w:rPr>
            </w:pPr>
          </w:p>
          <w:p w:rsidR="004E3482" w:rsidRPr="00BA50FA" w:rsidRDefault="004E3482" w:rsidP="00290439">
            <w:pPr>
              <w:pStyle w:val="ListParagraph"/>
              <w:ind w:left="0"/>
              <w:jc w:val="both"/>
              <w:rPr>
                <w:rFonts w:ascii="Arial" w:hAnsi="Arial" w:cs="Arial"/>
              </w:rPr>
            </w:pPr>
            <w:r w:rsidRPr="00BA50FA">
              <w:rPr>
                <w:rFonts w:ascii="Arial" w:hAnsi="Arial" w:cs="Arial"/>
              </w:rPr>
              <w:t>45.</w:t>
            </w:r>
            <w:r w:rsidR="00290439">
              <w:rPr>
                <w:rFonts w:ascii="Arial" w:hAnsi="Arial" w:cs="Arial"/>
              </w:rPr>
              <w:t>5</w:t>
            </w:r>
            <w:r w:rsidRPr="00BA50FA">
              <w:rPr>
                <w:rFonts w:ascii="Arial" w:hAnsi="Arial" w:cs="Arial"/>
              </w:rPr>
              <w:t>%</w:t>
            </w:r>
          </w:p>
        </w:tc>
        <w:tc>
          <w:tcPr>
            <w:tcW w:w="1403" w:type="dxa"/>
          </w:tcPr>
          <w:p w:rsidR="00C77BDB" w:rsidRDefault="00C77BDB" w:rsidP="00BA50FA">
            <w:pPr>
              <w:pStyle w:val="ListParagraph"/>
              <w:ind w:left="0"/>
              <w:jc w:val="both"/>
              <w:rPr>
                <w:rFonts w:ascii="Arial" w:hAnsi="Arial" w:cs="Arial"/>
              </w:rPr>
            </w:pPr>
          </w:p>
          <w:p w:rsidR="004E3482" w:rsidRPr="00BA50FA" w:rsidRDefault="00C77BDB" w:rsidP="00BA50FA">
            <w:pPr>
              <w:pStyle w:val="ListParagraph"/>
              <w:ind w:left="0"/>
              <w:jc w:val="both"/>
              <w:rPr>
                <w:rFonts w:ascii="Arial" w:hAnsi="Arial" w:cs="Arial"/>
              </w:rPr>
            </w:pPr>
            <w:r>
              <w:rPr>
                <w:rFonts w:ascii="Arial" w:hAnsi="Arial" w:cs="Arial"/>
              </w:rPr>
              <w:t>29</w:t>
            </w:r>
          </w:p>
        </w:tc>
        <w:tc>
          <w:tcPr>
            <w:tcW w:w="1403" w:type="dxa"/>
          </w:tcPr>
          <w:p w:rsidR="004E3482" w:rsidRDefault="004E3482" w:rsidP="00BA50FA">
            <w:pPr>
              <w:pStyle w:val="ListParagraph"/>
              <w:ind w:left="0"/>
              <w:jc w:val="both"/>
              <w:rPr>
                <w:rFonts w:ascii="Arial" w:hAnsi="Arial" w:cs="Arial"/>
              </w:rPr>
            </w:pPr>
          </w:p>
          <w:p w:rsidR="00C77BDB" w:rsidRPr="00BA50FA" w:rsidRDefault="00290439" w:rsidP="00BA50FA">
            <w:pPr>
              <w:pStyle w:val="ListParagraph"/>
              <w:ind w:left="0"/>
              <w:jc w:val="both"/>
              <w:rPr>
                <w:rFonts w:ascii="Arial" w:hAnsi="Arial" w:cs="Arial"/>
              </w:rPr>
            </w:pPr>
            <w:r>
              <w:rPr>
                <w:rFonts w:ascii="Arial" w:hAnsi="Arial" w:cs="Arial"/>
              </w:rPr>
              <w:t>52.8</w:t>
            </w:r>
            <w:r w:rsidR="00C77BDB">
              <w:rPr>
                <w:rFonts w:ascii="Arial" w:hAnsi="Arial" w:cs="Arial"/>
              </w:rPr>
              <w:t>%</w:t>
            </w:r>
          </w:p>
        </w:tc>
      </w:tr>
      <w:tr w:rsidR="004E3482" w:rsidTr="004E3482">
        <w:tc>
          <w:tcPr>
            <w:tcW w:w="206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Amber</w:t>
            </w:r>
          </w:p>
        </w:tc>
        <w:tc>
          <w:tcPr>
            <w:tcW w:w="154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28</w:t>
            </w:r>
          </w:p>
        </w:tc>
        <w:tc>
          <w:tcPr>
            <w:tcW w:w="2110" w:type="dxa"/>
          </w:tcPr>
          <w:p w:rsidR="004E3482" w:rsidRPr="00BA50FA" w:rsidRDefault="004E3482" w:rsidP="00BA50FA">
            <w:pPr>
              <w:pStyle w:val="ListParagraph"/>
              <w:ind w:left="0"/>
              <w:jc w:val="both"/>
              <w:rPr>
                <w:rFonts w:ascii="Arial" w:hAnsi="Arial" w:cs="Arial"/>
              </w:rPr>
            </w:pPr>
          </w:p>
          <w:p w:rsidR="004E3482" w:rsidRPr="00BA50FA" w:rsidRDefault="004E3482" w:rsidP="00290439">
            <w:pPr>
              <w:pStyle w:val="ListParagraph"/>
              <w:ind w:left="0"/>
              <w:jc w:val="both"/>
              <w:rPr>
                <w:rFonts w:ascii="Arial" w:hAnsi="Arial" w:cs="Arial"/>
              </w:rPr>
            </w:pPr>
            <w:r w:rsidRPr="00BA50FA">
              <w:rPr>
                <w:rFonts w:ascii="Arial" w:hAnsi="Arial" w:cs="Arial"/>
              </w:rPr>
              <w:t>5</w:t>
            </w:r>
            <w:r w:rsidR="00290439">
              <w:rPr>
                <w:rFonts w:ascii="Arial" w:hAnsi="Arial" w:cs="Arial"/>
              </w:rPr>
              <w:t>0.9</w:t>
            </w:r>
            <w:r w:rsidRPr="00BA50FA">
              <w:rPr>
                <w:rFonts w:ascii="Arial" w:hAnsi="Arial" w:cs="Arial"/>
              </w:rPr>
              <w:t>%</w:t>
            </w:r>
          </w:p>
        </w:tc>
        <w:tc>
          <w:tcPr>
            <w:tcW w:w="1403" w:type="dxa"/>
          </w:tcPr>
          <w:p w:rsidR="00C77BDB" w:rsidRDefault="00C77BDB" w:rsidP="00BA50FA">
            <w:pPr>
              <w:pStyle w:val="ListParagraph"/>
              <w:ind w:left="0"/>
              <w:jc w:val="both"/>
              <w:rPr>
                <w:rFonts w:ascii="Arial" w:hAnsi="Arial" w:cs="Arial"/>
              </w:rPr>
            </w:pPr>
          </w:p>
          <w:p w:rsidR="004E3482" w:rsidRPr="00BA50FA" w:rsidRDefault="00290439" w:rsidP="00BA50FA">
            <w:pPr>
              <w:pStyle w:val="ListParagraph"/>
              <w:ind w:left="0"/>
              <w:jc w:val="both"/>
              <w:rPr>
                <w:rFonts w:ascii="Arial" w:hAnsi="Arial" w:cs="Arial"/>
              </w:rPr>
            </w:pPr>
            <w:r>
              <w:rPr>
                <w:rFonts w:ascii="Arial" w:hAnsi="Arial" w:cs="Arial"/>
              </w:rPr>
              <w:t>24</w:t>
            </w:r>
          </w:p>
        </w:tc>
        <w:tc>
          <w:tcPr>
            <w:tcW w:w="1403" w:type="dxa"/>
          </w:tcPr>
          <w:p w:rsidR="00C77BDB" w:rsidRDefault="00C77BDB" w:rsidP="00BA50FA">
            <w:pPr>
              <w:pStyle w:val="ListParagraph"/>
              <w:ind w:left="0"/>
              <w:jc w:val="both"/>
              <w:rPr>
                <w:rFonts w:ascii="Arial" w:hAnsi="Arial" w:cs="Arial"/>
              </w:rPr>
            </w:pPr>
          </w:p>
          <w:p w:rsidR="004E3482" w:rsidRPr="00BA50FA" w:rsidRDefault="00290439" w:rsidP="00BA50FA">
            <w:pPr>
              <w:pStyle w:val="ListParagraph"/>
              <w:ind w:left="0"/>
              <w:jc w:val="both"/>
              <w:rPr>
                <w:rFonts w:ascii="Arial" w:hAnsi="Arial" w:cs="Arial"/>
              </w:rPr>
            </w:pPr>
            <w:r>
              <w:rPr>
                <w:rFonts w:ascii="Arial" w:hAnsi="Arial" w:cs="Arial"/>
              </w:rPr>
              <w:t>43.6%</w:t>
            </w:r>
          </w:p>
        </w:tc>
      </w:tr>
      <w:tr w:rsidR="004E3482" w:rsidTr="004E3482">
        <w:tc>
          <w:tcPr>
            <w:tcW w:w="206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Red</w:t>
            </w:r>
          </w:p>
        </w:tc>
        <w:tc>
          <w:tcPr>
            <w:tcW w:w="1546" w:type="dxa"/>
          </w:tcPr>
          <w:p w:rsidR="004E3482" w:rsidRPr="00BA50FA" w:rsidRDefault="004E3482" w:rsidP="00BA50FA">
            <w:pPr>
              <w:pStyle w:val="ListParagraph"/>
              <w:ind w:left="0"/>
              <w:jc w:val="both"/>
              <w:rPr>
                <w:rFonts w:ascii="Arial" w:hAnsi="Arial" w:cs="Arial"/>
              </w:rPr>
            </w:pPr>
          </w:p>
          <w:p w:rsidR="004E3482" w:rsidRPr="00BA50FA" w:rsidRDefault="004E3482" w:rsidP="00BA50FA">
            <w:pPr>
              <w:pStyle w:val="ListParagraph"/>
              <w:ind w:left="0"/>
              <w:jc w:val="both"/>
              <w:rPr>
                <w:rFonts w:ascii="Arial" w:hAnsi="Arial" w:cs="Arial"/>
              </w:rPr>
            </w:pPr>
            <w:r w:rsidRPr="00BA50FA">
              <w:rPr>
                <w:rFonts w:ascii="Arial" w:hAnsi="Arial" w:cs="Arial"/>
              </w:rPr>
              <w:t>2</w:t>
            </w:r>
          </w:p>
        </w:tc>
        <w:tc>
          <w:tcPr>
            <w:tcW w:w="2110" w:type="dxa"/>
          </w:tcPr>
          <w:p w:rsidR="004E3482" w:rsidRPr="00BA50FA" w:rsidRDefault="004E3482" w:rsidP="00BA50FA">
            <w:pPr>
              <w:pStyle w:val="ListParagraph"/>
              <w:ind w:left="0"/>
              <w:jc w:val="both"/>
              <w:rPr>
                <w:rFonts w:ascii="Arial" w:hAnsi="Arial" w:cs="Arial"/>
              </w:rPr>
            </w:pPr>
          </w:p>
          <w:p w:rsidR="004E3482" w:rsidRPr="00BA50FA" w:rsidRDefault="004E3482" w:rsidP="00290439">
            <w:pPr>
              <w:pStyle w:val="ListParagraph"/>
              <w:ind w:left="0"/>
              <w:jc w:val="both"/>
              <w:rPr>
                <w:rFonts w:ascii="Arial" w:hAnsi="Arial" w:cs="Arial"/>
              </w:rPr>
            </w:pPr>
            <w:r w:rsidRPr="00BA50FA">
              <w:rPr>
                <w:rFonts w:ascii="Arial" w:hAnsi="Arial" w:cs="Arial"/>
              </w:rPr>
              <w:t>3.</w:t>
            </w:r>
            <w:r w:rsidR="00290439">
              <w:rPr>
                <w:rFonts w:ascii="Arial" w:hAnsi="Arial" w:cs="Arial"/>
              </w:rPr>
              <w:t>6</w:t>
            </w:r>
            <w:r w:rsidRPr="00BA50FA">
              <w:rPr>
                <w:rFonts w:ascii="Arial" w:hAnsi="Arial" w:cs="Arial"/>
              </w:rPr>
              <w:t>%</w:t>
            </w:r>
          </w:p>
        </w:tc>
        <w:tc>
          <w:tcPr>
            <w:tcW w:w="1403" w:type="dxa"/>
          </w:tcPr>
          <w:p w:rsidR="002938B3" w:rsidRDefault="002938B3" w:rsidP="00BA50FA">
            <w:pPr>
              <w:pStyle w:val="ListParagraph"/>
              <w:ind w:left="0"/>
              <w:jc w:val="both"/>
              <w:rPr>
                <w:rFonts w:ascii="Arial" w:hAnsi="Arial" w:cs="Arial"/>
              </w:rPr>
            </w:pPr>
          </w:p>
          <w:p w:rsidR="004E3482" w:rsidRPr="00BA50FA" w:rsidRDefault="00290439" w:rsidP="00BA50FA">
            <w:pPr>
              <w:pStyle w:val="ListParagraph"/>
              <w:ind w:left="0"/>
              <w:jc w:val="both"/>
              <w:rPr>
                <w:rFonts w:ascii="Arial" w:hAnsi="Arial" w:cs="Arial"/>
              </w:rPr>
            </w:pPr>
            <w:r>
              <w:rPr>
                <w:rFonts w:ascii="Arial" w:hAnsi="Arial" w:cs="Arial"/>
              </w:rPr>
              <w:t>2</w:t>
            </w:r>
          </w:p>
        </w:tc>
        <w:tc>
          <w:tcPr>
            <w:tcW w:w="1403" w:type="dxa"/>
          </w:tcPr>
          <w:p w:rsidR="00C77BDB" w:rsidRDefault="00C77BDB" w:rsidP="00BA50FA">
            <w:pPr>
              <w:pStyle w:val="ListParagraph"/>
              <w:ind w:left="0"/>
              <w:jc w:val="both"/>
              <w:rPr>
                <w:rFonts w:ascii="Arial" w:hAnsi="Arial" w:cs="Arial"/>
              </w:rPr>
            </w:pPr>
          </w:p>
          <w:p w:rsidR="004E3482" w:rsidRPr="00BA50FA" w:rsidRDefault="00290439" w:rsidP="00290439">
            <w:pPr>
              <w:pStyle w:val="ListParagraph"/>
              <w:ind w:left="0"/>
              <w:jc w:val="both"/>
              <w:rPr>
                <w:rFonts w:ascii="Arial" w:hAnsi="Arial" w:cs="Arial"/>
              </w:rPr>
            </w:pPr>
            <w:r>
              <w:rPr>
                <w:rFonts w:ascii="Arial" w:hAnsi="Arial" w:cs="Arial"/>
              </w:rPr>
              <w:t>3.6</w:t>
            </w:r>
            <w:r w:rsidR="00C77BDB">
              <w:rPr>
                <w:rFonts w:ascii="Arial" w:hAnsi="Arial" w:cs="Arial"/>
              </w:rPr>
              <w:t>%</w:t>
            </w:r>
          </w:p>
        </w:tc>
      </w:tr>
    </w:tbl>
    <w:p w:rsidR="0025693F" w:rsidRPr="00985711" w:rsidRDefault="0025693F" w:rsidP="00985711">
      <w:pPr>
        <w:pStyle w:val="ListParagraph"/>
        <w:ind w:left="0"/>
        <w:jc w:val="both"/>
        <w:rPr>
          <w:rFonts w:ascii="Arial" w:hAnsi="Arial" w:cs="Arial"/>
        </w:rPr>
      </w:pPr>
    </w:p>
    <w:p w:rsidR="0025693F" w:rsidRPr="007E5BC7" w:rsidRDefault="0025693F" w:rsidP="007E5BC7">
      <w:pPr>
        <w:jc w:val="both"/>
        <w:rPr>
          <w:rFonts w:ascii="Arial" w:hAnsi="Arial" w:cs="Arial"/>
        </w:rPr>
      </w:pPr>
    </w:p>
    <w:p w:rsidR="0025693F" w:rsidRDefault="0025693F" w:rsidP="00985711">
      <w:pPr>
        <w:ind w:firstLine="360"/>
        <w:jc w:val="both"/>
        <w:rPr>
          <w:rFonts w:ascii="Arial" w:hAnsi="Arial" w:cs="Arial"/>
        </w:rPr>
      </w:pPr>
      <w:r>
        <w:rPr>
          <w:rFonts w:ascii="Arial" w:hAnsi="Arial" w:cs="Arial"/>
        </w:rPr>
        <w:t>T</w:t>
      </w:r>
      <w:r w:rsidR="00290439">
        <w:rPr>
          <w:rFonts w:ascii="Arial" w:hAnsi="Arial" w:cs="Arial"/>
        </w:rPr>
        <w:t>wo</w:t>
      </w:r>
      <w:r>
        <w:rPr>
          <w:rFonts w:ascii="Arial" w:hAnsi="Arial" w:cs="Arial"/>
        </w:rPr>
        <w:t xml:space="preserve"> priorities have been rated RED this quarter:</w:t>
      </w:r>
    </w:p>
    <w:p w:rsidR="0025693F" w:rsidRDefault="0025693F" w:rsidP="007E5BC7">
      <w:pPr>
        <w:jc w:val="both"/>
        <w:rPr>
          <w:rFonts w:ascii="Arial" w:hAnsi="Arial" w:cs="Arial"/>
        </w:rPr>
      </w:pPr>
    </w:p>
    <w:p w:rsidR="0025693F" w:rsidRDefault="0025693F" w:rsidP="007E5BC7">
      <w:pPr>
        <w:jc w:val="both"/>
        <w:rPr>
          <w:rFonts w:ascii="Arial" w:hAnsi="Arial" w:cs="Arial"/>
        </w:rPr>
      </w:pPr>
    </w:p>
    <w:p w:rsidR="002443B6" w:rsidRPr="002443B6" w:rsidRDefault="007B3DE7" w:rsidP="002443B6">
      <w:pPr>
        <w:pStyle w:val="ListParagraph"/>
        <w:numPr>
          <w:ilvl w:val="1"/>
          <w:numId w:val="19"/>
        </w:numPr>
        <w:jc w:val="both"/>
        <w:rPr>
          <w:rFonts w:ascii="Arial" w:hAnsi="Arial" w:cs="Arial"/>
          <w:color w:val="000000"/>
        </w:rPr>
      </w:pPr>
      <w:r w:rsidRPr="002443B6">
        <w:rPr>
          <w:rFonts w:ascii="Arial" w:hAnsi="Arial" w:cs="Arial"/>
        </w:rPr>
        <w:tab/>
      </w:r>
      <w:r w:rsidR="002938B3" w:rsidRPr="002443B6">
        <w:rPr>
          <w:rFonts w:ascii="Arial" w:hAnsi="Arial" w:cs="Arial"/>
        </w:rPr>
        <w:t>Priority: Clinical Plans. 02. Reduce towards zero t</w:t>
      </w:r>
      <w:r w:rsidR="002443B6" w:rsidRPr="002443B6">
        <w:rPr>
          <w:rFonts w:ascii="Arial" w:hAnsi="Arial" w:cs="Arial"/>
        </w:rPr>
        <w:t>h</w:t>
      </w:r>
      <w:r w:rsidR="002938B3" w:rsidRPr="002443B6">
        <w:rPr>
          <w:rFonts w:ascii="Arial" w:hAnsi="Arial" w:cs="Arial"/>
        </w:rPr>
        <w:t xml:space="preserve">e number of </w:t>
      </w:r>
      <w:r w:rsidR="002938B3" w:rsidRPr="002443B6">
        <w:rPr>
          <w:rFonts w:ascii="Arial" w:hAnsi="Arial" w:cs="Arial"/>
        </w:rPr>
        <w:tab/>
        <w:t>community deaths of patients in Trust services.</w:t>
      </w:r>
      <w:r w:rsidR="002443B6">
        <w:rPr>
          <w:rFonts w:ascii="Arial" w:hAnsi="Arial" w:cs="Arial"/>
        </w:rPr>
        <w:t xml:space="preserve"> </w:t>
      </w:r>
      <w:r w:rsidR="002443B6" w:rsidRPr="002443B6">
        <w:rPr>
          <w:rFonts w:ascii="Arial" w:hAnsi="Arial" w:cs="Arial"/>
          <w:color w:val="000000"/>
        </w:rPr>
        <w:t xml:space="preserve">With 20 apparent </w:t>
      </w:r>
      <w:r w:rsidR="002443B6">
        <w:rPr>
          <w:rFonts w:ascii="Arial" w:hAnsi="Arial" w:cs="Arial"/>
          <w:color w:val="000000"/>
        </w:rPr>
        <w:tab/>
      </w:r>
      <w:r w:rsidR="002443B6" w:rsidRPr="002443B6">
        <w:rPr>
          <w:rFonts w:ascii="Arial" w:hAnsi="Arial" w:cs="Arial"/>
          <w:color w:val="000000"/>
        </w:rPr>
        <w:t xml:space="preserve">suicides this year already, a projection for the full year is around 40, a </w:t>
      </w:r>
      <w:r w:rsidR="002443B6">
        <w:rPr>
          <w:rFonts w:ascii="Arial" w:hAnsi="Arial" w:cs="Arial"/>
          <w:color w:val="000000"/>
        </w:rPr>
        <w:tab/>
      </w:r>
      <w:r w:rsidR="002443B6" w:rsidRPr="002443B6">
        <w:rPr>
          <w:rFonts w:ascii="Arial" w:hAnsi="Arial" w:cs="Arial"/>
          <w:color w:val="000000"/>
        </w:rPr>
        <w:t>year on year rise since 2009/10. The L</w:t>
      </w:r>
      <w:r w:rsidR="00C77BDB">
        <w:rPr>
          <w:rFonts w:ascii="Arial" w:hAnsi="Arial" w:cs="Arial"/>
          <w:color w:val="000000"/>
        </w:rPr>
        <w:t xml:space="preserve">eading Improvements in Patient </w:t>
      </w:r>
      <w:r w:rsidR="00C77BDB">
        <w:rPr>
          <w:rFonts w:ascii="Arial" w:hAnsi="Arial" w:cs="Arial"/>
          <w:color w:val="000000"/>
        </w:rPr>
        <w:tab/>
        <w:t>Safety (LIPS)</w:t>
      </w:r>
      <w:r w:rsidR="002443B6" w:rsidRPr="002443B6">
        <w:rPr>
          <w:rFonts w:ascii="Arial" w:hAnsi="Arial" w:cs="Arial"/>
          <w:color w:val="000000"/>
        </w:rPr>
        <w:t xml:space="preserve"> programme has been re-invigorated but is still not active </w:t>
      </w:r>
      <w:r w:rsidR="00C77BDB">
        <w:rPr>
          <w:rFonts w:ascii="Arial" w:hAnsi="Arial" w:cs="Arial"/>
          <w:color w:val="000000"/>
        </w:rPr>
        <w:tab/>
      </w:r>
      <w:r w:rsidR="002443B6" w:rsidRPr="002443B6">
        <w:rPr>
          <w:rFonts w:ascii="Arial" w:hAnsi="Arial" w:cs="Arial"/>
          <w:color w:val="000000"/>
        </w:rPr>
        <w:t xml:space="preserve">in all teams. A new project lead has been identified in the Improvement </w:t>
      </w:r>
      <w:r w:rsidR="00C77BDB">
        <w:rPr>
          <w:rFonts w:ascii="Arial" w:hAnsi="Arial" w:cs="Arial"/>
          <w:color w:val="000000"/>
        </w:rPr>
        <w:tab/>
      </w:r>
      <w:r w:rsidR="002443B6" w:rsidRPr="002443B6">
        <w:rPr>
          <w:rFonts w:ascii="Arial" w:hAnsi="Arial" w:cs="Arial"/>
          <w:color w:val="000000"/>
        </w:rPr>
        <w:t>and Innovation team and a new</w:t>
      </w:r>
      <w:r w:rsidR="00C77BDB">
        <w:rPr>
          <w:rFonts w:ascii="Arial" w:hAnsi="Arial" w:cs="Arial"/>
          <w:color w:val="000000"/>
        </w:rPr>
        <w:t xml:space="preserve"> </w:t>
      </w:r>
      <w:r w:rsidR="002443B6" w:rsidRPr="002443B6">
        <w:rPr>
          <w:rFonts w:ascii="Arial" w:hAnsi="Arial" w:cs="Arial"/>
          <w:color w:val="000000"/>
        </w:rPr>
        <w:t xml:space="preserve">Project Board chaired by the Director </w:t>
      </w:r>
      <w:r w:rsidR="00C77BDB">
        <w:rPr>
          <w:rFonts w:ascii="Arial" w:hAnsi="Arial" w:cs="Arial"/>
          <w:color w:val="000000"/>
        </w:rPr>
        <w:tab/>
      </w:r>
      <w:r w:rsidR="002443B6" w:rsidRPr="002443B6">
        <w:rPr>
          <w:rFonts w:ascii="Arial" w:hAnsi="Arial" w:cs="Arial"/>
          <w:color w:val="000000"/>
        </w:rPr>
        <w:t>of Nursing is due to meet in</w:t>
      </w:r>
      <w:r w:rsidR="00C77BDB">
        <w:rPr>
          <w:rFonts w:ascii="Arial" w:hAnsi="Arial" w:cs="Arial"/>
          <w:color w:val="000000"/>
        </w:rPr>
        <w:t xml:space="preserve"> </w:t>
      </w:r>
      <w:r w:rsidR="002443B6" w:rsidRPr="002443B6">
        <w:rPr>
          <w:rFonts w:ascii="Arial" w:hAnsi="Arial" w:cs="Arial"/>
          <w:color w:val="000000"/>
        </w:rPr>
        <w:t xml:space="preserve">November 2011. Two showcase wards </w:t>
      </w:r>
      <w:r w:rsidR="00C77BDB">
        <w:rPr>
          <w:rFonts w:ascii="Arial" w:hAnsi="Arial" w:cs="Arial"/>
          <w:color w:val="000000"/>
        </w:rPr>
        <w:tab/>
      </w:r>
      <w:r w:rsidR="002443B6" w:rsidRPr="002443B6">
        <w:rPr>
          <w:rFonts w:ascii="Arial" w:hAnsi="Arial" w:cs="Arial"/>
          <w:color w:val="000000"/>
        </w:rPr>
        <w:t>have been established to share</w:t>
      </w:r>
      <w:r w:rsidR="00C77BDB">
        <w:rPr>
          <w:rFonts w:ascii="Arial" w:hAnsi="Arial" w:cs="Arial"/>
          <w:color w:val="000000"/>
        </w:rPr>
        <w:t xml:space="preserve"> </w:t>
      </w:r>
      <w:r w:rsidR="002443B6" w:rsidRPr="002443B6">
        <w:rPr>
          <w:rFonts w:ascii="Arial" w:hAnsi="Arial" w:cs="Arial"/>
          <w:color w:val="000000"/>
        </w:rPr>
        <w:t xml:space="preserve">their progress with other wards: </w:t>
      </w:r>
      <w:r w:rsidR="00C77BDB">
        <w:rPr>
          <w:rFonts w:ascii="Arial" w:hAnsi="Arial" w:cs="Arial"/>
          <w:color w:val="000000"/>
        </w:rPr>
        <w:tab/>
      </w:r>
      <w:r w:rsidR="002443B6" w:rsidRPr="002443B6">
        <w:rPr>
          <w:rFonts w:ascii="Arial" w:hAnsi="Arial" w:cs="Arial"/>
          <w:color w:val="000000"/>
        </w:rPr>
        <w:t xml:space="preserve">Ashurst and Marlborough House </w:t>
      </w:r>
      <w:r w:rsidR="002443B6">
        <w:rPr>
          <w:rFonts w:ascii="Arial" w:hAnsi="Arial" w:cs="Arial"/>
          <w:color w:val="000000"/>
        </w:rPr>
        <w:tab/>
      </w:r>
      <w:r w:rsidR="002443B6" w:rsidRPr="002443B6">
        <w:rPr>
          <w:rFonts w:ascii="Arial" w:hAnsi="Arial" w:cs="Arial"/>
          <w:color w:val="000000"/>
        </w:rPr>
        <w:t xml:space="preserve">(Wiltshire). These two teams have </w:t>
      </w:r>
      <w:r w:rsidR="00C77BDB">
        <w:rPr>
          <w:rFonts w:ascii="Arial" w:hAnsi="Arial" w:cs="Arial"/>
          <w:color w:val="000000"/>
        </w:rPr>
        <w:tab/>
      </w:r>
      <w:r w:rsidR="002443B6" w:rsidRPr="002443B6">
        <w:rPr>
          <w:rFonts w:ascii="Arial" w:hAnsi="Arial" w:cs="Arial"/>
          <w:color w:val="000000"/>
        </w:rPr>
        <w:t>made impressive progress</w:t>
      </w:r>
      <w:r w:rsidR="00C77BDB">
        <w:rPr>
          <w:rFonts w:ascii="Arial" w:hAnsi="Arial" w:cs="Arial"/>
          <w:color w:val="000000"/>
        </w:rPr>
        <w:t xml:space="preserve"> </w:t>
      </w:r>
      <w:r w:rsidR="002443B6" w:rsidRPr="002443B6">
        <w:rPr>
          <w:rFonts w:ascii="Arial" w:hAnsi="Arial" w:cs="Arial"/>
          <w:color w:val="000000"/>
        </w:rPr>
        <w:t xml:space="preserve">integrating the Productive Ward and LIPS </w:t>
      </w:r>
      <w:r w:rsidR="00C77BDB">
        <w:rPr>
          <w:rFonts w:ascii="Arial" w:hAnsi="Arial" w:cs="Arial"/>
          <w:color w:val="000000"/>
        </w:rPr>
        <w:tab/>
      </w:r>
      <w:r w:rsidR="002443B6" w:rsidRPr="002443B6">
        <w:rPr>
          <w:rFonts w:ascii="Arial" w:hAnsi="Arial" w:cs="Arial"/>
          <w:color w:val="000000"/>
        </w:rPr>
        <w:t>programmes. Intranet</w:t>
      </w:r>
      <w:r w:rsidR="00C77BDB">
        <w:rPr>
          <w:rFonts w:ascii="Arial" w:hAnsi="Arial" w:cs="Arial"/>
          <w:color w:val="000000"/>
        </w:rPr>
        <w:t xml:space="preserve"> </w:t>
      </w:r>
      <w:r w:rsidR="002443B6" w:rsidRPr="002443B6">
        <w:rPr>
          <w:rFonts w:ascii="Arial" w:hAnsi="Arial" w:cs="Arial"/>
          <w:color w:val="000000"/>
        </w:rPr>
        <w:t xml:space="preserve">resources and detailed dashboard monitoring is </w:t>
      </w:r>
      <w:r w:rsidR="00C77BDB">
        <w:rPr>
          <w:rFonts w:ascii="Arial" w:hAnsi="Arial" w:cs="Arial"/>
          <w:color w:val="000000"/>
        </w:rPr>
        <w:tab/>
      </w:r>
      <w:r w:rsidR="002443B6" w:rsidRPr="002443B6">
        <w:rPr>
          <w:rFonts w:ascii="Arial" w:hAnsi="Arial" w:cs="Arial"/>
          <w:color w:val="000000"/>
        </w:rPr>
        <w:t>under development. All</w:t>
      </w:r>
      <w:r w:rsidR="00C77BDB">
        <w:rPr>
          <w:rFonts w:ascii="Arial" w:hAnsi="Arial" w:cs="Arial"/>
          <w:color w:val="000000"/>
        </w:rPr>
        <w:t xml:space="preserve"> </w:t>
      </w:r>
      <w:r w:rsidR="002443B6" w:rsidRPr="002443B6">
        <w:rPr>
          <w:rFonts w:ascii="Arial" w:hAnsi="Arial" w:cs="Arial"/>
          <w:color w:val="000000"/>
        </w:rPr>
        <w:t xml:space="preserve">community teams have identified one service </w:t>
      </w:r>
      <w:r w:rsidR="00C77BDB">
        <w:rPr>
          <w:rFonts w:ascii="Arial" w:hAnsi="Arial" w:cs="Arial"/>
          <w:color w:val="000000"/>
        </w:rPr>
        <w:tab/>
      </w:r>
      <w:r w:rsidR="002443B6" w:rsidRPr="002443B6">
        <w:rPr>
          <w:rFonts w:ascii="Arial" w:hAnsi="Arial" w:cs="Arial"/>
          <w:color w:val="000000"/>
        </w:rPr>
        <w:t>improvement aimed at</w:t>
      </w:r>
      <w:r w:rsidR="00C77BDB">
        <w:rPr>
          <w:rFonts w:ascii="Arial" w:hAnsi="Arial" w:cs="Arial"/>
          <w:color w:val="000000"/>
        </w:rPr>
        <w:t xml:space="preserve"> </w:t>
      </w:r>
      <w:r w:rsidR="002443B6" w:rsidRPr="002443B6">
        <w:rPr>
          <w:rFonts w:ascii="Arial" w:hAnsi="Arial" w:cs="Arial"/>
          <w:color w:val="000000"/>
        </w:rPr>
        <w:t xml:space="preserve">reducing suicide (a CQUIN target). The </w:t>
      </w:r>
      <w:proofErr w:type="gramStart"/>
      <w:r w:rsidR="002443B6" w:rsidRPr="002443B6">
        <w:rPr>
          <w:rFonts w:ascii="Arial" w:hAnsi="Arial" w:cs="Arial"/>
          <w:color w:val="000000"/>
        </w:rPr>
        <w:t>trust are</w:t>
      </w:r>
      <w:proofErr w:type="gramEnd"/>
      <w:r w:rsidR="002443B6" w:rsidRPr="002443B6">
        <w:rPr>
          <w:rFonts w:ascii="Arial" w:hAnsi="Arial" w:cs="Arial"/>
          <w:color w:val="000000"/>
        </w:rPr>
        <w:t xml:space="preserve"> </w:t>
      </w:r>
      <w:r w:rsidR="00C77BDB">
        <w:rPr>
          <w:rFonts w:ascii="Arial" w:hAnsi="Arial" w:cs="Arial"/>
          <w:color w:val="000000"/>
        </w:rPr>
        <w:tab/>
      </w:r>
      <w:r w:rsidR="002443B6" w:rsidRPr="002443B6">
        <w:rPr>
          <w:rFonts w:ascii="Arial" w:hAnsi="Arial" w:cs="Arial"/>
          <w:color w:val="000000"/>
        </w:rPr>
        <w:t xml:space="preserve">looking to provide a </w:t>
      </w:r>
      <w:r w:rsidR="002443B6">
        <w:rPr>
          <w:rFonts w:ascii="Arial" w:hAnsi="Arial" w:cs="Arial"/>
          <w:color w:val="000000"/>
        </w:rPr>
        <w:tab/>
      </w:r>
      <w:r w:rsidR="002443B6" w:rsidRPr="002443B6">
        <w:rPr>
          <w:rFonts w:ascii="Arial" w:hAnsi="Arial" w:cs="Arial"/>
          <w:color w:val="000000"/>
        </w:rPr>
        <w:t xml:space="preserve">large new training cohort by running a local training </w:t>
      </w:r>
      <w:r w:rsidR="00C77BDB">
        <w:rPr>
          <w:rFonts w:ascii="Arial" w:hAnsi="Arial" w:cs="Arial"/>
          <w:color w:val="000000"/>
        </w:rPr>
        <w:tab/>
      </w:r>
      <w:r w:rsidR="002443B6" w:rsidRPr="002443B6">
        <w:rPr>
          <w:rFonts w:ascii="Arial" w:hAnsi="Arial" w:cs="Arial"/>
          <w:color w:val="000000"/>
        </w:rPr>
        <w:t>programme facilitated by the NHS Institute.</w:t>
      </w:r>
    </w:p>
    <w:p w:rsidR="002443B6" w:rsidRPr="002443B6" w:rsidRDefault="002443B6" w:rsidP="002443B6">
      <w:pPr>
        <w:pStyle w:val="ListParagraph"/>
        <w:rPr>
          <w:rFonts w:ascii="Arial" w:hAnsi="Arial" w:cs="Arial"/>
        </w:rPr>
      </w:pPr>
    </w:p>
    <w:p w:rsidR="007B3DE7" w:rsidRPr="007B3DE7" w:rsidRDefault="002443B6" w:rsidP="007B3DE7">
      <w:pPr>
        <w:pStyle w:val="ListParagraph"/>
        <w:numPr>
          <w:ilvl w:val="1"/>
          <w:numId w:val="19"/>
        </w:numPr>
        <w:jc w:val="both"/>
        <w:rPr>
          <w:rFonts w:ascii="Arial" w:hAnsi="Arial" w:cs="Arial"/>
        </w:rPr>
      </w:pPr>
      <w:r>
        <w:rPr>
          <w:rFonts w:ascii="Arial" w:hAnsi="Arial" w:cs="Arial"/>
        </w:rPr>
        <w:tab/>
      </w:r>
      <w:r w:rsidR="0025693F" w:rsidRPr="007B3DE7">
        <w:rPr>
          <w:rFonts w:ascii="Arial" w:hAnsi="Arial" w:cs="Arial"/>
        </w:rPr>
        <w:t xml:space="preserve">Priority: Regulatory Requirements, 05 has also been rated as RED this </w:t>
      </w:r>
      <w:r w:rsidR="007B3DE7">
        <w:rPr>
          <w:rFonts w:ascii="Arial" w:hAnsi="Arial" w:cs="Arial"/>
        </w:rPr>
        <w:tab/>
      </w:r>
      <w:r w:rsidR="0025693F" w:rsidRPr="007B3DE7">
        <w:rPr>
          <w:rFonts w:ascii="Arial" w:hAnsi="Arial" w:cs="Arial"/>
        </w:rPr>
        <w:t>month. This is the priority for continued membership growth.</w:t>
      </w:r>
      <w:r w:rsidR="00242BB3" w:rsidRPr="007B3DE7">
        <w:rPr>
          <w:rFonts w:ascii="Arial" w:hAnsi="Arial" w:cs="Arial"/>
        </w:rPr>
        <w:t xml:space="preserve"> </w:t>
      </w:r>
      <w:r w:rsidR="007B3DE7" w:rsidRPr="007B3DE7">
        <w:rPr>
          <w:rFonts w:ascii="Arial" w:hAnsi="Arial" w:cs="Arial"/>
          <w:bCs/>
          <w:color w:val="000000"/>
        </w:rPr>
        <w:t xml:space="preserve">The </w:t>
      </w:r>
      <w:r w:rsidR="002938B3">
        <w:rPr>
          <w:rFonts w:ascii="Arial" w:hAnsi="Arial" w:cs="Arial"/>
          <w:bCs/>
          <w:color w:val="000000"/>
        </w:rPr>
        <w:tab/>
      </w:r>
      <w:r w:rsidR="007B3DE7" w:rsidRPr="007B3DE7">
        <w:rPr>
          <w:rFonts w:ascii="Arial" w:hAnsi="Arial" w:cs="Arial"/>
          <w:bCs/>
          <w:color w:val="000000"/>
        </w:rPr>
        <w:t>Trust's Annual Plan requires a growth of 66 new</w:t>
      </w:r>
      <w:r w:rsidR="002938B3">
        <w:rPr>
          <w:rFonts w:ascii="Arial" w:hAnsi="Arial" w:cs="Arial"/>
          <w:bCs/>
          <w:color w:val="000000"/>
        </w:rPr>
        <w:t xml:space="preserve"> </w:t>
      </w:r>
      <w:r w:rsidR="007B3DE7" w:rsidRPr="007B3DE7">
        <w:rPr>
          <w:rFonts w:ascii="Arial" w:hAnsi="Arial" w:cs="Arial"/>
          <w:bCs/>
          <w:color w:val="000000"/>
        </w:rPr>
        <w:t xml:space="preserve">Members each a </w:t>
      </w:r>
      <w:r w:rsidR="002938B3">
        <w:rPr>
          <w:rFonts w:ascii="Arial" w:hAnsi="Arial" w:cs="Arial"/>
          <w:bCs/>
          <w:color w:val="000000"/>
        </w:rPr>
        <w:tab/>
      </w:r>
      <w:r w:rsidR="007B3DE7" w:rsidRPr="007B3DE7">
        <w:rPr>
          <w:rFonts w:ascii="Arial" w:hAnsi="Arial" w:cs="Arial"/>
          <w:bCs/>
          <w:color w:val="000000"/>
        </w:rPr>
        <w:t xml:space="preserve">quarter.  Subtracting the number of Members leaving </w:t>
      </w:r>
      <w:r w:rsidR="007B3DE7">
        <w:rPr>
          <w:rFonts w:ascii="Arial" w:hAnsi="Arial" w:cs="Arial"/>
          <w:bCs/>
          <w:color w:val="000000"/>
        </w:rPr>
        <w:tab/>
      </w:r>
      <w:r w:rsidR="007B3DE7" w:rsidRPr="007B3DE7">
        <w:rPr>
          <w:rFonts w:ascii="Arial" w:hAnsi="Arial" w:cs="Arial"/>
          <w:bCs/>
          <w:color w:val="000000"/>
        </w:rPr>
        <w:t xml:space="preserve">from the number </w:t>
      </w:r>
      <w:r w:rsidR="002938B3">
        <w:rPr>
          <w:rFonts w:ascii="Arial" w:hAnsi="Arial" w:cs="Arial"/>
          <w:bCs/>
          <w:color w:val="000000"/>
        </w:rPr>
        <w:tab/>
      </w:r>
      <w:r w:rsidR="007B3DE7" w:rsidRPr="007B3DE7">
        <w:rPr>
          <w:rFonts w:ascii="Arial" w:hAnsi="Arial" w:cs="Arial"/>
          <w:bCs/>
          <w:color w:val="000000"/>
        </w:rPr>
        <w:t>joining, the Trust did not achieve any growth this</w:t>
      </w:r>
      <w:r w:rsidR="002938B3">
        <w:rPr>
          <w:rFonts w:ascii="Arial" w:hAnsi="Arial" w:cs="Arial"/>
          <w:bCs/>
          <w:color w:val="000000"/>
        </w:rPr>
        <w:t xml:space="preserve"> </w:t>
      </w:r>
      <w:r w:rsidR="007B3DE7" w:rsidRPr="007B3DE7">
        <w:rPr>
          <w:rFonts w:ascii="Arial" w:hAnsi="Arial" w:cs="Arial"/>
          <w:bCs/>
          <w:color w:val="000000"/>
        </w:rPr>
        <w:t>quarter.</w:t>
      </w:r>
      <w:r w:rsidR="002938B3">
        <w:rPr>
          <w:rFonts w:ascii="Arial" w:hAnsi="Arial" w:cs="Arial"/>
          <w:bCs/>
          <w:color w:val="000000"/>
        </w:rPr>
        <w:t xml:space="preserve"> </w:t>
      </w:r>
      <w:r w:rsidR="007B3DE7" w:rsidRPr="007B3DE7">
        <w:rPr>
          <w:rFonts w:ascii="Arial" w:hAnsi="Arial" w:cs="Arial"/>
          <w:bCs/>
          <w:color w:val="000000"/>
        </w:rPr>
        <w:t xml:space="preserve">Despite </w:t>
      </w:r>
      <w:r w:rsidR="002938B3">
        <w:rPr>
          <w:rFonts w:ascii="Arial" w:hAnsi="Arial" w:cs="Arial"/>
          <w:bCs/>
          <w:color w:val="000000"/>
        </w:rPr>
        <w:tab/>
      </w:r>
      <w:r w:rsidR="007B3DE7" w:rsidRPr="007B3DE7">
        <w:rPr>
          <w:rFonts w:ascii="Arial" w:hAnsi="Arial" w:cs="Arial"/>
          <w:bCs/>
          <w:color w:val="000000"/>
        </w:rPr>
        <w:t xml:space="preserve">having an updated Membership Strategy in place and </w:t>
      </w:r>
      <w:r w:rsidR="007B3DE7">
        <w:rPr>
          <w:rFonts w:ascii="Arial" w:hAnsi="Arial" w:cs="Arial"/>
          <w:bCs/>
          <w:color w:val="000000"/>
        </w:rPr>
        <w:tab/>
      </w:r>
      <w:r w:rsidR="007B3DE7" w:rsidRPr="007B3DE7">
        <w:rPr>
          <w:rFonts w:ascii="Arial" w:hAnsi="Arial" w:cs="Arial"/>
          <w:bCs/>
          <w:color w:val="000000"/>
        </w:rPr>
        <w:t xml:space="preserve">the opportunities </w:t>
      </w:r>
      <w:r w:rsidR="002938B3">
        <w:rPr>
          <w:rFonts w:ascii="Arial" w:hAnsi="Arial" w:cs="Arial"/>
          <w:bCs/>
          <w:color w:val="000000"/>
        </w:rPr>
        <w:tab/>
      </w:r>
      <w:r w:rsidR="007B3DE7" w:rsidRPr="007B3DE7">
        <w:rPr>
          <w:rFonts w:ascii="Arial" w:hAnsi="Arial" w:cs="Arial"/>
          <w:bCs/>
          <w:color w:val="000000"/>
        </w:rPr>
        <w:t xml:space="preserve">that the community health services integration </w:t>
      </w:r>
      <w:r w:rsidR="007B3DE7">
        <w:rPr>
          <w:rFonts w:ascii="Arial" w:hAnsi="Arial" w:cs="Arial"/>
          <w:bCs/>
          <w:color w:val="000000"/>
        </w:rPr>
        <w:tab/>
      </w:r>
      <w:r w:rsidR="007B3DE7" w:rsidRPr="007B3DE7">
        <w:rPr>
          <w:rFonts w:ascii="Arial" w:hAnsi="Arial" w:cs="Arial"/>
          <w:bCs/>
          <w:color w:val="000000"/>
        </w:rPr>
        <w:t>presented,</w:t>
      </w:r>
      <w:r w:rsidR="002938B3">
        <w:rPr>
          <w:rFonts w:ascii="Arial" w:hAnsi="Arial" w:cs="Arial"/>
          <w:bCs/>
          <w:color w:val="000000"/>
        </w:rPr>
        <w:t xml:space="preserve"> </w:t>
      </w:r>
      <w:r w:rsidR="007B3DE7" w:rsidRPr="007B3DE7">
        <w:rPr>
          <w:rFonts w:ascii="Arial" w:hAnsi="Arial" w:cs="Arial"/>
          <w:bCs/>
          <w:color w:val="000000"/>
        </w:rPr>
        <w:t xml:space="preserve">the Trust </w:t>
      </w:r>
      <w:r w:rsidR="002938B3">
        <w:rPr>
          <w:rFonts w:ascii="Arial" w:hAnsi="Arial" w:cs="Arial"/>
          <w:bCs/>
          <w:color w:val="000000"/>
        </w:rPr>
        <w:tab/>
      </w:r>
      <w:r w:rsidR="007B3DE7" w:rsidRPr="007B3DE7">
        <w:rPr>
          <w:rFonts w:ascii="Arial" w:hAnsi="Arial" w:cs="Arial"/>
          <w:bCs/>
          <w:color w:val="000000"/>
        </w:rPr>
        <w:t>continues to struggle to attract and retain</w:t>
      </w:r>
      <w:r w:rsidR="002938B3">
        <w:rPr>
          <w:rFonts w:ascii="Arial" w:hAnsi="Arial" w:cs="Arial"/>
          <w:bCs/>
          <w:color w:val="000000"/>
        </w:rPr>
        <w:t xml:space="preserve"> </w:t>
      </w:r>
      <w:r w:rsidR="007B3DE7" w:rsidRPr="007B3DE7">
        <w:rPr>
          <w:rFonts w:ascii="Arial" w:hAnsi="Arial" w:cs="Arial"/>
          <w:bCs/>
          <w:color w:val="000000"/>
        </w:rPr>
        <w:t xml:space="preserve">Members. If Membership </w:t>
      </w:r>
      <w:r w:rsidR="002938B3">
        <w:rPr>
          <w:rFonts w:ascii="Arial" w:hAnsi="Arial" w:cs="Arial"/>
          <w:bCs/>
          <w:color w:val="000000"/>
        </w:rPr>
        <w:tab/>
      </w:r>
      <w:r w:rsidR="007B3DE7" w:rsidRPr="007B3DE7">
        <w:rPr>
          <w:rFonts w:ascii="Arial" w:hAnsi="Arial" w:cs="Arial"/>
          <w:bCs/>
          <w:color w:val="000000"/>
        </w:rPr>
        <w:t>growth is not addressed over the remaining</w:t>
      </w:r>
      <w:r w:rsidR="002938B3">
        <w:rPr>
          <w:rFonts w:ascii="Arial" w:hAnsi="Arial" w:cs="Arial"/>
          <w:bCs/>
          <w:color w:val="000000"/>
        </w:rPr>
        <w:t xml:space="preserve"> </w:t>
      </w:r>
      <w:r w:rsidR="007B3DE7" w:rsidRPr="007B3DE7">
        <w:rPr>
          <w:rFonts w:ascii="Arial" w:hAnsi="Arial" w:cs="Arial"/>
          <w:bCs/>
          <w:color w:val="000000"/>
        </w:rPr>
        <w:t xml:space="preserve">Quarters then the Trust will </w:t>
      </w:r>
      <w:r w:rsidR="002938B3">
        <w:rPr>
          <w:rFonts w:ascii="Arial" w:hAnsi="Arial" w:cs="Arial"/>
          <w:bCs/>
          <w:color w:val="000000"/>
        </w:rPr>
        <w:tab/>
      </w:r>
      <w:r w:rsidR="007B3DE7" w:rsidRPr="007B3DE7">
        <w:rPr>
          <w:rFonts w:ascii="Arial" w:hAnsi="Arial" w:cs="Arial"/>
          <w:bCs/>
          <w:color w:val="000000"/>
        </w:rPr>
        <w:t>be at risk of missing its Membership</w:t>
      </w:r>
      <w:r w:rsidR="002938B3">
        <w:rPr>
          <w:rFonts w:ascii="Arial" w:hAnsi="Arial" w:cs="Arial"/>
          <w:bCs/>
          <w:color w:val="000000"/>
        </w:rPr>
        <w:t xml:space="preserve"> </w:t>
      </w:r>
      <w:r w:rsidR="007B3DE7" w:rsidRPr="007B3DE7">
        <w:rPr>
          <w:rFonts w:ascii="Arial" w:hAnsi="Arial" w:cs="Arial"/>
          <w:bCs/>
          <w:color w:val="000000"/>
        </w:rPr>
        <w:t>targets.</w:t>
      </w:r>
    </w:p>
    <w:p w:rsidR="007B3DE7" w:rsidRPr="007B3DE7" w:rsidRDefault="007B3DE7" w:rsidP="007B3DE7">
      <w:pPr>
        <w:pStyle w:val="ListParagraph"/>
        <w:rPr>
          <w:rFonts w:ascii="Arial" w:hAnsi="Arial" w:cs="Arial"/>
        </w:rPr>
      </w:pPr>
    </w:p>
    <w:p w:rsidR="007B3DE7" w:rsidRPr="002938B3" w:rsidRDefault="007B3DE7" w:rsidP="002938B3">
      <w:pPr>
        <w:pStyle w:val="ListParagraph"/>
        <w:ind w:left="360"/>
        <w:jc w:val="both"/>
        <w:rPr>
          <w:rFonts w:ascii="Arial" w:hAnsi="Arial" w:cs="Arial"/>
        </w:rPr>
      </w:pPr>
      <w:r>
        <w:rPr>
          <w:rFonts w:ascii="Arial" w:hAnsi="Arial" w:cs="Arial"/>
        </w:rPr>
        <w:lastRenderedPageBreak/>
        <w:tab/>
        <w:t xml:space="preserve">Further action </w:t>
      </w:r>
      <w:r w:rsidR="002938B3">
        <w:rPr>
          <w:rFonts w:ascii="Arial" w:hAnsi="Arial" w:cs="Arial"/>
        </w:rPr>
        <w:t>is being undertaken to address this. Membership</w:t>
      </w:r>
      <w:r>
        <w:rPr>
          <w:rFonts w:ascii="Arial" w:hAnsi="Arial" w:cs="Arial"/>
        </w:rPr>
        <w:t xml:space="preserve"> targets </w:t>
      </w:r>
      <w:r w:rsidR="002938B3">
        <w:rPr>
          <w:rFonts w:ascii="Arial" w:hAnsi="Arial" w:cs="Arial"/>
        </w:rPr>
        <w:tab/>
        <w:t xml:space="preserve">are </w:t>
      </w:r>
      <w:r>
        <w:rPr>
          <w:rFonts w:ascii="Arial" w:hAnsi="Arial" w:cs="Arial"/>
        </w:rPr>
        <w:t xml:space="preserve">being included </w:t>
      </w:r>
      <w:r>
        <w:rPr>
          <w:rFonts w:ascii="Arial" w:hAnsi="Arial" w:cs="Arial"/>
        </w:rPr>
        <w:tab/>
        <w:t xml:space="preserve">as KPI’s for Divisions (to be monitored through </w:t>
      </w:r>
      <w:r w:rsidR="002938B3">
        <w:rPr>
          <w:rFonts w:ascii="Arial" w:hAnsi="Arial" w:cs="Arial"/>
        </w:rPr>
        <w:tab/>
      </w:r>
      <w:r>
        <w:rPr>
          <w:rFonts w:ascii="Arial" w:hAnsi="Arial" w:cs="Arial"/>
        </w:rPr>
        <w:t xml:space="preserve">divisional performance reviews). In addition further recruitment </w:t>
      </w:r>
      <w:r w:rsidR="002938B3">
        <w:rPr>
          <w:rFonts w:ascii="Arial" w:hAnsi="Arial" w:cs="Arial"/>
        </w:rPr>
        <w:tab/>
      </w:r>
      <w:r>
        <w:rPr>
          <w:rFonts w:ascii="Arial" w:hAnsi="Arial" w:cs="Arial"/>
        </w:rPr>
        <w:t xml:space="preserve">activities in line with the existing membership strategy objectives will </w:t>
      </w:r>
      <w:r w:rsidR="002938B3">
        <w:rPr>
          <w:rFonts w:ascii="Arial" w:hAnsi="Arial" w:cs="Arial"/>
        </w:rPr>
        <w:tab/>
      </w:r>
      <w:r>
        <w:rPr>
          <w:rFonts w:ascii="Arial" w:hAnsi="Arial" w:cs="Arial"/>
        </w:rPr>
        <w:t xml:space="preserve">continue to be undertaken to increase membership in mental and </w:t>
      </w:r>
      <w:r w:rsidR="002938B3">
        <w:rPr>
          <w:rFonts w:ascii="Arial" w:hAnsi="Arial" w:cs="Arial"/>
        </w:rPr>
        <w:tab/>
      </w:r>
      <w:r>
        <w:rPr>
          <w:rFonts w:ascii="Arial" w:hAnsi="Arial" w:cs="Arial"/>
        </w:rPr>
        <w:t>community health services</w:t>
      </w:r>
      <w:r w:rsidR="002938B3">
        <w:rPr>
          <w:rFonts w:ascii="Arial" w:hAnsi="Arial" w:cs="Arial"/>
        </w:rPr>
        <w:t>.</w:t>
      </w:r>
      <w:r>
        <w:rPr>
          <w:rFonts w:ascii="Arial" w:hAnsi="Arial" w:cs="Arial"/>
        </w:rPr>
        <w:t xml:space="preserve"> </w:t>
      </w:r>
      <w:r w:rsidRPr="007B3DE7">
        <w:rPr>
          <w:rFonts w:ascii="Arial" w:hAnsi="Arial" w:cs="Arial"/>
          <w:color w:val="000000"/>
        </w:rPr>
        <w:t xml:space="preserve">Progress is reported to the Extended </w:t>
      </w:r>
      <w:r w:rsidR="002938B3">
        <w:rPr>
          <w:rFonts w:ascii="Arial" w:hAnsi="Arial" w:cs="Arial"/>
          <w:color w:val="000000"/>
        </w:rPr>
        <w:tab/>
      </w:r>
      <w:r w:rsidRPr="007B3DE7">
        <w:rPr>
          <w:rFonts w:ascii="Arial" w:hAnsi="Arial" w:cs="Arial"/>
          <w:color w:val="000000"/>
        </w:rPr>
        <w:t xml:space="preserve">Executive Board on a quarterly basis. </w:t>
      </w:r>
      <w:r w:rsidR="002938B3">
        <w:rPr>
          <w:rFonts w:ascii="Arial" w:hAnsi="Arial" w:cs="Arial"/>
          <w:color w:val="000000"/>
        </w:rPr>
        <w:t>D</w:t>
      </w:r>
      <w:r w:rsidRPr="007B3DE7">
        <w:rPr>
          <w:rFonts w:ascii="Arial" w:hAnsi="Arial" w:cs="Arial"/>
          <w:color w:val="000000"/>
        </w:rPr>
        <w:t xml:space="preserve">uring Q3 Membership </w:t>
      </w:r>
      <w:r w:rsidR="002938B3">
        <w:rPr>
          <w:rFonts w:ascii="Arial" w:hAnsi="Arial" w:cs="Arial"/>
          <w:color w:val="000000"/>
        </w:rPr>
        <w:tab/>
      </w:r>
      <w:r w:rsidRPr="007B3DE7">
        <w:rPr>
          <w:rFonts w:ascii="Arial" w:hAnsi="Arial" w:cs="Arial"/>
          <w:color w:val="000000"/>
        </w:rPr>
        <w:t xml:space="preserve">recruitment, management and involvement will move to the Trust's </w:t>
      </w:r>
      <w:r w:rsidR="002938B3">
        <w:rPr>
          <w:rFonts w:ascii="Arial" w:hAnsi="Arial" w:cs="Arial"/>
          <w:color w:val="000000"/>
        </w:rPr>
        <w:tab/>
      </w:r>
      <w:r w:rsidRPr="007B3DE7">
        <w:rPr>
          <w:rFonts w:ascii="Arial" w:hAnsi="Arial" w:cs="Arial"/>
          <w:color w:val="000000"/>
        </w:rPr>
        <w:t xml:space="preserve">Communications and Involvement Team.  It is hoped that combing FT </w:t>
      </w:r>
      <w:r w:rsidR="002938B3">
        <w:rPr>
          <w:rFonts w:ascii="Arial" w:hAnsi="Arial" w:cs="Arial"/>
          <w:color w:val="000000"/>
        </w:rPr>
        <w:tab/>
      </w:r>
      <w:r w:rsidRPr="007B3DE7">
        <w:rPr>
          <w:rFonts w:ascii="Arial" w:hAnsi="Arial" w:cs="Arial"/>
          <w:color w:val="000000"/>
        </w:rPr>
        <w:t xml:space="preserve">Membership recruitment with the wider involvement agenda will help to </w:t>
      </w:r>
      <w:r w:rsidR="002938B3">
        <w:rPr>
          <w:rFonts w:ascii="Arial" w:hAnsi="Arial" w:cs="Arial"/>
          <w:color w:val="000000"/>
        </w:rPr>
        <w:tab/>
      </w:r>
      <w:r w:rsidRPr="007B3DE7">
        <w:rPr>
          <w:rFonts w:ascii="Arial" w:hAnsi="Arial" w:cs="Arial"/>
          <w:color w:val="000000"/>
        </w:rPr>
        <w:t>increase the number of Members joining the Trust.</w:t>
      </w:r>
    </w:p>
    <w:p w:rsidR="007B3DE7" w:rsidRDefault="007B3DE7" w:rsidP="007B3DE7">
      <w:pPr>
        <w:pStyle w:val="ListParagraph"/>
        <w:ind w:left="360"/>
        <w:jc w:val="both"/>
        <w:rPr>
          <w:rFonts w:ascii="Arial" w:hAnsi="Arial" w:cs="Arial"/>
        </w:rPr>
      </w:pPr>
    </w:p>
    <w:p w:rsidR="0025693F" w:rsidRDefault="0025693F" w:rsidP="00985711">
      <w:pPr>
        <w:jc w:val="both"/>
        <w:rPr>
          <w:rFonts w:ascii="Arial" w:hAnsi="Arial" w:cs="Arial"/>
        </w:rPr>
      </w:pPr>
      <w:r w:rsidRPr="007E5BC7">
        <w:rPr>
          <w:rFonts w:ascii="Arial" w:hAnsi="Arial" w:cs="Arial"/>
        </w:rPr>
        <w:t xml:space="preserve">There are </w:t>
      </w:r>
      <w:r w:rsidR="00C77BDB">
        <w:rPr>
          <w:rFonts w:ascii="Arial" w:hAnsi="Arial" w:cs="Arial"/>
        </w:rPr>
        <w:t>2</w:t>
      </w:r>
      <w:r w:rsidR="000C0BF1">
        <w:rPr>
          <w:rFonts w:ascii="Arial" w:hAnsi="Arial" w:cs="Arial"/>
        </w:rPr>
        <w:t>4</w:t>
      </w:r>
      <w:r w:rsidRPr="007E5BC7">
        <w:rPr>
          <w:rFonts w:ascii="Arial" w:hAnsi="Arial" w:cs="Arial"/>
        </w:rPr>
        <w:t xml:space="preserve"> milestones rated as AMBER </w:t>
      </w:r>
      <w:r>
        <w:rPr>
          <w:rFonts w:ascii="Arial" w:hAnsi="Arial" w:cs="Arial"/>
        </w:rPr>
        <w:t>this quarter</w:t>
      </w:r>
      <w:r w:rsidRPr="007E5BC7">
        <w:rPr>
          <w:rFonts w:ascii="Arial" w:hAnsi="Arial" w:cs="Arial"/>
        </w:rPr>
        <w:t>. In the main this relate</w:t>
      </w:r>
      <w:r>
        <w:rPr>
          <w:rFonts w:ascii="Arial" w:hAnsi="Arial" w:cs="Arial"/>
        </w:rPr>
        <w:t>s</w:t>
      </w:r>
      <w:r w:rsidRPr="007E5BC7">
        <w:rPr>
          <w:rFonts w:ascii="Arial" w:hAnsi="Arial" w:cs="Arial"/>
        </w:rPr>
        <w:t xml:space="preserve"> to the management of external pressures and the impact of the economic climate especially with regard to capital investment, the level of organisational change required and the impact on staff satisfaction (as show by the disappointing staff survey results)</w:t>
      </w:r>
      <w:r>
        <w:rPr>
          <w:rFonts w:ascii="Arial" w:hAnsi="Arial" w:cs="Arial"/>
        </w:rPr>
        <w:t xml:space="preserve"> and several of the clinical plan priorities. </w:t>
      </w:r>
    </w:p>
    <w:p w:rsidR="0025693F" w:rsidRPr="007E5BC7" w:rsidRDefault="0025693F" w:rsidP="00985711">
      <w:pPr>
        <w:ind w:left="426"/>
        <w:jc w:val="both"/>
        <w:rPr>
          <w:rFonts w:ascii="Arial" w:hAnsi="Arial" w:cs="Arial"/>
        </w:rPr>
      </w:pPr>
      <w:r w:rsidRPr="007E5BC7">
        <w:rPr>
          <w:rFonts w:ascii="Arial" w:hAnsi="Arial" w:cs="Arial"/>
        </w:rPr>
        <w:t xml:space="preserve"> </w:t>
      </w:r>
    </w:p>
    <w:p w:rsidR="0025693F" w:rsidRPr="007E5BC7" w:rsidRDefault="0025693F" w:rsidP="00EC30DC">
      <w:pPr>
        <w:jc w:val="both"/>
        <w:rPr>
          <w:rFonts w:ascii="Arial" w:hAnsi="Arial" w:cs="Arial"/>
        </w:rPr>
      </w:pPr>
      <w:r w:rsidRPr="007E5BC7">
        <w:rPr>
          <w:rFonts w:ascii="Arial" w:hAnsi="Arial" w:cs="Arial"/>
        </w:rPr>
        <w:t>The reasons for variance, and any action being</w:t>
      </w:r>
      <w:r>
        <w:rPr>
          <w:rFonts w:ascii="Arial" w:hAnsi="Arial" w:cs="Arial"/>
        </w:rPr>
        <w:t xml:space="preserve"> taken, are set out in Appendix A.</w:t>
      </w:r>
    </w:p>
    <w:p w:rsidR="0025693F" w:rsidRPr="00431E4B" w:rsidRDefault="0025693F" w:rsidP="007E5BC7">
      <w:pPr>
        <w:ind w:left="720"/>
        <w:jc w:val="both"/>
        <w:rPr>
          <w:rFonts w:ascii="Arial" w:hAnsi="Arial" w:cs="Arial"/>
          <w:b/>
          <w:i/>
        </w:rPr>
      </w:pPr>
    </w:p>
    <w:p w:rsidR="0025693F" w:rsidRPr="00985711" w:rsidRDefault="0025693F" w:rsidP="00985711">
      <w:pPr>
        <w:pStyle w:val="ListParagraph"/>
        <w:numPr>
          <w:ilvl w:val="0"/>
          <w:numId w:val="13"/>
        </w:numPr>
        <w:jc w:val="both"/>
        <w:rPr>
          <w:rFonts w:ascii="Arial" w:hAnsi="Arial" w:cs="Arial"/>
          <w:b/>
        </w:rPr>
      </w:pPr>
      <w:r>
        <w:rPr>
          <w:rFonts w:ascii="Arial" w:hAnsi="Arial" w:cs="Arial"/>
          <w:b/>
        </w:rPr>
        <w:t>Risk R</w:t>
      </w:r>
      <w:r w:rsidRPr="00985711">
        <w:rPr>
          <w:rFonts w:ascii="Arial" w:hAnsi="Arial" w:cs="Arial"/>
          <w:b/>
        </w:rPr>
        <w:t>eport</w:t>
      </w:r>
    </w:p>
    <w:p w:rsidR="0025693F" w:rsidRDefault="0025693F" w:rsidP="00683AB6">
      <w:pPr>
        <w:jc w:val="both"/>
        <w:rPr>
          <w:rFonts w:ascii="Arial" w:hAnsi="Arial" w:cs="Arial"/>
          <w:b/>
        </w:rPr>
      </w:pPr>
    </w:p>
    <w:p w:rsidR="0025693F" w:rsidRDefault="0025693F" w:rsidP="00683AB6">
      <w:pPr>
        <w:jc w:val="both"/>
        <w:rPr>
          <w:rFonts w:ascii="Arial" w:hAnsi="Arial" w:cs="Arial"/>
        </w:rPr>
      </w:pPr>
      <w:r>
        <w:rPr>
          <w:rFonts w:ascii="Arial" w:hAnsi="Arial" w:cs="Arial"/>
        </w:rPr>
        <w:t xml:space="preserve">Risks to the Trust achieving its objectives are contained within the Assurance Framework. The Quality Improvement Committee monitors risk and agree action needed to mitigate the risks. The Integrated Governance Committee receives reports against the action plans on an exception basis. The Audit Committee considers the assurance received on the effectiveness of individual controls and the overall effectiveness of the system of internal control. </w:t>
      </w:r>
    </w:p>
    <w:p w:rsidR="0025693F" w:rsidRPr="00112604" w:rsidRDefault="0025693F" w:rsidP="00683AB6">
      <w:pPr>
        <w:jc w:val="both"/>
        <w:rPr>
          <w:rFonts w:ascii="Arial" w:hAnsi="Arial" w:cs="Arial"/>
        </w:rPr>
      </w:pPr>
      <w:r>
        <w:rPr>
          <w:rFonts w:ascii="Arial" w:hAnsi="Arial" w:cs="Arial"/>
        </w:rPr>
        <w:t xml:space="preserve"> </w:t>
      </w:r>
    </w:p>
    <w:p w:rsidR="002443B6" w:rsidRDefault="0025693F" w:rsidP="00683AB6">
      <w:pPr>
        <w:pStyle w:val="BodyText3"/>
        <w:jc w:val="both"/>
        <w:rPr>
          <w:rFonts w:ascii="Arial" w:hAnsi="Arial" w:cs="Arial"/>
          <w:sz w:val="24"/>
          <w:szCs w:val="24"/>
        </w:rPr>
      </w:pPr>
      <w:r>
        <w:rPr>
          <w:rFonts w:ascii="Arial" w:hAnsi="Arial" w:cs="Arial"/>
          <w:sz w:val="24"/>
          <w:szCs w:val="24"/>
        </w:rPr>
        <w:t>T</w:t>
      </w:r>
      <w:r w:rsidR="00C216CF">
        <w:rPr>
          <w:rFonts w:ascii="Arial" w:hAnsi="Arial" w:cs="Arial"/>
          <w:sz w:val="24"/>
          <w:szCs w:val="24"/>
        </w:rPr>
        <w:t>he risk report attached at A</w:t>
      </w:r>
      <w:r w:rsidRPr="007E5BC7">
        <w:rPr>
          <w:rFonts w:ascii="Arial" w:hAnsi="Arial" w:cs="Arial"/>
          <w:sz w:val="24"/>
          <w:szCs w:val="24"/>
        </w:rPr>
        <w:t xml:space="preserve">ppendix </w:t>
      </w:r>
      <w:r>
        <w:rPr>
          <w:rFonts w:ascii="Arial" w:hAnsi="Arial" w:cs="Arial"/>
          <w:sz w:val="24"/>
          <w:szCs w:val="24"/>
        </w:rPr>
        <w:t>B</w:t>
      </w:r>
      <w:r w:rsidRPr="007E5BC7">
        <w:rPr>
          <w:rFonts w:ascii="Arial" w:hAnsi="Arial" w:cs="Arial"/>
          <w:sz w:val="24"/>
          <w:szCs w:val="24"/>
        </w:rPr>
        <w:t xml:space="preserve"> shows there are </w:t>
      </w:r>
      <w:r w:rsidR="00C216CF">
        <w:rPr>
          <w:rFonts w:ascii="Arial" w:hAnsi="Arial" w:cs="Arial"/>
          <w:sz w:val="24"/>
          <w:szCs w:val="24"/>
        </w:rPr>
        <w:t>three</w:t>
      </w:r>
      <w:r w:rsidRPr="007E5BC7">
        <w:rPr>
          <w:rFonts w:ascii="Arial" w:hAnsi="Arial" w:cs="Arial"/>
          <w:sz w:val="24"/>
          <w:szCs w:val="24"/>
        </w:rPr>
        <w:t xml:space="preserve"> objectives which have high</w:t>
      </w:r>
      <w:r>
        <w:rPr>
          <w:rFonts w:ascii="Arial" w:hAnsi="Arial" w:cs="Arial"/>
          <w:sz w:val="24"/>
          <w:szCs w:val="24"/>
        </w:rPr>
        <w:t xml:space="preserve"> risks</w:t>
      </w:r>
      <w:r w:rsidRPr="007E5BC7">
        <w:rPr>
          <w:rFonts w:ascii="Arial" w:hAnsi="Arial" w:cs="Arial"/>
          <w:sz w:val="24"/>
          <w:szCs w:val="24"/>
        </w:rPr>
        <w:t xml:space="preserve"> associated with them. </w:t>
      </w:r>
      <w:r w:rsidR="002443B6">
        <w:rPr>
          <w:rFonts w:ascii="Arial" w:hAnsi="Arial" w:cs="Arial"/>
          <w:sz w:val="24"/>
          <w:szCs w:val="24"/>
        </w:rPr>
        <w:t xml:space="preserve">No risks are currently rated as extreme. </w:t>
      </w:r>
    </w:p>
    <w:p w:rsidR="0025693F" w:rsidRDefault="0025693F" w:rsidP="00683AB6">
      <w:pPr>
        <w:pStyle w:val="BodyText3"/>
        <w:jc w:val="both"/>
        <w:rPr>
          <w:rFonts w:ascii="Arial" w:hAnsi="Arial" w:cs="Arial"/>
          <w:sz w:val="24"/>
          <w:szCs w:val="24"/>
        </w:rPr>
      </w:pPr>
      <w:r>
        <w:rPr>
          <w:rFonts w:ascii="Arial" w:hAnsi="Arial" w:cs="Arial"/>
          <w:sz w:val="24"/>
          <w:szCs w:val="24"/>
        </w:rPr>
        <w:t>It should be emphasised that the Assurance Framework highlights potential risks. With the acquisition of Community Services Oxfordshire, a significant transaction, the Trust needs to be assured that controls have been adopted across the newly integrated organisation and are working effectively to mitigate any potential risk.</w:t>
      </w:r>
    </w:p>
    <w:p w:rsidR="0025693F" w:rsidRPr="007E5BC7" w:rsidRDefault="0025693F" w:rsidP="00683AB6">
      <w:pPr>
        <w:pStyle w:val="BodyText3"/>
        <w:jc w:val="both"/>
        <w:rPr>
          <w:rFonts w:ascii="Arial" w:hAnsi="Arial" w:cs="Arial"/>
          <w:sz w:val="24"/>
          <w:szCs w:val="24"/>
        </w:rPr>
      </w:pPr>
      <w:r w:rsidRPr="007E5BC7">
        <w:rPr>
          <w:rFonts w:ascii="Arial" w:hAnsi="Arial" w:cs="Arial"/>
          <w:sz w:val="24"/>
          <w:szCs w:val="24"/>
        </w:rPr>
        <w:t xml:space="preserve">The objectives deemed to be currently at </w:t>
      </w:r>
      <w:r w:rsidR="00B74103">
        <w:rPr>
          <w:rFonts w:ascii="Arial" w:hAnsi="Arial" w:cs="Arial"/>
          <w:sz w:val="24"/>
          <w:szCs w:val="24"/>
        </w:rPr>
        <w:t xml:space="preserve">high </w:t>
      </w:r>
      <w:r w:rsidRPr="007E5BC7">
        <w:rPr>
          <w:rFonts w:ascii="Arial" w:hAnsi="Arial" w:cs="Arial"/>
          <w:sz w:val="24"/>
          <w:szCs w:val="24"/>
        </w:rPr>
        <w:t>risk are:</w:t>
      </w:r>
    </w:p>
    <w:p w:rsidR="00B74103" w:rsidRPr="00C938EF" w:rsidRDefault="0025693F" w:rsidP="00B74103">
      <w:pPr>
        <w:pStyle w:val="BodyText3"/>
        <w:numPr>
          <w:ilvl w:val="2"/>
          <w:numId w:val="21"/>
        </w:numPr>
        <w:spacing w:after="0"/>
        <w:jc w:val="both"/>
        <w:rPr>
          <w:rFonts w:ascii="Arial" w:hAnsi="Arial" w:cs="Arial"/>
          <w:b/>
          <w:sz w:val="24"/>
          <w:szCs w:val="24"/>
        </w:rPr>
      </w:pPr>
      <w:r w:rsidRPr="00C938EF">
        <w:rPr>
          <w:rFonts w:ascii="Arial" w:hAnsi="Arial" w:cs="Arial"/>
          <w:b/>
          <w:sz w:val="24"/>
          <w:szCs w:val="24"/>
        </w:rPr>
        <w:t>To improve safety and quality continuously</w:t>
      </w:r>
      <w:r w:rsidR="00B74103" w:rsidRPr="00C938EF">
        <w:rPr>
          <w:rFonts w:ascii="Arial" w:hAnsi="Arial" w:cs="Arial"/>
          <w:b/>
          <w:sz w:val="24"/>
          <w:szCs w:val="24"/>
        </w:rPr>
        <w:t>.</w:t>
      </w:r>
    </w:p>
    <w:p w:rsidR="00C938EF" w:rsidRPr="00C938EF" w:rsidRDefault="00C938EF" w:rsidP="00C938EF">
      <w:pPr>
        <w:pStyle w:val="BodyText3"/>
        <w:spacing w:after="0"/>
        <w:ind w:left="720"/>
        <w:jc w:val="both"/>
        <w:rPr>
          <w:rFonts w:ascii="Arial" w:hAnsi="Arial" w:cs="Arial"/>
          <w:b/>
          <w:sz w:val="24"/>
          <w:szCs w:val="24"/>
        </w:rPr>
      </w:pPr>
    </w:p>
    <w:p w:rsidR="0025693F" w:rsidRPr="00B74103" w:rsidRDefault="00E645B7" w:rsidP="00B74103">
      <w:pPr>
        <w:pStyle w:val="BodyText3"/>
        <w:spacing w:after="0"/>
        <w:ind w:left="720"/>
        <w:jc w:val="both"/>
        <w:rPr>
          <w:rFonts w:ascii="Arial" w:hAnsi="Arial" w:cs="Arial"/>
          <w:sz w:val="24"/>
          <w:szCs w:val="24"/>
        </w:rPr>
      </w:pPr>
      <w:r>
        <w:rPr>
          <w:rFonts w:ascii="Arial" w:hAnsi="Arial" w:cs="Arial"/>
          <w:sz w:val="24"/>
          <w:szCs w:val="24"/>
        </w:rPr>
        <w:t>R</w:t>
      </w:r>
      <w:r w:rsidR="0025693F" w:rsidRPr="00B74103">
        <w:rPr>
          <w:rFonts w:ascii="Arial" w:hAnsi="Arial" w:cs="Arial"/>
          <w:sz w:val="24"/>
          <w:szCs w:val="24"/>
        </w:rPr>
        <w:t xml:space="preserve">isks relate to the effective management of service quality, audit arrangements, </w:t>
      </w:r>
      <w:r w:rsidR="00C938EF">
        <w:rPr>
          <w:rFonts w:ascii="Arial" w:hAnsi="Arial" w:cs="Arial"/>
          <w:sz w:val="24"/>
          <w:szCs w:val="24"/>
        </w:rPr>
        <w:t>the need to improve inter-partnership processes/training levels and</w:t>
      </w:r>
      <w:r w:rsidR="0025693F" w:rsidRPr="00B74103">
        <w:rPr>
          <w:rFonts w:ascii="Arial" w:hAnsi="Arial" w:cs="Arial"/>
          <w:sz w:val="24"/>
          <w:szCs w:val="24"/>
        </w:rPr>
        <w:t xml:space="preserve"> patients being able to raise concerns and complaints.</w:t>
      </w:r>
    </w:p>
    <w:p w:rsidR="00C938EF" w:rsidRDefault="00C938EF" w:rsidP="00C938EF">
      <w:pPr>
        <w:pStyle w:val="BodyText3"/>
        <w:spacing w:after="0"/>
        <w:ind w:left="720"/>
        <w:jc w:val="both"/>
        <w:rPr>
          <w:rFonts w:ascii="Arial" w:hAnsi="Arial" w:cs="Arial"/>
          <w:sz w:val="24"/>
          <w:szCs w:val="24"/>
        </w:rPr>
      </w:pPr>
    </w:p>
    <w:p w:rsidR="00C938EF" w:rsidRDefault="00C938EF" w:rsidP="00C938EF">
      <w:pPr>
        <w:pStyle w:val="BodyText3"/>
        <w:spacing w:after="0"/>
        <w:ind w:left="720"/>
        <w:jc w:val="both"/>
        <w:rPr>
          <w:rFonts w:ascii="Arial" w:hAnsi="Arial" w:cs="Arial"/>
          <w:sz w:val="24"/>
          <w:szCs w:val="24"/>
        </w:rPr>
      </w:pPr>
    </w:p>
    <w:p w:rsidR="00C938EF" w:rsidRPr="00C938EF" w:rsidRDefault="0025693F" w:rsidP="003A3004">
      <w:pPr>
        <w:pStyle w:val="BodyText3"/>
        <w:numPr>
          <w:ilvl w:val="2"/>
          <w:numId w:val="21"/>
        </w:numPr>
        <w:spacing w:after="0"/>
        <w:jc w:val="both"/>
        <w:rPr>
          <w:rFonts w:ascii="Arial" w:hAnsi="Arial" w:cs="Arial"/>
          <w:b/>
          <w:sz w:val="24"/>
          <w:szCs w:val="24"/>
        </w:rPr>
      </w:pPr>
      <w:r w:rsidRPr="00C938EF">
        <w:rPr>
          <w:rFonts w:ascii="Arial" w:hAnsi="Arial" w:cs="Arial"/>
          <w:b/>
          <w:sz w:val="24"/>
          <w:szCs w:val="24"/>
        </w:rPr>
        <w:t>To use the funding we receive effectively to bring about excellence of care and patient satisfaction</w:t>
      </w:r>
      <w:r w:rsidR="00C938EF" w:rsidRPr="00C938EF">
        <w:rPr>
          <w:rFonts w:ascii="Arial" w:hAnsi="Arial" w:cs="Arial"/>
          <w:b/>
          <w:sz w:val="24"/>
          <w:szCs w:val="24"/>
        </w:rPr>
        <w:t>.</w:t>
      </w:r>
    </w:p>
    <w:p w:rsidR="00C938EF" w:rsidRPr="00C938EF" w:rsidRDefault="00C938EF" w:rsidP="00C938EF">
      <w:pPr>
        <w:pStyle w:val="BodyText3"/>
        <w:spacing w:after="0"/>
        <w:ind w:left="720"/>
        <w:jc w:val="both"/>
        <w:rPr>
          <w:rFonts w:ascii="Arial" w:hAnsi="Arial" w:cs="Arial"/>
          <w:b/>
          <w:sz w:val="24"/>
          <w:szCs w:val="24"/>
        </w:rPr>
      </w:pPr>
    </w:p>
    <w:p w:rsidR="0025693F" w:rsidRDefault="0025693F" w:rsidP="00C938EF">
      <w:pPr>
        <w:pStyle w:val="BodyText3"/>
        <w:spacing w:after="0"/>
        <w:ind w:left="720"/>
        <w:jc w:val="both"/>
        <w:rPr>
          <w:rFonts w:ascii="Arial" w:hAnsi="Arial" w:cs="Arial"/>
          <w:sz w:val="24"/>
          <w:szCs w:val="24"/>
        </w:rPr>
      </w:pPr>
      <w:r>
        <w:rPr>
          <w:rFonts w:ascii="Arial" w:hAnsi="Arial" w:cs="Arial"/>
          <w:sz w:val="24"/>
          <w:szCs w:val="24"/>
        </w:rPr>
        <w:lastRenderedPageBreak/>
        <w:t>T</w:t>
      </w:r>
      <w:r w:rsidRPr="007E5BC7">
        <w:rPr>
          <w:rFonts w:ascii="Arial" w:hAnsi="Arial" w:cs="Arial"/>
          <w:sz w:val="24"/>
          <w:szCs w:val="24"/>
        </w:rPr>
        <w:t>he risks reflect the economic climate and the need for the Trust to ensure that systems support the Trust in managing its finances (</w:t>
      </w:r>
      <w:r>
        <w:rPr>
          <w:rFonts w:ascii="Arial" w:hAnsi="Arial" w:cs="Arial"/>
          <w:sz w:val="24"/>
          <w:szCs w:val="24"/>
        </w:rPr>
        <w:t>delivery of savings plans, achievement of CQUIN targets and</w:t>
      </w:r>
      <w:r w:rsidRPr="007E5BC7">
        <w:rPr>
          <w:rFonts w:ascii="Arial" w:hAnsi="Arial" w:cs="Arial"/>
          <w:sz w:val="24"/>
          <w:szCs w:val="24"/>
        </w:rPr>
        <w:t xml:space="preserve"> payroll</w:t>
      </w:r>
      <w:r>
        <w:rPr>
          <w:rFonts w:ascii="Arial" w:hAnsi="Arial" w:cs="Arial"/>
          <w:sz w:val="24"/>
          <w:szCs w:val="24"/>
        </w:rPr>
        <w:t xml:space="preserve"> arrangements</w:t>
      </w:r>
      <w:r w:rsidR="00C938EF">
        <w:rPr>
          <w:rFonts w:ascii="Arial" w:hAnsi="Arial" w:cs="Arial"/>
          <w:sz w:val="24"/>
          <w:szCs w:val="24"/>
        </w:rPr>
        <w:t>, new systems and processes to support the changing business environment</w:t>
      </w:r>
      <w:r w:rsidRPr="007E5BC7">
        <w:rPr>
          <w:rFonts w:ascii="Arial" w:hAnsi="Arial" w:cs="Arial"/>
          <w:sz w:val="24"/>
          <w:szCs w:val="24"/>
        </w:rPr>
        <w:t>)</w:t>
      </w:r>
      <w:r>
        <w:rPr>
          <w:rFonts w:ascii="Arial" w:hAnsi="Arial" w:cs="Arial"/>
          <w:sz w:val="24"/>
          <w:szCs w:val="24"/>
        </w:rPr>
        <w:t xml:space="preserve">. </w:t>
      </w:r>
    </w:p>
    <w:p w:rsidR="00C938EF" w:rsidRDefault="00C938EF" w:rsidP="00C938EF">
      <w:pPr>
        <w:pStyle w:val="BodyText3"/>
        <w:spacing w:after="0"/>
        <w:ind w:left="720"/>
        <w:jc w:val="both"/>
        <w:rPr>
          <w:rFonts w:ascii="Arial" w:hAnsi="Arial" w:cs="Arial"/>
          <w:sz w:val="24"/>
          <w:szCs w:val="24"/>
        </w:rPr>
      </w:pPr>
    </w:p>
    <w:p w:rsidR="00C938EF" w:rsidRPr="00C938EF" w:rsidRDefault="00C938EF" w:rsidP="00C938EF">
      <w:pPr>
        <w:pStyle w:val="BodyText3"/>
        <w:numPr>
          <w:ilvl w:val="2"/>
          <w:numId w:val="21"/>
        </w:numPr>
        <w:spacing w:after="0"/>
        <w:jc w:val="both"/>
        <w:rPr>
          <w:rFonts w:ascii="Arial" w:hAnsi="Arial" w:cs="Arial"/>
          <w:b/>
          <w:sz w:val="24"/>
          <w:szCs w:val="24"/>
        </w:rPr>
      </w:pPr>
      <w:r w:rsidRPr="00C938EF">
        <w:rPr>
          <w:rFonts w:ascii="Arial" w:hAnsi="Arial" w:cs="Arial"/>
          <w:b/>
          <w:sz w:val="24"/>
          <w:szCs w:val="24"/>
        </w:rPr>
        <w:t>To grow and develop successful services</w:t>
      </w:r>
    </w:p>
    <w:p w:rsidR="00C938EF" w:rsidRDefault="00C938EF" w:rsidP="00C938EF">
      <w:pPr>
        <w:pStyle w:val="BodyText3"/>
        <w:spacing w:after="0"/>
        <w:ind w:left="720"/>
        <w:jc w:val="both"/>
        <w:rPr>
          <w:rFonts w:ascii="Arial" w:hAnsi="Arial" w:cs="Arial"/>
          <w:sz w:val="24"/>
          <w:szCs w:val="24"/>
        </w:rPr>
      </w:pPr>
    </w:p>
    <w:p w:rsidR="00C938EF" w:rsidRDefault="00C938EF" w:rsidP="00C938EF">
      <w:pPr>
        <w:pStyle w:val="BodyText3"/>
        <w:spacing w:after="0"/>
        <w:ind w:left="720"/>
        <w:jc w:val="both"/>
        <w:rPr>
          <w:rFonts w:ascii="Arial" w:hAnsi="Arial" w:cs="Arial"/>
          <w:sz w:val="24"/>
          <w:szCs w:val="24"/>
        </w:rPr>
      </w:pPr>
      <w:r>
        <w:rPr>
          <w:rFonts w:ascii="Arial" w:hAnsi="Arial" w:cs="Arial"/>
          <w:sz w:val="24"/>
          <w:szCs w:val="24"/>
        </w:rPr>
        <w:t>The risks reflect recent internal audit reports (regarding Manor House and Highfield) and the impact of the changing commissioning environment and the potential impact of the introduction of Any Qualified Provider.</w:t>
      </w:r>
    </w:p>
    <w:p w:rsidR="00C938EF" w:rsidRPr="007E5BC7" w:rsidRDefault="00C938EF" w:rsidP="00C938EF">
      <w:pPr>
        <w:pStyle w:val="BodyText3"/>
        <w:spacing w:after="0"/>
        <w:ind w:left="720"/>
        <w:jc w:val="both"/>
        <w:rPr>
          <w:rFonts w:ascii="Arial" w:hAnsi="Arial" w:cs="Arial"/>
          <w:sz w:val="24"/>
          <w:szCs w:val="24"/>
        </w:rPr>
      </w:pPr>
    </w:p>
    <w:p w:rsidR="0025693F" w:rsidRDefault="0025693F" w:rsidP="00292A88">
      <w:pPr>
        <w:pStyle w:val="BodyText3"/>
        <w:jc w:val="both"/>
        <w:rPr>
          <w:rFonts w:ascii="Arial" w:hAnsi="Arial" w:cs="Arial"/>
          <w:sz w:val="24"/>
          <w:szCs w:val="24"/>
        </w:rPr>
      </w:pPr>
      <w:r>
        <w:rPr>
          <w:rFonts w:ascii="Arial" w:hAnsi="Arial" w:cs="Arial"/>
          <w:sz w:val="24"/>
          <w:szCs w:val="24"/>
        </w:rPr>
        <w:t>Risks that have been escalated to high or extreme will continue to be reported to the Board of Directors until assurance has been gained through audit, performance monitoring or other reporting mechanisms.</w:t>
      </w:r>
    </w:p>
    <w:p w:rsidR="0025693F" w:rsidRDefault="0025693F" w:rsidP="00292A88">
      <w:pPr>
        <w:pStyle w:val="BodyText3"/>
        <w:jc w:val="both"/>
        <w:rPr>
          <w:rFonts w:ascii="Arial" w:hAnsi="Arial" w:cs="Arial"/>
          <w:sz w:val="24"/>
          <w:szCs w:val="24"/>
        </w:rPr>
      </w:pPr>
      <w:r>
        <w:rPr>
          <w:rFonts w:ascii="Arial" w:hAnsi="Arial" w:cs="Arial"/>
          <w:sz w:val="24"/>
          <w:szCs w:val="24"/>
        </w:rPr>
        <w:t xml:space="preserve">The Board will be updated on a quarterly basis with the effectiveness of the risk mitigation plans, as reflected in the detail of Appendix </w:t>
      </w:r>
      <w:r w:rsidR="00E645B7">
        <w:rPr>
          <w:rFonts w:ascii="Arial" w:hAnsi="Arial" w:cs="Arial"/>
          <w:sz w:val="24"/>
          <w:szCs w:val="24"/>
        </w:rPr>
        <w:t>B</w:t>
      </w:r>
      <w:r>
        <w:rPr>
          <w:rFonts w:ascii="Arial" w:hAnsi="Arial" w:cs="Arial"/>
          <w:sz w:val="24"/>
          <w:szCs w:val="24"/>
        </w:rPr>
        <w:t xml:space="preserve">. </w:t>
      </w:r>
    </w:p>
    <w:p w:rsidR="0025693F" w:rsidRDefault="0025693F" w:rsidP="001D5BF9">
      <w:pPr>
        <w:jc w:val="both"/>
        <w:rPr>
          <w:rFonts w:ascii="Arial" w:hAnsi="Arial" w:cs="Arial"/>
          <w:b/>
        </w:rPr>
      </w:pPr>
    </w:p>
    <w:p w:rsidR="0025693F" w:rsidRDefault="0025693F" w:rsidP="001D5BF9">
      <w:pPr>
        <w:jc w:val="both"/>
        <w:rPr>
          <w:rFonts w:ascii="Arial" w:hAnsi="Arial" w:cs="Arial"/>
          <w:b/>
        </w:rPr>
      </w:pPr>
      <w:r>
        <w:rPr>
          <w:rFonts w:ascii="Arial" w:hAnsi="Arial" w:cs="Arial"/>
          <w:b/>
        </w:rPr>
        <w:t>Recommendation</w:t>
      </w:r>
    </w:p>
    <w:p w:rsidR="0025693F" w:rsidRDefault="0025693F" w:rsidP="001D5BF9">
      <w:pPr>
        <w:jc w:val="both"/>
        <w:rPr>
          <w:rFonts w:ascii="Arial" w:hAnsi="Arial" w:cs="Arial"/>
        </w:rPr>
      </w:pPr>
      <w:r>
        <w:rPr>
          <w:rFonts w:ascii="Arial" w:hAnsi="Arial" w:cs="Arial"/>
        </w:rPr>
        <w:t xml:space="preserve">The Board of Directors is asked to note the </w:t>
      </w:r>
      <w:r w:rsidR="00561B31">
        <w:rPr>
          <w:rFonts w:ascii="Arial" w:hAnsi="Arial" w:cs="Arial"/>
        </w:rPr>
        <w:t>Q2</w:t>
      </w:r>
      <w:r>
        <w:rPr>
          <w:rFonts w:ascii="Arial" w:hAnsi="Arial" w:cs="Arial"/>
        </w:rPr>
        <w:t xml:space="preserve"> position. </w:t>
      </w:r>
    </w:p>
    <w:p w:rsidR="0025693F" w:rsidRDefault="0025693F" w:rsidP="001D5BF9">
      <w:pPr>
        <w:jc w:val="both"/>
        <w:rPr>
          <w:rFonts w:ascii="Arial" w:hAnsi="Arial" w:cs="Arial"/>
        </w:rPr>
      </w:pPr>
    </w:p>
    <w:p w:rsidR="0025693F" w:rsidRPr="002C117C" w:rsidRDefault="0025693F" w:rsidP="001D5BF9">
      <w:pPr>
        <w:ind w:left="1440" w:hanging="1440"/>
        <w:jc w:val="both"/>
        <w:rPr>
          <w:rFonts w:ascii="Arial" w:hAnsi="Arial" w:cs="Arial"/>
          <w:b/>
        </w:rPr>
      </w:pPr>
      <w:r w:rsidRPr="002C117C">
        <w:rPr>
          <w:rFonts w:ascii="Arial" w:hAnsi="Arial" w:cs="Arial"/>
          <w:b/>
        </w:rPr>
        <w:t xml:space="preserve">Author and Title: </w:t>
      </w:r>
      <w:r>
        <w:rPr>
          <w:rFonts w:ascii="Arial" w:hAnsi="Arial" w:cs="Arial"/>
          <w:b/>
        </w:rPr>
        <w:t>James Venables</w:t>
      </w:r>
      <w:r w:rsidRPr="002C117C">
        <w:rPr>
          <w:rFonts w:ascii="Arial" w:hAnsi="Arial" w:cs="Arial"/>
          <w:b/>
        </w:rPr>
        <w:t xml:space="preserve">, </w:t>
      </w:r>
      <w:r>
        <w:rPr>
          <w:rFonts w:ascii="Arial" w:hAnsi="Arial" w:cs="Arial"/>
          <w:b/>
        </w:rPr>
        <w:t>Head of Strategy</w:t>
      </w:r>
      <w:r w:rsidRPr="002C117C">
        <w:rPr>
          <w:rFonts w:ascii="Arial" w:hAnsi="Arial" w:cs="Arial"/>
          <w:b/>
        </w:rPr>
        <w:tab/>
      </w:r>
    </w:p>
    <w:p w:rsidR="0025693F" w:rsidRPr="002C117C" w:rsidRDefault="0025693F" w:rsidP="001D5BF9">
      <w:pPr>
        <w:jc w:val="both"/>
        <w:rPr>
          <w:rFonts w:ascii="Arial" w:hAnsi="Arial" w:cs="Arial"/>
          <w:b/>
        </w:rPr>
      </w:pPr>
      <w:r w:rsidRPr="002C117C">
        <w:rPr>
          <w:rFonts w:ascii="Arial" w:hAnsi="Arial" w:cs="Arial"/>
          <w:b/>
        </w:rPr>
        <w:t>Lead Executive Director:</w:t>
      </w:r>
      <w:r w:rsidRPr="002C117C">
        <w:rPr>
          <w:rFonts w:ascii="Arial" w:hAnsi="Arial" w:cs="Arial"/>
          <w:b/>
        </w:rPr>
        <w:tab/>
      </w:r>
      <w:r>
        <w:rPr>
          <w:rFonts w:ascii="Arial" w:hAnsi="Arial" w:cs="Arial"/>
          <w:b/>
        </w:rPr>
        <w:t>Stephen Cass, Director of Strategy and Commercial Development</w:t>
      </w:r>
    </w:p>
    <w:p w:rsidR="0025693F" w:rsidRDefault="0025693F" w:rsidP="001D5BF9">
      <w:pPr>
        <w:jc w:val="both"/>
        <w:rPr>
          <w:rFonts w:ascii="Arial" w:hAnsi="Arial" w:cs="Arial"/>
          <w:b/>
        </w:rPr>
      </w:pPr>
    </w:p>
    <w:p w:rsidR="0025693F" w:rsidRDefault="0025693F" w:rsidP="007E5BC7">
      <w:pPr>
        <w:numPr>
          <w:ilvl w:val="0"/>
          <w:numId w:val="1"/>
        </w:numPr>
        <w:jc w:val="right"/>
      </w:pPr>
      <w:r w:rsidRPr="002445CE">
        <w:rPr>
          <w:rFonts w:ascii="Arial" w:hAnsi="Arial" w:cs="Arial"/>
          <w:i/>
          <w:sz w:val="20"/>
          <w:szCs w:val="20"/>
        </w:rPr>
        <w:t>A risk assessment has been undertaken around the legal issues that this paper presents and there are no issues that need to be referred to the Trust Solicitors</w:t>
      </w:r>
      <w:r w:rsidRPr="002445CE">
        <w:rPr>
          <w:rFonts w:ascii="Arial" w:hAnsi="Arial" w:cs="Arial"/>
          <w:b/>
          <w:sz w:val="20"/>
          <w:szCs w:val="20"/>
        </w:rPr>
        <w:br w:type="page"/>
      </w:r>
    </w:p>
    <w:tbl>
      <w:tblPr>
        <w:tblW w:w="5000" w:type="pct"/>
        <w:jc w:val="center"/>
        <w:tblCellSpacing w:w="22" w:type="dxa"/>
        <w:tblCellMar>
          <w:top w:w="45" w:type="dxa"/>
          <w:left w:w="45" w:type="dxa"/>
          <w:bottom w:w="45" w:type="dxa"/>
          <w:right w:w="45" w:type="dxa"/>
        </w:tblCellMar>
        <w:tblLook w:val="04A0"/>
      </w:tblPr>
      <w:tblGrid>
        <w:gridCol w:w="8490"/>
      </w:tblGrid>
      <w:tr w:rsidR="00621883" w:rsidRPr="005D3695" w:rsidTr="00290439">
        <w:trPr>
          <w:tblCellSpacing w:w="22" w:type="dxa"/>
          <w:jc w:val="center"/>
        </w:trPr>
        <w:tc>
          <w:tcPr>
            <w:tcW w:w="0" w:type="auto"/>
            <w:vAlign w:val="center"/>
            <w:hideMark/>
          </w:tcPr>
          <w:p w:rsidR="00621883" w:rsidRPr="005D3695" w:rsidRDefault="00621883" w:rsidP="00290439">
            <w:pPr>
              <w:jc w:val="right"/>
              <w:rPr>
                <w:rFonts w:ascii="Arial" w:hAnsi="Arial" w:cs="Arial"/>
                <w:b/>
                <w:bCs/>
                <w:sz w:val="22"/>
                <w:szCs w:val="22"/>
              </w:rPr>
            </w:pPr>
            <w:r w:rsidRPr="005D3695">
              <w:rPr>
                <w:rFonts w:ascii="Arial" w:hAnsi="Arial" w:cs="Arial"/>
                <w:b/>
                <w:bCs/>
                <w:sz w:val="22"/>
                <w:szCs w:val="22"/>
              </w:rPr>
              <w:lastRenderedPageBreak/>
              <w:t xml:space="preserve">Appendix </w:t>
            </w:r>
            <w:r>
              <w:rPr>
                <w:rFonts w:ascii="Arial" w:hAnsi="Arial" w:cs="Arial"/>
                <w:b/>
                <w:bCs/>
                <w:sz w:val="22"/>
                <w:szCs w:val="22"/>
              </w:rPr>
              <w:t>B</w:t>
            </w:r>
          </w:p>
          <w:p w:rsidR="00621883" w:rsidRPr="005D3695" w:rsidRDefault="00621883" w:rsidP="00290439">
            <w:pPr>
              <w:jc w:val="center"/>
              <w:rPr>
                <w:rFonts w:ascii="Arial" w:hAnsi="Arial" w:cs="Arial"/>
                <w:sz w:val="22"/>
                <w:szCs w:val="22"/>
              </w:rPr>
            </w:pPr>
            <w:r w:rsidRPr="005D3695">
              <w:rPr>
                <w:rFonts w:ascii="Arial" w:hAnsi="Arial" w:cs="Arial"/>
                <w:b/>
                <w:bCs/>
                <w:sz w:val="22"/>
                <w:szCs w:val="22"/>
              </w:rPr>
              <w:t>ASSURANCE FRAMEWORK</w:t>
            </w:r>
            <w:r w:rsidRPr="005D3695">
              <w:rPr>
                <w:rFonts w:ascii="Arial" w:hAnsi="Arial" w:cs="Arial"/>
                <w:sz w:val="22"/>
                <w:szCs w:val="22"/>
              </w:rPr>
              <w:t xml:space="preserve"> </w:t>
            </w:r>
          </w:p>
        </w:tc>
      </w:tr>
      <w:tr w:rsidR="00621883" w:rsidRPr="005D3695" w:rsidTr="00290439">
        <w:trPr>
          <w:tblCellSpacing w:w="22" w:type="dxa"/>
          <w:jc w:val="center"/>
        </w:trPr>
        <w:tc>
          <w:tcPr>
            <w:tcW w:w="0" w:type="auto"/>
            <w:hideMark/>
          </w:tcPr>
          <w:tbl>
            <w:tblPr>
              <w:tblW w:w="8316" w:type="dxa"/>
              <w:tblBorders>
                <w:top w:val="outset" w:sz="6" w:space="0" w:color="DDDDDD"/>
                <w:left w:val="outset" w:sz="6" w:space="0" w:color="DDDDDD"/>
                <w:bottom w:val="outset" w:sz="6" w:space="0" w:color="DDDDDD"/>
                <w:right w:val="outset" w:sz="6" w:space="0" w:color="DDDDDD"/>
              </w:tblBorders>
              <w:tblCellMar>
                <w:top w:w="30" w:type="dxa"/>
                <w:left w:w="30" w:type="dxa"/>
                <w:bottom w:w="30" w:type="dxa"/>
                <w:right w:w="30" w:type="dxa"/>
              </w:tblCellMar>
              <w:tblLook w:val="04A0"/>
            </w:tblPr>
            <w:tblGrid>
              <w:gridCol w:w="5417"/>
              <w:gridCol w:w="1040"/>
              <w:gridCol w:w="1793"/>
              <w:gridCol w:w="66"/>
            </w:tblGrid>
            <w:tr w:rsidR="00621883" w:rsidRPr="00D648CA" w:rsidTr="00290439">
              <w:trPr>
                <w:gridAfter w:val="1"/>
                <w:trHeight w:val="563"/>
                <w:tblHeader/>
              </w:trPr>
              <w:tc>
                <w:tcPr>
                  <w:tcW w:w="0" w:type="auto"/>
                  <w:tcBorders>
                    <w:top w:val="outset" w:sz="6" w:space="0" w:color="DDDDDD"/>
                    <w:left w:val="outset" w:sz="6" w:space="0" w:color="DDDDDD"/>
                    <w:bottom w:val="outset" w:sz="6" w:space="0" w:color="DDDDDD"/>
                    <w:right w:val="outset" w:sz="6" w:space="0" w:color="DDDDDD"/>
                  </w:tcBorders>
                  <w:vAlign w:val="center"/>
                  <w:hideMark/>
                </w:tcPr>
                <w:p w:rsidR="00621883" w:rsidRPr="00D648CA" w:rsidRDefault="00621883" w:rsidP="00290439">
                  <w:pPr>
                    <w:rPr>
                      <w:rFonts w:ascii="Arial" w:hAnsi="Arial" w:cs="Arial"/>
                      <w:sz w:val="22"/>
                      <w:szCs w:val="22"/>
                    </w:rPr>
                  </w:pPr>
                  <w:r w:rsidRPr="00D648CA">
                    <w:rPr>
                      <w:rFonts w:ascii="Arial" w:hAnsi="Arial" w:cs="Arial"/>
                      <w:b/>
                      <w:bCs/>
                      <w:sz w:val="22"/>
                      <w:szCs w:val="22"/>
                    </w:rPr>
                    <w:t>Risk Name</w:t>
                  </w:r>
                </w:p>
              </w:tc>
              <w:tc>
                <w:tcPr>
                  <w:tcW w:w="0" w:type="auto"/>
                  <w:tcBorders>
                    <w:top w:val="outset" w:sz="6" w:space="0" w:color="DDDDDD"/>
                    <w:left w:val="outset" w:sz="6" w:space="0" w:color="DDDDDD"/>
                    <w:bottom w:val="outset" w:sz="6" w:space="0" w:color="DDDDDD"/>
                    <w:right w:val="outset" w:sz="6" w:space="0" w:color="DDDDDD"/>
                  </w:tcBorders>
                  <w:vAlign w:val="center"/>
                  <w:hideMark/>
                </w:tcPr>
                <w:p w:rsidR="00621883" w:rsidRPr="00D648CA" w:rsidRDefault="00621883" w:rsidP="00290439">
                  <w:pPr>
                    <w:rPr>
                      <w:rFonts w:ascii="Arial" w:hAnsi="Arial" w:cs="Arial"/>
                      <w:sz w:val="22"/>
                      <w:szCs w:val="22"/>
                    </w:rPr>
                  </w:pPr>
                  <w:r w:rsidRPr="00D648CA">
                    <w:rPr>
                      <w:rFonts w:ascii="Arial" w:hAnsi="Arial" w:cs="Arial"/>
                      <w:b/>
                      <w:bCs/>
                      <w:sz w:val="22"/>
                      <w:szCs w:val="22"/>
                    </w:rPr>
                    <w:t>Residual Risk</w:t>
                  </w:r>
                </w:p>
              </w:tc>
              <w:tc>
                <w:tcPr>
                  <w:tcW w:w="0" w:type="auto"/>
                  <w:tcBorders>
                    <w:top w:val="outset" w:sz="6" w:space="0" w:color="DDDDDD"/>
                    <w:left w:val="outset" w:sz="6" w:space="0" w:color="DDDDDD"/>
                    <w:bottom w:val="outset" w:sz="6" w:space="0" w:color="DDDDDD"/>
                    <w:right w:val="outset" w:sz="6" w:space="0" w:color="DDDDDD"/>
                  </w:tcBorders>
                  <w:vAlign w:val="center"/>
                  <w:hideMark/>
                </w:tcPr>
                <w:p w:rsidR="00621883" w:rsidRPr="00D648CA" w:rsidRDefault="00621883" w:rsidP="00290439">
                  <w:pPr>
                    <w:rPr>
                      <w:rFonts w:ascii="Arial" w:hAnsi="Arial" w:cs="Arial"/>
                      <w:sz w:val="22"/>
                      <w:szCs w:val="22"/>
                    </w:rPr>
                  </w:pPr>
                  <w:r w:rsidRPr="00D648CA">
                    <w:rPr>
                      <w:rFonts w:ascii="Arial" w:hAnsi="Arial" w:cs="Arial"/>
                      <w:b/>
                      <w:bCs/>
                      <w:sz w:val="22"/>
                      <w:szCs w:val="22"/>
                    </w:rPr>
                    <w:t>Risk Owner</w:t>
                  </w:r>
                </w:p>
              </w:tc>
            </w:tr>
            <w:tr w:rsidR="00621883" w:rsidRPr="00D648CA" w:rsidTr="00290439">
              <w:trPr>
                <w:trHeight w:val="453"/>
              </w:trPr>
              <w:tc>
                <w:tcPr>
                  <w:tcW w:w="0" w:type="auto"/>
                  <w:gridSpan w:val="4"/>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b/>
                      <w:bCs/>
                      <w:sz w:val="22"/>
                      <w:szCs w:val="22"/>
                    </w:rPr>
                  </w:pPr>
                  <w:r w:rsidRPr="00D648CA">
                    <w:rPr>
                      <w:rFonts w:ascii="Arial" w:hAnsi="Arial" w:cs="Arial"/>
                      <w:b/>
                      <w:bCs/>
                      <w:sz w:val="22"/>
                      <w:szCs w:val="22"/>
                    </w:rPr>
                    <w:t xml:space="preserve">     1. To improve safety and quality continuously </w:t>
                  </w:r>
                </w:p>
              </w:tc>
            </w:tr>
            <w:tr w:rsidR="00621883" w:rsidRPr="00D648CA" w:rsidTr="00290439">
              <w:trPr>
                <w:trHeight w:val="1127"/>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09.FT BR05 Ineffective control of service quality</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Nursing &amp; Clinical Standards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1127"/>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09.FT GOV09 Ineffective infection control management</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Nursing &amp; Clinical Standards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1127"/>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09.FT OPS11Vulnerable patients of all ages are not adequately protected</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Nursing &amp; Clinical Standards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856"/>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09.FT OPS25 Service users and carer or advocates are unable to raise concerns and complaints in a confidential and non-discriminatory manner</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Director of Nursing &amp; Clinical Standards</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453"/>
              </w:trPr>
              <w:tc>
                <w:tcPr>
                  <w:tcW w:w="0" w:type="auto"/>
                  <w:gridSpan w:val="4"/>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b/>
                      <w:bCs/>
                      <w:sz w:val="22"/>
                      <w:szCs w:val="22"/>
                    </w:rPr>
                  </w:pPr>
                  <w:r w:rsidRPr="00D648CA">
                    <w:rPr>
                      <w:rFonts w:ascii="Arial" w:hAnsi="Arial" w:cs="Arial"/>
                      <w:b/>
                      <w:bCs/>
                      <w:sz w:val="22"/>
                      <w:szCs w:val="22"/>
                    </w:rPr>
                    <w:t xml:space="preserve">     3. To use the funding we receive effectively to bring about excellence of care and patient satisfaction </w:t>
                  </w:r>
                </w:p>
              </w:tc>
            </w:tr>
            <w:tr w:rsidR="00621883" w:rsidRPr="00D648CA" w:rsidTr="00290439">
              <w:trPr>
                <w:trHeight w:val="1420"/>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09.FT FIN03 Non-delivery of Cost Improvement Plans could cause the Trust to fail in the delivery of it financial plan which could lead to additional scrutiny and intervention by Monitor and a shortfall in cash for the Trust's Capital Programme</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Finance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1420"/>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09</w:t>
                  </w:r>
                  <w:proofErr w:type="gramStart"/>
                  <w:r w:rsidRPr="00D648CA">
                    <w:rPr>
                      <w:rFonts w:ascii="Arial" w:hAnsi="Arial" w:cs="Arial"/>
                      <w:sz w:val="22"/>
                      <w:szCs w:val="22"/>
                    </w:rPr>
                    <w:t>.FT</w:t>
                  </w:r>
                  <w:proofErr w:type="gramEnd"/>
                  <w:r w:rsidRPr="00D648CA">
                    <w:rPr>
                      <w:rFonts w:ascii="Arial" w:hAnsi="Arial" w:cs="Arial"/>
                      <w:sz w:val="22"/>
                      <w:szCs w:val="22"/>
                    </w:rPr>
                    <w:t xml:space="preserve"> FIN07 The payment of salaries, allowances, variable pay, and expenses, and deductions is not properly managed leading to salary or expenses under/over payments and resulting in pecuniary loss and/or staff dissatisfaction.</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Human Resources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1127"/>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11</w:t>
                  </w:r>
                  <w:proofErr w:type="gramStart"/>
                  <w:r w:rsidRPr="00D648CA">
                    <w:rPr>
                      <w:rFonts w:ascii="Arial" w:hAnsi="Arial" w:cs="Arial"/>
                      <w:sz w:val="22"/>
                      <w:szCs w:val="22"/>
                    </w:rPr>
                    <w:t>.FT</w:t>
                  </w:r>
                  <w:proofErr w:type="gramEnd"/>
                  <w:r w:rsidRPr="00D648CA">
                    <w:rPr>
                      <w:rFonts w:ascii="Arial" w:hAnsi="Arial" w:cs="Arial"/>
                      <w:sz w:val="22"/>
                      <w:szCs w:val="22"/>
                    </w:rPr>
                    <w:t xml:space="preserve"> FIN 11 The Trust does not achieve the required performance targets in year to gain the Contract CQUIN and Penalty Schemes income or attracts s penalty payment.</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Chief Operating Officer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2569"/>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11</w:t>
                  </w:r>
                  <w:proofErr w:type="gramStart"/>
                  <w:r w:rsidRPr="00D648CA">
                    <w:rPr>
                      <w:rFonts w:ascii="Arial" w:hAnsi="Arial" w:cs="Arial"/>
                      <w:sz w:val="22"/>
                      <w:szCs w:val="22"/>
                    </w:rPr>
                    <w:t>.FT</w:t>
                  </w:r>
                  <w:proofErr w:type="gramEnd"/>
                  <w:r w:rsidRPr="00D648CA">
                    <w:rPr>
                      <w:rFonts w:ascii="Arial" w:hAnsi="Arial" w:cs="Arial"/>
                      <w:sz w:val="22"/>
                      <w:szCs w:val="22"/>
                    </w:rPr>
                    <w:t xml:space="preserve"> FIN12 The Trust is not prepared adequately for the implementation of PbR in mental health and community services not having undertaken the necessary work on patient/activity classification and costing meaning that the Trust does not have the activity recording systems in place to allow the full recovery of income; does not understand its cost base in relation to tariff and therefore does not know profit/loss by service line.</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 xml:space="preserve">Director of Finance </w:t>
                  </w:r>
                </w:p>
              </w:tc>
              <w:tc>
                <w:tcPr>
                  <w:tcW w:w="0" w:type="auto"/>
                  <w:hideMark/>
                </w:tcPr>
                <w:p w:rsidR="00621883" w:rsidRPr="00D648CA" w:rsidRDefault="00621883" w:rsidP="00290439">
                  <w:pPr>
                    <w:rPr>
                      <w:rFonts w:ascii="Arial" w:hAnsi="Arial" w:cs="Arial"/>
                      <w:sz w:val="22"/>
                      <w:szCs w:val="22"/>
                    </w:rPr>
                  </w:pPr>
                </w:p>
              </w:tc>
            </w:tr>
            <w:tr w:rsidR="00621883" w:rsidRPr="00D648CA" w:rsidTr="00290439">
              <w:trPr>
                <w:trHeight w:val="453"/>
              </w:trPr>
              <w:tc>
                <w:tcPr>
                  <w:tcW w:w="0" w:type="auto"/>
                  <w:gridSpan w:val="4"/>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b/>
                      <w:bCs/>
                      <w:sz w:val="22"/>
                      <w:szCs w:val="22"/>
                    </w:rPr>
                  </w:pPr>
                  <w:r w:rsidRPr="00D648CA">
                    <w:rPr>
                      <w:rFonts w:ascii="Arial" w:hAnsi="Arial" w:cs="Arial"/>
                      <w:b/>
                      <w:bCs/>
                      <w:sz w:val="22"/>
                      <w:szCs w:val="22"/>
                    </w:rPr>
                    <w:lastRenderedPageBreak/>
                    <w:t xml:space="preserve">     4. To grow and develop successful service </w:t>
                  </w:r>
                </w:p>
              </w:tc>
            </w:tr>
            <w:tr w:rsidR="00621883" w:rsidRPr="00D648CA" w:rsidTr="00290439">
              <w:trPr>
                <w:trHeight w:val="162"/>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FIN01 - The indicative 5-year capital investment programme is not affordable</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Director of Strategy and Commercial Development</w:t>
                  </w:r>
                </w:p>
              </w:tc>
              <w:tc>
                <w:tcPr>
                  <w:tcW w:w="0" w:type="auto"/>
                  <w:hideMark/>
                </w:tcPr>
                <w:p w:rsidR="00621883" w:rsidRPr="00D648CA" w:rsidRDefault="00621883" w:rsidP="00290439">
                  <w:pPr>
                    <w:rPr>
                      <w:rFonts w:ascii="Arial" w:hAnsi="Arial" w:cs="Arial"/>
                      <w:sz w:val="22"/>
                      <w:szCs w:val="22"/>
                    </w:rPr>
                  </w:pPr>
                </w:p>
              </w:tc>
            </w:tr>
            <w:tr w:rsidR="00621883" w:rsidRPr="005D3695" w:rsidTr="00290439">
              <w:trPr>
                <w:trHeight w:val="162"/>
              </w:trPr>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11.FT FIN04 Increased competition in the provision of healthcare services</w:t>
                  </w:r>
                </w:p>
              </w:tc>
              <w:tc>
                <w:tcPr>
                  <w:tcW w:w="0" w:type="auto"/>
                  <w:tcBorders>
                    <w:top w:val="outset" w:sz="6" w:space="0" w:color="DDDDDD"/>
                    <w:left w:val="outset" w:sz="6" w:space="0" w:color="DDDDDD"/>
                    <w:bottom w:val="outset" w:sz="6" w:space="0" w:color="DDDDDD"/>
                    <w:right w:val="outset" w:sz="6" w:space="0" w:color="DDDDDD"/>
                  </w:tcBorders>
                  <w:shd w:val="clear" w:color="auto" w:fill="FF9900"/>
                  <w:hideMark/>
                </w:tcPr>
                <w:p w:rsidR="00621883" w:rsidRPr="00D648CA" w:rsidRDefault="00621883" w:rsidP="00290439">
                  <w:pPr>
                    <w:jc w:val="center"/>
                    <w:rPr>
                      <w:rFonts w:ascii="Arial" w:hAnsi="Arial" w:cs="Arial"/>
                      <w:sz w:val="22"/>
                      <w:szCs w:val="22"/>
                    </w:rPr>
                  </w:pPr>
                  <w:r w:rsidRPr="00D648CA">
                    <w:rPr>
                      <w:rFonts w:ascii="Arial" w:hAnsi="Arial" w:cs="Arial"/>
                      <w:sz w:val="22"/>
                      <w:szCs w:val="22"/>
                    </w:rPr>
                    <w:t>H</w:t>
                  </w:r>
                </w:p>
              </w:tc>
              <w:tc>
                <w:tcPr>
                  <w:tcW w:w="0" w:type="auto"/>
                  <w:tcBorders>
                    <w:top w:val="outset" w:sz="6" w:space="0" w:color="DDDDDD"/>
                    <w:left w:val="outset" w:sz="6" w:space="0" w:color="DDDDDD"/>
                    <w:bottom w:val="outset" w:sz="6" w:space="0" w:color="DDDDDD"/>
                    <w:right w:val="outset" w:sz="6" w:space="0" w:color="DDDDDD"/>
                  </w:tcBorders>
                  <w:hideMark/>
                </w:tcPr>
                <w:p w:rsidR="00621883" w:rsidRPr="00D648CA" w:rsidRDefault="00621883" w:rsidP="00290439">
                  <w:pPr>
                    <w:rPr>
                      <w:rFonts w:ascii="Arial" w:hAnsi="Arial" w:cs="Arial"/>
                      <w:sz w:val="22"/>
                      <w:szCs w:val="22"/>
                    </w:rPr>
                  </w:pPr>
                  <w:r w:rsidRPr="00D648CA">
                    <w:rPr>
                      <w:rFonts w:ascii="Arial" w:hAnsi="Arial" w:cs="Arial"/>
                      <w:sz w:val="22"/>
                      <w:szCs w:val="22"/>
                    </w:rPr>
                    <w:t>Director of Strategy and Commercial Development</w:t>
                  </w:r>
                </w:p>
              </w:tc>
              <w:tc>
                <w:tcPr>
                  <w:tcW w:w="0" w:type="auto"/>
                  <w:hideMark/>
                </w:tcPr>
                <w:p w:rsidR="00621883" w:rsidRPr="005D3695" w:rsidRDefault="00621883" w:rsidP="00290439">
                  <w:pPr>
                    <w:rPr>
                      <w:rFonts w:ascii="Arial" w:hAnsi="Arial" w:cs="Arial"/>
                      <w:sz w:val="22"/>
                      <w:szCs w:val="22"/>
                    </w:rPr>
                  </w:pPr>
                </w:p>
              </w:tc>
            </w:tr>
          </w:tbl>
          <w:p w:rsidR="00621883" w:rsidRPr="005D3695" w:rsidRDefault="00621883" w:rsidP="00290439">
            <w:pPr>
              <w:rPr>
                <w:rFonts w:ascii="Arial" w:hAnsi="Arial" w:cs="Arial"/>
                <w:sz w:val="22"/>
                <w:szCs w:val="22"/>
              </w:rPr>
            </w:pPr>
          </w:p>
        </w:tc>
      </w:tr>
    </w:tbl>
    <w:p w:rsidR="0025693F" w:rsidRDefault="0025693F" w:rsidP="00092B53">
      <w:pPr>
        <w:jc w:val="right"/>
        <w:rPr>
          <w:rFonts w:ascii="Arial" w:hAnsi="Arial" w:cs="Arial"/>
          <w:b/>
          <w:sz w:val="20"/>
          <w:szCs w:val="20"/>
        </w:rPr>
      </w:pPr>
    </w:p>
    <w:sectPr w:rsidR="0025693F" w:rsidSect="00E56591">
      <w:headerReference w:type="even" r:id="rId8"/>
      <w:headerReference w:type="default" r:id="rId9"/>
      <w:footerReference w:type="even" r:id="rId10"/>
      <w:footerReference w:type="default" r:id="rId11"/>
      <w:headerReference w:type="first" r:id="rId12"/>
      <w:footerReference w:type="first" r:id="rId13"/>
      <w:pgSz w:w="11906" w:h="16838" w:code="9"/>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39" w:rsidRDefault="00290439" w:rsidP="00307076">
      <w:r>
        <w:separator/>
      </w:r>
    </w:p>
  </w:endnote>
  <w:endnote w:type="continuationSeparator" w:id="1">
    <w:p w:rsidR="00290439" w:rsidRDefault="00290439" w:rsidP="00307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0D" w:rsidRDefault="00595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0D" w:rsidRDefault="00595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0D" w:rsidRDefault="00595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39" w:rsidRDefault="00290439" w:rsidP="00307076">
      <w:r>
        <w:separator/>
      </w:r>
    </w:p>
  </w:footnote>
  <w:footnote w:type="continuationSeparator" w:id="1">
    <w:p w:rsidR="00290439" w:rsidRDefault="00290439" w:rsidP="0030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0D" w:rsidRDefault="00595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39" w:rsidRPr="005B3E3C" w:rsidRDefault="00290439" w:rsidP="00307076">
    <w:pPr>
      <w:pStyle w:val="Header"/>
      <w:jc w:val="center"/>
      <w:rPr>
        <w:rFonts w:ascii="Arial" w:hAnsi="Arial" w:cs="Arial"/>
      </w:rPr>
    </w:pPr>
  </w:p>
  <w:p w:rsidR="00290439" w:rsidRDefault="00290439">
    <w:pPr>
      <w:pStyle w:val="Header"/>
    </w:pPr>
  </w:p>
  <w:p w:rsidR="00290439" w:rsidRDefault="002904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0D" w:rsidRDefault="00595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108"/>
    <w:multiLevelType w:val="hybridMultilevel"/>
    <w:tmpl w:val="63E028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D3E5A"/>
    <w:multiLevelType w:val="hybridMultilevel"/>
    <w:tmpl w:val="9B6886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800C43"/>
    <w:multiLevelType w:val="hybridMultilevel"/>
    <w:tmpl w:val="2170309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D0C2D42"/>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1619D8"/>
    <w:multiLevelType w:val="hybridMultilevel"/>
    <w:tmpl w:val="CF28CD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4458FE"/>
    <w:multiLevelType w:val="hybridMultilevel"/>
    <w:tmpl w:val="25EE8590"/>
    <w:lvl w:ilvl="0" w:tplc="DEF4DE9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4083C"/>
    <w:multiLevelType w:val="hybridMultilevel"/>
    <w:tmpl w:val="2F9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C6F2B"/>
    <w:multiLevelType w:val="multilevel"/>
    <w:tmpl w:val="FF447716"/>
    <w:lvl w:ilvl="0">
      <w:start w:val="2"/>
      <w:numFmt w:val="decimal"/>
      <w:lvlText w:val="%1"/>
      <w:lvlJc w:val="left"/>
      <w:pPr>
        <w:ind w:left="360" w:hanging="360"/>
      </w:pPr>
      <w:rPr>
        <w:rFonts w:cs="Times New Roman" w:hint="default"/>
      </w:rPr>
    </w:lvl>
    <w:lvl w:ilvl="1">
      <w:start w:val="2"/>
      <w:numFmt w:val="decimal"/>
      <w:lvlText w:val="%2%1.1"/>
      <w:lvlJc w:val="left"/>
      <w:pPr>
        <w:ind w:left="360" w:hanging="360"/>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511B01"/>
    <w:multiLevelType w:val="hybridMultilevel"/>
    <w:tmpl w:val="7E922F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3B30678"/>
    <w:multiLevelType w:val="hybridMultilevel"/>
    <w:tmpl w:val="B56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23292"/>
    <w:multiLevelType w:val="hybridMultilevel"/>
    <w:tmpl w:val="618A838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87775B"/>
    <w:multiLevelType w:val="multilevel"/>
    <w:tmpl w:val="4BEAAA3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8927030"/>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60A212C"/>
    <w:multiLevelType w:val="hybridMultilevel"/>
    <w:tmpl w:val="A5309E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FE27B0"/>
    <w:multiLevelType w:val="hybridMultilevel"/>
    <w:tmpl w:val="673ABC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E64673"/>
    <w:multiLevelType w:val="multilevel"/>
    <w:tmpl w:val="C33EDAC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5A30FAE"/>
    <w:multiLevelType w:val="multilevel"/>
    <w:tmpl w:val="10B65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F33775C"/>
    <w:multiLevelType w:val="multilevel"/>
    <w:tmpl w:val="C1FEA92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680B466D"/>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EDB1918"/>
    <w:multiLevelType w:val="hybridMultilevel"/>
    <w:tmpl w:val="A5CAADA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4"/>
  </w:num>
  <w:num w:numId="4">
    <w:abstractNumId w:val="10"/>
  </w:num>
  <w:num w:numId="5">
    <w:abstractNumId w:val="15"/>
  </w:num>
  <w:num w:numId="6">
    <w:abstractNumId w:val="1"/>
  </w:num>
  <w:num w:numId="7">
    <w:abstractNumId w:val="13"/>
  </w:num>
  <w:num w:numId="8">
    <w:abstractNumId w:val="2"/>
  </w:num>
  <w:num w:numId="9">
    <w:abstractNumId w:val="0"/>
  </w:num>
  <w:num w:numId="10">
    <w:abstractNumId w:val="6"/>
  </w:num>
  <w:num w:numId="11">
    <w:abstractNumId w:val="9"/>
  </w:num>
  <w:num w:numId="12">
    <w:abstractNumId w:val="5"/>
  </w:num>
  <w:num w:numId="13">
    <w:abstractNumId w:val="19"/>
  </w:num>
  <w:num w:numId="14">
    <w:abstractNumId w:val="8"/>
  </w:num>
  <w:num w:numId="15">
    <w:abstractNumId w:val="18"/>
  </w:num>
  <w:num w:numId="16">
    <w:abstractNumId w:val="3"/>
  </w:num>
  <w:num w:numId="17">
    <w:abstractNumId w:val="17"/>
  </w:num>
  <w:num w:numId="18">
    <w:abstractNumId w:val="16"/>
  </w:num>
  <w:num w:numId="19">
    <w:abstractNumId w:val="12"/>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1229B8"/>
    <w:rsid w:val="00000576"/>
    <w:rsid w:val="000058AD"/>
    <w:rsid w:val="000456E6"/>
    <w:rsid w:val="00050C47"/>
    <w:rsid w:val="00056CE9"/>
    <w:rsid w:val="000645FA"/>
    <w:rsid w:val="00070935"/>
    <w:rsid w:val="00076391"/>
    <w:rsid w:val="00080D33"/>
    <w:rsid w:val="00092B53"/>
    <w:rsid w:val="00094668"/>
    <w:rsid w:val="00096A4A"/>
    <w:rsid w:val="0009727B"/>
    <w:rsid w:val="000C0BF1"/>
    <w:rsid w:val="000D3600"/>
    <w:rsid w:val="000D4E6C"/>
    <w:rsid w:val="000D7439"/>
    <w:rsid w:val="00101DD0"/>
    <w:rsid w:val="00112604"/>
    <w:rsid w:val="001229B8"/>
    <w:rsid w:val="00123205"/>
    <w:rsid w:val="00123C40"/>
    <w:rsid w:val="001562BB"/>
    <w:rsid w:val="00163DED"/>
    <w:rsid w:val="001643BA"/>
    <w:rsid w:val="00187887"/>
    <w:rsid w:val="001C1854"/>
    <w:rsid w:val="001C2C06"/>
    <w:rsid w:val="001D28ED"/>
    <w:rsid w:val="001D5BF9"/>
    <w:rsid w:val="001E266D"/>
    <w:rsid w:val="001F0C5C"/>
    <w:rsid w:val="001F1ABC"/>
    <w:rsid w:val="001F45E2"/>
    <w:rsid w:val="001F6F97"/>
    <w:rsid w:val="00211898"/>
    <w:rsid w:val="002169B7"/>
    <w:rsid w:val="002237AA"/>
    <w:rsid w:val="00225DA6"/>
    <w:rsid w:val="0022743C"/>
    <w:rsid w:val="00231ADE"/>
    <w:rsid w:val="00242BB3"/>
    <w:rsid w:val="002443B6"/>
    <w:rsid w:val="002445CE"/>
    <w:rsid w:val="00244C03"/>
    <w:rsid w:val="0025693F"/>
    <w:rsid w:val="00290439"/>
    <w:rsid w:val="00292A88"/>
    <w:rsid w:val="002938B3"/>
    <w:rsid w:val="002B2144"/>
    <w:rsid w:val="002C117C"/>
    <w:rsid w:val="002F1656"/>
    <w:rsid w:val="002F4571"/>
    <w:rsid w:val="00307076"/>
    <w:rsid w:val="003111EC"/>
    <w:rsid w:val="0032755C"/>
    <w:rsid w:val="00342A34"/>
    <w:rsid w:val="00344BC6"/>
    <w:rsid w:val="0038781C"/>
    <w:rsid w:val="003927CE"/>
    <w:rsid w:val="003A3004"/>
    <w:rsid w:val="003C287C"/>
    <w:rsid w:val="003E3C50"/>
    <w:rsid w:val="00411E33"/>
    <w:rsid w:val="00413498"/>
    <w:rsid w:val="00424AE0"/>
    <w:rsid w:val="00431E4B"/>
    <w:rsid w:val="0044185B"/>
    <w:rsid w:val="004540A4"/>
    <w:rsid w:val="004847DD"/>
    <w:rsid w:val="00494DF3"/>
    <w:rsid w:val="004C2313"/>
    <w:rsid w:val="004C2D7C"/>
    <w:rsid w:val="004D452D"/>
    <w:rsid w:val="004E3482"/>
    <w:rsid w:val="00517A20"/>
    <w:rsid w:val="00517E81"/>
    <w:rsid w:val="00524C6E"/>
    <w:rsid w:val="00546DB5"/>
    <w:rsid w:val="00550CFA"/>
    <w:rsid w:val="00561B31"/>
    <w:rsid w:val="005673B0"/>
    <w:rsid w:val="00577BC6"/>
    <w:rsid w:val="00595F0D"/>
    <w:rsid w:val="005A46A1"/>
    <w:rsid w:val="005B3E3C"/>
    <w:rsid w:val="005D3695"/>
    <w:rsid w:val="005D521E"/>
    <w:rsid w:val="006024D4"/>
    <w:rsid w:val="00621883"/>
    <w:rsid w:val="00631665"/>
    <w:rsid w:val="00665EC7"/>
    <w:rsid w:val="006676D7"/>
    <w:rsid w:val="00683AB6"/>
    <w:rsid w:val="006B28CF"/>
    <w:rsid w:val="006D1FD9"/>
    <w:rsid w:val="006E1A75"/>
    <w:rsid w:val="006F28F1"/>
    <w:rsid w:val="00703612"/>
    <w:rsid w:val="00735305"/>
    <w:rsid w:val="0073698F"/>
    <w:rsid w:val="0073759D"/>
    <w:rsid w:val="00761E23"/>
    <w:rsid w:val="007B01FC"/>
    <w:rsid w:val="007B3DE7"/>
    <w:rsid w:val="007B40E2"/>
    <w:rsid w:val="007B5788"/>
    <w:rsid w:val="007C0B8C"/>
    <w:rsid w:val="007C3D9A"/>
    <w:rsid w:val="007D0C2F"/>
    <w:rsid w:val="007E5BC7"/>
    <w:rsid w:val="0086137D"/>
    <w:rsid w:val="00863092"/>
    <w:rsid w:val="008B58FA"/>
    <w:rsid w:val="008B619E"/>
    <w:rsid w:val="008F6D3E"/>
    <w:rsid w:val="00917D5E"/>
    <w:rsid w:val="009613C4"/>
    <w:rsid w:val="00975368"/>
    <w:rsid w:val="00985711"/>
    <w:rsid w:val="00992247"/>
    <w:rsid w:val="009C5B1C"/>
    <w:rsid w:val="009D132B"/>
    <w:rsid w:val="00A05755"/>
    <w:rsid w:val="00A16664"/>
    <w:rsid w:val="00A22A6E"/>
    <w:rsid w:val="00A265B1"/>
    <w:rsid w:val="00A367C5"/>
    <w:rsid w:val="00A53375"/>
    <w:rsid w:val="00A569E4"/>
    <w:rsid w:val="00A56CFC"/>
    <w:rsid w:val="00A626D2"/>
    <w:rsid w:val="00A701E2"/>
    <w:rsid w:val="00A8105C"/>
    <w:rsid w:val="00A9052C"/>
    <w:rsid w:val="00A90DA9"/>
    <w:rsid w:val="00AA3A8B"/>
    <w:rsid w:val="00AD441A"/>
    <w:rsid w:val="00AD5531"/>
    <w:rsid w:val="00AF1B73"/>
    <w:rsid w:val="00B05182"/>
    <w:rsid w:val="00B1064F"/>
    <w:rsid w:val="00B27A79"/>
    <w:rsid w:val="00B51C57"/>
    <w:rsid w:val="00B5429A"/>
    <w:rsid w:val="00B62189"/>
    <w:rsid w:val="00B74103"/>
    <w:rsid w:val="00B903A8"/>
    <w:rsid w:val="00BA1ED6"/>
    <w:rsid w:val="00BA50FA"/>
    <w:rsid w:val="00BD1B9E"/>
    <w:rsid w:val="00BD3F15"/>
    <w:rsid w:val="00BD70C9"/>
    <w:rsid w:val="00BD78CB"/>
    <w:rsid w:val="00BE3E58"/>
    <w:rsid w:val="00BF5F14"/>
    <w:rsid w:val="00C02E64"/>
    <w:rsid w:val="00C20013"/>
    <w:rsid w:val="00C216CF"/>
    <w:rsid w:val="00C60E64"/>
    <w:rsid w:val="00C62343"/>
    <w:rsid w:val="00C70B0C"/>
    <w:rsid w:val="00C7789E"/>
    <w:rsid w:val="00C77BDB"/>
    <w:rsid w:val="00C86E68"/>
    <w:rsid w:val="00C91075"/>
    <w:rsid w:val="00C91F58"/>
    <w:rsid w:val="00C938EF"/>
    <w:rsid w:val="00C946F9"/>
    <w:rsid w:val="00CB6C46"/>
    <w:rsid w:val="00CD0EF1"/>
    <w:rsid w:val="00CD5949"/>
    <w:rsid w:val="00CF37CB"/>
    <w:rsid w:val="00CF5829"/>
    <w:rsid w:val="00D10B29"/>
    <w:rsid w:val="00D140FF"/>
    <w:rsid w:val="00D230BA"/>
    <w:rsid w:val="00D23C6F"/>
    <w:rsid w:val="00D45EBE"/>
    <w:rsid w:val="00D62C58"/>
    <w:rsid w:val="00D7097E"/>
    <w:rsid w:val="00D83CA2"/>
    <w:rsid w:val="00D85AC7"/>
    <w:rsid w:val="00D9542C"/>
    <w:rsid w:val="00D973A5"/>
    <w:rsid w:val="00DB7984"/>
    <w:rsid w:val="00DE6451"/>
    <w:rsid w:val="00E0504E"/>
    <w:rsid w:val="00E10061"/>
    <w:rsid w:val="00E13E0A"/>
    <w:rsid w:val="00E43B5F"/>
    <w:rsid w:val="00E56591"/>
    <w:rsid w:val="00E645B7"/>
    <w:rsid w:val="00E7335F"/>
    <w:rsid w:val="00E90B44"/>
    <w:rsid w:val="00E94DE5"/>
    <w:rsid w:val="00EC30DC"/>
    <w:rsid w:val="00ED2A73"/>
    <w:rsid w:val="00EE450B"/>
    <w:rsid w:val="00F31559"/>
    <w:rsid w:val="00F40571"/>
    <w:rsid w:val="00F63A08"/>
    <w:rsid w:val="00F67906"/>
    <w:rsid w:val="00F7203A"/>
    <w:rsid w:val="00F7353D"/>
    <w:rsid w:val="00FC225E"/>
    <w:rsid w:val="00FC45F7"/>
    <w:rsid w:val="00FC6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29"/>
    <w:rPr>
      <w:sz w:val="24"/>
      <w:szCs w:val="24"/>
    </w:rPr>
  </w:style>
  <w:style w:type="paragraph" w:styleId="Heading1">
    <w:name w:val="heading 1"/>
    <w:basedOn w:val="Normal"/>
    <w:next w:val="Normal"/>
    <w:link w:val="Heading1Char"/>
    <w:uiPriority w:val="9"/>
    <w:qFormat/>
    <w:rsid w:val="001D5BF9"/>
    <w:pPr>
      <w:keepNext/>
      <w:overflowPunct w:val="0"/>
      <w:autoSpaceDE w:val="0"/>
      <w:autoSpaceDN w:val="0"/>
      <w:adjustRightInd w:val="0"/>
      <w:textAlignment w:val="baseline"/>
      <w:outlineLvl w:val="0"/>
    </w:pPr>
    <w:rPr>
      <w:rFonts w:ascii="Arial" w:hAnsi="Arial"/>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5BC7"/>
    <w:rPr>
      <w:rFonts w:ascii="Arial" w:hAnsi="Arial" w:cs="Times New Roman"/>
      <w:b/>
      <w:u w:val="single"/>
      <w:lang w:eastAsia="en-US"/>
    </w:rPr>
  </w:style>
  <w:style w:type="paragraph" w:styleId="BodyText">
    <w:name w:val="Body Text"/>
    <w:basedOn w:val="Normal"/>
    <w:link w:val="BodyTextChar"/>
    <w:uiPriority w:val="99"/>
    <w:rsid w:val="001D5BF9"/>
    <w:pPr>
      <w:jc w:val="center"/>
    </w:pPr>
    <w:rPr>
      <w:rFonts w:ascii="Arial" w:hAnsi="Arial" w:cs="Arial"/>
      <w:b/>
      <w:lang w:val="en-US" w:eastAsia="en-US"/>
    </w:rPr>
  </w:style>
  <w:style w:type="character" w:customStyle="1" w:styleId="BodyTextChar">
    <w:name w:val="Body Text Char"/>
    <w:basedOn w:val="DefaultParagraphFont"/>
    <w:link w:val="BodyText"/>
    <w:uiPriority w:val="99"/>
    <w:locked/>
    <w:rsid w:val="007E5BC7"/>
    <w:rPr>
      <w:rFonts w:ascii="Arial" w:hAnsi="Arial" w:cs="Arial"/>
      <w:b/>
      <w:sz w:val="24"/>
      <w:szCs w:val="24"/>
      <w:lang w:val="en-US" w:eastAsia="en-US"/>
    </w:rPr>
  </w:style>
  <w:style w:type="paragraph" w:styleId="ListParagraph">
    <w:name w:val="List Paragraph"/>
    <w:basedOn w:val="Normal"/>
    <w:uiPriority w:val="34"/>
    <w:qFormat/>
    <w:rsid w:val="001D5BF9"/>
    <w:pPr>
      <w:ind w:left="720"/>
    </w:pPr>
    <w:rPr>
      <w:lang w:val="en-US" w:eastAsia="en-US"/>
    </w:rPr>
  </w:style>
  <w:style w:type="paragraph" w:styleId="Header">
    <w:name w:val="header"/>
    <w:basedOn w:val="Normal"/>
    <w:link w:val="HeaderChar"/>
    <w:uiPriority w:val="99"/>
    <w:rsid w:val="00307076"/>
    <w:pPr>
      <w:tabs>
        <w:tab w:val="center" w:pos="4513"/>
        <w:tab w:val="right" w:pos="9026"/>
      </w:tabs>
    </w:pPr>
  </w:style>
  <w:style w:type="character" w:customStyle="1" w:styleId="HeaderChar">
    <w:name w:val="Header Char"/>
    <w:basedOn w:val="DefaultParagraphFont"/>
    <w:link w:val="Header"/>
    <w:uiPriority w:val="99"/>
    <w:locked/>
    <w:rsid w:val="00307076"/>
    <w:rPr>
      <w:rFonts w:cs="Times New Roman"/>
      <w:sz w:val="24"/>
      <w:szCs w:val="24"/>
    </w:rPr>
  </w:style>
  <w:style w:type="paragraph" w:styleId="Footer">
    <w:name w:val="footer"/>
    <w:basedOn w:val="Normal"/>
    <w:link w:val="FooterChar"/>
    <w:uiPriority w:val="99"/>
    <w:rsid w:val="00307076"/>
    <w:pPr>
      <w:tabs>
        <w:tab w:val="center" w:pos="4513"/>
        <w:tab w:val="right" w:pos="9026"/>
      </w:tabs>
    </w:pPr>
  </w:style>
  <w:style w:type="character" w:customStyle="1" w:styleId="FooterChar">
    <w:name w:val="Footer Char"/>
    <w:basedOn w:val="DefaultParagraphFont"/>
    <w:link w:val="Footer"/>
    <w:uiPriority w:val="99"/>
    <w:locked/>
    <w:rsid w:val="00307076"/>
    <w:rPr>
      <w:rFonts w:cs="Times New Roman"/>
      <w:sz w:val="24"/>
      <w:szCs w:val="24"/>
    </w:rPr>
  </w:style>
  <w:style w:type="paragraph" w:styleId="BalloonText">
    <w:name w:val="Balloon Text"/>
    <w:basedOn w:val="Normal"/>
    <w:link w:val="BalloonTextChar"/>
    <w:uiPriority w:val="99"/>
    <w:rsid w:val="00307076"/>
    <w:rPr>
      <w:rFonts w:ascii="Tahoma" w:hAnsi="Tahoma" w:cs="Tahoma"/>
      <w:sz w:val="16"/>
      <w:szCs w:val="16"/>
    </w:rPr>
  </w:style>
  <w:style w:type="character" w:customStyle="1" w:styleId="BalloonTextChar">
    <w:name w:val="Balloon Text Char"/>
    <w:basedOn w:val="DefaultParagraphFont"/>
    <w:link w:val="BalloonText"/>
    <w:uiPriority w:val="99"/>
    <w:locked/>
    <w:rsid w:val="00307076"/>
    <w:rPr>
      <w:rFonts w:ascii="Tahoma" w:hAnsi="Tahoma" w:cs="Tahoma"/>
      <w:sz w:val="16"/>
      <w:szCs w:val="16"/>
    </w:rPr>
  </w:style>
  <w:style w:type="table" w:styleId="TableGrid">
    <w:name w:val="Table Grid"/>
    <w:basedOn w:val="TableNormal"/>
    <w:uiPriority w:val="59"/>
    <w:rsid w:val="0023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E5BC7"/>
    <w:pPr>
      <w:spacing w:after="120"/>
    </w:pPr>
    <w:rPr>
      <w:sz w:val="16"/>
      <w:szCs w:val="16"/>
    </w:rPr>
  </w:style>
  <w:style w:type="character" w:customStyle="1" w:styleId="BodyText3Char">
    <w:name w:val="Body Text 3 Char"/>
    <w:basedOn w:val="DefaultParagraphFont"/>
    <w:link w:val="BodyText3"/>
    <w:uiPriority w:val="99"/>
    <w:locked/>
    <w:rsid w:val="007E5BC7"/>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605502">
      <w:bodyDiv w:val="1"/>
      <w:marLeft w:val="0"/>
      <w:marRight w:val="0"/>
      <w:marTop w:val="0"/>
      <w:marBottom w:val="0"/>
      <w:divBdr>
        <w:top w:val="none" w:sz="0" w:space="0" w:color="auto"/>
        <w:left w:val="none" w:sz="0" w:space="0" w:color="auto"/>
        <w:bottom w:val="none" w:sz="0" w:space="0" w:color="auto"/>
        <w:right w:val="none" w:sz="0" w:space="0" w:color="auto"/>
      </w:divBdr>
    </w:div>
    <w:div w:id="181744559">
      <w:bodyDiv w:val="1"/>
      <w:marLeft w:val="0"/>
      <w:marRight w:val="0"/>
      <w:marTop w:val="0"/>
      <w:marBottom w:val="0"/>
      <w:divBdr>
        <w:top w:val="none" w:sz="0" w:space="0" w:color="auto"/>
        <w:left w:val="none" w:sz="0" w:space="0" w:color="auto"/>
        <w:bottom w:val="none" w:sz="0" w:space="0" w:color="auto"/>
        <w:right w:val="none" w:sz="0" w:space="0" w:color="auto"/>
      </w:divBdr>
    </w:div>
    <w:div w:id="575170235">
      <w:bodyDiv w:val="1"/>
      <w:marLeft w:val="0"/>
      <w:marRight w:val="0"/>
      <w:marTop w:val="0"/>
      <w:marBottom w:val="0"/>
      <w:divBdr>
        <w:top w:val="none" w:sz="0" w:space="0" w:color="auto"/>
        <w:left w:val="none" w:sz="0" w:space="0" w:color="auto"/>
        <w:bottom w:val="none" w:sz="0" w:space="0" w:color="auto"/>
        <w:right w:val="none" w:sz="0" w:space="0" w:color="auto"/>
      </w:divBdr>
    </w:div>
    <w:div w:id="786393119">
      <w:bodyDiv w:val="1"/>
      <w:marLeft w:val="0"/>
      <w:marRight w:val="0"/>
      <w:marTop w:val="0"/>
      <w:marBottom w:val="0"/>
      <w:divBdr>
        <w:top w:val="none" w:sz="0" w:space="0" w:color="auto"/>
        <w:left w:val="none" w:sz="0" w:space="0" w:color="auto"/>
        <w:bottom w:val="none" w:sz="0" w:space="0" w:color="auto"/>
        <w:right w:val="none" w:sz="0" w:space="0" w:color="auto"/>
      </w:divBdr>
    </w:div>
    <w:div w:id="1307275977">
      <w:bodyDiv w:val="1"/>
      <w:marLeft w:val="0"/>
      <w:marRight w:val="0"/>
      <w:marTop w:val="0"/>
      <w:marBottom w:val="0"/>
      <w:divBdr>
        <w:top w:val="none" w:sz="0" w:space="0" w:color="auto"/>
        <w:left w:val="none" w:sz="0" w:space="0" w:color="auto"/>
        <w:bottom w:val="none" w:sz="0" w:space="0" w:color="auto"/>
        <w:right w:val="none" w:sz="0" w:space="0" w:color="auto"/>
      </w:divBdr>
    </w:div>
    <w:div w:id="1461876949">
      <w:marLeft w:val="0"/>
      <w:marRight w:val="0"/>
      <w:marTop w:val="0"/>
      <w:marBottom w:val="0"/>
      <w:divBdr>
        <w:top w:val="none" w:sz="0" w:space="0" w:color="auto"/>
        <w:left w:val="none" w:sz="0" w:space="0" w:color="auto"/>
        <w:bottom w:val="none" w:sz="0" w:space="0" w:color="auto"/>
        <w:right w:val="none" w:sz="0" w:space="0" w:color="auto"/>
      </w:divBdr>
    </w:div>
    <w:div w:id="146187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helen.millar</dc:creator>
  <cp:keywords/>
  <dc:description/>
  <cp:lastModifiedBy>Habner Justinian (RNU) OBMH</cp:lastModifiedBy>
  <cp:revision>2</cp:revision>
  <cp:lastPrinted>2011-10-18T17:53:00Z</cp:lastPrinted>
  <dcterms:created xsi:type="dcterms:W3CDTF">2011-11-21T11:38:00Z</dcterms:created>
  <dcterms:modified xsi:type="dcterms:W3CDTF">2011-11-21T11:38:00Z</dcterms:modified>
</cp:coreProperties>
</file>