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D3499" w:rsidP="00B91CAE">
      <w:pPr>
        <w:ind w:right="-900"/>
      </w:pPr>
    </w:p>
    <w:p w:rsidR="005D3499" w:rsidRDefault="00532BF9" w:rsidP="00B91CAE">
      <w:pPr>
        <w:jc w:val="right"/>
      </w:pPr>
      <w:r>
        <w:pict>
          <v:shape id="_x0000_i1025" type="#_x0000_t75" style="width:201pt;height:39.75pt">
            <v:imagedata r:id="rId7" o:title="Logo"/>
          </v:shape>
        </w:pict>
      </w:r>
    </w:p>
    <w:p w:rsidR="005D3499" w:rsidRDefault="005D3499">
      <w:pPr>
        <w:jc w:val="center"/>
        <w:rPr>
          <w:rFonts w:ascii="Frutiger" w:hAnsi="Frutiger"/>
        </w:rPr>
      </w:pPr>
    </w:p>
    <w:p w:rsidR="005D3499" w:rsidRDefault="005D3499">
      <w:pPr>
        <w:pStyle w:val="Heading1"/>
        <w:rPr>
          <w:sz w:val="24"/>
        </w:rPr>
      </w:pPr>
    </w:p>
    <w:p w:rsidR="005D3499" w:rsidRDefault="00532BF9">
      <w:pPr>
        <w:pStyle w:val="Heading1"/>
        <w:rPr>
          <w:sz w:val="24"/>
        </w:rPr>
      </w:pPr>
      <w:r>
        <w:rPr>
          <w:noProof/>
          <w:sz w:val="24"/>
          <w:lang w:eastAsia="en-GB"/>
        </w:rPr>
        <w:pict>
          <v:rect id="_x0000_s1028" style="position:absolute;margin-left:342pt;margin-top:-16.5pt;width:99pt;height:37.5pt;z-index:251657728">
            <v:textbox inset="0,0,0,0">
              <w:txbxContent>
                <w:p w:rsidR="00E53DB7" w:rsidRDefault="00E53DB7" w:rsidP="00C72F64">
                  <w:pPr>
                    <w:pStyle w:val="BodyText"/>
                  </w:pPr>
                  <w:r w:rsidRPr="000504EC">
                    <w:t>BOD</w:t>
                  </w:r>
                  <w:r>
                    <w:t xml:space="preserve"> 02/2012</w:t>
                  </w:r>
                </w:p>
                <w:p w:rsidR="00E53DB7" w:rsidRPr="00B34D25" w:rsidRDefault="00E53DB7" w:rsidP="00C72F64">
                  <w:pPr>
                    <w:pStyle w:val="BodyText"/>
                    <w:rPr>
                      <w:b w:val="0"/>
                      <w:sz w:val="22"/>
                      <w:szCs w:val="22"/>
                    </w:rPr>
                  </w:pPr>
                  <w:r>
                    <w:rPr>
                      <w:b w:val="0"/>
                      <w:sz w:val="22"/>
                      <w:szCs w:val="22"/>
                    </w:rPr>
                    <w:t>(Agenda Item: 4</w:t>
                  </w:r>
                  <w:r w:rsidRPr="00B34D25">
                    <w:rPr>
                      <w:b w:val="0"/>
                      <w:sz w:val="22"/>
                      <w:szCs w:val="22"/>
                    </w:rPr>
                    <w:t xml:space="preserve">) </w:t>
                  </w:r>
                </w:p>
              </w:txbxContent>
            </v:textbox>
          </v:rect>
        </w:pict>
      </w:r>
    </w:p>
    <w:p w:rsidR="005D3499" w:rsidRDefault="005D3499">
      <w:pPr>
        <w:pStyle w:val="Heading1"/>
        <w:rPr>
          <w:sz w:val="24"/>
        </w:rPr>
      </w:pPr>
    </w:p>
    <w:p w:rsidR="005D3499" w:rsidRDefault="005D3499">
      <w:pPr>
        <w:pStyle w:val="Heading1"/>
        <w:jc w:val="center"/>
        <w:rPr>
          <w:sz w:val="28"/>
          <w:u w:val="none"/>
        </w:rPr>
      </w:pPr>
    </w:p>
    <w:p w:rsidR="00E61F0D" w:rsidRDefault="005D3499" w:rsidP="00E61F0D">
      <w:pPr>
        <w:pStyle w:val="Heading1"/>
        <w:jc w:val="center"/>
        <w:rPr>
          <w:sz w:val="28"/>
          <w:u w:val="none"/>
        </w:rPr>
      </w:pPr>
      <w:r>
        <w:rPr>
          <w:sz w:val="28"/>
          <w:u w:val="none"/>
        </w:rPr>
        <w:t xml:space="preserve">Report to the Meeting </w:t>
      </w:r>
      <w:r w:rsidR="00E61F0D">
        <w:rPr>
          <w:sz w:val="28"/>
          <w:u w:val="none"/>
        </w:rPr>
        <w:t xml:space="preserve">of the </w:t>
      </w:r>
    </w:p>
    <w:p w:rsidR="00E61F0D" w:rsidRPr="00E61F0D" w:rsidRDefault="00E61F0D" w:rsidP="00E61F0D">
      <w:pPr>
        <w:pStyle w:val="Heading1"/>
        <w:jc w:val="center"/>
        <w:rPr>
          <w:sz w:val="28"/>
          <w:u w:val="none"/>
        </w:rPr>
      </w:pPr>
      <w:r>
        <w:rPr>
          <w:sz w:val="28"/>
          <w:u w:val="none"/>
        </w:rPr>
        <w:t>Oxford Health NHS Foundation Trust</w:t>
      </w:r>
    </w:p>
    <w:p w:rsidR="005D3499" w:rsidRDefault="005D3499">
      <w:pPr>
        <w:pStyle w:val="Heading1"/>
        <w:jc w:val="center"/>
        <w:rPr>
          <w:sz w:val="28"/>
          <w:u w:val="none"/>
        </w:rPr>
      </w:pPr>
      <w:r>
        <w:rPr>
          <w:sz w:val="28"/>
          <w:u w:val="none"/>
        </w:rPr>
        <w:t>Board</w:t>
      </w:r>
      <w:r w:rsidR="00B91CAE">
        <w:rPr>
          <w:sz w:val="28"/>
          <w:u w:val="none"/>
        </w:rPr>
        <w:t xml:space="preserve"> of Directors </w:t>
      </w:r>
    </w:p>
    <w:p w:rsidR="005D3499" w:rsidRDefault="005D3499" w:rsidP="00AA0841">
      <w:pPr>
        <w:rPr>
          <w:rFonts w:ascii="Arial" w:hAnsi="Arial" w:cs="Arial"/>
          <w:b/>
        </w:rPr>
      </w:pPr>
    </w:p>
    <w:p w:rsidR="005D3499" w:rsidRDefault="00730BA8">
      <w:pPr>
        <w:jc w:val="center"/>
        <w:rPr>
          <w:rFonts w:ascii="Arial" w:hAnsi="Arial" w:cs="Arial"/>
          <w:b/>
        </w:rPr>
      </w:pPr>
      <w:r>
        <w:rPr>
          <w:rFonts w:ascii="Arial" w:hAnsi="Arial" w:cs="Arial"/>
          <w:b/>
        </w:rPr>
        <w:t>25 January</w:t>
      </w:r>
      <w:r w:rsidR="001B5DE5">
        <w:rPr>
          <w:rFonts w:ascii="Arial" w:hAnsi="Arial" w:cs="Arial"/>
          <w:b/>
        </w:rPr>
        <w:t xml:space="preserve"> 201</w:t>
      </w:r>
      <w:r>
        <w:rPr>
          <w:rFonts w:ascii="Arial" w:hAnsi="Arial" w:cs="Arial"/>
          <w:b/>
        </w:rPr>
        <w:t>2</w:t>
      </w:r>
    </w:p>
    <w:p w:rsidR="005D3499" w:rsidRDefault="005D3499">
      <w:pPr>
        <w:jc w:val="center"/>
        <w:rPr>
          <w:rFonts w:ascii="Arial" w:hAnsi="Arial" w:cs="Arial"/>
          <w:b/>
        </w:rPr>
      </w:pPr>
    </w:p>
    <w:p w:rsidR="00374B9A" w:rsidRPr="002216FC" w:rsidRDefault="00662454" w:rsidP="002216FC">
      <w:pPr>
        <w:jc w:val="center"/>
        <w:rPr>
          <w:rFonts w:ascii="Arial" w:hAnsi="Arial" w:cs="Arial"/>
          <w:b/>
        </w:rPr>
      </w:pPr>
      <w:r>
        <w:rPr>
          <w:rFonts w:ascii="Arial" w:hAnsi="Arial" w:cs="Arial"/>
          <w:b/>
        </w:rPr>
        <w:t xml:space="preserve">Chief Executive’s Report </w:t>
      </w:r>
    </w:p>
    <w:p w:rsidR="005668EC" w:rsidRDefault="005668EC" w:rsidP="00E64BF0">
      <w:pPr>
        <w:jc w:val="both"/>
        <w:rPr>
          <w:rFonts w:ascii="Arial" w:hAnsi="Arial" w:cs="Arial"/>
          <w:bCs/>
          <w:color w:val="000000"/>
        </w:rPr>
      </w:pPr>
    </w:p>
    <w:p w:rsidR="00AA0841" w:rsidRDefault="00AA0841" w:rsidP="00AA0841">
      <w:pPr>
        <w:rPr>
          <w:rFonts w:ascii="Arial" w:hAnsi="Arial" w:cs="Arial"/>
          <w:b/>
        </w:rPr>
      </w:pPr>
      <w:r>
        <w:rPr>
          <w:rFonts w:ascii="Arial" w:hAnsi="Arial" w:cs="Arial"/>
          <w:b/>
        </w:rPr>
        <w:t>For Information</w:t>
      </w:r>
    </w:p>
    <w:p w:rsidR="00B43FCE" w:rsidRPr="00B43FCE" w:rsidRDefault="00B43FCE" w:rsidP="00AA0841">
      <w:pPr>
        <w:rPr>
          <w:rFonts w:ascii="Arial" w:hAnsi="Arial" w:cs="Arial"/>
          <w:b/>
          <w:u w:val="single"/>
        </w:rPr>
      </w:pPr>
    </w:p>
    <w:p w:rsidR="00EE69B4" w:rsidRPr="00F4181E" w:rsidRDefault="00B43FCE" w:rsidP="00F4181E">
      <w:pPr>
        <w:jc w:val="both"/>
        <w:rPr>
          <w:rFonts w:ascii="Arial" w:hAnsi="Arial" w:cs="Arial"/>
          <w:b/>
        </w:rPr>
      </w:pPr>
      <w:r>
        <w:rPr>
          <w:rFonts w:ascii="Arial" w:hAnsi="Arial" w:cs="Arial"/>
          <w:b/>
        </w:rPr>
        <w:t>1. Infection Control Update</w:t>
      </w:r>
    </w:p>
    <w:p w:rsidR="00390C37" w:rsidRDefault="00390C37" w:rsidP="00730BA8">
      <w:pPr>
        <w:jc w:val="both"/>
        <w:rPr>
          <w:rFonts w:ascii="Arial" w:hAnsi="Arial" w:cs="Arial"/>
          <w:b/>
          <w:bCs/>
        </w:rPr>
      </w:pPr>
    </w:p>
    <w:p w:rsidR="00730BA8" w:rsidRPr="00730BA8" w:rsidRDefault="00730BA8" w:rsidP="00730BA8">
      <w:pPr>
        <w:jc w:val="both"/>
        <w:rPr>
          <w:rFonts w:ascii="Arial" w:hAnsi="Arial" w:cs="Arial"/>
          <w:b/>
          <w:bCs/>
          <w:i/>
        </w:rPr>
      </w:pPr>
      <w:r w:rsidRPr="00730BA8">
        <w:rPr>
          <w:rFonts w:ascii="Arial" w:hAnsi="Arial" w:cs="Arial"/>
          <w:b/>
          <w:bCs/>
          <w:i/>
        </w:rPr>
        <w:t>Community health services</w:t>
      </w:r>
    </w:p>
    <w:p w:rsidR="00730BA8" w:rsidRDefault="00730BA8" w:rsidP="00730BA8">
      <w:pPr>
        <w:jc w:val="both"/>
        <w:rPr>
          <w:rFonts w:ascii="Arial" w:hAnsi="Arial" w:cs="Arial"/>
          <w:bCs/>
        </w:rPr>
      </w:pPr>
      <w:r w:rsidRPr="00C967A2">
        <w:rPr>
          <w:rFonts w:ascii="Arial" w:hAnsi="Arial" w:cs="Arial"/>
          <w:bCs/>
        </w:rPr>
        <w:t>There have been no gastroenteritis outbreaks</w:t>
      </w:r>
      <w:r>
        <w:rPr>
          <w:rFonts w:ascii="Arial" w:hAnsi="Arial" w:cs="Arial"/>
          <w:bCs/>
        </w:rPr>
        <w:t>, although the Health Protection Unit (HPU) has reported there are still cases of norovirus in the wider community.</w:t>
      </w:r>
    </w:p>
    <w:p w:rsidR="00730BA8" w:rsidRDefault="00730BA8" w:rsidP="00730BA8">
      <w:pPr>
        <w:jc w:val="both"/>
        <w:rPr>
          <w:rFonts w:ascii="Arial" w:hAnsi="Arial" w:cs="Arial"/>
          <w:bCs/>
        </w:rPr>
      </w:pPr>
    </w:p>
    <w:p w:rsidR="00730BA8" w:rsidRPr="00C967A2" w:rsidRDefault="00730BA8" w:rsidP="00730BA8">
      <w:pPr>
        <w:jc w:val="both"/>
        <w:rPr>
          <w:rFonts w:ascii="Arial" w:hAnsi="Arial" w:cs="Arial"/>
          <w:bCs/>
        </w:rPr>
      </w:pPr>
      <w:r>
        <w:rPr>
          <w:rFonts w:ascii="Arial" w:hAnsi="Arial" w:cs="Arial"/>
          <w:bCs/>
        </w:rPr>
        <w:t xml:space="preserve">There was a large outbreak of diarrhoea and vomiting in HMP Huntercombe at </w:t>
      </w:r>
      <w:proofErr w:type="gramStart"/>
      <w:r>
        <w:rPr>
          <w:rFonts w:ascii="Arial" w:hAnsi="Arial" w:cs="Arial"/>
          <w:bCs/>
        </w:rPr>
        <w:t>the</w:t>
      </w:r>
      <w:proofErr w:type="gramEnd"/>
      <w:r>
        <w:rPr>
          <w:rFonts w:ascii="Arial" w:hAnsi="Arial" w:cs="Arial"/>
          <w:bCs/>
        </w:rPr>
        <w:t xml:space="preserve"> beginning of December 2011, affecting 66 prisoners and no staff. This was managed by the HPU and the prison was closed for five days in total. No causative organism was identified.</w:t>
      </w:r>
    </w:p>
    <w:p w:rsidR="00730BA8" w:rsidRDefault="00730BA8" w:rsidP="00730BA8">
      <w:pPr>
        <w:jc w:val="both"/>
        <w:rPr>
          <w:rFonts w:ascii="Arial" w:hAnsi="Arial" w:cs="Arial"/>
          <w:bCs/>
          <w:i/>
        </w:rPr>
      </w:pPr>
    </w:p>
    <w:p w:rsidR="00730BA8" w:rsidRPr="00250D82" w:rsidRDefault="00730BA8" w:rsidP="00730BA8">
      <w:pPr>
        <w:jc w:val="both"/>
        <w:rPr>
          <w:rFonts w:ascii="Arial" w:hAnsi="Arial" w:cs="Arial"/>
          <w:bCs/>
          <w:i/>
        </w:rPr>
      </w:pPr>
      <w:r w:rsidRPr="00250D82">
        <w:rPr>
          <w:rFonts w:ascii="Arial" w:hAnsi="Arial" w:cs="Arial"/>
          <w:bCs/>
          <w:i/>
        </w:rPr>
        <w:t xml:space="preserve">Clostridium Difficile </w:t>
      </w:r>
    </w:p>
    <w:p w:rsidR="00730BA8" w:rsidRPr="00766DC9" w:rsidRDefault="00730BA8" w:rsidP="00730BA8">
      <w:pPr>
        <w:jc w:val="both"/>
        <w:rPr>
          <w:rFonts w:ascii="Arial" w:hAnsi="Arial" w:cs="Arial"/>
          <w:bCs/>
        </w:rPr>
      </w:pPr>
      <w:r>
        <w:rPr>
          <w:rFonts w:ascii="Arial" w:hAnsi="Arial" w:cs="Arial"/>
          <w:bCs/>
        </w:rPr>
        <w:t xml:space="preserve">There were two cases of </w:t>
      </w:r>
      <w:r w:rsidRPr="00E10B94">
        <w:rPr>
          <w:rFonts w:ascii="Arial" w:hAnsi="Arial" w:cs="Arial"/>
          <w:bCs/>
          <w:i/>
        </w:rPr>
        <w:t>Clostridium difficile</w:t>
      </w:r>
      <w:r>
        <w:rPr>
          <w:rFonts w:ascii="Arial" w:hAnsi="Arial" w:cs="Arial"/>
          <w:bCs/>
        </w:rPr>
        <w:t xml:space="preserve"> at Wallingford community hospital in the Trust during the month of December 2011. These were unrelated and both patients did not exhibit true disease and were inappropriately tested. A follow up review meeting was held on 10 January 2012 and action identified. The Clostridium</w:t>
      </w:r>
      <w:r w:rsidRPr="00250D82">
        <w:rPr>
          <w:rFonts w:ascii="Arial" w:hAnsi="Arial" w:cs="Arial"/>
          <w:bCs/>
          <w:i/>
        </w:rPr>
        <w:t xml:space="preserve"> Difficile </w:t>
      </w:r>
      <w:r>
        <w:rPr>
          <w:rFonts w:ascii="Arial" w:hAnsi="Arial" w:cs="Arial"/>
          <w:bCs/>
        </w:rPr>
        <w:t>procedure has been reviewed to strengthen sampling guidance.</w:t>
      </w:r>
    </w:p>
    <w:p w:rsidR="00730BA8" w:rsidRDefault="00730BA8" w:rsidP="00730BA8">
      <w:pPr>
        <w:jc w:val="both"/>
        <w:rPr>
          <w:rFonts w:ascii="Arial" w:hAnsi="Arial" w:cs="Arial"/>
          <w:bCs/>
        </w:rPr>
      </w:pPr>
    </w:p>
    <w:p w:rsidR="00730BA8" w:rsidRDefault="00730BA8" w:rsidP="00730BA8">
      <w:pPr>
        <w:jc w:val="both"/>
        <w:rPr>
          <w:rFonts w:ascii="Arial" w:hAnsi="Arial" w:cs="Arial"/>
          <w:bCs/>
        </w:rPr>
      </w:pPr>
      <w:r>
        <w:rPr>
          <w:rFonts w:ascii="Arial" w:hAnsi="Arial" w:cs="Arial"/>
          <w:bCs/>
        </w:rPr>
        <w:t>This equates to 13 cases to date. There have been no cases so far in January 2012.</w:t>
      </w:r>
    </w:p>
    <w:p w:rsidR="00730BA8" w:rsidRDefault="00730BA8" w:rsidP="00730BA8">
      <w:pPr>
        <w:jc w:val="both"/>
        <w:rPr>
          <w:rFonts w:ascii="Arial" w:hAnsi="Arial" w:cs="Arial"/>
          <w:bCs/>
        </w:rPr>
      </w:pPr>
    </w:p>
    <w:p w:rsidR="00730BA8" w:rsidRPr="00730BA8" w:rsidRDefault="00730BA8" w:rsidP="00730BA8">
      <w:pPr>
        <w:jc w:val="both"/>
        <w:rPr>
          <w:rFonts w:ascii="Arial" w:hAnsi="Arial" w:cs="Arial"/>
          <w:b/>
          <w:bCs/>
          <w:i/>
        </w:rPr>
      </w:pPr>
      <w:r w:rsidRPr="00730BA8">
        <w:rPr>
          <w:rFonts w:ascii="Arial" w:hAnsi="Arial" w:cs="Arial"/>
          <w:b/>
          <w:bCs/>
          <w:i/>
        </w:rPr>
        <w:t>Mental health services</w:t>
      </w:r>
    </w:p>
    <w:p w:rsidR="00730BA8" w:rsidRDefault="00730BA8" w:rsidP="00730BA8">
      <w:pPr>
        <w:jc w:val="both"/>
        <w:rPr>
          <w:rFonts w:ascii="Arial" w:hAnsi="Arial" w:cs="Arial"/>
          <w:bCs/>
        </w:rPr>
      </w:pPr>
      <w:r>
        <w:rPr>
          <w:rFonts w:ascii="Arial" w:hAnsi="Arial" w:cs="Arial"/>
          <w:bCs/>
        </w:rPr>
        <w:t>There have been no outbreaks in mental health wards.</w:t>
      </w:r>
    </w:p>
    <w:p w:rsidR="007E058E" w:rsidRDefault="007E058E" w:rsidP="007E058E">
      <w:pPr>
        <w:jc w:val="both"/>
        <w:rPr>
          <w:rFonts w:ascii="Arial" w:hAnsi="Arial" w:cs="Arial"/>
          <w:bCs/>
        </w:rPr>
      </w:pPr>
    </w:p>
    <w:p w:rsidR="00D76471" w:rsidRDefault="00D76471" w:rsidP="007E058E">
      <w:pPr>
        <w:jc w:val="both"/>
        <w:rPr>
          <w:rFonts w:ascii="Arial" w:hAnsi="Arial" w:cs="Arial"/>
        </w:rPr>
      </w:pPr>
    </w:p>
    <w:p w:rsidR="00730BA8" w:rsidRPr="007E058E" w:rsidRDefault="00730BA8" w:rsidP="007E058E">
      <w:pPr>
        <w:jc w:val="both"/>
        <w:rPr>
          <w:rFonts w:ascii="Arial" w:hAnsi="Arial" w:cs="Arial"/>
        </w:rPr>
      </w:pPr>
    </w:p>
    <w:p w:rsidR="007E058E" w:rsidRPr="007E058E" w:rsidRDefault="007E058E" w:rsidP="007E058E">
      <w:pPr>
        <w:autoSpaceDE w:val="0"/>
        <w:autoSpaceDN w:val="0"/>
        <w:jc w:val="both"/>
        <w:rPr>
          <w:rFonts w:ascii="Arial" w:hAnsi="Arial" w:cs="Arial"/>
        </w:rPr>
      </w:pPr>
      <w:r>
        <w:rPr>
          <w:rFonts w:ascii="Arial" w:hAnsi="Arial" w:cs="Arial"/>
          <w:b/>
          <w:bCs/>
        </w:rPr>
        <w:lastRenderedPageBreak/>
        <w:t>2.</w:t>
      </w:r>
      <w:r w:rsidRPr="007E058E">
        <w:rPr>
          <w:rFonts w:ascii="Arial" w:hAnsi="Arial" w:cs="Arial"/>
          <w:b/>
          <w:bCs/>
        </w:rPr>
        <w:t xml:space="preserve"> </w:t>
      </w:r>
      <w:r w:rsidR="005578D6">
        <w:rPr>
          <w:rFonts w:ascii="Arial" w:hAnsi="Arial" w:cs="Arial"/>
          <w:b/>
          <w:bCs/>
        </w:rPr>
        <w:t>Meetings with MPs</w:t>
      </w:r>
      <w:r w:rsidRPr="007E058E">
        <w:rPr>
          <w:rFonts w:ascii="Arial" w:hAnsi="Arial" w:cs="Arial"/>
          <w:b/>
          <w:bCs/>
        </w:rPr>
        <w:t xml:space="preserve"> </w:t>
      </w:r>
    </w:p>
    <w:p w:rsidR="007E058E" w:rsidRPr="007E058E" w:rsidRDefault="007E058E" w:rsidP="007E058E">
      <w:pPr>
        <w:pStyle w:val="Default"/>
        <w:jc w:val="both"/>
        <w:rPr>
          <w:rFonts w:ascii="Arial" w:hAnsi="Arial" w:cs="Arial"/>
          <w:b/>
          <w:bCs/>
        </w:rPr>
      </w:pPr>
    </w:p>
    <w:p w:rsidR="0016271F" w:rsidRDefault="005578D6" w:rsidP="00714BEA">
      <w:pPr>
        <w:jc w:val="both"/>
        <w:rPr>
          <w:rFonts w:ascii="Arial" w:hAnsi="Arial" w:cs="Arial"/>
        </w:rPr>
      </w:pPr>
      <w:r>
        <w:rPr>
          <w:rFonts w:ascii="Arial" w:hAnsi="Arial" w:cs="Arial"/>
        </w:rPr>
        <w:t>Throughout the year, the Chief Executive and Chair meet with local Members of Parliament to provide an update of the Trust’s activities and briefings on significant issues that MPs ought to be aware of.  On 16 December 2011, the Chair and Chief Executive met with the Rt Hon. David Liddington MP, Member of Parliament for Aylesbury.  A range of topics related to mental health services</w:t>
      </w:r>
      <w:r w:rsidR="006E46F1">
        <w:rPr>
          <w:rFonts w:ascii="Arial" w:hAnsi="Arial" w:cs="Arial"/>
        </w:rPr>
        <w:t xml:space="preserve"> in Buckinghamshire</w:t>
      </w:r>
      <w:r>
        <w:rPr>
          <w:rFonts w:ascii="Arial" w:hAnsi="Arial" w:cs="Arial"/>
        </w:rPr>
        <w:t xml:space="preserve"> were discussed with a particular focus on the Manor House </w:t>
      </w:r>
      <w:r w:rsidR="006E46F1">
        <w:rPr>
          <w:rFonts w:ascii="Arial" w:hAnsi="Arial" w:cs="Arial"/>
        </w:rPr>
        <w:t>re-</w:t>
      </w:r>
      <w:r>
        <w:rPr>
          <w:rFonts w:ascii="Arial" w:hAnsi="Arial" w:cs="Arial"/>
        </w:rPr>
        <w:t>development.</w:t>
      </w:r>
    </w:p>
    <w:p w:rsidR="005578D6" w:rsidRDefault="005578D6" w:rsidP="00714BEA">
      <w:pPr>
        <w:jc w:val="both"/>
        <w:rPr>
          <w:rFonts w:ascii="Arial" w:hAnsi="Arial" w:cs="Arial"/>
        </w:rPr>
      </w:pPr>
    </w:p>
    <w:p w:rsidR="005578D6" w:rsidRDefault="005578D6" w:rsidP="00714BEA">
      <w:pPr>
        <w:jc w:val="both"/>
        <w:rPr>
          <w:rFonts w:ascii="Arial" w:hAnsi="Arial" w:cs="Arial"/>
        </w:rPr>
      </w:pPr>
      <w:r>
        <w:rPr>
          <w:rFonts w:ascii="Arial" w:hAnsi="Arial" w:cs="Arial"/>
        </w:rPr>
        <w:t xml:space="preserve">A further meeting is planned for 1 February 2012 for the Chair and Chief Executive to meet the following Buckinghamshire MPs: Rt Hon. John Bercow MP (Member of Parliament for Buckingham and Speaker of the House </w:t>
      </w:r>
      <w:r w:rsidR="00E53DB7">
        <w:rPr>
          <w:rFonts w:ascii="Arial" w:hAnsi="Arial" w:cs="Arial"/>
        </w:rPr>
        <w:t>of Commons), Rt Hon. Dominic Grieve QC MP (Member of Parliament for Beaconsfield and Attorney General)</w:t>
      </w:r>
      <w:r>
        <w:rPr>
          <w:rFonts w:ascii="Arial" w:hAnsi="Arial" w:cs="Arial"/>
        </w:rPr>
        <w:t xml:space="preserve"> and </w:t>
      </w:r>
      <w:r w:rsidR="00E53DB7">
        <w:rPr>
          <w:rFonts w:ascii="Arial" w:hAnsi="Arial" w:cs="Arial"/>
        </w:rPr>
        <w:t xml:space="preserve">Rt Hon. </w:t>
      </w:r>
      <w:r>
        <w:rPr>
          <w:rFonts w:ascii="Arial" w:hAnsi="Arial" w:cs="Arial"/>
        </w:rPr>
        <w:t>Cheryl Gillan</w:t>
      </w:r>
      <w:r w:rsidR="00E53DB7">
        <w:rPr>
          <w:rFonts w:ascii="Arial" w:hAnsi="Arial" w:cs="Arial"/>
        </w:rPr>
        <w:t xml:space="preserve"> MP (Member of Parliament for Chesham and Amersham, and Secretary of State for Wales)</w:t>
      </w:r>
      <w:r>
        <w:rPr>
          <w:rFonts w:ascii="Arial" w:hAnsi="Arial" w:cs="Arial"/>
        </w:rPr>
        <w:t>.</w:t>
      </w:r>
    </w:p>
    <w:p w:rsidR="0016271F" w:rsidRDefault="0016271F" w:rsidP="00DA4541">
      <w:pPr>
        <w:rPr>
          <w:rFonts w:ascii="Arial" w:hAnsi="Arial" w:cs="Arial"/>
        </w:rPr>
      </w:pPr>
    </w:p>
    <w:p w:rsidR="00CC7666" w:rsidRDefault="00CC7666" w:rsidP="00DA4541">
      <w:pPr>
        <w:rPr>
          <w:rFonts w:ascii="Arial" w:hAnsi="Arial" w:cs="Arial"/>
        </w:rPr>
      </w:pPr>
    </w:p>
    <w:p w:rsidR="0011061E" w:rsidRPr="007E058E" w:rsidRDefault="0011061E" w:rsidP="0011061E">
      <w:pPr>
        <w:autoSpaceDE w:val="0"/>
        <w:autoSpaceDN w:val="0"/>
        <w:jc w:val="both"/>
        <w:rPr>
          <w:rFonts w:ascii="Arial" w:hAnsi="Arial" w:cs="Arial"/>
        </w:rPr>
      </w:pPr>
      <w:r>
        <w:rPr>
          <w:rFonts w:ascii="Arial" w:hAnsi="Arial" w:cs="Arial"/>
          <w:b/>
          <w:bCs/>
        </w:rPr>
        <w:t>3.</w:t>
      </w:r>
      <w:r w:rsidRPr="007E058E">
        <w:rPr>
          <w:rFonts w:ascii="Arial" w:hAnsi="Arial" w:cs="Arial"/>
          <w:b/>
          <w:bCs/>
        </w:rPr>
        <w:t xml:space="preserve"> </w:t>
      </w:r>
      <w:r w:rsidR="00E53DB7">
        <w:rPr>
          <w:rFonts w:ascii="Arial" w:hAnsi="Arial" w:cs="Arial"/>
          <w:b/>
          <w:bCs/>
        </w:rPr>
        <w:t>Meeting with Oxfordshire CCG, and Bucks and Oxon Cluster</w:t>
      </w:r>
      <w:r w:rsidRPr="007E058E">
        <w:rPr>
          <w:rFonts w:ascii="Arial" w:hAnsi="Arial" w:cs="Arial"/>
          <w:b/>
          <w:bCs/>
        </w:rPr>
        <w:t xml:space="preserve"> </w:t>
      </w:r>
    </w:p>
    <w:p w:rsidR="0011061E" w:rsidRDefault="0011061E" w:rsidP="00714BEA">
      <w:pPr>
        <w:pStyle w:val="Default"/>
        <w:jc w:val="both"/>
        <w:rPr>
          <w:rFonts w:ascii="Arial" w:hAnsi="Arial" w:cs="Arial"/>
          <w:bCs/>
        </w:rPr>
      </w:pPr>
    </w:p>
    <w:p w:rsidR="00E53DB7" w:rsidRPr="00E53DB7" w:rsidRDefault="00E53DB7" w:rsidP="00714BEA">
      <w:pPr>
        <w:pStyle w:val="Default"/>
        <w:jc w:val="both"/>
        <w:rPr>
          <w:rFonts w:ascii="Arial" w:hAnsi="Arial" w:cs="Arial"/>
          <w:bCs/>
        </w:rPr>
      </w:pPr>
      <w:r>
        <w:rPr>
          <w:rFonts w:ascii="Arial" w:hAnsi="Arial" w:cs="Arial"/>
          <w:bCs/>
        </w:rPr>
        <w:t xml:space="preserve">On 3 January 2012, directors of the Trust met with directors from both the Oxfordshire Clinical Commissioning Group, and the Buckinghamshire and Oxfordshire Cluster.  The meeting provided an opportunity to discuss how commissioning was developing in both counties, with a particular focus on the strategic direction being taken.  </w:t>
      </w:r>
      <w:r w:rsidR="00CC7666">
        <w:rPr>
          <w:rFonts w:ascii="Arial" w:hAnsi="Arial" w:cs="Arial"/>
          <w:bCs/>
        </w:rPr>
        <w:t>Contractual issues for 2012/13 were also raised, as was the progress being made under the Transforming Community Services agenda.</w:t>
      </w:r>
    </w:p>
    <w:p w:rsidR="0011061E" w:rsidRDefault="0011061E" w:rsidP="00DA4541">
      <w:pPr>
        <w:rPr>
          <w:rFonts w:ascii="Arial" w:hAnsi="Arial" w:cs="Arial"/>
        </w:rPr>
      </w:pPr>
    </w:p>
    <w:p w:rsidR="0011061E" w:rsidRPr="00DA4541" w:rsidRDefault="0011061E" w:rsidP="00DA4541">
      <w:pPr>
        <w:rPr>
          <w:rFonts w:ascii="Arial" w:hAnsi="Arial" w:cs="Arial"/>
        </w:rPr>
      </w:pPr>
    </w:p>
    <w:p w:rsidR="0062270D" w:rsidRPr="004E74D0" w:rsidRDefault="0073522A" w:rsidP="0062270D">
      <w:pPr>
        <w:jc w:val="both"/>
        <w:rPr>
          <w:rFonts w:ascii="Arial" w:hAnsi="Arial" w:cs="Arial"/>
        </w:rPr>
      </w:pPr>
      <w:r w:rsidRPr="00A623DF">
        <w:rPr>
          <w:rFonts w:ascii="Arial" w:hAnsi="Arial" w:cs="Arial"/>
          <w:b/>
        </w:rPr>
        <w:t>Recommendation</w:t>
      </w:r>
    </w:p>
    <w:p w:rsidR="0062270D" w:rsidRDefault="0062270D" w:rsidP="00ED11F5">
      <w:pPr>
        <w:jc w:val="both"/>
        <w:rPr>
          <w:rFonts w:ascii="Arial" w:hAnsi="Arial" w:cs="Arial"/>
        </w:rPr>
      </w:pPr>
      <w:r w:rsidRPr="00957B80">
        <w:rPr>
          <w:rFonts w:ascii="Arial" w:hAnsi="Arial" w:cs="Arial"/>
        </w:rPr>
        <w:t>The Boa</w:t>
      </w:r>
      <w:r>
        <w:rPr>
          <w:rFonts w:ascii="Arial" w:hAnsi="Arial" w:cs="Arial"/>
        </w:rPr>
        <w:t xml:space="preserve">rd is asked to note the </w:t>
      </w:r>
      <w:r w:rsidR="00DD7949">
        <w:rPr>
          <w:rFonts w:ascii="Arial" w:hAnsi="Arial" w:cs="Arial"/>
        </w:rPr>
        <w:t>report.</w:t>
      </w:r>
    </w:p>
    <w:p w:rsidR="009C1051" w:rsidRDefault="009C1051" w:rsidP="0073522A">
      <w:pPr>
        <w:jc w:val="both"/>
        <w:rPr>
          <w:rFonts w:ascii="Arial" w:hAnsi="Arial" w:cs="Arial"/>
        </w:rPr>
      </w:pPr>
    </w:p>
    <w:p w:rsidR="00D74C03" w:rsidRPr="00A623DF" w:rsidRDefault="00D74C03" w:rsidP="0073522A">
      <w:pPr>
        <w:jc w:val="both"/>
        <w:rPr>
          <w:rFonts w:ascii="Arial" w:hAnsi="Arial" w:cs="Arial"/>
          <w:b/>
        </w:rPr>
      </w:pPr>
    </w:p>
    <w:p w:rsidR="005D3499" w:rsidRPr="001F551C" w:rsidRDefault="005D3499">
      <w:pPr>
        <w:jc w:val="both"/>
        <w:rPr>
          <w:rFonts w:ascii="Arial" w:hAnsi="Arial" w:cs="Arial"/>
          <w:b/>
        </w:rPr>
      </w:pPr>
    </w:p>
    <w:p w:rsidR="00AF0562" w:rsidRPr="00BB4E60" w:rsidRDefault="0073522A" w:rsidP="00B91CAE">
      <w:pPr>
        <w:jc w:val="both"/>
        <w:rPr>
          <w:rFonts w:ascii="Arial" w:hAnsi="Arial" w:cs="Arial"/>
        </w:rPr>
      </w:pPr>
      <w:r w:rsidRPr="00BB4E60">
        <w:rPr>
          <w:rFonts w:ascii="Arial" w:hAnsi="Arial" w:cs="Arial"/>
          <w:b/>
        </w:rPr>
        <w:t>Lead Executive Director:</w:t>
      </w:r>
      <w:r w:rsidRPr="00BB4E60">
        <w:rPr>
          <w:rFonts w:ascii="Arial" w:hAnsi="Arial" w:cs="Arial"/>
          <w:b/>
        </w:rPr>
        <w:tab/>
      </w:r>
      <w:r w:rsidR="009C1051" w:rsidRPr="00BB4E60">
        <w:rPr>
          <w:rFonts w:ascii="Arial" w:hAnsi="Arial" w:cs="Arial"/>
        </w:rPr>
        <w:t xml:space="preserve">Julie Waldron, Chief </w:t>
      </w:r>
      <w:r w:rsidR="00840FE0" w:rsidRPr="00BB4E60">
        <w:rPr>
          <w:rFonts w:ascii="Arial" w:hAnsi="Arial" w:cs="Arial"/>
        </w:rPr>
        <w:t>Executive</w:t>
      </w:r>
    </w:p>
    <w:sectPr w:rsidR="00AF0562" w:rsidRPr="00BB4E60" w:rsidSect="00E84A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B9" w:rsidRDefault="005740B9" w:rsidP="00A55309">
      <w:r>
        <w:separator/>
      </w:r>
    </w:p>
  </w:endnote>
  <w:endnote w:type="continuationSeparator" w:id="1">
    <w:p w:rsidR="005740B9" w:rsidRDefault="005740B9"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Default="00E53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Default="00E53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Default="00E53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B9" w:rsidRDefault="005740B9" w:rsidP="00A55309">
      <w:r>
        <w:separator/>
      </w:r>
    </w:p>
  </w:footnote>
  <w:footnote w:type="continuationSeparator" w:id="1">
    <w:p w:rsidR="005740B9" w:rsidRDefault="005740B9"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Default="00E53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Pr="005B3E3C" w:rsidRDefault="00E53DB7"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E53DB7" w:rsidRDefault="00E53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7" w:rsidRDefault="00E53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clip_image001"/>
      </v:shape>
    </w:pict>
  </w:numPicBullet>
  <w:abstractNum w:abstractNumId="0">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15">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
  </w:num>
  <w:num w:numId="12">
    <w:abstractNumId w:val="10"/>
  </w:num>
  <w:num w:numId="13">
    <w:abstractNumId w:val="11"/>
  </w:num>
  <w:num w:numId="14">
    <w:abstractNumId w:val="7"/>
  </w:num>
  <w:num w:numId="15">
    <w:abstractNumId w:val="3"/>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041EA"/>
    <w:rsid w:val="000063E5"/>
    <w:rsid w:val="00006E41"/>
    <w:rsid w:val="00007F05"/>
    <w:rsid w:val="00016BB8"/>
    <w:rsid w:val="0002105C"/>
    <w:rsid w:val="00023C15"/>
    <w:rsid w:val="00040FFA"/>
    <w:rsid w:val="000504EC"/>
    <w:rsid w:val="0005393C"/>
    <w:rsid w:val="000542AF"/>
    <w:rsid w:val="0005451F"/>
    <w:rsid w:val="00054B3B"/>
    <w:rsid w:val="00064715"/>
    <w:rsid w:val="00070AF0"/>
    <w:rsid w:val="00073BDB"/>
    <w:rsid w:val="000758F7"/>
    <w:rsid w:val="00077CAF"/>
    <w:rsid w:val="000929E8"/>
    <w:rsid w:val="00095079"/>
    <w:rsid w:val="00097314"/>
    <w:rsid w:val="000A7E31"/>
    <w:rsid w:val="000B312B"/>
    <w:rsid w:val="000B4ADE"/>
    <w:rsid w:val="000B71B5"/>
    <w:rsid w:val="000D1E63"/>
    <w:rsid w:val="000D5903"/>
    <w:rsid w:val="000E0F76"/>
    <w:rsid w:val="000E5B0E"/>
    <w:rsid w:val="000F17CB"/>
    <w:rsid w:val="00100FCD"/>
    <w:rsid w:val="001014BE"/>
    <w:rsid w:val="0011061E"/>
    <w:rsid w:val="0012172F"/>
    <w:rsid w:val="0012659C"/>
    <w:rsid w:val="00152AC7"/>
    <w:rsid w:val="00154400"/>
    <w:rsid w:val="00160FC3"/>
    <w:rsid w:val="0016271F"/>
    <w:rsid w:val="00165D2F"/>
    <w:rsid w:val="00166E61"/>
    <w:rsid w:val="00195C8B"/>
    <w:rsid w:val="001A0308"/>
    <w:rsid w:val="001A0F57"/>
    <w:rsid w:val="001B00BF"/>
    <w:rsid w:val="001B1BCD"/>
    <w:rsid w:val="001B5DE5"/>
    <w:rsid w:val="001C071D"/>
    <w:rsid w:val="001C7AC9"/>
    <w:rsid w:val="001D08DA"/>
    <w:rsid w:val="001E6901"/>
    <w:rsid w:val="001F551C"/>
    <w:rsid w:val="001F76ED"/>
    <w:rsid w:val="0020669F"/>
    <w:rsid w:val="00213FDD"/>
    <w:rsid w:val="002216FC"/>
    <w:rsid w:val="00222934"/>
    <w:rsid w:val="0022680A"/>
    <w:rsid w:val="00241025"/>
    <w:rsid w:val="00243FA6"/>
    <w:rsid w:val="00260D47"/>
    <w:rsid w:val="002619EF"/>
    <w:rsid w:val="00262C9E"/>
    <w:rsid w:val="00271046"/>
    <w:rsid w:val="00282028"/>
    <w:rsid w:val="0028695A"/>
    <w:rsid w:val="002922C5"/>
    <w:rsid w:val="00294190"/>
    <w:rsid w:val="002970A5"/>
    <w:rsid w:val="002A73E8"/>
    <w:rsid w:val="002B3B9C"/>
    <w:rsid w:val="002C2D18"/>
    <w:rsid w:val="002D45AA"/>
    <w:rsid w:val="002D4EBA"/>
    <w:rsid w:val="002D52FA"/>
    <w:rsid w:val="002D6C2B"/>
    <w:rsid w:val="002F0369"/>
    <w:rsid w:val="00313B60"/>
    <w:rsid w:val="00320ABD"/>
    <w:rsid w:val="00320BC7"/>
    <w:rsid w:val="003239F9"/>
    <w:rsid w:val="00335289"/>
    <w:rsid w:val="003369F8"/>
    <w:rsid w:val="003428CB"/>
    <w:rsid w:val="00345670"/>
    <w:rsid w:val="00351E5B"/>
    <w:rsid w:val="00355FF2"/>
    <w:rsid w:val="00374B9A"/>
    <w:rsid w:val="00390C37"/>
    <w:rsid w:val="00392B78"/>
    <w:rsid w:val="00394F65"/>
    <w:rsid w:val="003971F6"/>
    <w:rsid w:val="003A2014"/>
    <w:rsid w:val="003B6576"/>
    <w:rsid w:val="003D1204"/>
    <w:rsid w:val="003D7103"/>
    <w:rsid w:val="003E293D"/>
    <w:rsid w:val="00410C29"/>
    <w:rsid w:val="004167F7"/>
    <w:rsid w:val="004225D9"/>
    <w:rsid w:val="00434086"/>
    <w:rsid w:val="004350B8"/>
    <w:rsid w:val="004354D2"/>
    <w:rsid w:val="00445F1A"/>
    <w:rsid w:val="0045148C"/>
    <w:rsid w:val="00451731"/>
    <w:rsid w:val="004564DB"/>
    <w:rsid w:val="00457970"/>
    <w:rsid w:val="004637DC"/>
    <w:rsid w:val="00474ED8"/>
    <w:rsid w:val="004757F0"/>
    <w:rsid w:val="00485538"/>
    <w:rsid w:val="0049175D"/>
    <w:rsid w:val="004949FA"/>
    <w:rsid w:val="004A6C48"/>
    <w:rsid w:val="004A71D8"/>
    <w:rsid w:val="004B2D7E"/>
    <w:rsid w:val="004B73F8"/>
    <w:rsid w:val="004C26FF"/>
    <w:rsid w:val="004C6F8A"/>
    <w:rsid w:val="004D2456"/>
    <w:rsid w:val="004E12C9"/>
    <w:rsid w:val="004E5E4F"/>
    <w:rsid w:val="004E6BD3"/>
    <w:rsid w:val="004E74D0"/>
    <w:rsid w:val="004F2CAD"/>
    <w:rsid w:val="004F4BBA"/>
    <w:rsid w:val="004F4C73"/>
    <w:rsid w:val="00501A83"/>
    <w:rsid w:val="00501AA1"/>
    <w:rsid w:val="00510F4B"/>
    <w:rsid w:val="0051376D"/>
    <w:rsid w:val="00515A10"/>
    <w:rsid w:val="005214AE"/>
    <w:rsid w:val="005233AA"/>
    <w:rsid w:val="00524C14"/>
    <w:rsid w:val="00532BF9"/>
    <w:rsid w:val="00537EA6"/>
    <w:rsid w:val="005400C0"/>
    <w:rsid w:val="00551B0F"/>
    <w:rsid w:val="0055356D"/>
    <w:rsid w:val="005578D6"/>
    <w:rsid w:val="005648DF"/>
    <w:rsid w:val="005668EC"/>
    <w:rsid w:val="005740B9"/>
    <w:rsid w:val="005865D8"/>
    <w:rsid w:val="00593160"/>
    <w:rsid w:val="005A72BA"/>
    <w:rsid w:val="005B0A0B"/>
    <w:rsid w:val="005B7A5C"/>
    <w:rsid w:val="005C02E9"/>
    <w:rsid w:val="005C3FC1"/>
    <w:rsid w:val="005D2367"/>
    <w:rsid w:val="005D3499"/>
    <w:rsid w:val="005D4317"/>
    <w:rsid w:val="005E1126"/>
    <w:rsid w:val="005E1B0B"/>
    <w:rsid w:val="005F0C12"/>
    <w:rsid w:val="005F27C1"/>
    <w:rsid w:val="006018D4"/>
    <w:rsid w:val="006034CB"/>
    <w:rsid w:val="00603EC4"/>
    <w:rsid w:val="006126AD"/>
    <w:rsid w:val="00615A6F"/>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156"/>
    <w:rsid w:val="006C57EE"/>
    <w:rsid w:val="006D0351"/>
    <w:rsid w:val="006E46F1"/>
    <w:rsid w:val="006F675A"/>
    <w:rsid w:val="00714BEA"/>
    <w:rsid w:val="00714C94"/>
    <w:rsid w:val="00716278"/>
    <w:rsid w:val="00720C13"/>
    <w:rsid w:val="00730BA8"/>
    <w:rsid w:val="0073522A"/>
    <w:rsid w:val="007353F9"/>
    <w:rsid w:val="007405B0"/>
    <w:rsid w:val="00745A50"/>
    <w:rsid w:val="007475B8"/>
    <w:rsid w:val="0075066D"/>
    <w:rsid w:val="007509C4"/>
    <w:rsid w:val="007577DD"/>
    <w:rsid w:val="0076340F"/>
    <w:rsid w:val="0077561B"/>
    <w:rsid w:val="00783DA1"/>
    <w:rsid w:val="007C1F2B"/>
    <w:rsid w:val="007D1283"/>
    <w:rsid w:val="007D616C"/>
    <w:rsid w:val="007E058E"/>
    <w:rsid w:val="007E13EC"/>
    <w:rsid w:val="007E17F5"/>
    <w:rsid w:val="007E6C41"/>
    <w:rsid w:val="0080178E"/>
    <w:rsid w:val="00807495"/>
    <w:rsid w:val="0082121E"/>
    <w:rsid w:val="00821D01"/>
    <w:rsid w:val="008250C5"/>
    <w:rsid w:val="0082528C"/>
    <w:rsid w:val="008327C0"/>
    <w:rsid w:val="0083565E"/>
    <w:rsid w:val="00840FE0"/>
    <w:rsid w:val="00843A2E"/>
    <w:rsid w:val="00844C77"/>
    <w:rsid w:val="008471D3"/>
    <w:rsid w:val="008633B9"/>
    <w:rsid w:val="0086436B"/>
    <w:rsid w:val="008654F4"/>
    <w:rsid w:val="008658DC"/>
    <w:rsid w:val="008773DC"/>
    <w:rsid w:val="0088488E"/>
    <w:rsid w:val="008860BB"/>
    <w:rsid w:val="008B1952"/>
    <w:rsid w:val="008B367C"/>
    <w:rsid w:val="008D1FCB"/>
    <w:rsid w:val="008D4EA9"/>
    <w:rsid w:val="008F04BB"/>
    <w:rsid w:val="008F7523"/>
    <w:rsid w:val="00902E3F"/>
    <w:rsid w:val="00922422"/>
    <w:rsid w:val="00924225"/>
    <w:rsid w:val="009364AB"/>
    <w:rsid w:val="00957B80"/>
    <w:rsid w:val="00965E50"/>
    <w:rsid w:val="009709EB"/>
    <w:rsid w:val="00970D9E"/>
    <w:rsid w:val="009753E3"/>
    <w:rsid w:val="00983122"/>
    <w:rsid w:val="0098733A"/>
    <w:rsid w:val="009927C0"/>
    <w:rsid w:val="009A14A3"/>
    <w:rsid w:val="009A3575"/>
    <w:rsid w:val="009B56BB"/>
    <w:rsid w:val="009C1051"/>
    <w:rsid w:val="009C46E8"/>
    <w:rsid w:val="009E21A5"/>
    <w:rsid w:val="009F61A8"/>
    <w:rsid w:val="009F7E8E"/>
    <w:rsid w:val="00A00ADE"/>
    <w:rsid w:val="00A03D65"/>
    <w:rsid w:val="00A06EA7"/>
    <w:rsid w:val="00A10D6D"/>
    <w:rsid w:val="00A2647E"/>
    <w:rsid w:val="00A33818"/>
    <w:rsid w:val="00A43096"/>
    <w:rsid w:val="00A55309"/>
    <w:rsid w:val="00A623DF"/>
    <w:rsid w:val="00A65B5E"/>
    <w:rsid w:val="00A858E9"/>
    <w:rsid w:val="00A96E23"/>
    <w:rsid w:val="00AA0841"/>
    <w:rsid w:val="00AB0214"/>
    <w:rsid w:val="00AC3814"/>
    <w:rsid w:val="00AC5D11"/>
    <w:rsid w:val="00AC6694"/>
    <w:rsid w:val="00AD2E8F"/>
    <w:rsid w:val="00AE2EB6"/>
    <w:rsid w:val="00AE6E1A"/>
    <w:rsid w:val="00AF0562"/>
    <w:rsid w:val="00AF34E5"/>
    <w:rsid w:val="00AF4AEE"/>
    <w:rsid w:val="00AF7B56"/>
    <w:rsid w:val="00B00FC7"/>
    <w:rsid w:val="00B16752"/>
    <w:rsid w:val="00B23677"/>
    <w:rsid w:val="00B238F5"/>
    <w:rsid w:val="00B239E4"/>
    <w:rsid w:val="00B26E1A"/>
    <w:rsid w:val="00B317BA"/>
    <w:rsid w:val="00B34D25"/>
    <w:rsid w:val="00B43FCE"/>
    <w:rsid w:val="00B44177"/>
    <w:rsid w:val="00B472DD"/>
    <w:rsid w:val="00B50D5E"/>
    <w:rsid w:val="00B51F1A"/>
    <w:rsid w:val="00B51F74"/>
    <w:rsid w:val="00B708DC"/>
    <w:rsid w:val="00B7542E"/>
    <w:rsid w:val="00B77A87"/>
    <w:rsid w:val="00B77FDC"/>
    <w:rsid w:val="00B91CAE"/>
    <w:rsid w:val="00B95916"/>
    <w:rsid w:val="00BA217C"/>
    <w:rsid w:val="00BB24A4"/>
    <w:rsid w:val="00BB3575"/>
    <w:rsid w:val="00BB40F9"/>
    <w:rsid w:val="00BB4E60"/>
    <w:rsid w:val="00BB6CF0"/>
    <w:rsid w:val="00BD7AB7"/>
    <w:rsid w:val="00BF5367"/>
    <w:rsid w:val="00C01C5D"/>
    <w:rsid w:val="00C0524E"/>
    <w:rsid w:val="00C2242A"/>
    <w:rsid w:val="00C23820"/>
    <w:rsid w:val="00C26B36"/>
    <w:rsid w:val="00C36069"/>
    <w:rsid w:val="00C6768F"/>
    <w:rsid w:val="00C72F64"/>
    <w:rsid w:val="00C84F0B"/>
    <w:rsid w:val="00C8735B"/>
    <w:rsid w:val="00CA1156"/>
    <w:rsid w:val="00CA2123"/>
    <w:rsid w:val="00CA76F1"/>
    <w:rsid w:val="00CB38BE"/>
    <w:rsid w:val="00CC03C6"/>
    <w:rsid w:val="00CC1E2C"/>
    <w:rsid w:val="00CC7666"/>
    <w:rsid w:val="00CD41C7"/>
    <w:rsid w:val="00CD41E5"/>
    <w:rsid w:val="00CD6B58"/>
    <w:rsid w:val="00CD6EE3"/>
    <w:rsid w:val="00CD71AD"/>
    <w:rsid w:val="00CF27D0"/>
    <w:rsid w:val="00CF381A"/>
    <w:rsid w:val="00CF6795"/>
    <w:rsid w:val="00D027EE"/>
    <w:rsid w:val="00D02FFB"/>
    <w:rsid w:val="00D13E07"/>
    <w:rsid w:val="00D27858"/>
    <w:rsid w:val="00D36CBD"/>
    <w:rsid w:val="00D46666"/>
    <w:rsid w:val="00D50BE7"/>
    <w:rsid w:val="00D537C1"/>
    <w:rsid w:val="00D55ADD"/>
    <w:rsid w:val="00D56886"/>
    <w:rsid w:val="00D74025"/>
    <w:rsid w:val="00D74C03"/>
    <w:rsid w:val="00D76471"/>
    <w:rsid w:val="00D77F74"/>
    <w:rsid w:val="00D81709"/>
    <w:rsid w:val="00D82899"/>
    <w:rsid w:val="00D86434"/>
    <w:rsid w:val="00DA0C47"/>
    <w:rsid w:val="00DA0FA6"/>
    <w:rsid w:val="00DA4541"/>
    <w:rsid w:val="00DB3B49"/>
    <w:rsid w:val="00DD7949"/>
    <w:rsid w:val="00DE0461"/>
    <w:rsid w:val="00DE1293"/>
    <w:rsid w:val="00DE6B41"/>
    <w:rsid w:val="00E01ED0"/>
    <w:rsid w:val="00E05D8E"/>
    <w:rsid w:val="00E07B90"/>
    <w:rsid w:val="00E12082"/>
    <w:rsid w:val="00E12D6E"/>
    <w:rsid w:val="00E224A9"/>
    <w:rsid w:val="00E23DA4"/>
    <w:rsid w:val="00E25D31"/>
    <w:rsid w:val="00E37B9F"/>
    <w:rsid w:val="00E513EB"/>
    <w:rsid w:val="00E5209F"/>
    <w:rsid w:val="00E53DB7"/>
    <w:rsid w:val="00E60D9F"/>
    <w:rsid w:val="00E61F0D"/>
    <w:rsid w:val="00E62C51"/>
    <w:rsid w:val="00E64BF0"/>
    <w:rsid w:val="00E71204"/>
    <w:rsid w:val="00E75A80"/>
    <w:rsid w:val="00E83C02"/>
    <w:rsid w:val="00E84A84"/>
    <w:rsid w:val="00E8776F"/>
    <w:rsid w:val="00EA42A5"/>
    <w:rsid w:val="00EA5BE5"/>
    <w:rsid w:val="00EB49AF"/>
    <w:rsid w:val="00EB6E88"/>
    <w:rsid w:val="00EC4752"/>
    <w:rsid w:val="00EC5204"/>
    <w:rsid w:val="00EC623C"/>
    <w:rsid w:val="00ED11F5"/>
    <w:rsid w:val="00ED1431"/>
    <w:rsid w:val="00ED463F"/>
    <w:rsid w:val="00ED65BF"/>
    <w:rsid w:val="00EE0FB6"/>
    <w:rsid w:val="00EE20A6"/>
    <w:rsid w:val="00EE69B4"/>
    <w:rsid w:val="00EF3196"/>
    <w:rsid w:val="00F03A4F"/>
    <w:rsid w:val="00F13129"/>
    <w:rsid w:val="00F13EFB"/>
    <w:rsid w:val="00F21D50"/>
    <w:rsid w:val="00F345E0"/>
    <w:rsid w:val="00F4181E"/>
    <w:rsid w:val="00F51E25"/>
    <w:rsid w:val="00F5266B"/>
    <w:rsid w:val="00F527C2"/>
    <w:rsid w:val="00F57D09"/>
    <w:rsid w:val="00F65F74"/>
    <w:rsid w:val="00F72BAF"/>
    <w:rsid w:val="00F72E06"/>
    <w:rsid w:val="00F73329"/>
    <w:rsid w:val="00F765EF"/>
    <w:rsid w:val="00F8538B"/>
    <w:rsid w:val="00F90DFF"/>
    <w:rsid w:val="00FA1634"/>
    <w:rsid w:val="00FA544F"/>
    <w:rsid w:val="00FB761A"/>
    <w:rsid w:val="00FC1C11"/>
    <w:rsid w:val="00FC1F1F"/>
    <w:rsid w:val="00FC693D"/>
    <w:rsid w:val="00FD62C1"/>
    <w:rsid w:val="00FE5F6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2011-12-05T09:52:00Z</cp:lastPrinted>
  <dcterms:created xsi:type="dcterms:W3CDTF">2012-02-09T13:58:00Z</dcterms:created>
  <dcterms:modified xsi:type="dcterms:W3CDTF">2012-02-09T13:58:00Z</dcterms:modified>
</cp:coreProperties>
</file>