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68" w:rsidRDefault="009879B2" w:rsidP="006D39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9.75pt">
            <v:imagedata r:id="rId7" o:title="Logo"/>
          </v:shape>
        </w:pict>
      </w:r>
    </w:p>
    <w:p w:rsidR="00237468" w:rsidRDefault="00237468" w:rsidP="00237468">
      <w:pPr>
        <w:ind w:right="-900"/>
        <w:jc w:val="right"/>
      </w:pPr>
    </w:p>
    <w:p w:rsidR="006C4770" w:rsidRDefault="009879B2" w:rsidP="00237468">
      <w:r>
        <w:rPr>
          <w:noProof/>
        </w:rPr>
        <w:pict>
          <v:rect id="_x0000_s1026" style="position:absolute;margin-left:338.25pt;margin-top:9.25pt;width:99pt;height:37.5pt;z-index:251658240">
            <v:textbox inset="0,0,0,0">
              <w:txbxContent>
                <w:p w:rsidR="006C4770" w:rsidRDefault="006C4770" w:rsidP="006C4770">
                  <w:pPr>
                    <w:pStyle w:val="BodyText"/>
                  </w:pPr>
                  <w:r w:rsidRPr="000504EC">
                    <w:t>BOD</w:t>
                  </w:r>
                  <w:r>
                    <w:t xml:space="preserve"> 06/2012</w:t>
                  </w:r>
                </w:p>
                <w:p w:rsidR="006C4770" w:rsidRPr="00B34D25" w:rsidRDefault="006C4770" w:rsidP="006C4770">
                  <w:pPr>
                    <w:pStyle w:val="BodyText"/>
                    <w:rPr>
                      <w:b w:val="0"/>
                      <w:sz w:val="22"/>
                      <w:szCs w:val="22"/>
                    </w:rPr>
                  </w:pPr>
                  <w:r>
                    <w:rPr>
                      <w:b w:val="0"/>
                      <w:sz w:val="22"/>
                      <w:szCs w:val="22"/>
                    </w:rPr>
                    <w:t>(Agenda Item: 8</w:t>
                  </w:r>
                  <w:r w:rsidRPr="00B34D25">
                    <w:rPr>
                      <w:b w:val="0"/>
                      <w:sz w:val="22"/>
                      <w:szCs w:val="22"/>
                    </w:rPr>
                    <w:t xml:space="preserve">) </w:t>
                  </w:r>
                </w:p>
              </w:txbxContent>
            </v:textbox>
          </v:rect>
        </w:pict>
      </w:r>
    </w:p>
    <w:p w:rsidR="006C4770" w:rsidRDefault="006C4770" w:rsidP="00237468"/>
    <w:p w:rsidR="006C4770" w:rsidRDefault="006C4770" w:rsidP="00237468"/>
    <w:p w:rsidR="00237468" w:rsidRDefault="00237468" w:rsidP="00237468"/>
    <w:p w:rsidR="00237468" w:rsidRDefault="00237468" w:rsidP="0031351D">
      <w:pPr>
        <w:pStyle w:val="Heading1"/>
        <w:jc w:val="center"/>
        <w:rPr>
          <w:sz w:val="28"/>
          <w:u w:val="none"/>
        </w:rPr>
      </w:pPr>
      <w:r>
        <w:rPr>
          <w:sz w:val="28"/>
          <w:u w:val="none"/>
        </w:rPr>
        <w:t xml:space="preserve">Report to the </w:t>
      </w:r>
      <w:r w:rsidR="00155222">
        <w:rPr>
          <w:sz w:val="28"/>
          <w:u w:val="none"/>
        </w:rPr>
        <w:t>Board of Directors</w:t>
      </w:r>
    </w:p>
    <w:p w:rsidR="00237468" w:rsidRDefault="00237468" w:rsidP="00237468">
      <w:pPr>
        <w:jc w:val="center"/>
        <w:rPr>
          <w:rFonts w:ascii="Arial" w:hAnsi="Arial" w:cs="Arial"/>
          <w:b/>
        </w:rPr>
      </w:pPr>
    </w:p>
    <w:p w:rsidR="00237468" w:rsidRDefault="00237468" w:rsidP="00237468">
      <w:pPr>
        <w:jc w:val="center"/>
        <w:rPr>
          <w:rFonts w:ascii="Arial" w:hAnsi="Arial" w:cs="Arial"/>
          <w:b/>
        </w:rPr>
      </w:pPr>
      <w:r>
        <w:rPr>
          <w:rFonts w:ascii="Arial" w:hAnsi="Arial" w:cs="Arial"/>
          <w:b/>
        </w:rPr>
        <w:t xml:space="preserve">For </w:t>
      </w:r>
      <w:r w:rsidR="005B3A01">
        <w:rPr>
          <w:rFonts w:ascii="Arial" w:hAnsi="Arial" w:cs="Arial"/>
          <w:b/>
        </w:rPr>
        <w:t>Information</w:t>
      </w:r>
      <w:r>
        <w:rPr>
          <w:rFonts w:ascii="Arial" w:hAnsi="Arial" w:cs="Arial"/>
          <w:b/>
        </w:rPr>
        <w:t xml:space="preserve">                                       </w:t>
      </w:r>
    </w:p>
    <w:p w:rsidR="00237468" w:rsidRDefault="00237468" w:rsidP="00237468">
      <w:pPr>
        <w:jc w:val="center"/>
        <w:rPr>
          <w:rFonts w:ascii="Arial" w:hAnsi="Arial" w:cs="Arial"/>
          <w:b/>
        </w:rPr>
      </w:pPr>
    </w:p>
    <w:p w:rsidR="00237468" w:rsidRDefault="006C4770" w:rsidP="00237468">
      <w:pPr>
        <w:jc w:val="center"/>
        <w:rPr>
          <w:rFonts w:ascii="Arial" w:hAnsi="Arial" w:cs="Arial"/>
          <w:b/>
        </w:rPr>
      </w:pPr>
      <w:r>
        <w:rPr>
          <w:rFonts w:ascii="Arial" w:hAnsi="Arial" w:cs="Arial"/>
          <w:b/>
        </w:rPr>
        <w:t>25</w:t>
      </w:r>
      <w:r w:rsidR="00027EF0">
        <w:rPr>
          <w:rFonts w:ascii="Arial" w:hAnsi="Arial" w:cs="Arial"/>
          <w:b/>
        </w:rPr>
        <w:t xml:space="preserve"> January</w:t>
      </w:r>
      <w:r w:rsidR="00280A5B">
        <w:rPr>
          <w:rFonts w:ascii="Arial" w:hAnsi="Arial" w:cs="Arial"/>
          <w:b/>
        </w:rPr>
        <w:t xml:space="preserve"> </w:t>
      </w:r>
      <w:r w:rsidR="005A653F">
        <w:rPr>
          <w:rFonts w:ascii="Arial" w:hAnsi="Arial" w:cs="Arial"/>
          <w:b/>
        </w:rPr>
        <w:t>201</w:t>
      </w:r>
      <w:r>
        <w:rPr>
          <w:rFonts w:ascii="Arial" w:hAnsi="Arial" w:cs="Arial"/>
          <w:b/>
        </w:rPr>
        <w:t>2</w:t>
      </w:r>
    </w:p>
    <w:p w:rsidR="00237468" w:rsidRDefault="00237468" w:rsidP="00237468">
      <w:pPr>
        <w:jc w:val="center"/>
        <w:rPr>
          <w:rFonts w:ascii="Arial" w:hAnsi="Arial" w:cs="Arial"/>
          <w:b/>
        </w:rPr>
      </w:pPr>
    </w:p>
    <w:p w:rsidR="00790F36" w:rsidRPr="001A716E" w:rsidRDefault="001A716E" w:rsidP="00237468">
      <w:pPr>
        <w:jc w:val="center"/>
        <w:rPr>
          <w:rFonts w:ascii="Arial" w:hAnsi="Arial" w:cs="Arial"/>
          <w:b/>
        </w:rPr>
      </w:pPr>
      <w:r w:rsidRPr="001A716E">
        <w:rPr>
          <w:rFonts w:ascii="Arial" w:hAnsi="Arial" w:cs="Arial"/>
          <w:b/>
        </w:rPr>
        <w:t xml:space="preserve">CQC </w:t>
      </w:r>
      <w:r w:rsidR="006C4770">
        <w:rPr>
          <w:rFonts w:ascii="Arial" w:hAnsi="Arial" w:cs="Arial"/>
          <w:b/>
        </w:rPr>
        <w:t>A</w:t>
      </w:r>
      <w:r w:rsidRPr="001A716E">
        <w:rPr>
          <w:rFonts w:ascii="Arial" w:hAnsi="Arial" w:cs="Arial"/>
          <w:b/>
        </w:rPr>
        <w:t xml:space="preserve">nnual </w:t>
      </w:r>
      <w:r w:rsidR="006C4770">
        <w:rPr>
          <w:rFonts w:ascii="Arial" w:hAnsi="Arial" w:cs="Arial"/>
          <w:b/>
        </w:rPr>
        <w:t>R</w:t>
      </w:r>
      <w:r w:rsidRPr="001A716E">
        <w:rPr>
          <w:rFonts w:ascii="Arial" w:hAnsi="Arial" w:cs="Arial"/>
          <w:b/>
        </w:rPr>
        <w:t xml:space="preserve">eport on the </w:t>
      </w:r>
      <w:r w:rsidR="006C4770">
        <w:rPr>
          <w:rFonts w:ascii="Arial" w:hAnsi="Arial" w:cs="Arial"/>
          <w:b/>
        </w:rPr>
        <w:t>U</w:t>
      </w:r>
      <w:r w:rsidRPr="001A716E">
        <w:rPr>
          <w:rFonts w:ascii="Arial" w:hAnsi="Arial" w:cs="Arial"/>
          <w:b/>
        </w:rPr>
        <w:t>se of the Mental Health Act</w:t>
      </w:r>
    </w:p>
    <w:p w:rsidR="001A716E" w:rsidRDefault="001A716E" w:rsidP="00237468">
      <w:pPr>
        <w:rPr>
          <w:rFonts w:ascii="Arial" w:hAnsi="Arial" w:cs="Arial"/>
        </w:rPr>
      </w:pPr>
    </w:p>
    <w:p w:rsidR="0045727E" w:rsidRPr="006C4770" w:rsidRDefault="006C4770" w:rsidP="00237468">
      <w:pPr>
        <w:rPr>
          <w:rFonts w:ascii="Arial" w:hAnsi="Arial" w:cs="Arial"/>
          <w:b/>
        </w:rPr>
      </w:pPr>
      <w:r>
        <w:rPr>
          <w:rFonts w:ascii="Arial" w:hAnsi="Arial" w:cs="Arial"/>
          <w:b/>
        </w:rPr>
        <w:t xml:space="preserve">Executive </w:t>
      </w:r>
      <w:r w:rsidR="001A716E" w:rsidRPr="006C4770">
        <w:rPr>
          <w:rFonts w:ascii="Arial" w:hAnsi="Arial" w:cs="Arial"/>
          <w:b/>
        </w:rPr>
        <w:t>Summary</w:t>
      </w:r>
    </w:p>
    <w:p w:rsidR="001A716E" w:rsidRDefault="001A716E" w:rsidP="00237468">
      <w:pPr>
        <w:rPr>
          <w:rFonts w:ascii="Arial" w:hAnsi="Arial" w:cs="Arial"/>
        </w:rPr>
      </w:pPr>
    </w:p>
    <w:p w:rsidR="001A716E" w:rsidRPr="001A716E" w:rsidRDefault="001A716E" w:rsidP="001A716E">
      <w:pPr>
        <w:jc w:val="both"/>
        <w:rPr>
          <w:rFonts w:ascii="Arial" w:hAnsi="Arial" w:cs="Arial"/>
        </w:rPr>
      </w:pPr>
      <w:r w:rsidRPr="001A716E">
        <w:rPr>
          <w:rFonts w:ascii="Arial" w:hAnsi="Arial" w:cs="Arial"/>
        </w:rPr>
        <w:t xml:space="preserve">CQC published its second annual report on the use of the Mental Health Act on </w:t>
      </w:r>
      <w:r w:rsidR="006C4770">
        <w:rPr>
          <w:rFonts w:ascii="Arial" w:hAnsi="Arial" w:cs="Arial"/>
        </w:rPr>
        <w:t>8 December</w:t>
      </w:r>
      <w:r w:rsidRPr="001A716E">
        <w:rPr>
          <w:rFonts w:ascii="Arial" w:hAnsi="Arial" w:cs="Arial"/>
        </w:rPr>
        <w:t xml:space="preserve"> 2011. Although examples of good practice were identified CQC identified that considerable improvements were needed in 3 key areas:</w:t>
      </w:r>
    </w:p>
    <w:p w:rsidR="001A716E" w:rsidRPr="001A716E" w:rsidRDefault="001A716E" w:rsidP="001A716E">
      <w:pPr>
        <w:jc w:val="both"/>
        <w:rPr>
          <w:rFonts w:ascii="Arial" w:hAnsi="Arial" w:cs="Arial"/>
        </w:rPr>
      </w:pPr>
    </w:p>
    <w:p w:rsidR="001A716E" w:rsidRPr="001A716E" w:rsidRDefault="001A716E" w:rsidP="001A716E">
      <w:pPr>
        <w:numPr>
          <w:ilvl w:val="0"/>
          <w:numId w:val="5"/>
        </w:numPr>
        <w:jc w:val="both"/>
        <w:rPr>
          <w:rFonts w:ascii="Arial" w:hAnsi="Arial" w:cs="Arial"/>
        </w:rPr>
      </w:pPr>
      <w:r w:rsidRPr="001A716E">
        <w:rPr>
          <w:rFonts w:ascii="Arial" w:hAnsi="Arial" w:cs="Arial"/>
        </w:rPr>
        <w:t>Patient involvement in planning their care</w:t>
      </w:r>
    </w:p>
    <w:p w:rsidR="001A716E" w:rsidRPr="001A716E" w:rsidRDefault="001A716E" w:rsidP="001A716E">
      <w:pPr>
        <w:ind w:left="360"/>
        <w:jc w:val="both"/>
        <w:rPr>
          <w:rFonts w:ascii="Arial" w:hAnsi="Arial" w:cs="Arial"/>
        </w:rPr>
      </w:pPr>
    </w:p>
    <w:p w:rsidR="001A716E" w:rsidRPr="001A716E" w:rsidRDefault="001A716E" w:rsidP="001A716E">
      <w:pPr>
        <w:numPr>
          <w:ilvl w:val="0"/>
          <w:numId w:val="5"/>
        </w:numPr>
        <w:jc w:val="both"/>
        <w:rPr>
          <w:rFonts w:ascii="Arial" w:hAnsi="Arial" w:cs="Arial"/>
        </w:rPr>
      </w:pPr>
      <w:r w:rsidRPr="001A716E">
        <w:rPr>
          <w:rFonts w:ascii="Arial" w:hAnsi="Arial" w:cs="Arial"/>
        </w:rPr>
        <w:t>Consent to treatment</w:t>
      </w:r>
    </w:p>
    <w:p w:rsidR="001A716E" w:rsidRPr="001A716E" w:rsidRDefault="001A716E" w:rsidP="001A716E">
      <w:pPr>
        <w:jc w:val="both"/>
        <w:rPr>
          <w:rFonts w:ascii="Arial" w:hAnsi="Arial" w:cs="Arial"/>
        </w:rPr>
      </w:pPr>
    </w:p>
    <w:p w:rsidR="001A716E" w:rsidRPr="001A716E" w:rsidRDefault="001A716E" w:rsidP="001A716E">
      <w:pPr>
        <w:numPr>
          <w:ilvl w:val="0"/>
          <w:numId w:val="5"/>
        </w:numPr>
        <w:jc w:val="both"/>
        <w:rPr>
          <w:rFonts w:ascii="Arial" w:hAnsi="Arial" w:cs="Arial"/>
        </w:rPr>
      </w:pPr>
      <w:r w:rsidRPr="001A716E">
        <w:rPr>
          <w:rFonts w:ascii="Arial" w:hAnsi="Arial" w:cs="Arial"/>
        </w:rPr>
        <w:t>Patients’ experience of care and treatment - Minimising restrictions</w:t>
      </w:r>
      <w:r>
        <w:rPr>
          <w:rFonts w:ascii="Arial" w:hAnsi="Arial" w:cs="Arial"/>
        </w:rPr>
        <w:t>.</w:t>
      </w:r>
    </w:p>
    <w:p w:rsidR="001A716E" w:rsidRPr="001A716E" w:rsidRDefault="001A716E" w:rsidP="00237468">
      <w:pPr>
        <w:rPr>
          <w:rFonts w:ascii="Arial" w:hAnsi="Arial" w:cs="Arial"/>
        </w:rPr>
      </w:pPr>
    </w:p>
    <w:p w:rsidR="00237468" w:rsidRDefault="00237468" w:rsidP="00237468">
      <w:pPr>
        <w:jc w:val="both"/>
        <w:rPr>
          <w:rFonts w:ascii="Arial" w:hAnsi="Arial" w:cs="Arial"/>
          <w:b/>
        </w:rPr>
      </w:pPr>
      <w:r>
        <w:rPr>
          <w:rFonts w:ascii="Arial" w:hAnsi="Arial" w:cs="Arial"/>
          <w:b/>
        </w:rPr>
        <w:t>Recommendation</w:t>
      </w:r>
    </w:p>
    <w:p w:rsidR="00237468" w:rsidRDefault="00237468" w:rsidP="00237468">
      <w:pPr>
        <w:jc w:val="both"/>
        <w:rPr>
          <w:rFonts w:ascii="Arial" w:hAnsi="Arial" w:cs="Arial"/>
          <w:b/>
        </w:rPr>
      </w:pPr>
    </w:p>
    <w:p w:rsidR="00237468" w:rsidRPr="00366DCB" w:rsidRDefault="00237468" w:rsidP="00237468">
      <w:pPr>
        <w:jc w:val="both"/>
        <w:rPr>
          <w:rFonts w:ascii="Arial" w:hAnsi="Arial" w:cs="Arial"/>
          <w:b/>
        </w:rPr>
      </w:pPr>
      <w:r w:rsidRPr="00366DCB">
        <w:rPr>
          <w:rFonts w:ascii="Arial" w:hAnsi="Arial" w:cs="Arial"/>
        </w:rPr>
        <w:t xml:space="preserve">The </w:t>
      </w:r>
      <w:r w:rsidR="006C4770">
        <w:rPr>
          <w:rFonts w:ascii="Arial" w:hAnsi="Arial" w:cs="Arial"/>
        </w:rPr>
        <w:t>Board</w:t>
      </w:r>
      <w:r w:rsidRPr="00366DCB">
        <w:rPr>
          <w:rFonts w:ascii="Arial" w:hAnsi="Arial" w:cs="Arial"/>
        </w:rPr>
        <w:t xml:space="preserve"> is </w:t>
      </w:r>
      <w:r w:rsidR="006F3CC5" w:rsidRPr="00366DCB">
        <w:rPr>
          <w:rFonts w:ascii="Arial" w:hAnsi="Arial" w:cs="Arial"/>
        </w:rPr>
        <w:t>asked to</w:t>
      </w:r>
      <w:r w:rsidR="00E363FF" w:rsidRPr="00366DCB">
        <w:rPr>
          <w:rFonts w:ascii="Arial" w:hAnsi="Arial" w:cs="Arial"/>
        </w:rPr>
        <w:t xml:space="preserve"> r</w:t>
      </w:r>
      <w:r w:rsidR="006F3CC5" w:rsidRPr="00366DCB">
        <w:rPr>
          <w:rFonts w:ascii="Arial" w:hAnsi="Arial" w:cs="Arial"/>
        </w:rPr>
        <w:t>eceive the report fo</w:t>
      </w:r>
      <w:r w:rsidR="005A653F" w:rsidRPr="00366DCB">
        <w:rPr>
          <w:rFonts w:ascii="Arial" w:hAnsi="Arial" w:cs="Arial"/>
        </w:rPr>
        <w:t>r information,</w:t>
      </w:r>
      <w:r w:rsidR="00ED1477">
        <w:rPr>
          <w:rFonts w:ascii="Arial" w:hAnsi="Arial" w:cs="Arial"/>
        </w:rPr>
        <w:t xml:space="preserve"> and</w:t>
      </w:r>
      <w:r w:rsidR="005A653F" w:rsidRPr="00366DCB">
        <w:rPr>
          <w:rFonts w:ascii="Arial" w:hAnsi="Arial" w:cs="Arial"/>
        </w:rPr>
        <w:t xml:space="preserve"> note its content</w:t>
      </w:r>
      <w:r w:rsidR="00ED1477">
        <w:rPr>
          <w:rFonts w:ascii="Arial" w:hAnsi="Arial" w:cs="Arial"/>
        </w:rPr>
        <w:t>.</w:t>
      </w:r>
      <w:r w:rsidR="001A716E">
        <w:rPr>
          <w:rFonts w:ascii="Arial" w:hAnsi="Arial" w:cs="Arial"/>
        </w:rPr>
        <w:t xml:space="preserve">  Action arising from the report will be incorporated in the response to the CQC Trust Annual Statement (with respect to the Mental Health Act) which is expected soon.</w:t>
      </w:r>
    </w:p>
    <w:p w:rsidR="00237468" w:rsidRDefault="00237468" w:rsidP="00237468">
      <w:pPr>
        <w:ind w:left="1440" w:hanging="1440"/>
        <w:jc w:val="both"/>
        <w:rPr>
          <w:rFonts w:ascii="Arial" w:hAnsi="Arial" w:cs="Arial"/>
          <w:b/>
        </w:rPr>
      </w:pPr>
    </w:p>
    <w:p w:rsidR="00237468" w:rsidRDefault="00237468" w:rsidP="00506959">
      <w:pPr>
        <w:ind w:left="1440" w:hanging="1440"/>
        <w:jc w:val="both"/>
        <w:rPr>
          <w:rFonts w:ascii="Arial" w:hAnsi="Arial" w:cs="Arial"/>
        </w:rPr>
      </w:pPr>
      <w:r>
        <w:rPr>
          <w:rFonts w:ascii="Arial" w:hAnsi="Arial" w:cs="Arial"/>
          <w:b/>
        </w:rPr>
        <w:t>Author and title:</w:t>
      </w:r>
      <w:r>
        <w:rPr>
          <w:rFonts w:ascii="Arial" w:hAnsi="Arial" w:cs="Arial"/>
        </w:rPr>
        <w:t xml:space="preserve">  </w:t>
      </w:r>
      <w:r w:rsidR="001A716E">
        <w:rPr>
          <w:rFonts w:ascii="Arial" w:hAnsi="Arial" w:cs="Arial"/>
        </w:rPr>
        <w:t>Dr JS Chalmers, Associate Clinical Director</w:t>
      </w:r>
      <w:r>
        <w:rPr>
          <w:rFonts w:ascii="Arial" w:hAnsi="Arial" w:cs="Arial"/>
        </w:rPr>
        <w:tab/>
      </w:r>
    </w:p>
    <w:p w:rsidR="00237468" w:rsidRDefault="00237468" w:rsidP="00237468">
      <w:pPr>
        <w:ind w:left="1440" w:hanging="1440"/>
        <w:jc w:val="both"/>
        <w:rPr>
          <w:rFonts w:ascii="Arial" w:hAnsi="Arial" w:cs="Arial"/>
        </w:rPr>
      </w:pPr>
    </w:p>
    <w:p w:rsidR="00506959" w:rsidRDefault="00237468" w:rsidP="00506959">
      <w:pPr>
        <w:ind w:left="1440" w:hanging="1440"/>
        <w:jc w:val="both"/>
        <w:rPr>
          <w:rFonts w:ascii="Arial" w:hAnsi="Arial" w:cs="Arial"/>
        </w:rPr>
      </w:pPr>
      <w:r>
        <w:rPr>
          <w:rFonts w:ascii="Arial" w:hAnsi="Arial" w:cs="Arial"/>
        </w:rPr>
        <w:t xml:space="preserve">Lead Director:  </w:t>
      </w:r>
      <w:r w:rsidR="00E624C8">
        <w:rPr>
          <w:rFonts w:ascii="Arial" w:hAnsi="Arial" w:cs="Arial"/>
        </w:rPr>
        <w:t>Dr C Meux, Medical Director</w:t>
      </w:r>
    </w:p>
    <w:p w:rsidR="0045727E" w:rsidRDefault="0045727E" w:rsidP="00506959">
      <w:pPr>
        <w:ind w:left="1440" w:hanging="1440"/>
        <w:jc w:val="both"/>
        <w:rPr>
          <w:rFonts w:ascii="Arial" w:hAnsi="Arial" w:cs="Arial"/>
        </w:rPr>
      </w:pPr>
    </w:p>
    <w:p w:rsidR="00237468" w:rsidRPr="0073522A" w:rsidRDefault="00237468" w:rsidP="00506959">
      <w:pPr>
        <w:ind w:left="1440" w:hanging="1440"/>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337F2A" w:rsidRDefault="00337F2A"/>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1A716E" w:rsidRPr="00637483" w:rsidRDefault="001A716E" w:rsidP="001A716E">
      <w:pPr>
        <w:jc w:val="both"/>
        <w:rPr>
          <w:rFonts w:ascii="Arial" w:hAnsi="Arial" w:cs="Arial"/>
          <w:b/>
          <w:sz w:val="22"/>
          <w:szCs w:val="22"/>
        </w:rPr>
      </w:pPr>
      <w:r w:rsidRPr="00637483">
        <w:rPr>
          <w:rFonts w:ascii="Arial" w:hAnsi="Arial" w:cs="Arial"/>
          <w:b/>
          <w:sz w:val="22"/>
          <w:szCs w:val="22"/>
        </w:rPr>
        <w:t xml:space="preserve">Summary of CQC second annual report on the use of the Mental Health Act </w:t>
      </w:r>
    </w:p>
    <w:p w:rsidR="001A716E" w:rsidRPr="00637483" w:rsidRDefault="001A716E" w:rsidP="001A716E">
      <w:pPr>
        <w:jc w:val="both"/>
        <w:rPr>
          <w:rFonts w:ascii="Arial" w:hAnsi="Arial" w:cs="Arial"/>
          <w:sz w:val="22"/>
          <w:szCs w:val="22"/>
        </w:rPr>
      </w:pPr>
    </w:p>
    <w:p w:rsidR="001A716E" w:rsidRPr="00637483" w:rsidRDefault="001A716E" w:rsidP="001A716E">
      <w:pPr>
        <w:jc w:val="both"/>
        <w:rPr>
          <w:rFonts w:ascii="Arial" w:hAnsi="Arial" w:cs="Arial"/>
          <w:sz w:val="20"/>
          <w:szCs w:val="20"/>
        </w:rPr>
      </w:pPr>
      <w:r w:rsidRPr="00637483">
        <w:rPr>
          <w:rFonts w:ascii="Arial" w:hAnsi="Arial" w:cs="Arial"/>
          <w:sz w:val="20"/>
          <w:szCs w:val="20"/>
        </w:rPr>
        <w:t>CQC published its second annual report on the use of the Mental Health Act on December 8</w:t>
      </w:r>
      <w:r w:rsidRPr="00637483">
        <w:rPr>
          <w:rFonts w:ascii="Arial" w:hAnsi="Arial" w:cs="Arial"/>
          <w:sz w:val="20"/>
          <w:szCs w:val="20"/>
          <w:vertAlign w:val="superscript"/>
        </w:rPr>
        <w:t>th</w:t>
      </w:r>
      <w:r w:rsidRPr="00637483">
        <w:rPr>
          <w:rFonts w:ascii="Arial" w:hAnsi="Arial" w:cs="Arial"/>
          <w:sz w:val="20"/>
          <w:szCs w:val="20"/>
        </w:rPr>
        <w:t xml:space="preserve"> 2011. Although examples of good practice were identified CQC identified that considerable improvements were needed in 3 key areas:</w:t>
      </w:r>
    </w:p>
    <w:p w:rsidR="001A716E" w:rsidRPr="00637483" w:rsidRDefault="001A716E" w:rsidP="001A716E">
      <w:pPr>
        <w:jc w:val="both"/>
        <w:rPr>
          <w:rFonts w:ascii="Arial" w:hAnsi="Arial" w:cs="Arial"/>
          <w:sz w:val="20"/>
          <w:szCs w:val="20"/>
        </w:rPr>
      </w:pPr>
    </w:p>
    <w:p w:rsidR="001A716E" w:rsidRPr="00637483" w:rsidRDefault="001A716E" w:rsidP="001A716E">
      <w:pPr>
        <w:numPr>
          <w:ilvl w:val="0"/>
          <w:numId w:val="5"/>
        </w:numPr>
        <w:jc w:val="both"/>
        <w:rPr>
          <w:rFonts w:ascii="Arial" w:hAnsi="Arial" w:cs="Arial"/>
          <w:sz w:val="20"/>
          <w:szCs w:val="20"/>
        </w:rPr>
      </w:pPr>
      <w:r w:rsidRPr="00637483">
        <w:rPr>
          <w:rFonts w:ascii="Arial" w:hAnsi="Arial" w:cs="Arial"/>
          <w:sz w:val="20"/>
          <w:szCs w:val="20"/>
        </w:rPr>
        <w:t>Patient involvement</w:t>
      </w:r>
      <w:r>
        <w:rPr>
          <w:rFonts w:ascii="Arial" w:hAnsi="Arial" w:cs="Arial"/>
          <w:sz w:val="20"/>
          <w:szCs w:val="20"/>
        </w:rPr>
        <w:t xml:space="preserve"> in planning their care</w:t>
      </w:r>
    </w:p>
    <w:p w:rsidR="001A716E" w:rsidRPr="00637483" w:rsidRDefault="001A716E" w:rsidP="001A716E">
      <w:pPr>
        <w:ind w:left="360"/>
        <w:jc w:val="both"/>
        <w:rPr>
          <w:rFonts w:ascii="Arial" w:hAnsi="Arial" w:cs="Arial"/>
          <w:sz w:val="20"/>
          <w:szCs w:val="20"/>
        </w:rPr>
      </w:pPr>
    </w:p>
    <w:p w:rsidR="001A716E" w:rsidRPr="00637483" w:rsidRDefault="001A716E" w:rsidP="001A716E">
      <w:pPr>
        <w:numPr>
          <w:ilvl w:val="0"/>
          <w:numId w:val="5"/>
        </w:numPr>
        <w:jc w:val="both"/>
        <w:rPr>
          <w:rFonts w:ascii="Arial" w:hAnsi="Arial" w:cs="Arial"/>
          <w:sz w:val="20"/>
          <w:szCs w:val="20"/>
        </w:rPr>
      </w:pPr>
      <w:r w:rsidRPr="00637483">
        <w:rPr>
          <w:rFonts w:ascii="Arial" w:hAnsi="Arial" w:cs="Arial"/>
          <w:sz w:val="20"/>
          <w:szCs w:val="20"/>
        </w:rPr>
        <w:t>Consent to treatment</w:t>
      </w:r>
    </w:p>
    <w:p w:rsidR="001A716E" w:rsidRPr="00637483" w:rsidRDefault="001A716E" w:rsidP="001A716E">
      <w:pPr>
        <w:jc w:val="both"/>
        <w:rPr>
          <w:rFonts w:ascii="Arial" w:hAnsi="Arial" w:cs="Arial"/>
          <w:sz w:val="20"/>
          <w:szCs w:val="20"/>
        </w:rPr>
      </w:pPr>
    </w:p>
    <w:p w:rsidR="001A716E" w:rsidRPr="00637483" w:rsidRDefault="001A716E" w:rsidP="001A716E">
      <w:pPr>
        <w:numPr>
          <w:ilvl w:val="0"/>
          <w:numId w:val="5"/>
        </w:numPr>
        <w:jc w:val="both"/>
        <w:rPr>
          <w:rFonts w:ascii="Arial" w:hAnsi="Arial" w:cs="Arial"/>
          <w:sz w:val="20"/>
          <w:szCs w:val="20"/>
        </w:rPr>
      </w:pPr>
      <w:r w:rsidRPr="00637483">
        <w:rPr>
          <w:rFonts w:ascii="Arial" w:hAnsi="Arial" w:cs="Arial"/>
          <w:sz w:val="20"/>
          <w:szCs w:val="20"/>
        </w:rPr>
        <w:t>Patients’ experience of care and treatment - Minimising restrictions</w:t>
      </w:r>
    </w:p>
    <w:p w:rsidR="001A716E" w:rsidRPr="00637483" w:rsidRDefault="001A716E" w:rsidP="001A716E">
      <w:pPr>
        <w:jc w:val="both"/>
        <w:rPr>
          <w:rFonts w:ascii="Arial" w:hAnsi="Arial" w:cs="Arial"/>
          <w:sz w:val="20"/>
          <w:szCs w:val="20"/>
        </w:rPr>
      </w:pPr>
      <w:r w:rsidRPr="00637483">
        <w:rPr>
          <w:rFonts w:ascii="Arial" w:hAnsi="Arial" w:cs="Arial"/>
          <w:sz w:val="20"/>
          <w:szCs w:val="20"/>
        </w:rPr>
        <w:t>.</w:t>
      </w:r>
    </w:p>
    <w:p w:rsidR="001A716E" w:rsidRPr="00637483" w:rsidRDefault="001A716E" w:rsidP="001A716E">
      <w:pPr>
        <w:jc w:val="both"/>
        <w:rPr>
          <w:rFonts w:ascii="Arial" w:hAnsi="Arial" w:cs="Arial"/>
          <w:b/>
          <w:sz w:val="20"/>
          <w:szCs w:val="20"/>
        </w:rPr>
      </w:pPr>
      <w:r w:rsidRPr="00637483">
        <w:rPr>
          <w:rFonts w:ascii="Arial" w:hAnsi="Arial" w:cs="Arial"/>
          <w:b/>
          <w:sz w:val="20"/>
          <w:szCs w:val="20"/>
        </w:rPr>
        <w:t>Statistics</w:t>
      </w:r>
    </w:p>
    <w:p w:rsidR="001A716E" w:rsidRPr="00637483" w:rsidRDefault="001A716E" w:rsidP="001A716E">
      <w:pPr>
        <w:jc w:val="both"/>
        <w:rPr>
          <w:rFonts w:ascii="Arial" w:hAnsi="Arial" w:cs="Arial"/>
          <w:sz w:val="20"/>
          <w:szCs w:val="20"/>
        </w:rPr>
      </w:pPr>
    </w:p>
    <w:p w:rsidR="001A716E" w:rsidRPr="00637483" w:rsidRDefault="001A716E" w:rsidP="001A716E">
      <w:pPr>
        <w:jc w:val="both"/>
        <w:rPr>
          <w:rFonts w:ascii="Arial" w:hAnsi="Arial" w:cs="Arial"/>
          <w:sz w:val="20"/>
          <w:szCs w:val="20"/>
        </w:rPr>
      </w:pPr>
      <w:r w:rsidRPr="00637483">
        <w:rPr>
          <w:rFonts w:ascii="Arial" w:hAnsi="Arial" w:cs="Arial"/>
          <w:sz w:val="20"/>
          <w:szCs w:val="20"/>
        </w:rPr>
        <w:t>The number of people subject to the Act continues to increase.  On March 31</w:t>
      </w:r>
      <w:r w:rsidRPr="00637483">
        <w:rPr>
          <w:rFonts w:ascii="Arial" w:hAnsi="Arial" w:cs="Arial"/>
          <w:sz w:val="20"/>
          <w:szCs w:val="20"/>
          <w:vertAlign w:val="superscript"/>
        </w:rPr>
        <w:t>st</w:t>
      </w:r>
      <w:r w:rsidRPr="00637483">
        <w:rPr>
          <w:rFonts w:ascii="Arial" w:hAnsi="Arial" w:cs="Arial"/>
          <w:sz w:val="20"/>
          <w:szCs w:val="20"/>
        </w:rPr>
        <w:t xml:space="preserve"> 2011 the number of people </w:t>
      </w:r>
      <w:r>
        <w:rPr>
          <w:rFonts w:ascii="Arial" w:hAnsi="Arial" w:cs="Arial"/>
          <w:sz w:val="20"/>
          <w:szCs w:val="20"/>
        </w:rPr>
        <w:t>(</w:t>
      </w:r>
      <w:r w:rsidRPr="00637483">
        <w:rPr>
          <w:rFonts w:ascii="Arial" w:hAnsi="Arial" w:cs="Arial"/>
          <w:sz w:val="20"/>
          <w:szCs w:val="20"/>
        </w:rPr>
        <w:t>20,938</w:t>
      </w:r>
      <w:r>
        <w:rPr>
          <w:rFonts w:ascii="Arial" w:hAnsi="Arial" w:cs="Arial"/>
          <w:sz w:val="20"/>
          <w:szCs w:val="20"/>
        </w:rPr>
        <w:t xml:space="preserve">) subject to detention was </w:t>
      </w:r>
      <w:r w:rsidRPr="00637483">
        <w:rPr>
          <w:rFonts w:ascii="Arial" w:hAnsi="Arial" w:cs="Arial"/>
          <w:sz w:val="20"/>
          <w:szCs w:val="20"/>
        </w:rPr>
        <w:t xml:space="preserve">5% higher than on the same date the year before. Almost all this increase is due to the rise in number of people </w:t>
      </w:r>
      <w:r>
        <w:rPr>
          <w:rFonts w:ascii="Arial" w:hAnsi="Arial" w:cs="Arial"/>
          <w:sz w:val="20"/>
          <w:szCs w:val="20"/>
        </w:rPr>
        <w:t>placed on Community Treatment Orders</w:t>
      </w:r>
      <w:r w:rsidRPr="00637483">
        <w:rPr>
          <w:rFonts w:ascii="Arial" w:hAnsi="Arial" w:cs="Arial"/>
          <w:sz w:val="20"/>
          <w:szCs w:val="20"/>
        </w:rPr>
        <w:t xml:space="preserve"> (CTOs)</w:t>
      </w:r>
    </w:p>
    <w:p w:rsidR="001A716E" w:rsidRPr="00637483" w:rsidRDefault="001A716E" w:rsidP="001A716E">
      <w:pPr>
        <w:jc w:val="both"/>
        <w:rPr>
          <w:rFonts w:ascii="Arial" w:hAnsi="Arial" w:cs="Arial"/>
          <w:sz w:val="20"/>
          <w:szCs w:val="20"/>
        </w:rPr>
      </w:pPr>
    </w:p>
    <w:p w:rsidR="001A716E" w:rsidRPr="00637483" w:rsidRDefault="001A716E" w:rsidP="001A716E">
      <w:pPr>
        <w:jc w:val="both"/>
        <w:rPr>
          <w:rFonts w:ascii="Arial" w:hAnsi="Arial" w:cs="Arial"/>
          <w:sz w:val="20"/>
          <w:szCs w:val="20"/>
        </w:rPr>
      </w:pPr>
      <w:r w:rsidRPr="00637483">
        <w:rPr>
          <w:rFonts w:ascii="Arial" w:hAnsi="Arial" w:cs="Arial"/>
          <w:sz w:val="20"/>
          <w:szCs w:val="20"/>
        </w:rPr>
        <w:t>The number of new CTOs made in 2011 was lower than the previous year</w:t>
      </w:r>
      <w:r>
        <w:rPr>
          <w:rFonts w:ascii="Arial" w:hAnsi="Arial" w:cs="Arial"/>
          <w:sz w:val="20"/>
          <w:szCs w:val="20"/>
        </w:rPr>
        <w:t>. However more new CTOs were made than were discharged</w:t>
      </w:r>
      <w:r w:rsidRPr="00637483">
        <w:rPr>
          <w:rFonts w:ascii="Arial" w:hAnsi="Arial" w:cs="Arial"/>
          <w:sz w:val="20"/>
          <w:szCs w:val="20"/>
        </w:rPr>
        <w:t xml:space="preserve"> </w:t>
      </w:r>
      <w:r>
        <w:rPr>
          <w:rFonts w:ascii="Arial" w:hAnsi="Arial" w:cs="Arial"/>
          <w:sz w:val="20"/>
          <w:szCs w:val="20"/>
        </w:rPr>
        <w:t>t</w:t>
      </w:r>
      <w:r w:rsidRPr="00637483">
        <w:rPr>
          <w:rFonts w:ascii="Arial" w:hAnsi="Arial" w:cs="Arial"/>
          <w:sz w:val="20"/>
          <w:szCs w:val="20"/>
        </w:rPr>
        <w:t>herefore the number of people subject to compulsion in the community continues to rise overall.</w:t>
      </w:r>
    </w:p>
    <w:p w:rsidR="001A716E" w:rsidRPr="00637483" w:rsidRDefault="001A716E" w:rsidP="001A716E">
      <w:pPr>
        <w:jc w:val="both"/>
        <w:rPr>
          <w:rFonts w:ascii="Arial" w:hAnsi="Arial" w:cs="Arial"/>
          <w:sz w:val="20"/>
          <w:szCs w:val="20"/>
        </w:rPr>
      </w:pPr>
    </w:p>
    <w:p w:rsidR="001A716E" w:rsidRPr="00637483" w:rsidRDefault="001A716E" w:rsidP="001A716E">
      <w:pPr>
        <w:jc w:val="both"/>
        <w:rPr>
          <w:rFonts w:ascii="Arial" w:hAnsi="Arial" w:cs="Arial"/>
          <w:sz w:val="20"/>
          <w:szCs w:val="20"/>
        </w:rPr>
      </w:pPr>
      <w:r w:rsidRPr="00637483">
        <w:rPr>
          <w:rFonts w:ascii="Arial" w:hAnsi="Arial" w:cs="Arial"/>
          <w:sz w:val="20"/>
          <w:szCs w:val="20"/>
        </w:rPr>
        <w:t>The number of detentions to a hospital place of safety (rather than a police station) under Police Powers (s 136) continues to rise. However it is unknown (due to inadequacies in data collection) what the total number of s 136 detentions are overa</w:t>
      </w:r>
      <w:r>
        <w:rPr>
          <w:rFonts w:ascii="Arial" w:hAnsi="Arial" w:cs="Arial"/>
          <w:sz w:val="20"/>
          <w:szCs w:val="20"/>
        </w:rPr>
        <w:t>ll and currently what proportion</w:t>
      </w:r>
      <w:r w:rsidRPr="00637483">
        <w:rPr>
          <w:rFonts w:ascii="Arial" w:hAnsi="Arial" w:cs="Arial"/>
          <w:sz w:val="20"/>
          <w:szCs w:val="20"/>
        </w:rPr>
        <w:t xml:space="preserve"> of peop</w:t>
      </w:r>
      <w:r>
        <w:rPr>
          <w:rFonts w:ascii="Arial" w:hAnsi="Arial" w:cs="Arial"/>
          <w:sz w:val="20"/>
          <w:szCs w:val="20"/>
        </w:rPr>
        <w:t>le are taken to a hospital POS compared to a police station.</w:t>
      </w:r>
    </w:p>
    <w:p w:rsidR="001A716E" w:rsidRDefault="001A716E" w:rsidP="001A716E">
      <w:pPr>
        <w:shd w:val="clear" w:color="auto" w:fill="FFFFFF"/>
        <w:spacing w:after="180"/>
        <w:jc w:val="both"/>
        <w:rPr>
          <w:rFonts w:ascii="Arial" w:hAnsi="Arial" w:cs="Arial"/>
          <w:b/>
          <w:color w:val="333333"/>
          <w:sz w:val="20"/>
          <w:szCs w:val="20"/>
        </w:rPr>
      </w:pPr>
    </w:p>
    <w:p w:rsidR="001A716E" w:rsidRPr="00637483" w:rsidRDefault="001A716E" w:rsidP="001A716E">
      <w:pPr>
        <w:shd w:val="clear" w:color="auto" w:fill="FFFFFF"/>
        <w:spacing w:after="180"/>
        <w:jc w:val="both"/>
        <w:rPr>
          <w:rStyle w:val="Strong"/>
          <w:rFonts w:ascii="Arial" w:hAnsi="Arial" w:cs="Arial"/>
          <w:color w:val="333333"/>
          <w:sz w:val="20"/>
          <w:szCs w:val="20"/>
        </w:rPr>
      </w:pPr>
      <w:r>
        <w:rPr>
          <w:rFonts w:ascii="Arial" w:hAnsi="Arial" w:cs="Arial"/>
          <w:b/>
          <w:color w:val="333333"/>
          <w:sz w:val="20"/>
          <w:szCs w:val="20"/>
        </w:rPr>
        <w:t xml:space="preserve">1. </w:t>
      </w:r>
      <w:r w:rsidRPr="00637483">
        <w:rPr>
          <w:rStyle w:val="Strong"/>
          <w:rFonts w:ascii="Arial" w:hAnsi="Arial" w:cs="Arial"/>
          <w:color w:val="333333"/>
          <w:sz w:val="20"/>
          <w:szCs w:val="20"/>
        </w:rPr>
        <w:t>Patient involvement</w:t>
      </w:r>
    </w:p>
    <w:p w:rsidR="001A716E" w:rsidRPr="00637483" w:rsidRDefault="001A716E" w:rsidP="001A716E">
      <w:pPr>
        <w:shd w:val="clear" w:color="auto" w:fill="FFFFFF"/>
        <w:spacing w:after="180"/>
        <w:jc w:val="both"/>
        <w:rPr>
          <w:rStyle w:val="Strong"/>
          <w:rFonts w:ascii="Arial" w:hAnsi="Arial" w:cs="Arial"/>
          <w:b w:val="0"/>
          <w:bCs w:val="0"/>
          <w:color w:val="333333"/>
          <w:sz w:val="20"/>
          <w:szCs w:val="20"/>
        </w:rPr>
      </w:pPr>
      <w:r w:rsidRPr="00637483">
        <w:rPr>
          <w:rStyle w:val="Strong"/>
          <w:rFonts w:ascii="Arial" w:hAnsi="Arial" w:cs="Arial"/>
          <w:b w:val="0"/>
          <w:color w:val="333333"/>
          <w:sz w:val="20"/>
          <w:szCs w:val="20"/>
        </w:rPr>
        <w:t>Lack of patient involvement</w:t>
      </w:r>
      <w:r w:rsidRPr="00637483">
        <w:rPr>
          <w:rFonts w:ascii="Arial" w:hAnsi="Arial" w:cs="Arial"/>
          <w:color w:val="333333"/>
          <w:sz w:val="20"/>
          <w:szCs w:val="20"/>
        </w:rPr>
        <w:t xml:space="preserve"> in the care planning process continues to be one of the issues most frequently reported by Mental Health Act Commissioners after visits to hospitals. On many wards there </w:t>
      </w:r>
      <w:proofErr w:type="gramStart"/>
      <w:r w:rsidRPr="00637483">
        <w:rPr>
          <w:rFonts w:ascii="Arial" w:hAnsi="Arial" w:cs="Arial"/>
          <w:color w:val="333333"/>
          <w:sz w:val="20"/>
          <w:szCs w:val="20"/>
        </w:rPr>
        <w:t>was little</w:t>
      </w:r>
      <w:proofErr w:type="gramEnd"/>
      <w:r w:rsidRPr="00637483">
        <w:rPr>
          <w:rFonts w:ascii="Arial" w:hAnsi="Arial" w:cs="Arial"/>
          <w:color w:val="333333"/>
          <w:sz w:val="20"/>
          <w:szCs w:val="20"/>
        </w:rPr>
        <w:t xml:space="preserve"> evidence that staff had attempted to ascertain the patients’ own views and wishes nor was there much indication that patients had been given copies of their care plans. </w:t>
      </w:r>
      <w:r w:rsidRPr="00637483">
        <w:rPr>
          <w:rStyle w:val="Strong"/>
          <w:rFonts w:ascii="Arial" w:hAnsi="Arial" w:cs="Arial"/>
          <w:b w:val="0"/>
          <w:color w:val="333333"/>
          <w:sz w:val="20"/>
          <w:szCs w:val="20"/>
        </w:rPr>
        <w:t>Areas of good practice included patient councils and community meetings.</w:t>
      </w:r>
    </w:p>
    <w:p w:rsidR="001A716E" w:rsidRPr="00637483" w:rsidRDefault="001A716E" w:rsidP="001A716E">
      <w:pPr>
        <w:shd w:val="clear" w:color="auto" w:fill="FFFFFF"/>
        <w:spacing w:after="270"/>
        <w:rPr>
          <w:rFonts w:ascii="Arial" w:hAnsi="Arial" w:cs="Arial"/>
          <w:color w:val="333333"/>
          <w:sz w:val="20"/>
          <w:szCs w:val="20"/>
        </w:rPr>
      </w:pPr>
      <w:r w:rsidRPr="00637483">
        <w:rPr>
          <w:rFonts w:ascii="Arial" w:hAnsi="Arial" w:cs="Arial"/>
          <w:color w:val="333333"/>
          <w:sz w:val="20"/>
          <w:szCs w:val="20"/>
        </w:rPr>
        <w:t>CQC noted that whilst most people working in mental health are compassionate and professional, detaining authorities must always be vigilant a</w:t>
      </w:r>
      <w:r>
        <w:rPr>
          <w:rFonts w:ascii="Arial" w:hAnsi="Arial" w:cs="Arial"/>
          <w:color w:val="333333"/>
          <w:sz w:val="20"/>
          <w:szCs w:val="20"/>
        </w:rPr>
        <w:t>gainst ill-treatment of patients</w:t>
      </w:r>
      <w:r w:rsidRPr="00637483">
        <w:rPr>
          <w:rFonts w:ascii="Arial" w:hAnsi="Arial" w:cs="Arial"/>
          <w:color w:val="333333"/>
          <w:sz w:val="20"/>
          <w:szCs w:val="20"/>
        </w:rPr>
        <w:t xml:space="preserve">. </w:t>
      </w:r>
      <w:r>
        <w:rPr>
          <w:rFonts w:ascii="Arial" w:hAnsi="Arial" w:cs="Arial"/>
          <w:color w:val="333333"/>
          <w:sz w:val="20"/>
          <w:szCs w:val="20"/>
        </w:rPr>
        <w:t>The issue of restraint was highlighted and good practice post restraint was discussed.</w:t>
      </w:r>
    </w:p>
    <w:p w:rsidR="001A716E" w:rsidRPr="00637483" w:rsidRDefault="001A716E" w:rsidP="001A716E">
      <w:pPr>
        <w:shd w:val="clear" w:color="auto" w:fill="FFFFFF"/>
        <w:spacing w:after="270"/>
        <w:jc w:val="both"/>
        <w:textAlignment w:val="top"/>
        <w:outlineLvl w:val="4"/>
        <w:rPr>
          <w:rFonts w:ascii="Arial" w:hAnsi="Arial" w:cs="Arial"/>
          <w:color w:val="8C008C"/>
          <w:sz w:val="20"/>
          <w:szCs w:val="20"/>
        </w:rPr>
      </w:pPr>
      <w:r>
        <w:rPr>
          <w:rStyle w:val="Strong"/>
          <w:rFonts w:ascii="Arial" w:hAnsi="Arial" w:cs="Arial"/>
          <w:color w:val="8C008C"/>
          <w:sz w:val="20"/>
          <w:szCs w:val="20"/>
        </w:rPr>
        <w:t xml:space="preserve">CQC </w:t>
      </w:r>
      <w:r w:rsidRPr="00637483">
        <w:rPr>
          <w:rStyle w:val="Strong"/>
          <w:rFonts w:ascii="Arial" w:hAnsi="Arial" w:cs="Arial"/>
          <w:color w:val="8C008C"/>
          <w:sz w:val="20"/>
          <w:szCs w:val="20"/>
        </w:rPr>
        <w:t>Recommendation</w:t>
      </w:r>
    </w:p>
    <w:p w:rsidR="001A716E" w:rsidRPr="00637483" w:rsidRDefault="001A716E" w:rsidP="001A716E">
      <w:pPr>
        <w:shd w:val="clear" w:color="auto" w:fill="FFFFFF"/>
        <w:spacing w:after="270"/>
        <w:jc w:val="both"/>
        <w:textAlignment w:val="top"/>
        <w:rPr>
          <w:rFonts w:ascii="Arial" w:hAnsi="Arial" w:cs="Arial"/>
          <w:color w:val="333333"/>
          <w:sz w:val="20"/>
          <w:szCs w:val="20"/>
        </w:rPr>
      </w:pPr>
      <w:r w:rsidRPr="00637483">
        <w:rPr>
          <w:rFonts w:ascii="Arial" w:hAnsi="Arial" w:cs="Arial"/>
          <w:color w:val="333333"/>
          <w:sz w:val="20"/>
          <w:szCs w:val="20"/>
        </w:rPr>
        <w:t>Providers should make sure that the principle of patient participation in care planning is fully embedded in staff training programmes. Clinical leaders should be helped to create an environment in which patient participation is the norm.</w:t>
      </w:r>
    </w:p>
    <w:p w:rsidR="001A716E" w:rsidRPr="00637483" w:rsidRDefault="001A716E" w:rsidP="001A716E">
      <w:pPr>
        <w:shd w:val="clear" w:color="auto" w:fill="FFFFFF"/>
        <w:spacing w:after="270"/>
        <w:textAlignment w:val="top"/>
        <w:rPr>
          <w:rFonts w:ascii="Arial" w:hAnsi="Arial" w:cs="Arial"/>
          <w:color w:val="333333"/>
          <w:sz w:val="20"/>
          <w:szCs w:val="20"/>
        </w:rPr>
      </w:pPr>
      <w:r w:rsidRPr="00637483">
        <w:rPr>
          <w:rFonts w:ascii="Arial" w:hAnsi="Arial" w:cs="Arial"/>
          <w:color w:val="333333"/>
          <w:sz w:val="20"/>
          <w:szCs w:val="20"/>
        </w:rPr>
        <w:t>All detaining authorities should give patients the opportunity to record their experience and views after restraint incidents, as a part of wider patient involvement in care planning and review.</w:t>
      </w:r>
    </w:p>
    <w:p w:rsidR="001A716E" w:rsidRPr="00637483" w:rsidRDefault="001A716E" w:rsidP="001A716E">
      <w:pPr>
        <w:shd w:val="clear" w:color="auto" w:fill="FFFFFF"/>
        <w:spacing w:after="180"/>
        <w:jc w:val="both"/>
        <w:rPr>
          <w:rFonts w:ascii="Arial" w:hAnsi="Arial" w:cs="Arial"/>
          <w:color w:val="333333"/>
          <w:sz w:val="20"/>
          <w:szCs w:val="20"/>
        </w:rPr>
      </w:pPr>
      <w:r>
        <w:rPr>
          <w:rStyle w:val="Strong"/>
          <w:rFonts w:ascii="Arial" w:hAnsi="Arial" w:cs="Arial"/>
          <w:color w:val="333333"/>
          <w:sz w:val="20"/>
          <w:szCs w:val="20"/>
        </w:rPr>
        <w:t xml:space="preserve">2. </w:t>
      </w:r>
      <w:r w:rsidRPr="00637483">
        <w:rPr>
          <w:rStyle w:val="Strong"/>
          <w:rFonts w:ascii="Arial" w:hAnsi="Arial" w:cs="Arial"/>
          <w:color w:val="333333"/>
          <w:sz w:val="20"/>
          <w:szCs w:val="20"/>
        </w:rPr>
        <w:t>Consent to treatment</w:t>
      </w:r>
      <w:r w:rsidRPr="00637483">
        <w:rPr>
          <w:rFonts w:ascii="Arial" w:hAnsi="Arial" w:cs="Arial"/>
          <w:color w:val="333333"/>
          <w:sz w:val="20"/>
          <w:szCs w:val="20"/>
        </w:rPr>
        <w:t xml:space="preserve">, </w:t>
      </w:r>
    </w:p>
    <w:p w:rsidR="001A716E" w:rsidRPr="00637483" w:rsidRDefault="001A716E" w:rsidP="001A716E">
      <w:pPr>
        <w:shd w:val="clear" w:color="auto" w:fill="FFFFFF"/>
        <w:spacing w:after="270"/>
        <w:rPr>
          <w:rFonts w:ascii="Arial" w:hAnsi="Arial" w:cs="Arial"/>
          <w:color w:val="333333"/>
          <w:sz w:val="20"/>
          <w:szCs w:val="20"/>
        </w:rPr>
      </w:pPr>
      <w:r>
        <w:rPr>
          <w:rFonts w:ascii="Arial" w:hAnsi="Arial" w:cs="Arial"/>
          <w:color w:val="333333"/>
          <w:sz w:val="20"/>
          <w:szCs w:val="20"/>
        </w:rPr>
        <w:t>The assessing and recording of capacity and consent was another of the issues where CQC continued to highlight the need for significant improvement</w:t>
      </w:r>
      <w:r w:rsidRPr="00637483">
        <w:rPr>
          <w:rFonts w:ascii="Arial" w:hAnsi="Arial" w:cs="Arial"/>
          <w:color w:val="333333"/>
          <w:sz w:val="20"/>
          <w:szCs w:val="20"/>
        </w:rPr>
        <w:t>. This year’s report cites examples of both good and poor record-keeping of patient consultations across wards.</w:t>
      </w:r>
    </w:p>
    <w:p w:rsidR="001A716E" w:rsidRDefault="001A716E" w:rsidP="001A716E">
      <w:pPr>
        <w:shd w:val="clear" w:color="auto" w:fill="FFFFFF"/>
        <w:spacing w:after="180"/>
        <w:jc w:val="both"/>
        <w:rPr>
          <w:rFonts w:ascii="Arial" w:hAnsi="Arial" w:cs="Arial"/>
          <w:color w:val="333333"/>
          <w:sz w:val="20"/>
          <w:szCs w:val="20"/>
        </w:rPr>
      </w:pPr>
      <w:r w:rsidRPr="00637483">
        <w:rPr>
          <w:rFonts w:ascii="Arial" w:hAnsi="Arial" w:cs="Arial"/>
          <w:color w:val="333333"/>
          <w:sz w:val="20"/>
          <w:szCs w:val="20"/>
        </w:rPr>
        <w:lastRenderedPageBreak/>
        <w:t>The report also says the legal powers available to providers in relation to community treatment orders (CTOs) are widely misunderstood, even among mental health professionals.</w:t>
      </w:r>
    </w:p>
    <w:p w:rsidR="001A716E" w:rsidRPr="00637483" w:rsidRDefault="001A716E" w:rsidP="001A716E">
      <w:pPr>
        <w:shd w:val="clear" w:color="auto" w:fill="FFFFFF"/>
        <w:spacing w:after="180"/>
        <w:jc w:val="both"/>
        <w:rPr>
          <w:rFonts w:ascii="Arial" w:hAnsi="Arial" w:cs="Arial"/>
          <w:color w:val="333333"/>
          <w:sz w:val="20"/>
          <w:szCs w:val="20"/>
        </w:rPr>
      </w:pPr>
      <w:r>
        <w:rPr>
          <w:rFonts w:ascii="Arial" w:hAnsi="Arial" w:cs="Arial"/>
          <w:color w:val="333333"/>
          <w:sz w:val="20"/>
          <w:szCs w:val="20"/>
        </w:rPr>
        <w:t>In 2008 the safeguard of second opinion certification was extended to CTO patients who consent to treatment. This group amount to two-thirds of the CTO second opinion referrals. A second opinion is not required for detained in-patients consenting to treatment. The Health and Social Care contains a clause, subject to the passage of the Bill that will exempt the need for consenting CTO patients to require SOAD certification.</w:t>
      </w:r>
    </w:p>
    <w:p w:rsidR="001A716E" w:rsidRPr="00637483" w:rsidRDefault="001A716E" w:rsidP="001A716E">
      <w:pPr>
        <w:shd w:val="clear" w:color="auto" w:fill="FFFFFF"/>
        <w:spacing w:after="270"/>
        <w:jc w:val="both"/>
        <w:textAlignment w:val="top"/>
        <w:outlineLvl w:val="4"/>
        <w:rPr>
          <w:rFonts w:ascii="Arial" w:hAnsi="Arial" w:cs="Arial"/>
          <w:color w:val="8C008C"/>
          <w:sz w:val="20"/>
          <w:szCs w:val="20"/>
        </w:rPr>
      </w:pPr>
      <w:r>
        <w:rPr>
          <w:rStyle w:val="Strong"/>
          <w:rFonts w:ascii="Arial" w:hAnsi="Arial" w:cs="Arial"/>
          <w:color w:val="8C008C"/>
          <w:sz w:val="20"/>
          <w:szCs w:val="20"/>
        </w:rPr>
        <w:t xml:space="preserve">CQC </w:t>
      </w:r>
      <w:r w:rsidRPr="00637483">
        <w:rPr>
          <w:rStyle w:val="Strong"/>
          <w:rFonts w:ascii="Arial" w:hAnsi="Arial" w:cs="Arial"/>
          <w:color w:val="8C008C"/>
          <w:sz w:val="20"/>
          <w:szCs w:val="20"/>
        </w:rPr>
        <w:t>Recommendation</w:t>
      </w:r>
    </w:p>
    <w:p w:rsidR="001A716E" w:rsidRPr="00637483" w:rsidRDefault="001A716E" w:rsidP="001A716E">
      <w:pPr>
        <w:shd w:val="clear" w:color="auto" w:fill="FFFFFF"/>
        <w:spacing w:after="270"/>
        <w:jc w:val="both"/>
        <w:textAlignment w:val="top"/>
        <w:rPr>
          <w:rFonts w:ascii="Arial" w:hAnsi="Arial" w:cs="Arial"/>
          <w:color w:val="333333"/>
          <w:sz w:val="20"/>
          <w:szCs w:val="20"/>
        </w:rPr>
      </w:pPr>
      <w:r w:rsidRPr="00637483">
        <w:rPr>
          <w:rFonts w:ascii="Arial" w:hAnsi="Arial" w:cs="Arial"/>
          <w:color w:val="333333"/>
          <w:sz w:val="20"/>
          <w:szCs w:val="20"/>
        </w:rPr>
        <w:t xml:space="preserve">Providers should make sure that their </w:t>
      </w:r>
      <w:proofErr w:type="gramStart"/>
      <w:r w:rsidRPr="00637483">
        <w:rPr>
          <w:rFonts w:ascii="Arial" w:hAnsi="Arial" w:cs="Arial"/>
          <w:color w:val="333333"/>
          <w:sz w:val="20"/>
          <w:szCs w:val="20"/>
        </w:rPr>
        <w:t>staff take</w:t>
      </w:r>
      <w:proofErr w:type="gramEnd"/>
      <w:r w:rsidRPr="00637483">
        <w:rPr>
          <w:rFonts w:ascii="Arial" w:hAnsi="Arial" w:cs="Arial"/>
          <w:color w:val="333333"/>
          <w:sz w:val="20"/>
          <w:szCs w:val="20"/>
        </w:rPr>
        <w:t xml:space="preserve"> refresher courses on consent to treatment. Training should be provided in a range of formats – for example, e-learning and simulation/role play.</w:t>
      </w:r>
    </w:p>
    <w:p w:rsidR="001A716E" w:rsidRPr="00637483" w:rsidRDefault="001A716E" w:rsidP="001A716E">
      <w:pPr>
        <w:shd w:val="clear" w:color="auto" w:fill="FFFFFF"/>
        <w:spacing w:after="270"/>
        <w:jc w:val="both"/>
        <w:textAlignment w:val="top"/>
        <w:rPr>
          <w:rFonts w:ascii="Arial" w:hAnsi="Arial" w:cs="Arial"/>
          <w:color w:val="333333"/>
          <w:sz w:val="20"/>
          <w:szCs w:val="20"/>
        </w:rPr>
      </w:pPr>
      <w:r w:rsidRPr="00637483">
        <w:rPr>
          <w:rFonts w:ascii="Arial" w:hAnsi="Arial" w:cs="Arial"/>
          <w:color w:val="333333"/>
          <w:sz w:val="20"/>
          <w:szCs w:val="20"/>
        </w:rPr>
        <w:t>Revalidation and appraisal programmes for health care professionals should include assessments of knowledge and skills about capacity and consent.</w:t>
      </w:r>
    </w:p>
    <w:p w:rsidR="001A716E" w:rsidRPr="00637483" w:rsidRDefault="001A716E" w:rsidP="001A716E">
      <w:pPr>
        <w:shd w:val="clear" w:color="auto" w:fill="FFFFFF"/>
        <w:spacing w:after="270"/>
        <w:jc w:val="both"/>
        <w:textAlignment w:val="top"/>
        <w:rPr>
          <w:rFonts w:ascii="Arial" w:hAnsi="Arial" w:cs="Arial"/>
          <w:color w:val="333333"/>
          <w:sz w:val="20"/>
          <w:szCs w:val="20"/>
        </w:rPr>
      </w:pPr>
      <w:r w:rsidRPr="00637483">
        <w:rPr>
          <w:rFonts w:ascii="Arial" w:hAnsi="Arial" w:cs="Arial"/>
          <w:color w:val="333333"/>
          <w:sz w:val="20"/>
          <w:szCs w:val="20"/>
        </w:rPr>
        <w:t>Health care staff must understand the scope and limitations of CTOs.</w:t>
      </w:r>
    </w:p>
    <w:p w:rsidR="001A716E" w:rsidRPr="00637483" w:rsidRDefault="001A716E" w:rsidP="001A716E">
      <w:pPr>
        <w:shd w:val="clear" w:color="auto" w:fill="FFFFFF"/>
        <w:spacing w:after="180"/>
        <w:jc w:val="both"/>
        <w:rPr>
          <w:rFonts w:ascii="Arial" w:hAnsi="Arial" w:cs="Arial"/>
          <w:b/>
          <w:color w:val="333333"/>
          <w:sz w:val="20"/>
          <w:szCs w:val="20"/>
        </w:rPr>
      </w:pPr>
      <w:r>
        <w:rPr>
          <w:rStyle w:val="Strong"/>
          <w:rFonts w:ascii="Arial" w:hAnsi="Arial" w:cs="Arial"/>
          <w:color w:val="333333"/>
          <w:sz w:val="20"/>
          <w:szCs w:val="20"/>
        </w:rPr>
        <w:t xml:space="preserve">3. </w:t>
      </w:r>
      <w:r w:rsidRPr="00637483">
        <w:rPr>
          <w:rStyle w:val="Strong"/>
          <w:rFonts w:ascii="Arial" w:hAnsi="Arial" w:cs="Arial"/>
          <w:color w:val="333333"/>
          <w:sz w:val="20"/>
          <w:szCs w:val="20"/>
        </w:rPr>
        <w:t>Minimising restrictions</w:t>
      </w:r>
      <w:r w:rsidRPr="00637483">
        <w:rPr>
          <w:rStyle w:val="Strong"/>
          <w:rFonts w:ascii="Arial" w:hAnsi="Arial" w:cs="Arial"/>
          <w:b w:val="0"/>
          <w:color w:val="333333"/>
          <w:sz w:val="20"/>
          <w:szCs w:val="20"/>
        </w:rPr>
        <w:t xml:space="preserve"> </w:t>
      </w:r>
      <w:r w:rsidRPr="00637483">
        <w:rPr>
          <w:rFonts w:ascii="Arial" w:hAnsi="Arial" w:cs="Arial"/>
          <w:b/>
          <w:color w:val="333333"/>
          <w:sz w:val="20"/>
          <w:szCs w:val="20"/>
        </w:rPr>
        <w:t xml:space="preserve">imposed on patients in hospital, </w:t>
      </w:r>
    </w:p>
    <w:p w:rsidR="001A716E" w:rsidRDefault="001A716E" w:rsidP="001A716E">
      <w:pPr>
        <w:shd w:val="clear" w:color="auto" w:fill="FFFFFF"/>
        <w:spacing w:after="180"/>
        <w:jc w:val="both"/>
        <w:rPr>
          <w:rFonts w:ascii="Arial" w:hAnsi="Arial" w:cs="Arial"/>
          <w:color w:val="333333"/>
          <w:sz w:val="20"/>
          <w:szCs w:val="20"/>
        </w:rPr>
      </w:pPr>
      <w:r w:rsidRPr="00637483">
        <w:rPr>
          <w:rFonts w:ascii="Arial" w:hAnsi="Arial" w:cs="Arial"/>
          <w:color w:val="333333"/>
          <w:sz w:val="20"/>
          <w:szCs w:val="20"/>
        </w:rPr>
        <w:t xml:space="preserve">CQC is still finding examples of poor or questionable practice, such as denying patients’ regular access to the internet, locking them out of their rooms during the daytime, or listening to their telephone calls. In some cases the restrictions seem minor, but they encourage the institutionalisation of the patients. </w:t>
      </w:r>
    </w:p>
    <w:p w:rsidR="001A716E" w:rsidRDefault="001A716E" w:rsidP="001A716E">
      <w:pPr>
        <w:shd w:val="clear" w:color="auto" w:fill="FFFFFF"/>
        <w:spacing w:after="270"/>
        <w:jc w:val="both"/>
        <w:rPr>
          <w:rFonts w:ascii="Arial" w:hAnsi="Arial" w:cs="Arial"/>
          <w:b/>
          <w:color w:val="333333"/>
          <w:sz w:val="20"/>
          <w:szCs w:val="20"/>
        </w:rPr>
      </w:pPr>
      <w:r>
        <w:rPr>
          <w:rFonts w:ascii="Arial" w:hAnsi="Arial" w:cs="Arial"/>
          <w:b/>
          <w:color w:val="333333"/>
          <w:sz w:val="20"/>
          <w:szCs w:val="20"/>
        </w:rPr>
        <w:t>4. Patients’ experience of care and treatment</w:t>
      </w:r>
    </w:p>
    <w:p w:rsidR="001A716E" w:rsidRPr="00637483" w:rsidRDefault="001A716E" w:rsidP="001A716E">
      <w:pPr>
        <w:shd w:val="clear" w:color="auto" w:fill="FFFFFF"/>
        <w:spacing w:after="270"/>
        <w:jc w:val="both"/>
        <w:rPr>
          <w:rFonts w:ascii="Arial" w:hAnsi="Arial" w:cs="Arial"/>
          <w:b/>
          <w:color w:val="333333"/>
          <w:sz w:val="20"/>
          <w:szCs w:val="20"/>
        </w:rPr>
      </w:pPr>
      <w:r>
        <w:rPr>
          <w:rFonts w:ascii="Arial" w:hAnsi="Arial" w:cs="Arial"/>
          <w:b/>
          <w:color w:val="333333"/>
          <w:sz w:val="20"/>
          <w:szCs w:val="20"/>
        </w:rPr>
        <w:t>(</w:t>
      </w:r>
      <w:proofErr w:type="spellStart"/>
      <w:r>
        <w:rPr>
          <w:rFonts w:ascii="Arial" w:hAnsi="Arial" w:cs="Arial"/>
          <w:b/>
          <w:color w:val="333333"/>
          <w:sz w:val="20"/>
          <w:szCs w:val="20"/>
        </w:rPr>
        <w:t>i</w:t>
      </w:r>
      <w:proofErr w:type="spellEnd"/>
      <w:r>
        <w:rPr>
          <w:rFonts w:ascii="Arial" w:hAnsi="Arial" w:cs="Arial"/>
          <w:b/>
          <w:color w:val="333333"/>
          <w:sz w:val="20"/>
          <w:szCs w:val="20"/>
        </w:rPr>
        <w:t xml:space="preserve">)  </w:t>
      </w:r>
      <w:r w:rsidRPr="00637483">
        <w:rPr>
          <w:rFonts w:ascii="Arial" w:hAnsi="Arial" w:cs="Arial"/>
          <w:b/>
          <w:color w:val="333333"/>
          <w:sz w:val="20"/>
          <w:szCs w:val="20"/>
        </w:rPr>
        <w:t>Lack of in-patient beds</w:t>
      </w:r>
    </w:p>
    <w:p w:rsidR="001A716E" w:rsidRPr="00637483" w:rsidRDefault="001A716E" w:rsidP="001A716E">
      <w:pPr>
        <w:shd w:val="clear" w:color="auto" w:fill="FFFFFF"/>
        <w:spacing w:after="270"/>
        <w:jc w:val="both"/>
        <w:rPr>
          <w:rFonts w:ascii="Arial" w:hAnsi="Arial" w:cs="Arial"/>
          <w:color w:val="333333"/>
          <w:sz w:val="20"/>
          <w:szCs w:val="20"/>
        </w:rPr>
      </w:pPr>
      <w:r>
        <w:rPr>
          <w:rFonts w:ascii="Arial" w:hAnsi="Arial" w:cs="Arial"/>
          <w:color w:val="333333"/>
          <w:sz w:val="20"/>
          <w:szCs w:val="20"/>
        </w:rPr>
        <w:t xml:space="preserve">A major concern </w:t>
      </w:r>
      <w:r w:rsidRPr="00637483">
        <w:rPr>
          <w:rFonts w:ascii="Arial" w:hAnsi="Arial" w:cs="Arial"/>
          <w:color w:val="333333"/>
          <w:sz w:val="20"/>
          <w:szCs w:val="20"/>
        </w:rPr>
        <w:t>is</w:t>
      </w:r>
      <w:r>
        <w:rPr>
          <w:rFonts w:ascii="Arial" w:hAnsi="Arial" w:cs="Arial"/>
          <w:color w:val="333333"/>
          <w:sz w:val="20"/>
          <w:szCs w:val="20"/>
        </w:rPr>
        <w:t xml:space="preserve"> one of</w:t>
      </w:r>
      <w:r w:rsidRPr="00637483">
        <w:rPr>
          <w:rFonts w:ascii="Arial" w:hAnsi="Arial" w:cs="Arial"/>
          <w:color w:val="333333"/>
          <w:sz w:val="20"/>
          <w:szCs w:val="20"/>
        </w:rPr>
        <w:t xml:space="preserve"> delays in admissions to hospital due to</w:t>
      </w:r>
      <w:r>
        <w:rPr>
          <w:rFonts w:ascii="Arial" w:hAnsi="Arial" w:cs="Arial"/>
          <w:color w:val="333333"/>
          <w:sz w:val="20"/>
          <w:szCs w:val="20"/>
        </w:rPr>
        <w:t xml:space="preserve"> lack of</w:t>
      </w:r>
      <w:r w:rsidRPr="00637483">
        <w:rPr>
          <w:rFonts w:ascii="Arial" w:hAnsi="Arial" w:cs="Arial"/>
          <w:color w:val="333333"/>
          <w:sz w:val="20"/>
          <w:szCs w:val="20"/>
        </w:rPr>
        <w:t xml:space="preserve"> bed availability– a long-standing problem that in some cases places the patient at great risk. The report says: “It should be seen as a very serious matter when the admission of someone judged to need detention under the Act is delayed for any significant period because of a lack of resources or because more urgent cases are prioritised above them.”</w:t>
      </w:r>
    </w:p>
    <w:p w:rsidR="001A716E" w:rsidRPr="00637483" w:rsidRDefault="001A716E" w:rsidP="001A716E">
      <w:pPr>
        <w:shd w:val="clear" w:color="auto" w:fill="FFFFFF"/>
        <w:spacing w:after="270"/>
        <w:jc w:val="both"/>
        <w:textAlignment w:val="top"/>
        <w:outlineLvl w:val="4"/>
        <w:rPr>
          <w:rFonts w:ascii="Arial" w:hAnsi="Arial" w:cs="Arial"/>
          <w:color w:val="8C008C"/>
          <w:sz w:val="20"/>
          <w:szCs w:val="20"/>
        </w:rPr>
      </w:pPr>
      <w:r>
        <w:rPr>
          <w:rStyle w:val="Strong"/>
          <w:rFonts w:ascii="Arial" w:hAnsi="Arial" w:cs="Arial"/>
          <w:color w:val="8C008C"/>
          <w:sz w:val="20"/>
          <w:szCs w:val="20"/>
        </w:rPr>
        <w:t xml:space="preserve">CQC </w:t>
      </w:r>
      <w:r w:rsidRPr="00637483">
        <w:rPr>
          <w:rStyle w:val="Strong"/>
          <w:rFonts w:ascii="Arial" w:hAnsi="Arial" w:cs="Arial"/>
          <w:color w:val="8C008C"/>
          <w:sz w:val="20"/>
          <w:szCs w:val="20"/>
        </w:rPr>
        <w:t>Recommendation</w:t>
      </w:r>
    </w:p>
    <w:p w:rsidR="001A716E" w:rsidRPr="00A87890" w:rsidRDefault="001A716E" w:rsidP="001A716E">
      <w:pPr>
        <w:shd w:val="clear" w:color="auto" w:fill="FFFFFF"/>
        <w:spacing w:after="270"/>
        <w:jc w:val="both"/>
        <w:textAlignment w:val="top"/>
        <w:rPr>
          <w:rFonts w:ascii="Arial" w:hAnsi="Arial" w:cs="Arial"/>
          <w:color w:val="333333"/>
          <w:sz w:val="20"/>
          <w:szCs w:val="20"/>
        </w:rPr>
      </w:pPr>
      <w:r w:rsidRPr="00637483">
        <w:rPr>
          <w:rFonts w:ascii="Arial" w:hAnsi="Arial" w:cs="Arial"/>
          <w:color w:val="333333"/>
          <w:sz w:val="20"/>
          <w:szCs w:val="20"/>
        </w:rPr>
        <w:t>Commissioners of inpatient services should make sure that assessments of the local need for mental health services are robust, and that there are enough beds and alternatives to admission that</w:t>
      </w:r>
      <w:r>
        <w:rPr>
          <w:rFonts w:ascii="Arial" w:hAnsi="Arial" w:cs="Arial"/>
          <w:color w:val="333333"/>
          <w:sz w:val="20"/>
          <w:szCs w:val="20"/>
        </w:rPr>
        <w:t xml:space="preserve"> meet the needs of local people</w:t>
      </w:r>
    </w:p>
    <w:p w:rsidR="001A716E" w:rsidRPr="00637483" w:rsidRDefault="001A716E" w:rsidP="001A716E">
      <w:pPr>
        <w:shd w:val="clear" w:color="auto" w:fill="FFFFFF"/>
        <w:spacing w:after="270"/>
        <w:jc w:val="both"/>
        <w:rPr>
          <w:rFonts w:ascii="Arial" w:hAnsi="Arial" w:cs="Arial"/>
          <w:b/>
          <w:color w:val="333333"/>
          <w:sz w:val="20"/>
          <w:szCs w:val="20"/>
        </w:rPr>
      </w:pPr>
      <w:r>
        <w:rPr>
          <w:rFonts w:ascii="Arial" w:hAnsi="Arial" w:cs="Arial"/>
          <w:b/>
          <w:color w:val="333333"/>
          <w:sz w:val="20"/>
          <w:szCs w:val="20"/>
        </w:rPr>
        <w:t xml:space="preserve">5. </w:t>
      </w:r>
      <w:r w:rsidRPr="00637483">
        <w:rPr>
          <w:rFonts w:ascii="Arial" w:hAnsi="Arial" w:cs="Arial"/>
          <w:b/>
          <w:color w:val="333333"/>
          <w:sz w:val="20"/>
          <w:szCs w:val="20"/>
        </w:rPr>
        <w:t>Independent Mental Health Advocates.</w:t>
      </w:r>
    </w:p>
    <w:p w:rsidR="001A716E" w:rsidRPr="00637483" w:rsidRDefault="001A716E" w:rsidP="001A716E">
      <w:pPr>
        <w:shd w:val="clear" w:color="auto" w:fill="FFFFFF"/>
        <w:spacing w:after="270"/>
        <w:jc w:val="both"/>
        <w:rPr>
          <w:rFonts w:ascii="Arial" w:hAnsi="Arial" w:cs="Arial"/>
          <w:b/>
          <w:color w:val="333333"/>
          <w:sz w:val="20"/>
          <w:szCs w:val="20"/>
        </w:rPr>
      </w:pPr>
      <w:r>
        <w:rPr>
          <w:rFonts w:ascii="Arial" w:hAnsi="Arial" w:cs="Arial"/>
          <w:color w:val="333333"/>
          <w:sz w:val="20"/>
          <w:szCs w:val="20"/>
        </w:rPr>
        <w:t>Commissioners have found that m</w:t>
      </w:r>
      <w:r w:rsidRPr="00637483">
        <w:rPr>
          <w:rFonts w:ascii="Arial" w:hAnsi="Arial" w:cs="Arial"/>
          <w:color w:val="333333"/>
          <w:sz w:val="20"/>
          <w:szCs w:val="20"/>
        </w:rPr>
        <w:t>any patients detained under the Mental Health Act have a worrying lack of access to independent advocacy services</w:t>
      </w:r>
      <w:r>
        <w:rPr>
          <w:rFonts w:ascii="Arial" w:hAnsi="Arial" w:cs="Arial"/>
          <w:color w:val="333333"/>
          <w:sz w:val="20"/>
          <w:szCs w:val="20"/>
        </w:rPr>
        <w:t xml:space="preserve">. </w:t>
      </w:r>
      <w:r w:rsidRPr="00637483">
        <w:rPr>
          <w:rFonts w:ascii="Arial" w:hAnsi="Arial" w:cs="Arial"/>
          <w:color w:val="333333"/>
          <w:sz w:val="20"/>
          <w:szCs w:val="20"/>
        </w:rPr>
        <w:t xml:space="preserve">Although Hospital </w:t>
      </w:r>
      <w:proofErr w:type="gramStart"/>
      <w:r w:rsidRPr="00637483">
        <w:rPr>
          <w:rFonts w:ascii="Arial" w:hAnsi="Arial" w:cs="Arial"/>
          <w:color w:val="333333"/>
          <w:sz w:val="20"/>
          <w:szCs w:val="20"/>
        </w:rPr>
        <w:t>staff have</w:t>
      </w:r>
      <w:proofErr w:type="gramEnd"/>
      <w:r w:rsidRPr="00637483">
        <w:rPr>
          <w:rFonts w:ascii="Arial" w:hAnsi="Arial" w:cs="Arial"/>
          <w:color w:val="333333"/>
          <w:sz w:val="20"/>
          <w:szCs w:val="20"/>
        </w:rPr>
        <w:t xml:space="preserve"> a legal duty to inform patients and their relatives about the services of independent mental health advocates (IMHA) some staff </w:t>
      </w:r>
      <w:r>
        <w:rPr>
          <w:rFonts w:ascii="Arial" w:hAnsi="Arial" w:cs="Arial"/>
          <w:color w:val="333333"/>
          <w:sz w:val="20"/>
          <w:szCs w:val="20"/>
        </w:rPr>
        <w:t>appear to be unaware of these services.</w:t>
      </w:r>
    </w:p>
    <w:p w:rsidR="001A716E" w:rsidRPr="00637483" w:rsidRDefault="001A716E" w:rsidP="001A716E">
      <w:pPr>
        <w:shd w:val="clear" w:color="auto" w:fill="FFFFFF"/>
        <w:spacing w:after="270"/>
        <w:jc w:val="both"/>
        <w:rPr>
          <w:rFonts w:ascii="Arial" w:hAnsi="Arial" w:cs="Arial"/>
          <w:color w:val="333333"/>
          <w:sz w:val="20"/>
          <w:szCs w:val="20"/>
        </w:rPr>
      </w:pPr>
      <w:r w:rsidRPr="00637483">
        <w:rPr>
          <w:rFonts w:ascii="Arial" w:hAnsi="Arial" w:cs="Arial"/>
          <w:color w:val="333333"/>
          <w:sz w:val="20"/>
          <w:szCs w:val="20"/>
        </w:rPr>
        <w:t>Despite this, says the report, some IMHA services have waiting lists, which suggests they may be underfunded by the primary care trusts (PCTs) that commission them. PCTs have been under a statutory duty since April 2009 to commission IMHA services for patients who are detained or subject to community treatment orders</w:t>
      </w:r>
      <w:r>
        <w:rPr>
          <w:rFonts w:ascii="Arial" w:hAnsi="Arial" w:cs="Arial"/>
          <w:color w:val="333333"/>
          <w:sz w:val="20"/>
          <w:szCs w:val="20"/>
        </w:rPr>
        <w:t>.</w:t>
      </w:r>
      <w:r w:rsidRPr="00637483">
        <w:rPr>
          <w:rFonts w:ascii="Arial" w:hAnsi="Arial" w:cs="Arial"/>
          <w:color w:val="333333"/>
          <w:sz w:val="20"/>
          <w:szCs w:val="20"/>
        </w:rPr>
        <w:t xml:space="preserve"> In the reorganisation of commissioning proposed in the Health and Social Care Bill, currently passing through Parliament, this duty will pass to local authorities (those councils with responsibility for social services).</w:t>
      </w:r>
    </w:p>
    <w:p w:rsidR="001A716E" w:rsidRPr="00637483" w:rsidRDefault="001A716E" w:rsidP="001A716E">
      <w:pPr>
        <w:shd w:val="clear" w:color="auto" w:fill="FFFFFF"/>
        <w:spacing w:after="270"/>
        <w:jc w:val="both"/>
        <w:rPr>
          <w:rFonts w:ascii="Arial" w:hAnsi="Arial" w:cs="Arial"/>
          <w:b/>
          <w:color w:val="333333"/>
          <w:sz w:val="20"/>
          <w:szCs w:val="20"/>
        </w:rPr>
      </w:pPr>
      <w:r>
        <w:rPr>
          <w:rFonts w:ascii="Arial" w:hAnsi="Arial" w:cs="Arial"/>
          <w:b/>
          <w:color w:val="333333"/>
          <w:sz w:val="20"/>
          <w:szCs w:val="20"/>
        </w:rPr>
        <w:t xml:space="preserve">6. </w:t>
      </w:r>
      <w:r w:rsidRPr="00637483">
        <w:rPr>
          <w:rFonts w:ascii="Arial" w:hAnsi="Arial" w:cs="Arial"/>
          <w:b/>
          <w:color w:val="333333"/>
          <w:sz w:val="20"/>
          <w:szCs w:val="20"/>
        </w:rPr>
        <w:t>Deaths in detention</w:t>
      </w:r>
      <w:r>
        <w:rPr>
          <w:rFonts w:ascii="Arial" w:hAnsi="Arial" w:cs="Arial"/>
          <w:b/>
          <w:color w:val="333333"/>
          <w:sz w:val="20"/>
          <w:szCs w:val="20"/>
        </w:rPr>
        <w:t xml:space="preserve"> [essential standard 19]</w:t>
      </w:r>
    </w:p>
    <w:p w:rsidR="001A716E" w:rsidRDefault="001A716E" w:rsidP="001A716E">
      <w:pPr>
        <w:autoSpaceDE w:val="0"/>
        <w:autoSpaceDN w:val="0"/>
        <w:adjustRightInd w:val="0"/>
        <w:jc w:val="both"/>
        <w:rPr>
          <w:rFonts w:ascii="Arial" w:hAnsi="Arial" w:cs="Arial"/>
          <w:sz w:val="20"/>
          <w:szCs w:val="20"/>
        </w:rPr>
      </w:pPr>
      <w:r w:rsidRPr="00B72144">
        <w:rPr>
          <w:rFonts w:ascii="Arial" w:hAnsi="Arial" w:cs="Arial"/>
          <w:sz w:val="20"/>
          <w:szCs w:val="20"/>
        </w:rPr>
        <w:lastRenderedPageBreak/>
        <w:t xml:space="preserve">Hospitals that detain patients under the Mental Health Act are already liable as </w:t>
      </w:r>
      <w:r w:rsidRPr="00B72144">
        <w:rPr>
          <w:rFonts w:ascii="Arial" w:hAnsi="Arial" w:cs="Arial"/>
          <w:b/>
          <w:bCs/>
          <w:sz w:val="20"/>
          <w:szCs w:val="20"/>
        </w:rPr>
        <w:t xml:space="preserve">hospitals </w:t>
      </w:r>
      <w:r w:rsidRPr="00B72144">
        <w:rPr>
          <w:rFonts w:ascii="Arial" w:hAnsi="Arial" w:cs="Arial"/>
          <w:sz w:val="20"/>
          <w:szCs w:val="20"/>
        </w:rPr>
        <w:t xml:space="preserve">to charges of corporate manslaughter, where their management of the organisation, coupled </w:t>
      </w:r>
      <w:proofErr w:type="spellStart"/>
      <w:r w:rsidRPr="00B72144">
        <w:rPr>
          <w:rFonts w:ascii="Arial" w:hAnsi="Arial" w:cs="Arial"/>
          <w:sz w:val="20"/>
          <w:szCs w:val="20"/>
        </w:rPr>
        <w:t>wit</w:t>
      </w:r>
      <w:proofErr w:type="spellEnd"/>
      <w:r w:rsidRPr="00B72144">
        <w:rPr>
          <w:rFonts w:ascii="Arial" w:hAnsi="Arial" w:cs="Arial"/>
          <w:sz w:val="20"/>
          <w:szCs w:val="20"/>
        </w:rPr>
        <w:t xml:space="preserve"> a gross breach of a relevant duty of care (such as a duty of clinical care), leads to the death of a detainee. </w:t>
      </w:r>
    </w:p>
    <w:p w:rsidR="001A716E" w:rsidRPr="00F05F99" w:rsidRDefault="001A716E" w:rsidP="001A716E">
      <w:pPr>
        <w:autoSpaceDE w:val="0"/>
        <w:autoSpaceDN w:val="0"/>
        <w:adjustRightInd w:val="0"/>
        <w:jc w:val="both"/>
        <w:rPr>
          <w:rFonts w:ascii="Arial" w:hAnsi="Arial" w:cs="Arial"/>
          <w:sz w:val="20"/>
          <w:szCs w:val="20"/>
        </w:rPr>
      </w:pPr>
      <w:r w:rsidRPr="00B72144">
        <w:rPr>
          <w:rFonts w:ascii="Arial" w:hAnsi="Arial" w:cs="Arial"/>
          <w:sz w:val="20"/>
          <w:szCs w:val="20"/>
        </w:rPr>
        <w:t>The coming into force</w:t>
      </w:r>
      <w:r>
        <w:rPr>
          <w:rFonts w:ascii="Arial" w:hAnsi="Arial" w:cs="Arial"/>
          <w:sz w:val="20"/>
          <w:szCs w:val="20"/>
        </w:rPr>
        <w:t xml:space="preserve"> in September 2011</w:t>
      </w:r>
      <w:r w:rsidRPr="00B72144">
        <w:rPr>
          <w:rFonts w:ascii="Arial" w:hAnsi="Arial" w:cs="Arial"/>
          <w:sz w:val="20"/>
          <w:szCs w:val="20"/>
        </w:rPr>
        <w:t xml:space="preserve"> of the custody provisions in the Corporate Manslaughter Act can be viewed to extend its scope to </w:t>
      </w:r>
      <w:r w:rsidRPr="00B72144">
        <w:rPr>
          <w:rFonts w:ascii="Arial" w:hAnsi="Arial" w:cs="Arial"/>
          <w:b/>
          <w:bCs/>
          <w:sz w:val="20"/>
          <w:szCs w:val="20"/>
        </w:rPr>
        <w:t xml:space="preserve">all </w:t>
      </w:r>
      <w:r w:rsidRPr="00B72144">
        <w:rPr>
          <w:rFonts w:ascii="Arial" w:hAnsi="Arial" w:cs="Arial"/>
          <w:sz w:val="20"/>
          <w:szCs w:val="20"/>
        </w:rPr>
        <w:t>duties implied by detention, which are potentially wider</w:t>
      </w:r>
      <w:r>
        <w:rPr>
          <w:rFonts w:ascii="Arial" w:hAnsi="Arial" w:cs="Arial"/>
          <w:sz w:val="20"/>
          <w:szCs w:val="20"/>
        </w:rPr>
        <w:t xml:space="preserve"> </w:t>
      </w:r>
      <w:r w:rsidRPr="00B72144">
        <w:rPr>
          <w:rFonts w:ascii="Arial" w:hAnsi="Arial" w:cs="Arial"/>
          <w:sz w:val="20"/>
          <w:szCs w:val="20"/>
        </w:rPr>
        <w:t>than those that are concerned with medical treatment and care.</w:t>
      </w:r>
      <w:r>
        <w:rPr>
          <w:rStyle w:val="FootnoteReference"/>
          <w:rFonts w:ascii="Arial" w:hAnsi="Arial" w:cs="Arial"/>
          <w:sz w:val="20"/>
          <w:szCs w:val="20"/>
        </w:rPr>
        <w:footnoteReference w:id="2"/>
      </w:r>
    </w:p>
    <w:p w:rsidR="001A716E" w:rsidRDefault="001A716E" w:rsidP="001A716E">
      <w:pPr>
        <w:shd w:val="clear" w:color="auto" w:fill="FFFFFF"/>
        <w:spacing w:after="270"/>
        <w:rPr>
          <w:rFonts w:ascii="Arial" w:hAnsi="Arial" w:cs="Arial"/>
          <w:color w:val="333333"/>
          <w:sz w:val="20"/>
          <w:szCs w:val="20"/>
        </w:rPr>
      </w:pPr>
    </w:p>
    <w:p w:rsidR="001A716E" w:rsidRPr="00637483" w:rsidRDefault="001A716E" w:rsidP="001A716E">
      <w:pPr>
        <w:shd w:val="clear" w:color="auto" w:fill="FFFFFF"/>
        <w:spacing w:after="270"/>
        <w:rPr>
          <w:rFonts w:ascii="Arial" w:hAnsi="Arial" w:cs="Arial"/>
          <w:color w:val="333333"/>
          <w:sz w:val="20"/>
          <w:szCs w:val="20"/>
        </w:rPr>
      </w:pPr>
      <w:r w:rsidRPr="00637483">
        <w:rPr>
          <w:rFonts w:ascii="Arial" w:hAnsi="Arial" w:cs="Arial"/>
          <w:color w:val="333333"/>
          <w:sz w:val="20"/>
          <w:szCs w:val="20"/>
        </w:rPr>
        <w:t>CQC were notified of 283 patient deaths in 2010. The majority of these (75 per cent of all reported) were due to natural causes. About a third of patients who died of natural causes did so before their 61st birthday, supporting previous findings of a reduced life expectancy among people with serious mental health problems.</w:t>
      </w:r>
    </w:p>
    <w:p w:rsidR="001A716E" w:rsidRDefault="001A716E" w:rsidP="001A716E">
      <w:pPr>
        <w:shd w:val="clear" w:color="auto" w:fill="FFFFFF"/>
        <w:spacing w:after="270"/>
        <w:rPr>
          <w:rFonts w:ascii="Arial" w:hAnsi="Arial" w:cs="Arial"/>
          <w:color w:val="333333"/>
          <w:sz w:val="20"/>
          <w:szCs w:val="20"/>
        </w:rPr>
      </w:pPr>
      <w:r w:rsidRPr="00637483">
        <w:rPr>
          <w:rFonts w:ascii="Arial" w:hAnsi="Arial" w:cs="Arial"/>
          <w:color w:val="333333"/>
          <w:sz w:val="20"/>
          <w:szCs w:val="20"/>
        </w:rPr>
        <w:t>The report additionally identifies key areas of patient risk assessment which, if overlooked, can often result in failure to protect a patient’s safety. These include patient counselling and support, communication, observation and the potential to self-harm</w:t>
      </w:r>
      <w:r>
        <w:rPr>
          <w:rFonts w:ascii="Arial" w:hAnsi="Arial" w:cs="Arial"/>
          <w:color w:val="333333"/>
          <w:sz w:val="20"/>
          <w:szCs w:val="20"/>
        </w:rPr>
        <w:t>.</w:t>
      </w:r>
    </w:p>
    <w:p w:rsidR="001A716E" w:rsidRDefault="001A716E" w:rsidP="001A716E">
      <w:pPr>
        <w:shd w:val="clear" w:color="auto" w:fill="FFFFFF"/>
        <w:spacing w:after="270"/>
        <w:rPr>
          <w:rFonts w:ascii="Arial" w:hAnsi="Arial" w:cs="Arial"/>
          <w:color w:val="333333"/>
          <w:sz w:val="20"/>
          <w:szCs w:val="20"/>
        </w:rPr>
      </w:pPr>
    </w:p>
    <w:p w:rsidR="001A716E" w:rsidRDefault="001A716E" w:rsidP="001A716E">
      <w:pPr>
        <w:shd w:val="clear" w:color="auto" w:fill="FFFFFF"/>
        <w:spacing w:after="270"/>
        <w:rPr>
          <w:rFonts w:ascii="Arial" w:hAnsi="Arial" w:cs="Arial"/>
          <w:color w:val="333333"/>
          <w:sz w:val="20"/>
          <w:szCs w:val="20"/>
        </w:rPr>
      </w:pPr>
    </w:p>
    <w:p w:rsidR="001A716E" w:rsidRPr="00637483" w:rsidRDefault="001A716E" w:rsidP="001A716E">
      <w:pPr>
        <w:shd w:val="clear" w:color="auto" w:fill="FFFFFF"/>
        <w:spacing w:after="270"/>
        <w:rPr>
          <w:rFonts w:ascii="Arial" w:hAnsi="Arial" w:cs="Arial"/>
          <w:color w:val="333333"/>
          <w:sz w:val="20"/>
          <w:szCs w:val="20"/>
        </w:rPr>
      </w:pPr>
      <w:r>
        <w:rPr>
          <w:rFonts w:ascii="Arial" w:hAnsi="Arial" w:cs="Arial"/>
          <w:color w:val="333333"/>
          <w:sz w:val="20"/>
          <w:szCs w:val="20"/>
        </w:rPr>
        <w:t>Julie Chalmers (December 2011)</w:t>
      </w:r>
    </w:p>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p w:rsidR="005110AB" w:rsidRDefault="005110AB"/>
    <w:sectPr w:rsidR="005110AB" w:rsidSect="009879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8B" w:rsidRDefault="00F6228B" w:rsidP="001A716E">
      <w:r>
        <w:separator/>
      </w:r>
    </w:p>
  </w:endnote>
  <w:endnote w:type="continuationSeparator" w:id="1">
    <w:p w:rsidR="00F6228B" w:rsidRDefault="00F6228B" w:rsidP="001A71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8B" w:rsidRDefault="00F6228B" w:rsidP="001A716E">
      <w:r>
        <w:separator/>
      </w:r>
    </w:p>
  </w:footnote>
  <w:footnote w:type="continuationSeparator" w:id="1">
    <w:p w:rsidR="00F6228B" w:rsidRDefault="00F6228B" w:rsidP="001A716E">
      <w:r>
        <w:continuationSeparator/>
      </w:r>
    </w:p>
  </w:footnote>
  <w:footnote w:id="2">
    <w:p w:rsidR="001A716E" w:rsidRPr="00A10B23" w:rsidRDefault="001A716E" w:rsidP="001A716E">
      <w:pPr>
        <w:pStyle w:val="FootnoteText"/>
      </w:pPr>
      <w:r>
        <w:rPr>
          <w:rStyle w:val="FootnoteReference"/>
        </w:rPr>
        <w:footnoteRef/>
      </w:r>
      <w:r>
        <w:t xml:space="preserve"> </w:t>
      </w:r>
      <w:r w:rsidRPr="00A10B23">
        <w:t>http://www.justice.gov.uk/downloads/publications/circulars/moj/circular2011-07-corporate-manslaughter-act.pdf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70" w:rsidRDefault="006C4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2B4"/>
    <w:multiLevelType w:val="hybridMultilevel"/>
    <w:tmpl w:val="A31E41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6645E6"/>
    <w:multiLevelType w:val="hybridMultilevel"/>
    <w:tmpl w:val="BF9A1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C36288"/>
    <w:multiLevelType w:val="hybridMultilevel"/>
    <w:tmpl w:val="AE2681BC"/>
    <w:lvl w:ilvl="0" w:tplc="6AD009D2">
      <w:start w:val="1"/>
      <w:numFmt w:val="bullet"/>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B914DCB"/>
    <w:multiLevelType w:val="hybridMultilevel"/>
    <w:tmpl w:val="EE827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C3A11FE"/>
    <w:multiLevelType w:val="hybridMultilevel"/>
    <w:tmpl w:val="F34E799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468"/>
    <w:rsid w:val="00015293"/>
    <w:rsid w:val="00027D18"/>
    <w:rsid w:val="00027EF0"/>
    <w:rsid w:val="00041118"/>
    <w:rsid w:val="0005383B"/>
    <w:rsid w:val="00055FFB"/>
    <w:rsid w:val="000847FD"/>
    <w:rsid w:val="0009237C"/>
    <w:rsid w:val="000969AC"/>
    <w:rsid w:val="000A1CBF"/>
    <w:rsid w:val="000E0EC0"/>
    <w:rsid w:val="0010682D"/>
    <w:rsid w:val="001321FD"/>
    <w:rsid w:val="00136F0A"/>
    <w:rsid w:val="00147FF8"/>
    <w:rsid w:val="00154072"/>
    <w:rsid w:val="00155222"/>
    <w:rsid w:val="00160504"/>
    <w:rsid w:val="00160AEB"/>
    <w:rsid w:val="001649CB"/>
    <w:rsid w:val="00177DE4"/>
    <w:rsid w:val="001824B5"/>
    <w:rsid w:val="00192301"/>
    <w:rsid w:val="00192816"/>
    <w:rsid w:val="001A0845"/>
    <w:rsid w:val="001A4281"/>
    <w:rsid w:val="001A716E"/>
    <w:rsid w:val="001B4651"/>
    <w:rsid w:val="001C1E64"/>
    <w:rsid w:val="001D18AD"/>
    <w:rsid w:val="001E2A74"/>
    <w:rsid w:val="001F77B5"/>
    <w:rsid w:val="002076EC"/>
    <w:rsid w:val="002168C6"/>
    <w:rsid w:val="002352D8"/>
    <w:rsid w:val="0023733F"/>
    <w:rsid w:val="00237468"/>
    <w:rsid w:val="0025208F"/>
    <w:rsid w:val="002633BA"/>
    <w:rsid w:val="002745FC"/>
    <w:rsid w:val="00277388"/>
    <w:rsid w:val="00280A5B"/>
    <w:rsid w:val="00290AB7"/>
    <w:rsid w:val="002A1D15"/>
    <w:rsid w:val="002B450D"/>
    <w:rsid w:val="002C17D6"/>
    <w:rsid w:val="002C6DF7"/>
    <w:rsid w:val="002D4AB7"/>
    <w:rsid w:val="002D4BA7"/>
    <w:rsid w:val="002E72DF"/>
    <w:rsid w:val="002F0348"/>
    <w:rsid w:val="002F4469"/>
    <w:rsid w:val="002F4F43"/>
    <w:rsid w:val="00307EB5"/>
    <w:rsid w:val="0031351D"/>
    <w:rsid w:val="0032493F"/>
    <w:rsid w:val="00337F2A"/>
    <w:rsid w:val="003418C2"/>
    <w:rsid w:val="003419FA"/>
    <w:rsid w:val="003522D3"/>
    <w:rsid w:val="00355A26"/>
    <w:rsid w:val="00360E63"/>
    <w:rsid w:val="00366DCB"/>
    <w:rsid w:val="00373AE3"/>
    <w:rsid w:val="00373B84"/>
    <w:rsid w:val="003955E7"/>
    <w:rsid w:val="003A6F9B"/>
    <w:rsid w:val="003C12F1"/>
    <w:rsid w:val="003C3D2F"/>
    <w:rsid w:val="003C5803"/>
    <w:rsid w:val="003E2D0E"/>
    <w:rsid w:val="003E37AD"/>
    <w:rsid w:val="003F7441"/>
    <w:rsid w:val="003F7D3B"/>
    <w:rsid w:val="00420CF8"/>
    <w:rsid w:val="0044354A"/>
    <w:rsid w:val="00446C5E"/>
    <w:rsid w:val="004477F4"/>
    <w:rsid w:val="0045727E"/>
    <w:rsid w:val="004671BD"/>
    <w:rsid w:val="00474F3F"/>
    <w:rsid w:val="004923A5"/>
    <w:rsid w:val="004A44A6"/>
    <w:rsid w:val="004B25E5"/>
    <w:rsid w:val="004C4007"/>
    <w:rsid w:val="004D0B72"/>
    <w:rsid w:val="004F2843"/>
    <w:rsid w:val="004F772E"/>
    <w:rsid w:val="004F7754"/>
    <w:rsid w:val="005057BB"/>
    <w:rsid w:val="00506959"/>
    <w:rsid w:val="005110AB"/>
    <w:rsid w:val="00515665"/>
    <w:rsid w:val="0051711A"/>
    <w:rsid w:val="00520E23"/>
    <w:rsid w:val="00540F9D"/>
    <w:rsid w:val="00544228"/>
    <w:rsid w:val="00553B6E"/>
    <w:rsid w:val="005556D1"/>
    <w:rsid w:val="00564FF9"/>
    <w:rsid w:val="0056515B"/>
    <w:rsid w:val="00585A3D"/>
    <w:rsid w:val="00590B37"/>
    <w:rsid w:val="005A653F"/>
    <w:rsid w:val="005B3A01"/>
    <w:rsid w:val="005B5B85"/>
    <w:rsid w:val="005C227A"/>
    <w:rsid w:val="005C2DDD"/>
    <w:rsid w:val="005C5430"/>
    <w:rsid w:val="005D3DE7"/>
    <w:rsid w:val="005F627F"/>
    <w:rsid w:val="005F6EC6"/>
    <w:rsid w:val="006073BA"/>
    <w:rsid w:val="00620D5B"/>
    <w:rsid w:val="00631E8C"/>
    <w:rsid w:val="00632945"/>
    <w:rsid w:val="006506EF"/>
    <w:rsid w:val="0065389D"/>
    <w:rsid w:val="006842CE"/>
    <w:rsid w:val="0069144E"/>
    <w:rsid w:val="006B23A6"/>
    <w:rsid w:val="006B2C91"/>
    <w:rsid w:val="006C0C19"/>
    <w:rsid w:val="006C4084"/>
    <w:rsid w:val="006C421A"/>
    <w:rsid w:val="006C4770"/>
    <w:rsid w:val="006D3953"/>
    <w:rsid w:val="006E254F"/>
    <w:rsid w:val="006E43DE"/>
    <w:rsid w:val="006F3CC5"/>
    <w:rsid w:val="006F688D"/>
    <w:rsid w:val="00704D2A"/>
    <w:rsid w:val="00712516"/>
    <w:rsid w:val="0073118F"/>
    <w:rsid w:val="00734C06"/>
    <w:rsid w:val="00753224"/>
    <w:rsid w:val="007559AB"/>
    <w:rsid w:val="007637C1"/>
    <w:rsid w:val="00766D2D"/>
    <w:rsid w:val="007854C4"/>
    <w:rsid w:val="00790F36"/>
    <w:rsid w:val="00791D49"/>
    <w:rsid w:val="00794DA6"/>
    <w:rsid w:val="007B24C4"/>
    <w:rsid w:val="007B38DA"/>
    <w:rsid w:val="007F3DF4"/>
    <w:rsid w:val="00834767"/>
    <w:rsid w:val="008359DA"/>
    <w:rsid w:val="00842AB1"/>
    <w:rsid w:val="00844EC7"/>
    <w:rsid w:val="0084679D"/>
    <w:rsid w:val="00852D0B"/>
    <w:rsid w:val="0085789D"/>
    <w:rsid w:val="00867F2D"/>
    <w:rsid w:val="008722AA"/>
    <w:rsid w:val="00874B77"/>
    <w:rsid w:val="0088396D"/>
    <w:rsid w:val="00883EEF"/>
    <w:rsid w:val="008E3264"/>
    <w:rsid w:val="0091321A"/>
    <w:rsid w:val="00913801"/>
    <w:rsid w:val="00913B34"/>
    <w:rsid w:val="00914F09"/>
    <w:rsid w:val="00915B26"/>
    <w:rsid w:val="009175C7"/>
    <w:rsid w:val="00924792"/>
    <w:rsid w:val="009253E4"/>
    <w:rsid w:val="009260ED"/>
    <w:rsid w:val="00926526"/>
    <w:rsid w:val="00935BD8"/>
    <w:rsid w:val="00942B93"/>
    <w:rsid w:val="00951435"/>
    <w:rsid w:val="00953C65"/>
    <w:rsid w:val="00964292"/>
    <w:rsid w:val="009656EB"/>
    <w:rsid w:val="009829AC"/>
    <w:rsid w:val="009879B2"/>
    <w:rsid w:val="00992FF3"/>
    <w:rsid w:val="00996D27"/>
    <w:rsid w:val="009C0DFE"/>
    <w:rsid w:val="009F121E"/>
    <w:rsid w:val="009F1DC5"/>
    <w:rsid w:val="00A13F0E"/>
    <w:rsid w:val="00A1509E"/>
    <w:rsid w:val="00A1690B"/>
    <w:rsid w:val="00A31BD7"/>
    <w:rsid w:val="00A542B0"/>
    <w:rsid w:val="00A600BC"/>
    <w:rsid w:val="00A65558"/>
    <w:rsid w:val="00A765DA"/>
    <w:rsid w:val="00A76BC2"/>
    <w:rsid w:val="00A846DB"/>
    <w:rsid w:val="00AC0ED1"/>
    <w:rsid w:val="00B169A0"/>
    <w:rsid w:val="00B23B25"/>
    <w:rsid w:val="00B30182"/>
    <w:rsid w:val="00B30BC8"/>
    <w:rsid w:val="00B34FD9"/>
    <w:rsid w:val="00B64E86"/>
    <w:rsid w:val="00B71582"/>
    <w:rsid w:val="00B90C23"/>
    <w:rsid w:val="00B93876"/>
    <w:rsid w:val="00BA2A00"/>
    <w:rsid w:val="00BA7673"/>
    <w:rsid w:val="00BB1AF5"/>
    <w:rsid w:val="00BC55DC"/>
    <w:rsid w:val="00BD3F08"/>
    <w:rsid w:val="00BD6617"/>
    <w:rsid w:val="00BE6409"/>
    <w:rsid w:val="00C14124"/>
    <w:rsid w:val="00C16657"/>
    <w:rsid w:val="00C16E0D"/>
    <w:rsid w:val="00C202A0"/>
    <w:rsid w:val="00C26D3C"/>
    <w:rsid w:val="00C27F70"/>
    <w:rsid w:val="00C36030"/>
    <w:rsid w:val="00C527F9"/>
    <w:rsid w:val="00CA2CE6"/>
    <w:rsid w:val="00CB68DA"/>
    <w:rsid w:val="00CD179D"/>
    <w:rsid w:val="00CD2696"/>
    <w:rsid w:val="00CE1355"/>
    <w:rsid w:val="00CF664D"/>
    <w:rsid w:val="00CF7B95"/>
    <w:rsid w:val="00D07561"/>
    <w:rsid w:val="00D1621F"/>
    <w:rsid w:val="00D1784F"/>
    <w:rsid w:val="00D412ED"/>
    <w:rsid w:val="00D46BE3"/>
    <w:rsid w:val="00D60A62"/>
    <w:rsid w:val="00D617C4"/>
    <w:rsid w:val="00D80E5A"/>
    <w:rsid w:val="00D93EE1"/>
    <w:rsid w:val="00DA2668"/>
    <w:rsid w:val="00DA3039"/>
    <w:rsid w:val="00DA6B93"/>
    <w:rsid w:val="00DD7239"/>
    <w:rsid w:val="00DE2836"/>
    <w:rsid w:val="00DF46AD"/>
    <w:rsid w:val="00DF7FF8"/>
    <w:rsid w:val="00E0304E"/>
    <w:rsid w:val="00E12E25"/>
    <w:rsid w:val="00E22E3E"/>
    <w:rsid w:val="00E33E93"/>
    <w:rsid w:val="00E35BAA"/>
    <w:rsid w:val="00E363FF"/>
    <w:rsid w:val="00E3690C"/>
    <w:rsid w:val="00E4045C"/>
    <w:rsid w:val="00E467A1"/>
    <w:rsid w:val="00E5775C"/>
    <w:rsid w:val="00E624C8"/>
    <w:rsid w:val="00E70C74"/>
    <w:rsid w:val="00E70D11"/>
    <w:rsid w:val="00E9772E"/>
    <w:rsid w:val="00EB2FBD"/>
    <w:rsid w:val="00EC4523"/>
    <w:rsid w:val="00EC6FC7"/>
    <w:rsid w:val="00ED0BA2"/>
    <w:rsid w:val="00ED1477"/>
    <w:rsid w:val="00ED2571"/>
    <w:rsid w:val="00ED3C7D"/>
    <w:rsid w:val="00EE5AAA"/>
    <w:rsid w:val="00EF5162"/>
    <w:rsid w:val="00F010E2"/>
    <w:rsid w:val="00F5407E"/>
    <w:rsid w:val="00F6228B"/>
    <w:rsid w:val="00FD1FDF"/>
    <w:rsid w:val="00FD57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468"/>
    <w:rPr>
      <w:sz w:val="24"/>
      <w:szCs w:val="24"/>
    </w:rPr>
  </w:style>
  <w:style w:type="paragraph" w:styleId="Heading1">
    <w:name w:val="heading 1"/>
    <w:basedOn w:val="Normal"/>
    <w:next w:val="Normal"/>
    <w:qFormat/>
    <w:rsid w:val="00237468"/>
    <w:pPr>
      <w:keepNext/>
      <w:overflowPunct w:val="0"/>
      <w:autoSpaceDE w:val="0"/>
      <w:autoSpaceDN w:val="0"/>
      <w:adjustRightInd w:val="0"/>
      <w:textAlignment w:val="baseline"/>
      <w:outlineLvl w:val="0"/>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468"/>
    <w:pPr>
      <w:tabs>
        <w:tab w:val="center" w:pos="4320"/>
        <w:tab w:val="right" w:pos="8640"/>
      </w:tabs>
      <w:overflowPunct w:val="0"/>
      <w:autoSpaceDE w:val="0"/>
      <w:autoSpaceDN w:val="0"/>
      <w:adjustRightInd w:val="0"/>
      <w:textAlignment w:val="baseline"/>
    </w:pPr>
    <w:rPr>
      <w:sz w:val="20"/>
      <w:szCs w:val="20"/>
      <w:lang w:eastAsia="en-US"/>
    </w:rPr>
  </w:style>
  <w:style w:type="table" w:styleId="TableGrid">
    <w:name w:val="Table Grid"/>
    <w:basedOn w:val="TableNormal"/>
    <w:rsid w:val="0079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A716E"/>
    <w:rPr>
      <w:b/>
      <w:bCs/>
    </w:rPr>
  </w:style>
  <w:style w:type="paragraph" w:styleId="FootnoteText">
    <w:name w:val="footnote text"/>
    <w:basedOn w:val="Normal"/>
    <w:link w:val="FootnoteTextChar"/>
    <w:rsid w:val="001A716E"/>
    <w:rPr>
      <w:sz w:val="20"/>
      <w:szCs w:val="20"/>
    </w:rPr>
  </w:style>
  <w:style w:type="character" w:customStyle="1" w:styleId="FootnoteTextChar">
    <w:name w:val="Footnote Text Char"/>
    <w:basedOn w:val="DefaultParagraphFont"/>
    <w:link w:val="FootnoteText"/>
    <w:rsid w:val="001A716E"/>
  </w:style>
  <w:style w:type="character" w:styleId="FootnoteReference">
    <w:name w:val="footnote reference"/>
    <w:basedOn w:val="DefaultParagraphFont"/>
    <w:rsid w:val="001A716E"/>
    <w:rPr>
      <w:vertAlign w:val="superscript"/>
    </w:rPr>
  </w:style>
  <w:style w:type="paragraph" w:styleId="BodyText">
    <w:name w:val="Body Text"/>
    <w:basedOn w:val="Normal"/>
    <w:link w:val="BodyTextChar"/>
    <w:rsid w:val="006C4770"/>
    <w:pPr>
      <w:jc w:val="center"/>
    </w:pPr>
    <w:rPr>
      <w:rFonts w:ascii="Arial" w:hAnsi="Arial" w:cs="Arial"/>
      <w:b/>
      <w:lang w:eastAsia="en-US"/>
    </w:rPr>
  </w:style>
  <w:style w:type="character" w:customStyle="1" w:styleId="BodyTextChar">
    <w:name w:val="Body Text Char"/>
    <w:basedOn w:val="DefaultParagraphFont"/>
    <w:link w:val="BodyText"/>
    <w:rsid w:val="006C4770"/>
    <w:rPr>
      <w:rFonts w:ascii="Arial" w:hAnsi="Arial" w:cs="Arial"/>
      <w:b/>
      <w:sz w:val="24"/>
      <w:szCs w:val="24"/>
      <w:lang w:eastAsia="en-US"/>
    </w:rPr>
  </w:style>
  <w:style w:type="paragraph" w:styleId="Footer">
    <w:name w:val="footer"/>
    <w:basedOn w:val="Normal"/>
    <w:link w:val="FooterChar"/>
    <w:rsid w:val="006C4770"/>
    <w:pPr>
      <w:tabs>
        <w:tab w:val="center" w:pos="4513"/>
        <w:tab w:val="right" w:pos="9026"/>
      </w:tabs>
    </w:pPr>
  </w:style>
  <w:style w:type="character" w:customStyle="1" w:styleId="FooterChar">
    <w:name w:val="Footer Char"/>
    <w:basedOn w:val="DefaultParagraphFont"/>
    <w:link w:val="Footer"/>
    <w:rsid w:val="006C4770"/>
    <w:rPr>
      <w:sz w:val="24"/>
      <w:szCs w:val="24"/>
    </w:rPr>
  </w:style>
</w:styles>
</file>

<file path=word/webSettings.xml><?xml version="1.0" encoding="utf-8"?>
<w:webSettings xmlns:r="http://schemas.openxmlformats.org/officeDocument/2006/relationships" xmlns:w="http://schemas.openxmlformats.org/wordprocessingml/2006/main">
  <w:divs>
    <w:div w:id="262614131">
      <w:bodyDiv w:val="1"/>
      <w:marLeft w:val="0"/>
      <w:marRight w:val="0"/>
      <w:marTop w:val="0"/>
      <w:marBottom w:val="0"/>
      <w:divBdr>
        <w:top w:val="none" w:sz="0" w:space="0" w:color="auto"/>
        <w:left w:val="none" w:sz="0" w:space="0" w:color="auto"/>
        <w:bottom w:val="none" w:sz="0" w:space="0" w:color="auto"/>
        <w:right w:val="none" w:sz="0" w:space="0" w:color="auto"/>
      </w:divBdr>
    </w:div>
    <w:div w:id="382339715">
      <w:bodyDiv w:val="1"/>
      <w:marLeft w:val="0"/>
      <w:marRight w:val="0"/>
      <w:marTop w:val="0"/>
      <w:marBottom w:val="0"/>
      <w:divBdr>
        <w:top w:val="none" w:sz="0" w:space="0" w:color="auto"/>
        <w:left w:val="none" w:sz="0" w:space="0" w:color="auto"/>
        <w:bottom w:val="none" w:sz="0" w:space="0" w:color="auto"/>
        <w:right w:val="none" w:sz="0" w:space="0" w:color="auto"/>
      </w:divBdr>
    </w:div>
    <w:div w:id="12373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Habner Justinian (RNU) OBMH</cp:lastModifiedBy>
  <cp:revision>2</cp:revision>
  <dcterms:created xsi:type="dcterms:W3CDTF">2012-02-09T14:15:00Z</dcterms:created>
  <dcterms:modified xsi:type="dcterms:W3CDTF">2012-02-09T14:15:00Z</dcterms:modified>
</cp:coreProperties>
</file>