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99" w:rsidRDefault="002B0BE8" w:rsidP="0086436B">
      <w:pPr>
        <w:ind w:right="-900"/>
        <w:jc w:val="right"/>
        <w:rPr>
          <w:lang w:val="en-G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39.75pt">
            <v:imagedata r:id="rId7" o:title="Logo"/>
          </v:shape>
        </w:pict>
      </w:r>
    </w:p>
    <w:p w:rsidR="005D3499" w:rsidRDefault="005D3499"/>
    <w:p w:rsidR="005D3499" w:rsidRDefault="002B0BE8">
      <w:pPr>
        <w:jc w:val="center"/>
        <w:rPr>
          <w:rFonts w:ascii="Frutiger" w:hAnsi="Frutiger"/>
        </w:rPr>
      </w:pPr>
      <w:r w:rsidRPr="002B0BE8">
        <w:rPr>
          <w:noProof/>
          <w:sz w:val="20"/>
        </w:rPr>
        <w:pict>
          <v:rect id="_x0000_s1034" style="position:absolute;left:0;text-align:left;margin-left:324pt;margin-top:4.05pt;width:108pt;height:45pt;z-index:251657728">
            <v:textbox inset="0,0,0,0">
              <w:txbxContent>
                <w:p w:rsidR="007338A7" w:rsidRDefault="007338A7">
                  <w:pPr>
                    <w:pStyle w:val="Heading1"/>
                    <w:jc w:val="center"/>
                    <w:rPr>
                      <w:sz w:val="24"/>
                      <w:u w:val="none"/>
                    </w:rPr>
                  </w:pPr>
                  <w:r>
                    <w:rPr>
                      <w:sz w:val="24"/>
                      <w:u w:val="none"/>
                    </w:rPr>
                    <w:t>PAPER</w:t>
                  </w:r>
                </w:p>
                <w:p w:rsidR="007338A7" w:rsidRDefault="007338A7">
                  <w:pPr>
                    <w:pStyle w:val="BodyText"/>
                    <w:rPr>
                      <w:sz w:val="22"/>
                    </w:rPr>
                  </w:pPr>
                  <w:r>
                    <w:rPr>
                      <w:sz w:val="22"/>
                    </w:rPr>
                    <w:t xml:space="preserve">BOD </w:t>
                  </w:r>
                  <w:r w:rsidR="0033327E">
                    <w:rPr>
                      <w:sz w:val="22"/>
                    </w:rPr>
                    <w:t>57</w:t>
                  </w:r>
                  <w:r>
                    <w:rPr>
                      <w:sz w:val="22"/>
                    </w:rPr>
                    <w:t>/2012</w:t>
                  </w:r>
                </w:p>
                <w:p w:rsidR="007338A7" w:rsidRPr="00537C23" w:rsidRDefault="007338A7">
                  <w:pPr>
                    <w:jc w:val="center"/>
                    <w:rPr>
                      <w:rFonts w:ascii="Arial" w:hAnsi="Arial" w:cs="Arial"/>
                      <w:sz w:val="20"/>
                      <w:szCs w:val="20"/>
                    </w:rPr>
                  </w:pPr>
                  <w:r>
                    <w:rPr>
                      <w:rFonts w:ascii="Arial" w:hAnsi="Arial" w:cs="Arial"/>
                      <w:sz w:val="20"/>
                      <w:szCs w:val="20"/>
                    </w:rPr>
                    <w:t xml:space="preserve">(Agenda Item: </w:t>
                  </w:r>
                  <w:r w:rsidR="0033327E">
                    <w:rPr>
                      <w:rFonts w:ascii="Arial" w:hAnsi="Arial" w:cs="Arial"/>
                      <w:sz w:val="20"/>
                      <w:szCs w:val="20"/>
                    </w:rPr>
                    <w:t>11</w:t>
                  </w:r>
                  <w:r>
                    <w:rPr>
                      <w:rFonts w:ascii="Arial" w:hAnsi="Arial" w:cs="Arial"/>
                      <w:sz w:val="20"/>
                      <w:szCs w:val="20"/>
                    </w:rPr>
                    <w:t>)</w:t>
                  </w:r>
                </w:p>
              </w:txbxContent>
            </v:textbox>
          </v:rect>
        </w:pict>
      </w:r>
    </w:p>
    <w:p w:rsidR="005D3499" w:rsidRDefault="005D3499">
      <w:pPr>
        <w:pStyle w:val="Heading1"/>
        <w:rPr>
          <w:sz w:val="24"/>
        </w:rPr>
      </w:pPr>
    </w:p>
    <w:p w:rsidR="005D3499" w:rsidRDefault="005D3499">
      <w:pPr>
        <w:pStyle w:val="Heading1"/>
        <w:rPr>
          <w:sz w:val="24"/>
        </w:rPr>
      </w:pPr>
    </w:p>
    <w:p w:rsidR="005D3499" w:rsidRDefault="005D3499">
      <w:pPr>
        <w:pStyle w:val="Heading1"/>
        <w:rPr>
          <w:sz w:val="24"/>
        </w:rPr>
      </w:pPr>
    </w:p>
    <w:p w:rsidR="005D3499" w:rsidRDefault="005D3499">
      <w:pPr>
        <w:pStyle w:val="Heading1"/>
        <w:jc w:val="center"/>
        <w:rPr>
          <w:sz w:val="28"/>
          <w:u w:val="none"/>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37C23" w:rsidRDefault="00537C23" w:rsidP="00537C23">
      <w:pPr>
        <w:rPr>
          <w:rFonts w:ascii="Arial" w:hAnsi="Arial" w:cs="Arial"/>
          <w:b/>
        </w:rPr>
      </w:pPr>
    </w:p>
    <w:p w:rsidR="00537C23" w:rsidRDefault="00E21E88" w:rsidP="00537C23">
      <w:pPr>
        <w:jc w:val="center"/>
        <w:rPr>
          <w:rFonts w:ascii="Arial" w:hAnsi="Arial" w:cs="Arial"/>
          <w:b/>
        </w:rPr>
      </w:pPr>
      <w:r>
        <w:rPr>
          <w:rFonts w:ascii="Arial" w:hAnsi="Arial" w:cs="Arial"/>
          <w:b/>
        </w:rPr>
        <w:t>2</w:t>
      </w:r>
      <w:r w:rsidR="00CB32C4">
        <w:rPr>
          <w:rFonts w:ascii="Arial" w:hAnsi="Arial" w:cs="Arial"/>
          <w:b/>
        </w:rPr>
        <w:t>5</w:t>
      </w:r>
      <w:r>
        <w:rPr>
          <w:rFonts w:ascii="Arial" w:hAnsi="Arial" w:cs="Arial"/>
          <w:b/>
        </w:rPr>
        <w:t xml:space="preserve"> </w:t>
      </w:r>
      <w:r w:rsidR="008D72C9">
        <w:rPr>
          <w:rFonts w:ascii="Arial" w:hAnsi="Arial" w:cs="Arial"/>
          <w:b/>
        </w:rPr>
        <w:t>April</w:t>
      </w:r>
      <w:r w:rsidR="00537C23">
        <w:rPr>
          <w:rFonts w:ascii="Arial" w:hAnsi="Arial" w:cs="Arial"/>
          <w:b/>
        </w:rPr>
        <w:t xml:space="preserve"> 201</w:t>
      </w:r>
      <w:r w:rsidR="00CB32C4">
        <w:rPr>
          <w:rFonts w:ascii="Arial" w:hAnsi="Arial" w:cs="Arial"/>
          <w:b/>
        </w:rPr>
        <w:t>2</w:t>
      </w:r>
    </w:p>
    <w:p w:rsidR="00537C23" w:rsidRDefault="00537C23" w:rsidP="00537C23">
      <w:pPr>
        <w:jc w:val="center"/>
        <w:rPr>
          <w:rFonts w:ascii="Arial" w:hAnsi="Arial" w:cs="Arial"/>
          <w:b/>
        </w:rPr>
      </w:pPr>
    </w:p>
    <w:p w:rsidR="00537C23" w:rsidRDefault="00537C23" w:rsidP="00537C23">
      <w:pPr>
        <w:jc w:val="center"/>
        <w:rPr>
          <w:rFonts w:ascii="Arial" w:hAnsi="Arial" w:cs="Arial"/>
          <w:b/>
        </w:rPr>
      </w:pPr>
      <w:r>
        <w:rPr>
          <w:rFonts w:ascii="Arial" w:hAnsi="Arial" w:cs="Arial"/>
          <w:b/>
        </w:rPr>
        <w:t xml:space="preserve">In-Year Submission to </w:t>
      </w:r>
      <w:r w:rsidRPr="00636DFE">
        <w:rPr>
          <w:rFonts w:ascii="Arial" w:hAnsi="Arial" w:cs="Arial"/>
          <w:b/>
        </w:rPr>
        <w:t xml:space="preserve">Monitor </w:t>
      </w:r>
      <w:r>
        <w:rPr>
          <w:rFonts w:ascii="Arial" w:hAnsi="Arial" w:cs="Arial"/>
          <w:b/>
        </w:rPr>
        <w:t xml:space="preserve">– </w:t>
      </w:r>
      <w:r w:rsidRPr="00636DFE">
        <w:rPr>
          <w:rFonts w:ascii="Arial" w:hAnsi="Arial" w:cs="Arial"/>
          <w:b/>
        </w:rPr>
        <w:t xml:space="preserve">Quarter </w:t>
      </w:r>
      <w:r w:rsidR="008D72C9">
        <w:rPr>
          <w:rFonts w:ascii="Arial" w:hAnsi="Arial" w:cs="Arial"/>
          <w:b/>
        </w:rPr>
        <w:t>4</w:t>
      </w:r>
      <w:r>
        <w:rPr>
          <w:rFonts w:ascii="Arial" w:hAnsi="Arial" w:cs="Arial"/>
          <w:b/>
        </w:rPr>
        <w:t xml:space="preserve"> 2011/12 </w:t>
      </w:r>
      <w:r w:rsidRPr="00636DFE">
        <w:rPr>
          <w:rFonts w:ascii="Arial" w:hAnsi="Arial" w:cs="Arial"/>
          <w:b/>
        </w:rPr>
        <w:t>Report</w:t>
      </w:r>
      <w:r w:rsidR="007338A7">
        <w:rPr>
          <w:rFonts w:ascii="Arial" w:hAnsi="Arial" w:cs="Arial"/>
          <w:b/>
        </w:rPr>
        <w:t xml:space="preserve"> </w:t>
      </w:r>
    </w:p>
    <w:p w:rsidR="007338A7" w:rsidRPr="00636DFE" w:rsidRDefault="007338A7" w:rsidP="00537C23">
      <w:pPr>
        <w:jc w:val="center"/>
        <w:rPr>
          <w:rFonts w:ascii="Arial" w:hAnsi="Arial" w:cs="Arial"/>
          <w:b/>
        </w:rPr>
      </w:pPr>
      <w:r>
        <w:rPr>
          <w:rFonts w:ascii="Arial" w:hAnsi="Arial" w:cs="Arial"/>
          <w:b/>
        </w:rPr>
        <w:t>&amp;</w:t>
      </w:r>
      <w:r w:rsidR="00DD7856">
        <w:rPr>
          <w:rFonts w:ascii="Arial" w:hAnsi="Arial" w:cs="Arial"/>
          <w:b/>
        </w:rPr>
        <w:t xml:space="preserve"> </w:t>
      </w:r>
      <w:r>
        <w:rPr>
          <w:rFonts w:ascii="Arial" w:hAnsi="Arial" w:cs="Arial"/>
          <w:b/>
        </w:rPr>
        <w:t>Overview of 2012/13 Compliance Framework</w:t>
      </w:r>
    </w:p>
    <w:p w:rsidR="00537C23" w:rsidRDefault="00537C23" w:rsidP="00537C23">
      <w:pPr>
        <w:rPr>
          <w:rFonts w:ascii="Arial" w:hAnsi="Arial" w:cs="Arial"/>
          <w:b/>
        </w:rPr>
      </w:pPr>
    </w:p>
    <w:p w:rsidR="007338A7" w:rsidRDefault="007338A7" w:rsidP="00537C23">
      <w:pPr>
        <w:rPr>
          <w:rFonts w:ascii="Arial" w:hAnsi="Arial" w:cs="Arial"/>
          <w:b/>
        </w:rPr>
      </w:pPr>
    </w:p>
    <w:p w:rsidR="00537C23" w:rsidRPr="00226DFB" w:rsidRDefault="00537C23" w:rsidP="00537C23">
      <w:pPr>
        <w:rPr>
          <w:rFonts w:ascii="Arial" w:hAnsi="Arial" w:cs="Arial"/>
          <w:b/>
          <w:u w:val="single"/>
        </w:rPr>
      </w:pPr>
      <w:r w:rsidRPr="00226DFB">
        <w:rPr>
          <w:rFonts w:ascii="Arial" w:hAnsi="Arial" w:cs="Arial"/>
          <w:b/>
          <w:u w:val="single"/>
        </w:rPr>
        <w:t>For Approval</w:t>
      </w:r>
    </w:p>
    <w:p w:rsidR="00537C23" w:rsidRDefault="00537C23" w:rsidP="00537C23">
      <w:pPr>
        <w:rPr>
          <w:rFonts w:ascii="Arial" w:hAnsi="Arial" w:cs="Arial"/>
          <w:b/>
        </w:rPr>
      </w:pPr>
    </w:p>
    <w:p w:rsidR="007338A7" w:rsidRDefault="007338A7" w:rsidP="00537C23">
      <w:pPr>
        <w:rPr>
          <w:rFonts w:ascii="Arial" w:hAnsi="Arial" w:cs="Arial"/>
          <w:b/>
        </w:rPr>
      </w:pPr>
    </w:p>
    <w:p w:rsidR="007338A7" w:rsidRDefault="007338A7" w:rsidP="00537C23">
      <w:pPr>
        <w:rPr>
          <w:rFonts w:ascii="Arial" w:hAnsi="Arial" w:cs="Arial"/>
          <w:b/>
        </w:rPr>
      </w:pPr>
    </w:p>
    <w:p w:rsidR="00537C23" w:rsidRDefault="00537C23" w:rsidP="00537C23">
      <w:pPr>
        <w:jc w:val="both"/>
        <w:rPr>
          <w:rFonts w:ascii="Arial" w:hAnsi="Arial" w:cs="Arial"/>
          <w:b/>
        </w:rPr>
      </w:pPr>
      <w:r w:rsidRPr="00F111B9">
        <w:rPr>
          <w:rFonts w:ascii="Arial" w:hAnsi="Arial" w:cs="Arial"/>
          <w:b/>
        </w:rPr>
        <w:t>Executive Summary</w:t>
      </w:r>
    </w:p>
    <w:p w:rsidR="00537C23" w:rsidRDefault="00537C23" w:rsidP="00537C23">
      <w:pPr>
        <w:jc w:val="both"/>
        <w:rPr>
          <w:rFonts w:ascii="Arial" w:hAnsi="Arial" w:cs="Arial"/>
        </w:rPr>
      </w:pPr>
      <w:r>
        <w:rPr>
          <w:rFonts w:ascii="Arial" w:hAnsi="Arial" w:cs="Arial"/>
        </w:rPr>
        <w:t>Under the Compliance Framework, the Trust is required to provide in-year reports on a quarterly basis.  These submissions include quarterly financials, year to date financials and self certification that all targets have been met, and, if necessary, exception/update reports.</w:t>
      </w:r>
    </w:p>
    <w:p w:rsidR="00537C23" w:rsidRDefault="00537C23" w:rsidP="00537C23">
      <w:pPr>
        <w:jc w:val="both"/>
        <w:rPr>
          <w:rFonts w:ascii="Arial" w:hAnsi="Arial" w:cs="Arial"/>
        </w:rPr>
      </w:pPr>
    </w:p>
    <w:p w:rsidR="00537C23" w:rsidRDefault="00537C23" w:rsidP="00537C23">
      <w:pPr>
        <w:jc w:val="both"/>
        <w:rPr>
          <w:rFonts w:ascii="Arial" w:hAnsi="Arial" w:cs="Arial"/>
        </w:rPr>
      </w:pPr>
      <w:r>
        <w:rPr>
          <w:rFonts w:ascii="Arial" w:hAnsi="Arial" w:cs="Arial"/>
        </w:rPr>
        <w:t>Monitor’s philosophy is to reduce progressively its regulatory intensity as its confidence increases that boards have demonstrated the competence to be self-governing, and do so effectively, efficiently and economically.</w:t>
      </w:r>
    </w:p>
    <w:p w:rsidR="00537C23" w:rsidRDefault="00537C23" w:rsidP="00537C23">
      <w:pPr>
        <w:jc w:val="both"/>
        <w:rPr>
          <w:rFonts w:ascii="Arial" w:hAnsi="Arial" w:cs="Arial"/>
        </w:rPr>
      </w:pPr>
    </w:p>
    <w:p w:rsidR="00537C23" w:rsidRDefault="00537C23" w:rsidP="00537C23">
      <w:pPr>
        <w:jc w:val="both"/>
        <w:rPr>
          <w:rFonts w:ascii="Arial" w:hAnsi="Arial" w:cs="Arial"/>
        </w:rPr>
      </w:pPr>
      <w:r>
        <w:rPr>
          <w:rFonts w:ascii="Arial" w:hAnsi="Arial" w:cs="Arial"/>
        </w:rPr>
        <w:t xml:space="preserve">This report sets out what should be reported on and includes the proposed submission for Quarter </w:t>
      </w:r>
      <w:r w:rsidR="008D72C9">
        <w:rPr>
          <w:rFonts w:ascii="Arial" w:hAnsi="Arial" w:cs="Arial"/>
        </w:rPr>
        <w:t>4</w:t>
      </w:r>
      <w:r>
        <w:rPr>
          <w:rFonts w:ascii="Arial" w:hAnsi="Arial" w:cs="Arial"/>
        </w:rPr>
        <w:t xml:space="preserve">.  The submission date is </w:t>
      </w:r>
      <w:r w:rsidR="00CB32C4">
        <w:rPr>
          <w:rFonts w:ascii="Arial" w:hAnsi="Arial" w:cs="Arial"/>
        </w:rPr>
        <w:t>3</w:t>
      </w:r>
      <w:r w:rsidR="008D72C9">
        <w:rPr>
          <w:rFonts w:ascii="Arial" w:hAnsi="Arial" w:cs="Arial"/>
        </w:rPr>
        <w:t>0 April</w:t>
      </w:r>
      <w:r>
        <w:rPr>
          <w:rFonts w:ascii="Arial" w:hAnsi="Arial" w:cs="Arial"/>
        </w:rPr>
        <w:t xml:space="preserve"> 201</w:t>
      </w:r>
      <w:r w:rsidR="00CB32C4">
        <w:rPr>
          <w:rFonts w:ascii="Arial" w:hAnsi="Arial" w:cs="Arial"/>
        </w:rPr>
        <w:t>2</w:t>
      </w:r>
      <w:r>
        <w:rPr>
          <w:rFonts w:ascii="Arial" w:hAnsi="Arial" w:cs="Arial"/>
        </w:rPr>
        <w:t>.</w:t>
      </w:r>
    </w:p>
    <w:p w:rsidR="007338A7" w:rsidRDefault="007338A7" w:rsidP="00537C23">
      <w:pPr>
        <w:jc w:val="both"/>
        <w:rPr>
          <w:rFonts w:ascii="Arial" w:hAnsi="Arial" w:cs="Arial"/>
        </w:rPr>
      </w:pPr>
    </w:p>
    <w:p w:rsidR="007338A7" w:rsidRDefault="007338A7" w:rsidP="007338A7">
      <w:pPr>
        <w:jc w:val="both"/>
        <w:rPr>
          <w:rFonts w:ascii="Arial" w:hAnsi="Arial" w:cs="Arial"/>
        </w:rPr>
      </w:pPr>
      <w:r>
        <w:rPr>
          <w:rFonts w:ascii="Arial" w:hAnsi="Arial" w:cs="Arial"/>
        </w:rPr>
        <w:t xml:space="preserve">This report also provides an overview of the recently published </w:t>
      </w:r>
      <w:r>
        <w:rPr>
          <w:rFonts w:ascii="Arial" w:hAnsi="Arial" w:cs="Arial"/>
          <w:i/>
        </w:rPr>
        <w:t>Compliance Framework</w:t>
      </w:r>
      <w:r>
        <w:rPr>
          <w:rFonts w:ascii="Arial" w:hAnsi="Arial" w:cs="Arial"/>
        </w:rPr>
        <w:t xml:space="preserve"> for 2012/13, setting out the targets and indicators for the year ahead. </w:t>
      </w:r>
    </w:p>
    <w:p w:rsidR="007338A7" w:rsidRDefault="007338A7" w:rsidP="007338A7">
      <w:pPr>
        <w:jc w:val="both"/>
        <w:rPr>
          <w:rFonts w:ascii="Arial" w:hAnsi="Arial" w:cs="Arial"/>
        </w:rPr>
      </w:pPr>
    </w:p>
    <w:p w:rsidR="007338A7" w:rsidRDefault="007338A7" w:rsidP="007338A7">
      <w:pPr>
        <w:jc w:val="both"/>
        <w:rPr>
          <w:rFonts w:ascii="Arial" w:hAnsi="Arial" w:cs="Arial"/>
        </w:rPr>
      </w:pPr>
    </w:p>
    <w:p w:rsidR="007338A7" w:rsidRDefault="007338A7" w:rsidP="007338A7">
      <w:pPr>
        <w:jc w:val="both"/>
        <w:rPr>
          <w:rFonts w:ascii="Arial" w:hAnsi="Arial" w:cs="Arial"/>
        </w:rPr>
      </w:pPr>
    </w:p>
    <w:p w:rsidR="007338A7" w:rsidRDefault="007338A7" w:rsidP="007338A7">
      <w:pPr>
        <w:jc w:val="both"/>
        <w:rPr>
          <w:rFonts w:ascii="Arial" w:hAnsi="Arial" w:cs="Arial"/>
        </w:rPr>
      </w:pPr>
    </w:p>
    <w:p w:rsidR="007338A7" w:rsidRDefault="007338A7" w:rsidP="007338A7">
      <w:pPr>
        <w:jc w:val="both"/>
        <w:rPr>
          <w:rFonts w:ascii="Arial" w:hAnsi="Arial" w:cs="Arial"/>
        </w:rPr>
      </w:pPr>
    </w:p>
    <w:p w:rsidR="007338A7" w:rsidRDefault="007338A7" w:rsidP="007338A7">
      <w:pPr>
        <w:jc w:val="both"/>
        <w:rPr>
          <w:rFonts w:ascii="Arial" w:hAnsi="Arial" w:cs="Arial"/>
        </w:rPr>
      </w:pPr>
    </w:p>
    <w:p w:rsidR="007338A7" w:rsidRDefault="007338A7" w:rsidP="007338A7">
      <w:pPr>
        <w:jc w:val="both"/>
        <w:rPr>
          <w:rFonts w:ascii="Arial" w:hAnsi="Arial" w:cs="Arial"/>
        </w:rPr>
      </w:pPr>
    </w:p>
    <w:p w:rsidR="007338A7" w:rsidRDefault="007338A7" w:rsidP="007338A7">
      <w:pPr>
        <w:jc w:val="both"/>
        <w:rPr>
          <w:rFonts w:ascii="Arial" w:hAnsi="Arial" w:cs="Arial"/>
        </w:rPr>
      </w:pPr>
    </w:p>
    <w:p w:rsidR="007338A7" w:rsidRDefault="007338A7" w:rsidP="007338A7">
      <w:pPr>
        <w:jc w:val="both"/>
        <w:rPr>
          <w:rFonts w:ascii="Arial" w:hAnsi="Arial" w:cs="Arial"/>
        </w:rPr>
      </w:pPr>
    </w:p>
    <w:p w:rsidR="007338A7" w:rsidRDefault="007338A7" w:rsidP="007338A7">
      <w:pPr>
        <w:jc w:val="both"/>
        <w:rPr>
          <w:rFonts w:ascii="Arial" w:hAnsi="Arial" w:cs="Arial"/>
          <w:b/>
        </w:rPr>
      </w:pPr>
      <w:r>
        <w:rPr>
          <w:rFonts w:ascii="Arial" w:hAnsi="Arial" w:cs="Arial"/>
          <w:b/>
        </w:rPr>
        <w:t>Recommendation</w:t>
      </w:r>
    </w:p>
    <w:p w:rsidR="007338A7" w:rsidRDefault="007338A7" w:rsidP="007338A7">
      <w:pPr>
        <w:jc w:val="both"/>
        <w:rPr>
          <w:rFonts w:ascii="Arial" w:hAnsi="Arial" w:cs="Arial"/>
        </w:rPr>
      </w:pPr>
      <w:r>
        <w:rPr>
          <w:rFonts w:ascii="Arial" w:hAnsi="Arial" w:cs="Arial"/>
        </w:rPr>
        <w:t>The Board is asked to note what the Trust should report to Monitor as part of the quarterly in-year submission.</w:t>
      </w:r>
    </w:p>
    <w:p w:rsidR="007338A7" w:rsidRDefault="007338A7" w:rsidP="007338A7">
      <w:pPr>
        <w:jc w:val="both"/>
        <w:rPr>
          <w:rFonts w:ascii="Arial" w:hAnsi="Arial" w:cs="Arial"/>
        </w:rPr>
      </w:pPr>
    </w:p>
    <w:p w:rsidR="007338A7" w:rsidRDefault="007338A7" w:rsidP="007338A7">
      <w:pPr>
        <w:jc w:val="both"/>
        <w:rPr>
          <w:rFonts w:ascii="Arial" w:hAnsi="Arial" w:cs="Arial"/>
        </w:rPr>
      </w:pPr>
      <w:r>
        <w:rPr>
          <w:rFonts w:ascii="Arial" w:hAnsi="Arial" w:cs="Arial"/>
        </w:rPr>
        <w:t xml:space="preserve">The Board is asked to comment on and approve the Quarter 4 submission to Monitor </w:t>
      </w:r>
    </w:p>
    <w:p w:rsidR="007338A7" w:rsidRDefault="007338A7" w:rsidP="007338A7">
      <w:pPr>
        <w:jc w:val="both"/>
        <w:rPr>
          <w:rFonts w:ascii="Arial" w:hAnsi="Arial" w:cs="Arial"/>
        </w:rPr>
      </w:pPr>
    </w:p>
    <w:p w:rsidR="007338A7" w:rsidRPr="006F4C3B" w:rsidRDefault="007338A7" w:rsidP="007338A7">
      <w:pPr>
        <w:jc w:val="both"/>
        <w:rPr>
          <w:rFonts w:ascii="Arial" w:hAnsi="Arial" w:cs="Arial"/>
        </w:rPr>
      </w:pPr>
      <w:r>
        <w:rPr>
          <w:rFonts w:ascii="Arial" w:hAnsi="Arial" w:cs="Arial"/>
        </w:rPr>
        <w:t>The Board is asked to note what the publication of the 2012/13 Compliance Framework and take note of the targets and indicators.</w:t>
      </w:r>
    </w:p>
    <w:p w:rsidR="007338A7" w:rsidRDefault="007338A7" w:rsidP="007338A7">
      <w:pPr>
        <w:jc w:val="both"/>
        <w:rPr>
          <w:rFonts w:ascii="Arial" w:hAnsi="Arial" w:cs="Arial"/>
          <w:b/>
        </w:rPr>
      </w:pPr>
    </w:p>
    <w:p w:rsidR="007338A7" w:rsidRDefault="007338A7" w:rsidP="007338A7">
      <w:pPr>
        <w:jc w:val="both"/>
        <w:rPr>
          <w:rFonts w:ascii="Arial" w:hAnsi="Arial" w:cs="Arial"/>
          <w:b/>
        </w:rPr>
      </w:pPr>
    </w:p>
    <w:p w:rsidR="007338A7" w:rsidRDefault="007338A7" w:rsidP="007338A7">
      <w:pPr>
        <w:ind w:left="2835" w:hanging="2835"/>
        <w:jc w:val="both"/>
        <w:rPr>
          <w:rFonts w:ascii="Arial" w:hAnsi="Arial" w:cs="Arial"/>
        </w:rPr>
      </w:pPr>
      <w:r>
        <w:rPr>
          <w:rFonts w:ascii="Arial" w:hAnsi="Arial" w:cs="Arial"/>
          <w:b/>
        </w:rPr>
        <w:t>Author and Title:</w:t>
      </w:r>
      <w:r>
        <w:rPr>
          <w:rFonts w:ascii="Arial" w:hAnsi="Arial" w:cs="Arial"/>
        </w:rPr>
        <w:t xml:space="preserve"> </w:t>
      </w:r>
      <w:r>
        <w:rPr>
          <w:rFonts w:ascii="Arial" w:hAnsi="Arial" w:cs="Arial"/>
        </w:rPr>
        <w:tab/>
      </w:r>
      <w:r>
        <w:rPr>
          <w:rFonts w:ascii="Arial" w:hAnsi="Arial" w:cs="Arial"/>
        </w:rPr>
        <w:tab/>
        <w:t xml:space="preserve">Justinian Habner, Trust Secretary </w:t>
      </w:r>
    </w:p>
    <w:p w:rsidR="007338A7" w:rsidRPr="002712E4" w:rsidRDefault="007338A7" w:rsidP="007338A7">
      <w:pPr>
        <w:jc w:val="both"/>
        <w:rPr>
          <w:rFonts w:ascii="Arial" w:hAnsi="Arial" w:cs="Arial"/>
        </w:rPr>
      </w:pPr>
      <w:r>
        <w:rPr>
          <w:rFonts w:ascii="Arial" w:hAnsi="Arial" w:cs="Arial"/>
          <w:b/>
        </w:rPr>
        <w:t>Lead Executive Director:</w:t>
      </w:r>
      <w:r>
        <w:rPr>
          <w:rFonts w:ascii="Arial" w:hAnsi="Arial" w:cs="Arial"/>
          <w:b/>
        </w:rPr>
        <w:tab/>
      </w:r>
      <w:r>
        <w:rPr>
          <w:rFonts w:ascii="Arial" w:hAnsi="Arial" w:cs="Arial"/>
        </w:rPr>
        <w:t>Mike McEnaney, Director of Finance</w:t>
      </w:r>
    </w:p>
    <w:p w:rsidR="007338A7" w:rsidRDefault="007338A7" w:rsidP="007338A7">
      <w:pPr>
        <w:jc w:val="both"/>
        <w:rPr>
          <w:rFonts w:ascii="Arial" w:hAnsi="Arial" w:cs="Arial"/>
          <w:b/>
        </w:rPr>
      </w:pPr>
    </w:p>
    <w:p w:rsidR="007338A7" w:rsidRPr="0073522A" w:rsidRDefault="007338A7" w:rsidP="007338A7">
      <w:pPr>
        <w:numPr>
          <w:ilvl w:val="0"/>
          <w:numId w:val="2"/>
        </w:numPr>
        <w:jc w:val="both"/>
        <w:rPr>
          <w:rFonts w:ascii="Arial" w:hAnsi="Arial" w:cs="Arial"/>
          <w:i/>
          <w:sz w:val="20"/>
          <w:szCs w:val="20"/>
        </w:rPr>
      </w:pPr>
      <w:r w:rsidRPr="0073522A">
        <w:rPr>
          <w:rFonts w:ascii="Arial" w:hAnsi="Arial" w:cs="Arial"/>
          <w:i/>
          <w:sz w:val="20"/>
          <w:szCs w:val="20"/>
        </w:rPr>
        <w:t>A risk assessment has been undertaken around the legal issues that this paper presents and there are no issues that need to be r</w:t>
      </w:r>
      <w:r>
        <w:rPr>
          <w:rFonts w:ascii="Arial" w:hAnsi="Arial" w:cs="Arial"/>
          <w:i/>
          <w:sz w:val="20"/>
          <w:szCs w:val="20"/>
        </w:rPr>
        <w:t>eferred to the Trust Solicitors.</w:t>
      </w:r>
    </w:p>
    <w:p w:rsidR="007338A7" w:rsidRPr="007338A7" w:rsidRDefault="007338A7" w:rsidP="007338A7">
      <w:pPr>
        <w:jc w:val="both"/>
        <w:rPr>
          <w:rFonts w:ascii="Arial" w:hAnsi="Arial" w:cs="Arial"/>
        </w:rPr>
      </w:pPr>
    </w:p>
    <w:p w:rsidR="007338A7" w:rsidRDefault="007338A7" w:rsidP="00537C23">
      <w:pPr>
        <w:jc w:val="both"/>
        <w:rPr>
          <w:rFonts w:ascii="Arial" w:hAnsi="Arial" w:cs="Arial"/>
        </w:rPr>
      </w:pPr>
      <w:r>
        <w:rPr>
          <w:rFonts w:ascii="Arial" w:hAnsi="Arial" w:cs="Arial"/>
        </w:rPr>
        <w:br w:type="page"/>
      </w:r>
    </w:p>
    <w:p w:rsidR="00537C23" w:rsidRDefault="00537C23" w:rsidP="00537C23">
      <w:pPr>
        <w:jc w:val="both"/>
        <w:rPr>
          <w:rFonts w:ascii="Arial" w:hAnsi="Arial" w:cs="Arial"/>
        </w:rPr>
      </w:pPr>
    </w:p>
    <w:p w:rsidR="00537C23" w:rsidRPr="006557FC" w:rsidRDefault="007338A7" w:rsidP="007338A7">
      <w:pPr>
        <w:numPr>
          <w:ilvl w:val="0"/>
          <w:numId w:val="14"/>
        </w:numPr>
        <w:ind w:hanging="720"/>
        <w:jc w:val="both"/>
        <w:rPr>
          <w:rFonts w:ascii="Arial" w:hAnsi="Arial" w:cs="Arial"/>
          <w:b/>
        </w:rPr>
      </w:pPr>
      <w:r>
        <w:rPr>
          <w:rFonts w:ascii="Arial" w:hAnsi="Arial" w:cs="Arial"/>
          <w:b/>
        </w:rPr>
        <w:t xml:space="preserve">2011/12 </w:t>
      </w:r>
      <w:r w:rsidR="00537C23">
        <w:rPr>
          <w:rFonts w:ascii="Arial" w:hAnsi="Arial" w:cs="Arial"/>
          <w:b/>
        </w:rPr>
        <w:t xml:space="preserve">Quarterly Monitoring </w:t>
      </w:r>
    </w:p>
    <w:p w:rsidR="00537C23" w:rsidRDefault="00537C23" w:rsidP="00537C23">
      <w:pPr>
        <w:jc w:val="both"/>
        <w:rPr>
          <w:rFonts w:ascii="Arial" w:hAnsi="Arial" w:cs="Arial"/>
        </w:rPr>
      </w:pPr>
      <w:r>
        <w:rPr>
          <w:rFonts w:ascii="Arial" w:hAnsi="Arial" w:cs="Arial"/>
        </w:rPr>
        <w:t>Monitor will review actual quarterly performance against the annual plan.  In cases where there is any material variance, trusts must provide a commentary explaining the reasons for the variance and the actions proposed to address.</w:t>
      </w:r>
    </w:p>
    <w:p w:rsidR="00537C23" w:rsidRDefault="00537C23" w:rsidP="00537C23">
      <w:pPr>
        <w:jc w:val="both"/>
        <w:rPr>
          <w:rFonts w:ascii="Arial" w:hAnsi="Arial" w:cs="Arial"/>
        </w:rPr>
      </w:pPr>
    </w:p>
    <w:p w:rsidR="00537C23" w:rsidRDefault="00537C23" w:rsidP="00537C23">
      <w:pPr>
        <w:jc w:val="both"/>
        <w:rPr>
          <w:rFonts w:ascii="Arial" w:hAnsi="Arial" w:cs="Arial"/>
        </w:rPr>
      </w:pPr>
      <w:r>
        <w:rPr>
          <w:rFonts w:ascii="Arial" w:hAnsi="Arial" w:cs="Arial"/>
        </w:rPr>
        <w:t>Monitor requires trusts to self-certify that following targets have been met</w:t>
      </w:r>
      <w:r>
        <w:rPr>
          <w:rFonts w:ascii="Arial" w:hAnsi="Arial" w:cs="Arial"/>
          <w:vertAlign w:val="superscript"/>
        </w:rPr>
        <w:t>1</w:t>
      </w:r>
      <w:r>
        <w:rPr>
          <w:rFonts w:ascii="Arial" w:hAnsi="Arial" w:cs="Arial"/>
        </w:rPr>
        <w:t>:</w:t>
      </w:r>
    </w:p>
    <w:p w:rsidR="002F150E" w:rsidRDefault="002F150E" w:rsidP="00537C23">
      <w:pPr>
        <w:numPr>
          <w:ilvl w:val="0"/>
          <w:numId w:val="7"/>
        </w:numPr>
        <w:autoSpaceDE w:val="0"/>
        <w:autoSpaceDN w:val="0"/>
        <w:adjustRightInd w:val="0"/>
        <w:rPr>
          <w:rFonts w:ascii="Arial" w:hAnsi="Arial" w:cs="Arial"/>
          <w:color w:val="000000"/>
          <w:lang w:val="en-GB" w:eastAsia="en-GB"/>
        </w:rPr>
      </w:pPr>
      <w:r>
        <w:rPr>
          <w:rFonts w:ascii="Arial" w:hAnsi="Arial" w:cs="Arial"/>
          <w:color w:val="000000"/>
          <w:lang w:val="en-GB" w:eastAsia="en-GB"/>
        </w:rPr>
        <w:t>Clostridium Difficile – meeting the Clostridium Difficile Objective</w:t>
      </w:r>
    </w:p>
    <w:p w:rsidR="00537C23" w:rsidRPr="0048137C" w:rsidRDefault="00537C23" w:rsidP="00537C23">
      <w:pPr>
        <w:numPr>
          <w:ilvl w:val="0"/>
          <w:numId w:val="7"/>
        </w:numPr>
        <w:autoSpaceDE w:val="0"/>
        <w:autoSpaceDN w:val="0"/>
        <w:adjustRightInd w:val="0"/>
        <w:rPr>
          <w:rFonts w:ascii="Arial" w:hAnsi="Arial" w:cs="Arial"/>
          <w:color w:val="000000"/>
          <w:lang w:val="en-GB" w:eastAsia="en-GB"/>
        </w:rPr>
      </w:pPr>
      <w:r w:rsidRPr="0048137C">
        <w:rPr>
          <w:rFonts w:ascii="Arial" w:hAnsi="Arial" w:cs="Arial"/>
          <w:color w:val="000000"/>
          <w:lang w:val="en-GB" w:eastAsia="en-GB"/>
        </w:rPr>
        <w:t>Care Progra</w:t>
      </w:r>
      <w:r w:rsidR="002F150E">
        <w:rPr>
          <w:rFonts w:ascii="Arial" w:hAnsi="Arial" w:cs="Arial"/>
          <w:color w:val="000000"/>
          <w:lang w:val="en-GB" w:eastAsia="en-GB"/>
        </w:rPr>
        <w:t>mme Approach (CPA) patients</w:t>
      </w:r>
      <w:r w:rsidRPr="0048137C">
        <w:rPr>
          <w:rFonts w:ascii="Arial" w:hAnsi="Arial" w:cs="Arial"/>
          <w:color w:val="000000"/>
          <w:lang w:val="en-GB" w:eastAsia="en-GB"/>
        </w:rPr>
        <w:t>:</w:t>
      </w:r>
    </w:p>
    <w:p w:rsidR="00537C23" w:rsidRPr="0048137C" w:rsidRDefault="00537C23" w:rsidP="00537C23">
      <w:pPr>
        <w:numPr>
          <w:ilvl w:val="0"/>
          <w:numId w:val="8"/>
        </w:numPr>
        <w:autoSpaceDE w:val="0"/>
        <w:autoSpaceDN w:val="0"/>
        <w:adjustRightInd w:val="0"/>
        <w:rPr>
          <w:rFonts w:ascii="Arial" w:hAnsi="Arial" w:cs="Arial"/>
          <w:color w:val="000000"/>
          <w:lang w:val="en-GB" w:eastAsia="en-GB"/>
        </w:rPr>
      </w:pPr>
      <w:r w:rsidRPr="0048137C">
        <w:rPr>
          <w:rFonts w:ascii="Arial" w:hAnsi="Arial" w:cs="Arial"/>
          <w:color w:val="000000"/>
          <w:lang w:val="en-GB" w:eastAsia="en-GB"/>
        </w:rPr>
        <w:t xml:space="preserve">receiving follow-up contact within seven days of          </w:t>
      </w:r>
    </w:p>
    <w:p w:rsidR="00537C23" w:rsidRPr="0048137C" w:rsidRDefault="00537C23" w:rsidP="00537C23">
      <w:pPr>
        <w:autoSpaceDE w:val="0"/>
        <w:autoSpaceDN w:val="0"/>
        <w:adjustRightInd w:val="0"/>
        <w:ind w:left="1418"/>
        <w:rPr>
          <w:rFonts w:ascii="Arial" w:hAnsi="Arial" w:cs="Arial"/>
          <w:color w:val="000000"/>
          <w:lang w:val="en-GB" w:eastAsia="en-GB"/>
        </w:rPr>
      </w:pPr>
      <w:r w:rsidRPr="0048137C">
        <w:rPr>
          <w:rFonts w:ascii="Arial" w:hAnsi="Arial" w:cs="Arial"/>
          <w:color w:val="000000"/>
          <w:lang w:val="en-GB" w:eastAsia="en-GB"/>
        </w:rPr>
        <w:t>discharge</w:t>
      </w:r>
    </w:p>
    <w:p w:rsidR="00537C23" w:rsidRPr="00F82DBC" w:rsidRDefault="00537C23" w:rsidP="00537C23">
      <w:pPr>
        <w:numPr>
          <w:ilvl w:val="0"/>
          <w:numId w:val="8"/>
        </w:numPr>
        <w:autoSpaceDE w:val="0"/>
        <w:autoSpaceDN w:val="0"/>
        <w:adjustRightInd w:val="0"/>
        <w:rPr>
          <w:rFonts w:ascii="Arial" w:hAnsi="Arial" w:cs="Arial"/>
          <w:color w:val="000000"/>
          <w:lang w:val="en-GB" w:eastAsia="en-GB"/>
        </w:rPr>
      </w:pPr>
      <w:r w:rsidRPr="0048137C">
        <w:rPr>
          <w:rFonts w:ascii="Arial" w:hAnsi="Arial" w:cs="Arial"/>
          <w:color w:val="000000"/>
          <w:lang w:val="en-GB" w:eastAsia="en-GB"/>
        </w:rPr>
        <w:t xml:space="preserve">having formal review within 12 months                        </w:t>
      </w:r>
    </w:p>
    <w:p w:rsidR="00537C23" w:rsidRPr="002F150E" w:rsidRDefault="00537C23" w:rsidP="00537C23">
      <w:pPr>
        <w:numPr>
          <w:ilvl w:val="0"/>
          <w:numId w:val="7"/>
        </w:numPr>
        <w:autoSpaceDE w:val="0"/>
        <w:autoSpaceDN w:val="0"/>
        <w:adjustRightInd w:val="0"/>
        <w:rPr>
          <w:rFonts w:ascii="Arial" w:hAnsi="Arial" w:cs="Arial"/>
          <w:color w:val="000000"/>
          <w:lang w:val="en-GB" w:eastAsia="en-GB"/>
        </w:rPr>
      </w:pPr>
      <w:r w:rsidRPr="0048137C">
        <w:rPr>
          <w:rFonts w:ascii="Arial" w:hAnsi="Arial" w:cs="Arial"/>
          <w:color w:val="000000"/>
          <w:lang w:val="en-GB" w:eastAsia="en-GB"/>
        </w:rPr>
        <w:t>Minimising d</w:t>
      </w:r>
      <w:r w:rsidR="002F150E">
        <w:rPr>
          <w:rFonts w:ascii="Arial" w:hAnsi="Arial" w:cs="Arial"/>
          <w:color w:val="000000"/>
          <w:lang w:val="en-GB" w:eastAsia="en-GB"/>
        </w:rPr>
        <w:t xml:space="preserve">elayed transfers of care </w:t>
      </w:r>
      <w:r w:rsidRPr="0048137C">
        <w:rPr>
          <w:rFonts w:ascii="Arial" w:hAnsi="Arial" w:cs="Arial"/>
          <w:color w:val="000000"/>
          <w:lang w:val="en-GB" w:eastAsia="en-GB"/>
        </w:rPr>
        <w:t xml:space="preserve">                              </w:t>
      </w:r>
    </w:p>
    <w:p w:rsidR="00537C23" w:rsidRPr="0048137C" w:rsidRDefault="00537C23" w:rsidP="00537C23">
      <w:pPr>
        <w:numPr>
          <w:ilvl w:val="0"/>
          <w:numId w:val="7"/>
        </w:numPr>
        <w:autoSpaceDE w:val="0"/>
        <w:autoSpaceDN w:val="0"/>
        <w:adjustRightInd w:val="0"/>
        <w:rPr>
          <w:rFonts w:ascii="Arial" w:hAnsi="Arial" w:cs="Arial"/>
          <w:color w:val="000000"/>
          <w:lang w:val="en-GB" w:eastAsia="en-GB"/>
        </w:rPr>
      </w:pPr>
      <w:r w:rsidRPr="0048137C">
        <w:rPr>
          <w:rFonts w:ascii="Arial" w:hAnsi="Arial" w:cs="Arial"/>
          <w:color w:val="000000"/>
          <w:lang w:val="en-GB" w:eastAsia="en-GB"/>
        </w:rPr>
        <w:t xml:space="preserve">Admissions to inpatients services had access to crisis             </w:t>
      </w:r>
    </w:p>
    <w:p w:rsidR="00537C23" w:rsidRPr="0048137C" w:rsidRDefault="00537C23" w:rsidP="00537C23">
      <w:pPr>
        <w:autoSpaceDE w:val="0"/>
        <w:autoSpaceDN w:val="0"/>
        <w:adjustRightInd w:val="0"/>
        <w:ind w:left="709"/>
        <w:rPr>
          <w:rFonts w:ascii="Arial" w:hAnsi="Arial" w:cs="Arial"/>
          <w:color w:val="000000"/>
          <w:lang w:val="en-GB" w:eastAsia="en-GB"/>
        </w:rPr>
      </w:pPr>
      <w:r w:rsidRPr="0048137C">
        <w:rPr>
          <w:rFonts w:ascii="Arial" w:hAnsi="Arial" w:cs="Arial"/>
          <w:color w:val="000000"/>
          <w:lang w:val="en-GB" w:eastAsia="en-GB"/>
        </w:rPr>
        <w:t>reso</w:t>
      </w:r>
      <w:r w:rsidR="002F150E">
        <w:rPr>
          <w:rFonts w:ascii="Arial" w:hAnsi="Arial" w:cs="Arial"/>
          <w:color w:val="000000"/>
          <w:lang w:val="en-GB" w:eastAsia="en-GB"/>
        </w:rPr>
        <w:t xml:space="preserve">lution home treatment teams </w:t>
      </w:r>
    </w:p>
    <w:p w:rsidR="00537C23" w:rsidRPr="0048137C" w:rsidRDefault="00537C23" w:rsidP="00537C23">
      <w:pPr>
        <w:numPr>
          <w:ilvl w:val="0"/>
          <w:numId w:val="9"/>
        </w:numPr>
        <w:autoSpaceDE w:val="0"/>
        <w:autoSpaceDN w:val="0"/>
        <w:adjustRightInd w:val="0"/>
        <w:rPr>
          <w:rFonts w:ascii="Arial" w:hAnsi="Arial" w:cs="Arial"/>
          <w:color w:val="000000"/>
          <w:lang w:val="en-GB" w:eastAsia="en-GB"/>
        </w:rPr>
      </w:pPr>
      <w:r w:rsidRPr="0048137C">
        <w:rPr>
          <w:rFonts w:ascii="Arial" w:hAnsi="Arial" w:cs="Arial"/>
          <w:color w:val="000000"/>
          <w:lang w:val="en-GB" w:eastAsia="en-GB"/>
        </w:rPr>
        <w:t xml:space="preserve">Meeting commitment to serve new psychosis cases by early   </w:t>
      </w:r>
    </w:p>
    <w:p w:rsidR="00537C23" w:rsidRPr="0048137C" w:rsidRDefault="002F150E" w:rsidP="00537C23">
      <w:pPr>
        <w:autoSpaceDE w:val="0"/>
        <w:autoSpaceDN w:val="0"/>
        <w:adjustRightInd w:val="0"/>
        <w:ind w:left="709"/>
        <w:rPr>
          <w:rFonts w:ascii="Arial" w:hAnsi="Arial" w:cs="Arial"/>
          <w:color w:val="000000"/>
          <w:lang w:val="en-GB" w:eastAsia="en-GB"/>
        </w:rPr>
      </w:pPr>
      <w:r>
        <w:rPr>
          <w:rFonts w:ascii="Arial" w:hAnsi="Arial" w:cs="Arial"/>
          <w:color w:val="000000"/>
          <w:lang w:val="en-GB" w:eastAsia="en-GB"/>
        </w:rPr>
        <w:t>intervention teams</w:t>
      </w:r>
    </w:p>
    <w:p w:rsidR="00537C23" w:rsidRPr="0048137C" w:rsidRDefault="00537C23" w:rsidP="00537C23">
      <w:pPr>
        <w:numPr>
          <w:ilvl w:val="0"/>
          <w:numId w:val="9"/>
        </w:numPr>
        <w:autoSpaceDE w:val="0"/>
        <w:autoSpaceDN w:val="0"/>
        <w:adjustRightInd w:val="0"/>
        <w:rPr>
          <w:rFonts w:ascii="Arial" w:hAnsi="Arial" w:cs="Arial"/>
          <w:color w:val="000000"/>
          <w:lang w:val="en-GB" w:eastAsia="en-GB"/>
        </w:rPr>
      </w:pPr>
      <w:r w:rsidRPr="0048137C">
        <w:rPr>
          <w:rFonts w:ascii="Arial" w:hAnsi="Arial" w:cs="Arial"/>
          <w:color w:val="000000"/>
          <w:lang w:val="en-GB" w:eastAsia="en-GB"/>
        </w:rPr>
        <w:t>Dat</w:t>
      </w:r>
      <w:r w:rsidR="002F150E">
        <w:rPr>
          <w:rFonts w:ascii="Arial" w:hAnsi="Arial" w:cs="Arial"/>
          <w:color w:val="000000"/>
          <w:lang w:val="en-GB" w:eastAsia="en-GB"/>
        </w:rPr>
        <w:t xml:space="preserve">a completeness: identifiers </w:t>
      </w:r>
      <w:r w:rsidRPr="0048137C">
        <w:rPr>
          <w:rFonts w:ascii="Arial" w:hAnsi="Arial" w:cs="Arial"/>
          <w:color w:val="000000"/>
          <w:lang w:val="en-GB" w:eastAsia="en-GB"/>
        </w:rPr>
        <w:t xml:space="preserve"> </w:t>
      </w:r>
      <w:r w:rsidRPr="0048137C">
        <w:rPr>
          <w:rFonts w:ascii="Arial" w:hAnsi="Arial" w:cs="Arial"/>
          <w:color w:val="000000"/>
          <w:lang w:val="en-GB" w:eastAsia="en-GB"/>
        </w:rPr>
        <w:tab/>
      </w:r>
      <w:r w:rsidRPr="0048137C">
        <w:rPr>
          <w:rFonts w:ascii="Arial" w:hAnsi="Arial" w:cs="Arial"/>
          <w:color w:val="000000"/>
          <w:lang w:val="en-GB" w:eastAsia="en-GB"/>
        </w:rPr>
        <w:tab/>
      </w:r>
      <w:r w:rsidRPr="0048137C">
        <w:rPr>
          <w:rFonts w:ascii="Arial" w:hAnsi="Arial" w:cs="Arial"/>
          <w:color w:val="000000"/>
          <w:lang w:val="en-GB" w:eastAsia="en-GB"/>
        </w:rPr>
        <w:tab/>
      </w:r>
      <w:r w:rsidRPr="0048137C">
        <w:rPr>
          <w:rFonts w:ascii="Arial" w:hAnsi="Arial" w:cs="Arial"/>
          <w:color w:val="000000"/>
          <w:lang w:val="en-GB" w:eastAsia="en-GB"/>
        </w:rPr>
        <w:tab/>
      </w:r>
    </w:p>
    <w:p w:rsidR="00537C23" w:rsidRPr="00F82DBC" w:rsidRDefault="00537C23" w:rsidP="00537C23">
      <w:pPr>
        <w:numPr>
          <w:ilvl w:val="0"/>
          <w:numId w:val="9"/>
        </w:numPr>
        <w:autoSpaceDE w:val="0"/>
        <w:autoSpaceDN w:val="0"/>
        <w:adjustRightInd w:val="0"/>
        <w:rPr>
          <w:rFonts w:ascii="HelveticaNeue-Medium" w:hAnsi="HelveticaNeue-Medium" w:cs="HelveticaNeue-Medium"/>
          <w:color w:val="000000"/>
          <w:sz w:val="20"/>
          <w:szCs w:val="20"/>
          <w:lang w:val="en-GB" w:eastAsia="en-GB"/>
        </w:rPr>
      </w:pPr>
      <w:r w:rsidRPr="0048137C">
        <w:rPr>
          <w:rFonts w:ascii="Arial" w:hAnsi="Arial" w:cs="Arial"/>
          <w:color w:val="000000"/>
          <w:lang w:val="en-GB" w:eastAsia="en-GB"/>
        </w:rPr>
        <w:t xml:space="preserve">Data completeness: outcomes </w:t>
      </w:r>
    </w:p>
    <w:p w:rsidR="00537C23" w:rsidRDefault="00537C23" w:rsidP="00537C23">
      <w:pPr>
        <w:numPr>
          <w:ilvl w:val="0"/>
          <w:numId w:val="9"/>
        </w:numPr>
        <w:autoSpaceDE w:val="0"/>
        <w:autoSpaceDN w:val="0"/>
        <w:adjustRightInd w:val="0"/>
        <w:rPr>
          <w:rFonts w:ascii="HelveticaNeue-Medium" w:hAnsi="HelveticaNeue-Medium" w:cs="HelveticaNeue-Medium"/>
          <w:color w:val="000000"/>
          <w:sz w:val="20"/>
          <w:szCs w:val="20"/>
          <w:lang w:val="en-GB" w:eastAsia="en-GB"/>
        </w:rPr>
      </w:pPr>
      <w:r>
        <w:rPr>
          <w:rFonts w:ascii="Arial" w:hAnsi="Arial" w:cs="Arial"/>
          <w:color w:val="000000"/>
          <w:lang w:val="en-GB" w:eastAsia="en-GB"/>
        </w:rPr>
        <w:t>Compliance with requirements regarding access to healthcare for people with a learning disability</w:t>
      </w:r>
      <w:r w:rsidRPr="0048137C">
        <w:rPr>
          <w:rFonts w:ascii="Arial" w:hAnsi="Arial" w:cs="Arial"/>
          <w:color w:val="000000"/>
          <w:lang w:val="en-GB" w:eastAsia="en-GB"/>
        </w:rPr>
        <w:tab/>
      </w:r>
      <w:r>
        <w:rPr>
          <w:rFonts w:ascii="HelveticaNeue-Light" w:hAnsi="HelveticaNeue-Light" w:cs="HelveticaNeue-Light"/>
          <w:color w:val="000000"/>
          <w:sz w:val="18"/>
          <w:szCs w:val="18"/>
          <w:lang w:val="en-GB" w:eastAsia="en-GB"/>
        </w:rPr>
        <w:tab/>
      </w:r>
      <w:r>
        <w:rPr>
          <w:rFonts w:ascii="HelveticaNeue-Light" w:hAnsi="HelveticaNeue-Light" w:cs="HelveticaNeue-Light"/>
          <w:color w:val="000000"/>
          <w:sz w:val="18"/>
          <w:szCs w:val="18"/>
          <w:lang w:val="en-GB" w:eastAsia="en-GB"/>
        </w:rPr>
        <w:tab/>
      </w:r>
      <w:r>
        <w:rPr>
          <w:rFonts w:ascii="HelveticaNeue-Light" w:hAnsi="HelveticaNeue-Light" w:cs="HelveticaNeue-Light"/>
          <w:color w:val="000000"/>
          <w:sz w:val="18"/>
          <w:szCs w:val="18"/>
          <w:lang w:val="en-GB" w:eastAsia="en-GB"/>
        </w:rPr>
        <w:tab/>
      </w:r>
    </w:p>
    <w:p w:rsidR="00537C23" w:rsidRDefault="00537C23" w:rsidP="00537C23">
      <w:pPr>
        <w:jc w:val="both"/>
        <w:rPr>
          <w:rFonts w:ascii="Arial" w:hAnsi="Arial" w:cs="Arial"/>
          <w:vertAlign w:val="superscript"/>
        </w:rPr>
      </w:pPr>
    </w:p>
    <w:p w:rsidR="00537C23" w:rsidRPr="006557FC" w:rsidRDefault="00537C23" w:rsidP="00537C23">
      <w:pPr>
        <w:jc w:val="both"/>
        <w:rPr>
          <w:rFonts w:ascii="Arial" w:hAnsi="Arial" w:cs="Arial"/>
        </w:rPr>
      </w:pPr>
      <w:r>
        <w:rPr>
          <w:rFonts w:ascii="Arial" w:hAnsi="Arial" w:cs="Arial"/>
        </w:rPr>
        <w:t>No evidence is required but any qualified self-certification will require an exception report.</w:t>
      </w:r>
    </w:p>
    <w:p w:rsidR="002712E4" w:rsidRDefault="002712E4" w:rsidP="00537C23">
      <w:pPr>
        <w:jc w:val="both"/>
        <w:rPr>
          <w:rFonts w:ascii="Arial" w:hAnsi="Arial" w:cs="Arial"/>
        </w:rPr>
      </w:pPr>
    </w:p>
    <w:p w:rsidR="00537C23" w:rsidRDefault="00537C23" w:rsidP="00537C23">
      <w:pPr>
        <w:jc w:val="both"/>
        <w:rPr>
          <w:rFonts w:ascii="Arial" w:hAnsi="Arial" w:cs="Arial"/>
        </w:rPr>
      </w:pPr>
      <w:r>
        <w:rPr>
          <w:rFonts w:ascii="Arial" w:hAnsi="Arial" w:cs="Arial"/>
        </w:rPr>
        <w:t>The Trust is expected to provide reports for risks to compliance with the Authorisation by exception. These should include risks to compliance of the following (NB. This list is not exhaustive.  Please consult the Framework for the full list)</w:t>
      </w:r>
      <w:r>
        <w:rPr>
          <w:rFonts w:ascii="Arial" w:hAnsi="Arial" w:cs="Arial"/>
          <w:vertAlign w:val="superscript"/>
        </w:rPr>
        <w:t>1</w:t>
      </w:r>
      <w:r>
        <w:rPr>
          <w:rFonts w:ascii="Arial" w:hAnsi="Arial" w:cs="Arial"/>
        </w:rPr>
        <w:t>:</w:t>
      </w:r>
    </w:p>
    <w:p w:rsidR="00537C23" w:rsidRDefault="00537C23" w:rsidP="00537C23">
      <w:pPr>
        <w:jc w:val="both"/>
        <w:rPr>
          <w:rFonts w:ascii="Arial" w:hAnsi="Arial" w:cs="Arial"/>
        </w:rPr>
      </w:pPr>
    </w:p>
    <w:p w:rsidR="00537C23" w:rsidRDefault="00537C23" w:rsidP="00537C23">
      <w:pPr>
        <w:jc w:val="both"/>
        <w:rPr>
          <w:rFonts w:ascii="Arial" w:hAnsi="Arial" w:cs="Arial"/>
        </w:rPr>
      </w:pPr>
      <w:r>
        <w:rPr>
          <w:rFonts w:ascii="Arial" w:hAnsi="Arial" w:cs="Arial"/>
        </w:rPr>
        <w:t>Finance</w:t>
      </w:r>
    </w:p>
    <w:p w:rsidR="00537C23" w:rsidRDefault="00537C23" w:rsidP="00537C23">
      <w:pPr>
        <w:numPr>
          <w:ilvl w:val="0"/>
          <w:numId w:val="3"/>
        </w:numPr>
        <w:jc w:val="both"/>
        <w:rPr>
          <w:rFonts w:ascii="Arial" w:hAnsi="Arial" w:cs="Arial"/>
        </w:rPr>
      </w:pPr>
      <w:r>
        <w:rPr>
          <w:rFonts w:ascii="Arial" w:hAnsi="Arial" w:cs="Arial"/>
        </w:rPr>
        <w:t>Unplanned significant reductions in income or significant increases in costs.</w:t>
      </w:r>
    </w:p>
    <w:p w:rsidR="00537C23" w:rsidRDefault="00537C23" w:rsidP="00537C23">
      <w:pPr>
        <w:numPr>
          <w:ilvl w:val="0"/>
          <w:numId w:val="3"/>
        </w:numPr>
        <w:jc w:val="both"/>
        <w:rPr>
          <w:rFonts w:ascii="Arial" w:hAnsi="Arial" w:cs="Arial"/>
        </w:rPr>
      </w:pPr>
      <w:r>
        <w:rPr>
          <w:rFonts w:ascii="Arial" w:hAnsi="Arial" w:cs="Arial"/>
        </w:rPr>
        <w:t>Requirement for working capital in breach of PBL limits.</w:t>
      </w:r>
    </w:p>
    <w:p w:rsidR="00537C23" w:rsidRDefault="00537C23" w:rsidP="00537C23">
      <w:pPr>
        <w:numPr>
          <w:ilvl w:val="0"/>
          <w:numId w:val="3"/>
        </w:numPr>
        <w:jc w:val="both"/>
        <w:rPr>
          <w:rFonts w:ascii="Arial" w:hAnsi="Arial" w:cs="Arial"/>
        </w:rPr>
      </w:pPr>
      <w:r>
        <w:rPr>
          <w:rFonts w:ascii="Arial" w:hAnsi="Arial" w:cs="Arial"/>
        </w:rPr>
        <w:t>Failure to comply with NHS Foundation Trust Annual Reporting Manual.</w:t>
      </w:r>
    </w:p>
    <w:p w:rsidR="00537C23" w:rsidRDefault="00537C23" w:rsidP="00537C23">
      <w:pPr>
        <w:numPr>
          <w:ilvl w:val="0"/>
          <w:numId w:val="3"/>
        </w:numPr>
        <w:jc w:val="both"/>
        <w:rPr>
          <w:rFonts w:ascii="Arial" w:hAnsi="Arial" w:cs="Arial"/>
        </w:rPr>
      </w:pPr>
      <w:r>
        <w:rPr>
          <w:rFonts w:ascii="Arial" w:hAnsi="Arial" w:cs="Arial"/>
        </w:rPr>
        <w:t>Discussions with external auditors which may lead to a qualified audit report.</w:t>
      </w:r>
    </w:p>
    <w:p w:rsidR="00537C23" w:rsidRDefault="00537C23" w:rsidP="00537C23">
      <w:pPr>
        <w:numPr>
          <w:ilvl w:val="0"/>
          <w:numId w:val="3"/>
        </w:numPr>
        <w:jc w:val="both"/>
        <w:rPr>
          <w:rFonts w:ascii="Arial" w:hAnsi="Arial" w:cs="Arial"/>
        </w:rPr>
      </w:pPr>
      <w:r>
        <w:rPr>
          <w:rFonts w:ascii="Arial" w:hAnsi="Arial" w:cs="Arial"/>
        </w:rPr>
        <w:t>Major investments that could affect the financial risk rating or which may result in an investment adjustment.</w:t>
      </w:r>
    </w:p>
    <w:p w:rsidR="00537C23" w:rsidRDefault="00537C23" w:rsidP="00537C23">
      <w:pPr>
        <w:jc w:val="both"/>
        <w:rPr>
          <w:rFonts w:ascii="Arial" w:hAnsi="Arial" w:cs="Arial"/>
        </w:rPr>
      </w:pPr>
    </w:p>
    <w:p w:rsidR="00537C23" w:rsidRDefault="00537C23" w:rsidP="00537C23">
      <w:pPr>
        <w:jc w:val="both"/>
        <w:rPr>
          <w:rFonts w:ascii="Arial" w:hAnsi="Arial" w:cs="Arial"/>
        </w:rPr>
      </w:pPr>
      <w:r>
        <w:rPr>
          <w:rFonts w:ascii="Arial" w:hAnsi="Arial" w:cs="Arial"/>
        </w:rPr>
        <w:t>Governance</w:t>
      </w:r>
    </w:p>
    <w:p w:rsidR="00537C23" w:rsidRDefault="00537C23" w:rsidP="00537C23">
      <w:pPr>
        <w:numPr>
          <w:ilvl w:val="0"/>
          <w:numId w:val="4"/>
        </w:numPr>
        <w:jc w:val="both"/>
        <w:rPr>
          <w:rFonts w:ascii="Arial" w:hAnsi="Arial" w:cs="Arial"/>
        </w:rPr>
      </w:pPr>
      <w:r>
        <w:rPr>
          <w:rFonts w:ascii="Arial" w:hAnsi="Arial" w:cs="Arial"/>
        </w:rPr>
        <w:t xml:space="preserve">Events suggesting material issues with governance processes and structures: </w:t>
      </w:r>
    </w:p>
    <w:p w:rsidR="00537C23" w:rsidRDefault="00537C23" w:rsidP="00537C23">
      <w:pPr>
        <w:numPr>
          <w:ilvl w:val="1"/>
          <w:numId w:val="10"/>
        </w:numPr>
        <w:jc w:val="both"/>
        <w:rPr>
          <w:rFonts w:ascii="Arial" w:hAnsi="Arial" w:cs="Arial"/>
        </w:rPr>
      </w:pPr>
      <w:r>
        <w:rPr>
          <w:rFonts w:ascii="Arial" w:hAnsi="Arial" w:cs="Arial"/>
        </w:rPr>
        <w:t>Removal of director(s) for abuse of office</w:t>
      </w:r>
    </w:p>
    <w:p w:rsidR="00537C23" w:rsidRDefault="00537C23" w:rsidP="00537C23">
      <w:pPr>
        <w:numPr>
          <w:ilvl w:val="1"/>
          <w:numId w:val="10"/>
        </w:numPr>
        <w:jc w:val="both"/>
        <w:rPr>
          <w:rFonts w:ascii="Arial" w:hAnsi="Arial" w:cs="Arial"/>
        </w:rPr>
      </w:pPr>
      <w:r>
        <w:rPr>
          <w:rFonts w:ascii="Arial" w:hAnsi="Arial" w:cs="Arial"/>
        </w:rPr>
        <w:t>Significant non-contractual disputes with an NHS body</w:t>
      </w:r>
    </w:p>
    <w:p w:rsidR="00537C23" w:rsidRDefault="00537C23" w:rsidP="00537C23">
      <w:pPr>
        <w:numPr>
          <w:ilvl w:val="1"/>
          <w:numId w:val="10"/>
        </w:numPr>
        <w:jc w:val="both"/>
        <w:rPr>
          <w:rFonts w:ascii="Arial" w:hAnsi="Arial" w:cs="Arial"/>
        </w:rPr>
      </w:pPr>
      <w:r>
        <w:rPr>
          <w:rFonts w:ascii="Arial" w:hAnsi="Arial" w:cs="Arial"/>
        </w:rPr>
        <w:lastRenderedPageBreak/>
        <w:t>Failure to meet healthcare targets.</w:t>
      </w:r>
    </w:p>
    <w:p w:rsidR="00537C23" w:rsidRDefault="00537C23" w:rsidP="00537C23">
      <w:pPr>
        <w:numPr>
          <w:ilvl w:val="0"/>
          <w:numId w:val="4"/>
        </w:numPr>
        <w:jc w:val="both"/>
        <w:rPr>
          <w:rFonts w:ascii="Arial" w:hAnsi="Arial" w:cs="Arial"/>
        </w:rPr>
      </w:pPr>
      <w:r>
        <w:rPr>
          <w:rFonts w:ascii="Arial" w:hAnsi="Arial" w:cs="Arial"/>
        </w:rPr>
        <w:t>Risk of failure to maintain registration with the CQC or application or removal of the conditions on registration.</w:t>
      </w:r>
    </w:p>
    <w:p w:rsidR="00537C23" w:rsidRDefault="00537C23" w:rsidP="00537C23">
      <w:pPr>
        <w:numPr>
          <w:ilvl w:val="0"/>
          <w:numId w:val="4"/>
        </w:numPr>
        <w:jc w:val="both"/>
        <w:rPr>
          <w:rFonts w:ascii="Arial" w:hAnsi="Arial" w:cs="Arial"/>
        </w:rPr>
      </w:pPr>
      <w:r>
        <w:rPr>
          <w:rFonts w:ascii="Arial" w:hAnsi="Arial" w:cs="Arial"/>
        </w:rPr>
        <w:t>Patient safety issues which may impact the Authorisation.</w:t>
      </w:r>
    </w:p>
    <w:p w:rsidR="00537C23" w:rsidRDefault="00537C23" w:rsidP="00537C23">
      <w:pPr>
        <w:numPr>
          <w:ilvl w:val="0"/>
          <w:numId w:val="4"/>
        </w:numPr>
        <w:jc w:val="both"/>
        <w:rPr>
          <w:rFonts w:ascii="Arial" w:hAnsi="Arial" w:cs="Arial"/>
        </w:rPr>
      </w:pPr>
      <w:r>
        <w:rPr>
          <w:rFonts w:ascii="Arial" w:hAnsi="Arial" w:cs="Arial"/>
        </w:rPr>
        <w:t>Proposals to vary mandatory services or dispose of assets.</w:t>
      </w:r>
    </w:p>
    <w:p w:rsidR="00537C23" w:rsidRDefault="00537C23" w:rsidP="00537C23">
      <w:pPr>
        <w:numPr>
          <w:ilvl w:val="0"/>
          <w:numId w:val="4"/>
        </w:numPr>
        <w:jc w:val="both"/>
        <w:rPr>
          <w:rFonts w:ascii="Arial" w:hAnsi="Arial" w:cs="Arial"/>
        </w:rPr>
      </w:pPr>
      <w:r>
        <w:rPr>
          <w:rFonts w:ascii="Arial" w:hAnsi="Arial" w:cs="Arial"/>
        </w:rPr>
        <w:t>Reporting of breaches in information governance.</w:t>
      </w:r>
    </w:p>
    <w:p w:rsidR="008D72C9" w:rsidRDefault="008D72C9" w:rsidP="00537C23">
      <w:pPr>
        <w:rPr>
          <w:rFonts w:ascii="Arial" w:hAnsi="Arial" w:cs="Arial"/>
        </w:rPr>
      </w:pPr>
    </w:p>
    <w:p w:rsidR="00537C23" w:rsidRDefault="00537C23" w:rsidP="00537C23">
      <w:pPr>
        <w:rPr>
          <w:rFonts w:ascii="Arial" w:hAnsi="Arial" w:cs="Arial"/>
        </w:rPr>
      </w:pPr>
      <w:r>
        <w:rPr>
          <w:rFonts w:ascii="Arial" w:hAnsi="Arial" w:cs="Arial"/>
        </w:rPr>
        <w:t>Other risks</w:t>
      </w:r>
    </w:p>
    <w:p w:rsidR="00537C23" w:rsidRDefault="00537C23" w:rsidP="00537C23">
      <w:pPr>
        <w:numPr>
          <w:ilvl w:val="0"/>
          <w:numId w:val="5"/>
        </w:numPr>
        <w:rPr>
          <w:rFonts w:ascii="Arial" w:hAnsi="Arial" w:cs="Arial"/>
        </w:rPr>
      </w:pPr>
      <w:r>
        <w:rPr>
          <w:rFonts w:ascii="Arial" w:hAnsi="Arial" w:cs="Arial"/>
        </w:rPr>
        <w:t>Enforcement notices from other bodies implying potential or actual significant breach of any other requirement in the Authorisation (e.g. fire author notices).</w:t>
      </w:r>
    </w:p>
    <w:p w:rsidR="00537C23" w:rsidRDefault="00537C23" w:rsidP="00537C23">
      <w:pPr>
        <w:rPr>
          <w:rFonts w:ascii="Arial" w:hAnsi="Arial" w:cs="Arial"/>
        </w:rPr>
      </w:pPr>
    </w:p>
    <w:p w:rsidR="00537C23" w:rsidRPr="007338A7" w:rsidRDefault="00537C23" w:rsidP="00537C23">
      <w:pPr>
        <w:rPr>
          <w:rFonts w:ascii="Arial" w:hAnsi="Arial" w:cs="Arial"/>
          <w:b/>
          <w:i/>
        </w:rPr>
      </w:pPr>
      <w:r w:rsidRPr="007338A7">
        <w:rPr>
          <w:rFonts w:ascii="Arial" w:hAnsi="Arial" w:cs="Arial"/>
          <w:b/>
          <w:i/>
        </w:rPr>
        <w:t>Other required reports</w:t>
      </w:r>
    </w:p>
    <w:p w:rsidR="00537C23" w:rsidRDefault="00537C23" w:rsidP="00537C23">
      <w:pPr>
        <w:rPr>
          <w:rFonts w:ascii="Arial" w:hAnsi="Arial" w:cs="Arial"/>
        </w:rPr>
      </w:pPr>
      <w:r>
        <w:rPr>
          <w:rFonts w:ascii="Arial" w:hAnsi="Arial" w:cs="Arial"/>
        </w:rPr>
        <w:t>The Trust also has to provide reports on</w:t>
      </w:r>
      <w:r>
        <w:rPr>
          <w:rFonts w:ascii="Arial" w:hAnsi="Arial" w:cs="Arial"/>
          <w:vertAlign w:val="superscript"/>
        </w:rPr>
        <w:t>1</w:t>
      </w:r>
      <w:r>
        <w:rPr>
          <w:rFonts w:ascii="Arial" w:hAnsi="Arial" w:cs="Arial"/>
        </w:rPr>
        <w:t>:</w:t>
      </w:r>
    </w:p>
    <w:p w:rsidR="00537C23" w:rsidRPr="00296CFA" w:rsidRDefault="00537C23" w:rsidP="00537C23">
      <w:pPr>
        <w:numPr>
          <w:ilvl w:val="0"/>
          <w:numId w:val="6"/>
        </w:numPr>
        <w:rPr>
          <w:rFonts w:ascii="Arial" w:hAnsi="Arial" w:cs="Arial"/>
        </w:rPr>
      </w:pPr>
      <w:r w:rsidRPr="00296CFA">
        <w:rPr>
          <w:rFonts w:ascii="Arial" w:hAnsi="Arial" w:cs="Arial"/>
        </w:rPr>
        <w:t>Election results</w:t>
      </w:r>
    </w:p>
    <w:p w:rsidR="00537C23" w:rsidRPr="00296CFA" w:rsidRDefault="00537C23" w:rsidP="00537C23">
      <w:pPr>
        <w:numPr>
          <w:ilvl w:val="0"/>
          <w:numId w:val="6"/>
        </w:numPr>
        <w:rPr>
          <w:rFonts w:ascii="Arial" w:hAnsi="Arial" w:cs="Arial"/>
        </w:rPr>
      </w:pPr>
      <w:r w:rsidRPr="00296CFA">
        <w:rPr>
          <w:rFonts w:ascii="Arial" w:hAnsi="Arial" w:cs="Arial"/>
        </w:rPr>
        <w:t xml:space="preserve">Changes to </w:t>
      </w:r>
      <w:r>
        <w:rPr>
          <w:rFonts w:ascii="Arial" w:hAnsi="Arial" w:cs="Arial"/>
        </w:rPr>
        <w:t>B</w:t>
      </w:r>
      <w:r w:rsidRPr="00296CFA">
        <w:rPr>
          <w:rFonts w:ascii="Arial" w:hAnsi="Arial" w:cs="Arial"/>
        </w:rPr>
        <w:t>oard</w:t>
      </w:r>
      <w:r>
        <w:rPr>
          <w:rFonts w:ascii="Arial" w:hAnsi="Arial" w:cs="Arial"/>
        </w:rPr>
        <w:t xml:space="preserve"> of Directors and</w:t>
      </w:r>
      <w:r w:rsidRPr="00296CFA">
        <w:rPr>
          <w:rFonts w:ascii="Arial" w:hAnsi="Arial" w:cs="Arial"/>
        </w:rPr>
        <w:t xml:space="preserve"> Members’ Council</w:t>
      </w:r>
    </w:p>
    <w:p w:rsidR="00537C23" w:rsidRDefault="00537C23" w:rsidP="00537C23">
      <w:pPr>
        <w:jc w:val="both"/>
        <w:rPr>
          <w:rFonts w:ascii="Arial" w:hAnsi="Arial" w:cs="Arial"/>
        </w:rPr>
      </w:pPr>
    </w:p>
    <w:p w:rsidR="00537C23" w:rsidRPr="006557FC" w:rsidRDefault="00537C23" w:rsidP="00537C23">
      <w:pPr>
        <w:jc w:val="both"/>
        <w:rPr>
          <w:rFonts w:ascii="Arial" w:hAnsi="Arial" w:cs="Arial"/>
        </w:rPr>
      </w:pPr>
      <w:r>
        <w:rPr>
          <w:rFonts w:ascii="Arial" w:hAnsi="Arial" w:cs="Arial"/>
          <w:vertAlign w:val="superscript"/>
        </w:rPr>
        <w:t>1</w:t>
      </w:r>
      <w:r>
        <w:rPr>
          <w:rFonts w:ascii="Arial" w:hAnsi="Arial" w:cs="Arial"/>
        </w:rPr>
        <w:t>Source Compliance Framework 31 March 201</w:t>
      </w:r>
      <w:r w:rsidR="002F150E">
        <w:rPr>
          <w:rFonts w:ascii="Arial" w:hAnsi="Arial" w:cs="Arial"/>
        </w:rPr>
        <w:t>1</w:t>
      </w:r>
    </w:p>
    <w:p w:rsidR="002712E4" w:rsidRDefault="002712E4" w:rsidP="00537C23">
      <w:pPr>
        <w:jc w:val="both"/>
        <w:rPr>
          <w:rFonts w:ascii="Arial" w:hAnsi="Arial" w:cs="Arial"/>
          <w:b/>
        </w:rPr>
      </w:pPr>
    </w:p>
    <w:p w:rsidR="00537C23" w:rsidRDefault="00537C23" w:rsidP="007338A7">
      <w:pPr>
        <w:numPr>
          <w:ilvl w:val="0"/>
          <w:numId w:val="14"/>
        </w:numPr>
        <w:ind w:hanging="720"/>
        <w:jc w:val="both"/>
        <w:rPr>
          <w:rFonts w:ascii="Arial" w:hAnsi="Arial" w:cs="Arial"/>
          <w:b/>
        </w:rPr>
      </w:pPr>
      <w:r>
        <w:rPr>
          <w:rFonts w:ascii="Arial" w:hAnsi="Arial" w:cs="Arial"/>
          <w:b/>
        </w:rPr>
        <w:t xml:space="preserve">Submissions for Quarter </w:t>
      </w:r>
      <w:r w:rsidR="008D72C9">
        <w:rPr>
          <w:rFonts w:ascii="Arial" w:hAnsi="Arial" w:cs="Arial"/>
          <w:b/>
        </w:rPr>
        <w:t>4</w:t>
      </w:r>
    </w:p>
    <w:p w:rsidR="0038018C" w:rsidRDefault="00537C23" w:rsidP="0038018C">
      <w:pPr>
        <w:jc w:val="both"/>
        <w:rPr>
          <w:rFonts w:ascii="Arial" w:hAnsi="Arial" w:cs="Arial"/>
        </w:rPr>
      </w:pPr>
      <w:r>
        <w:rPr>
          <w:rFonts w:ascii="Arial" w:hAnsi="Arial" w:cs="Arial"/>
        </w:rPr>
        <w:t>Monitor issued to the Trust the template to be completed as part of the in-year reporting.</w:t>
      </w:r>
      <w:r w:rsidR="0038018C">
        <w:rPr>
          <w:rFonts w:ascii="Arial" w:hAnsi="Arial" w:cs="Arial"/>
        </w:rPr>
        <w:t xml:space="preserve">  </w:t>
      </w:r>
      <w:r w:rsidR="00CB32C4">
        <w:rPr>
          <w:rFonts w:ascii="Arial" w:hAnsi="Arial" w:cs="Arial"/>
        </w:rPr>
        <w:t>As required in the past</w:t>
      </w:r>
      <w:r w:rsidR="008D72C9">
        <w:rPr>
          <w:rFonts w:ascii="Arial" w:hAnsi="Arial" w:cs="Arial"/>
        </w:rPr>
        <w:t xml:space="preserve"> three</w:t>
      </w:r>
      <w:r w:rsidR="00CB32C4">
        <w:rPr>
          <w:rFonts w:ascii="Arial" w:hAnsi="Arial" w:cs="Arial"/>
        </w:rPr>
        <w:t xml:space="preserve"> quarters, </w:t>
      </w:r>
      <w:r w:rsidR="008D72C9">
        <w:rPr>
          <w:rFonts w:ascii="Arial" w:hAnsi="Arial" w:cs="Arial"/>
        </w:rPr>
        <w:t>there are three declarations</w:t>
      </w:r>
      <w:r w:rsidR="00CB32C4">
        <w:rPr>
          <w:rFonts w:ascii="Arial" w:hAnsi="Arial" w:cs="Arial"/>
        </w:rPr>
        <w:t xml:space="preserve">: </w:t>
      </w:r>
    </w:p>
    <w:p w:rsidR="0038018C" w:rsidRPr="0033327E" w:rsidRDefault="0038018C" w:rsidP="0038018C">
      <w:pPr>
        <w:numPr>
          <w:ilvl w:val="0"/>
          <w:numId w:val="11"/>
        </w:numPr>
        <w:jc w:val="both"/>
        <w:rPr>
          <w:rFonts w:ascii="Arial" w:hAnsi="Arial" w:cs="Arial"/>
        </w:rPr>
      </w:pPr>
      <w:r w:rsidRPr="0033327E">
        <w:rPr>
          <w:rFonts w:ascii="Arial" w:hAnsi="Arial" w:cs="Arial"/>
        </w:rPr>
        <w:t xml:space="preserve">Governance – </w:t>
      </w:r>
      <w:r w:rsidR="00CB32C4" w:rsidRPr="0033327E">
        <w:rPr>
          <w:rFonts w:ascii="Arial" w:hAnsi="Arial" w:cs="Arial"/>
        </w:rPr>
        <w:t>work is still occurring to determine which Declaration should be signed (see below for further information) and</w:t>
      </w:r>
      <w:r w:rsidR="00625264" w:rsidRPr="0033327E">
        <w:rPr>
          <w:rFonts w:ascii="Arial" w:hAnsi="Arial" w:cs="Arial"/>
        </w:rPr>
        <w:t xml:space="preserve"> </w:t>
      </w:r>
      <w:r w:rsidR="00CB32C4" w:rsidRPr="0033327E">
        <w:rPr>
          <w:rFonts w:ascii="Arial" w:hAnsi="Arial" w:cs="Arial"/>
        </w:rPr>
        <w:t>an oral update will be provided at the Board meeting.</w:t>
      </w:r>
    </w:p>
    <w:p w:rsidR="0038018C" w:rsidRDefault="00ED2939" w:rsidP="0038018C">
      <w:pPr>
        <w:numPr>
          <w:ilvl w:val="0"/>
          <w:numId w:val="11"/>
        </w:numPr>
        <w:jc w:val="both"/>
        <w:rPr>
          <w:rFonts w:ascii="Arial" w:hAnsi="Arial" w:cs="Arial"/>
        </w:rPr>
      </w:pPr>
      <w:r>
        <w:rPr>
          <w:rFonts w:ascii="Arial" w:hAnsi="Arial" w:cs="Arial"/>
        </w:rPr>
        <w:t xml:space="preserve">Finance – the </w:t>
      </w:r>
      <w:r w:rsidR="0038018C">
        <w:rPr>
          <w:rFonts w:ascii="Arial" w:hAnsi="Arial" w:cs="Arial"/>
        </w:rPr>
        <w:t>Director of Finance will provide an oral update and refer to the Finance Report to support Declaration 1 being signed</w:t>
      </w:r>
      <w:r w:rsidR="00CB32C4">
        <w:rPr>
          <w:rFonts w:ascii="Arial" w:hAnsi="Arial" w:cs="Arial"/>
        </w:rPr>
        <w:t>.</w:t>
      </w:r>
    </w:p>
    <w:p w:rsidR="0038018C" w:rsidRDefault="0038018C" w:rsidP="0038018C">
      <w:pPr>
        <w:numPr>
          <w:ilvl w:val="0"/>
          <w:numId w:val="11"/>
        </w:numPr>
        <w:jc w:val="both"/>
        <w:rPr>
          <w:rFonts w:ascii="Arial" w:hAnsi="Arial" w:cs="Arial"/>
        </w:rPr>
      </w:pPr>
      <w:r>
        <w:rPr>
          <w:rFonts w:ascii="Arial" w:hAnsi="Arial" w:cs="Arial"/>
        </w:rPr>
        <w:t>Quality</w:t>
      </w:r>
      <w:r w:rsidR="00CB32C4">
        <w:rPr>
          <w:rFonts w:ascii="Arial" w:hAnsi="Arial" w:cs="Arial"/>
        </w:rPr>
        <w:t xml:space="preserve"> – Director of Nurs</w:t>
      </w:r>
      <w:r>
        <w:rPr>
          <w:rFonts w:ascii="Arial" w:hAnsi="Arial" w:cs="Arial"/>
        </w:rPr>
        <w:t>ing and Clinical Standards will provide an oral update to support Declaration 1 being signed</w:t>
      </w:r>
      <w:r w:rsidR="00CB32C4">
        <w:rPr>
          <w:rFonts w:ascii="Arial" w:hAnsi="Arial" w:cs="Arial"/>
        </w:rPr>
        <w:t>.</w:t>
      </w:r>
      <w:r>
        <w:rPr>
          <w:rFonts w:ascii="Arial" w:hAnsi="Arial" w:cs="Arial"/>
        </w:rPr>
        <w:t xml:space="preserve"> </w:t>
      </w:r>
    </w:p>
    <w:p w:rsidR="0038018C" w:rsidRDefault="0038018C" w:rsidP="0038018C">
      <w:pPr>
        <w:jc w:val="both"/>
        <w:rPr>
          <w:rFonts w:ascii="Arial" w:hAnsi="Arial" w:cs="Arial"/>
        </w:rPr>
      </w:pPr>
    </w:p>
    <w:p w:rsidR="0038018C" w:rsidRDefault="002712E4" w:rsidP="00E21E88">
      <w:pPr>
        <w:jc w:val="both"/>
        <w:rPr>
          <w:rFonts w:ascii="Arial" w:hAnsi="Arial" w:cs="Arial"/>
        </w:rPr>
      </w:pPr>
      <w:r w:rsidRPr="0033327E">
        <w:rPr>
          <w:rFonts w:ascii="Arial" w:hAnsi="Arial" w:cs="Arial"/>
        </w:rPr>
        <w:t xml:space="preserve">In terms of </w:t>
      </w:r>
      <w:r w:rsidR="00E21E88" w:rsidRPr="0033327E">
        <w:rPr>
          <w:rFonts w:ascii="Arial" w:hAnsi="Arial" w:cs="Arial"/>
        </w:rPr>
        <w:t>the targets and indicat</w:t>
      </w:r>
      <w:r w:rsidR="00CB32C4" w:rsidRPr="0033327E">
        <w:rPr>
          <w:rFonts w:ascii="Arial" w:hAnsi="Arial" w:cs="Arial"/>
        </w:rPr>
        <w:t>ors (which under-pin the Governance Declaration)</w:t>
      </w:r>
      <w:r w:rsidR="00E21E88" w:rsidRPr="0033327E">
        <w:rPr>
          <w:rFonts w:ascii="Arial" w:hAnsi="Arial" w:cs="Arial"/>
        </w:rPr>
        <w:t>, the Executive Board on 1</w:t>
      </w:r>
      <w:r w:rsidR="00CB32C4" w:rsidRPr="0033327E">
        <w:rPr>
          <w:rFonts w:ascii="Arial" w:hAnsi="Arial" w:cs="Arial"/>
        </w:rPr>
        <w:t>0</w:t>
      </w:r>
      <w:r w:rsidR="00E21E88" w:rsidRPr="0033327E">
        <w:rPr>
          <w:rFonts w:ascii="Arial" w:hAnsi="Arial" w:cs="Arial"/>
        </w:rPr>
        <w:t xml:space="preserve"> </w:t>
      </w:r>
      <w:r w:rsidR="007338A7" w:rsidRPr="0033327E">
        <w:rPr>
          <w:rFonts w:ascii="Arial" w:hAnsi="Arial" w:cs="Arial"/>
        </w:rPr>
        <w:t>April</w:t>
      </w:r>
      <w:r w:rsidR="00E21E88" w:rsidRPr="0033327E">
        <w:rPr>
          <w:rFonts w:ascii="Arial" w:hAnsi="Arial" w:cs="Arial"/>
        </w:rPr>
        <w:t xml:space="preserve"> and the Extended Executive Board on 1</w:t>
      </w:r>
      <w:r w:rsidR="00CB32C4" w:rsidRPr="0033327E">
        <w:rPr>
          <w:rFonts w:ascii="Arial" w:hAnsi="Arial" w:cs="Arial"/>
        </w:rPr>
        <w:t>7</w:t>
      </w:r>
      <w:r w:rsidR="00E21E88" w:rsidRPr="0033327E">
        <w:rPr>
          <w:rFonts w:ascii="Arial" w:hAnsi="Arial" w:cs="Arial"/>
        </w:rPr>
        <w:t xml:space="preserve"> </w:t>
      </w:r>
      <w:r w:rsidR="007338A7" w:rsidRPr="0033327E">
        <w:rPr>
          <w:rFonts w:ascii="Arial" w:hAnsi="Arial" w:cs="Arial"/>
        </w:rPr>
        <w:t>April</w:t>
      </w:r>
      <w:r w:rsidR="00CB32C4" w:rsidRPr="0033327E">
        <w:rPr>
          <w:rFonts w:ascii="Arial" w:hAnsi="Arial" w:cs="Arial"/>
        </w:rPr>
        <w:t xml:space="preserve"> </w:t>
      </w:r>
      <w:r w:rsidR="00E21E88" w:rsidRPr="0033327E">
        <w:rPr>
          <w:rFonts w:ascii="Arial" w:hAnsi="Arial" w:cs="Arial"/>
        </w:rPr>
        <w:t>discussed the proposed submission and confirmed that all targets had been met</w:t>
      </w:r>
      <w:r w:rsidR="0033327E" w:rsidRPr="0033327E">
        <w:rPr>
          <w:rFonts w:ascii="Arial" w:hAnsi="Arial" w:cs="Arial"/>
        </w:rPr>
        <w:t>; however, it was noted that further evidence was required to declare compliance against the Learning Disability target.  Work is occurring to address the lack of evidence and an oral update on the position will be provided at the Board meeting.</w:t>
      </w:r>
    </w:p>
    <w:p w:rsidR="00537C23" w:rsidRDefault="00537C23" w:rsidP="00537C23">
      <w:pPr>
        <w:jc w:val="both"/>
        <w:rPr>
          <w:rFonts w:ascii="Arial" w:hAnsi="Arial" w:cs="Arial"/>
          <w:lang w:val="en-GB" w:eastAsia="en-GB"/>
        </w:rPr>
      </w:pPr>
    </w:p>
    <w:p w:rsidR="008D72C9" w:rsidRPr="00B403C8" w:rsidRDefault="008D72C9" w:rsidP="00537C23">
      <w:pPr>
        <w:jc w:val="both"/>
        <w:rPr>
          <w:rFonts w:ascii="Arial" w:hAnsi="Arial" w:cs="Arial"/>
          <w:b/>
          <w:i/>
          <w:lang w:val="en-GB" w:eastAsia="en-GB"/>
        </w:rPr>
      </w:pPr>
      <w:r w:rsidRPr="00B403C8">
        <w:rPr>
          <w:rFonts w:ascii="Arial" w:hAnsi="Arial" w:cs="Arial"/>
          <w:b/>
          <w:i/>
          <w:lang w:val="en-GB" w:eastAsia="en-GB"/>
        </w:rPr>
        <w:t>CNST Level</w:t>
      </w:r>
    </w:p>
    <w:p w:rsidR="00ED2939" w:rsidRPr="00B403C8" w:rsidRDefault="00ED2939" w:rsidP="00537C23">
      <w:pPr>
        <w:jc w:val="both"/>
        <w:rPr>
          <w:rFonts w:ascii="Arial" w:hAnsi="Arial" w:cs="Arial"/>
        </w:rPr>
      </w:pPr>
      <w:r w:rsidRPr="00B403C8">
        <w:rPr>
          <w:rFonts w:ascii="Arial" w:hAnsi="Arial" w:cs="Arial"/>
          <w:lang w:val="en-GB" w:eastAsia="en-GB"/>
        </w:rPr>
        <w:t>As reported to Board in September</w:t>
      </w:r>
      <w:r w:rsidR="00DB4A51" w:rsidRPr="00B403C8">
        <w:rPr>
          <w:rFonts w:ascii="Arial" w:hAnsi="Arial" w:cs="Arial"/>
          <w:lang w:val="en-GB" w:eastAsia="en-GB"/>
        </w:rPr>
        <w:t xml:space="preserve"> 2011</w:t>
      </w:r>
      <w:r w:rsidRPr="00B403C8">
        <w:rPr>
          <w:rFonts w:ascii="Arial" w:hAnsi="Arial" w:cs="Arial"/>
          <w:lang w:val="en-GB" w:eastAsia="en-GB"/>
        </w:rPr>
        <w:t xml:space="preserve">, </w:t>
      </w:r>
      <w:r w:rsidRPr="00B403C8">
        <w:rPr>
          <w:rFonts w:ascii="Arial" w:hAnsi="Arial" w:cs="Arial"/>
        </w:rPr>
        <w:t xml:space="preserve">Trust had requested that Monitor approve an investment adjustment in relation to the acquisition of CHO which took effect as of April 2011.  As a consequence of the acquisition, the Trust’s CNST level was downgraded from Level 1 to Level 0. In these situations the </w:t>
      </w:r>
      <w:r w:rsidRPr="00B403C8">
        <w:rPr>
          <w:rFonts w:ascii="Arial" w:hAnsi="Arial" w:cs="Arial"/>
          <w:i/>
          <w:iCs/>
        </w:rPr>
        <w:t xml:space="preserve">Compliance Framework </w:t>
      </w:r>
      <w:r w:rsidRPr="00B403C8">
        <w:rPr>
          <w:rFonts w:ascii="Arial" w:hAnsi="Arial" w:cs="Arial"/>
        </w:rPr>
        <w:t xml:space="preserve">allows for a Governance risk rating adjustment to be applied providing the Trust can provide an action plan to return to level 1 and has an NHSLA assessment date booked.  Monitor’s Compliance Board Committee </w:t>
      </w:r>
      <w:r w:rsidRPr="00B403C8">
        <w:rPr>
          <w:rFonts w:ascii="Arial" w:hAnsi="Arial" w:cs="Arial"/>
        </w:rPr>
        <w:lastRenderedPageBreak/>
        <w:t>considered the Trust’s request and had agreed that the adjustment should be applied for Q1 and the next three consecutive quarters.</w:t>
      </w:r>
    </w:p>
    <w:p w:rsidR="008D72C9" w:rsidRPr="00B403C8" w:rsidRDefault="008D72C9" w:rsidP="00537C23">
      <w:pPr>
        <w:jc w:val="both"/>
        <w:rPr>
          <w:rFonts w:ascii="Arial" w:hAnsi="Arial" w:cs="Arial"/>
        </w:rPr>
      </w:pPr>
    </w:p>
    <w:p w:rsidR="008D72C9" w:rsidRDefault="00F7034F" w:rsidP="00537C23">
      <w:pPr>
        <w:jc w:val="both"/>
        <w:rPr>
          <w:rFonts w:ascii="Arial" w:hAnsi="Arial" w:cs="Arial"/>
        </w:rPr>
      </w:pPr>
      <w:r w:rsidRPr="00B403C8">
        <w:rPr>
          <w:rFonts w:ascii="Arial" w:hAnsi="Arial" w:cs="Arial"/>
        </w:rPr>
        <w:t>The NHSLA assessment took place on 27 and 28 March 2012, and the Trust was awarded a CNST Level 1 rating.  Monitor will be informed accordingly so that this adjustment can be removed.</w:t>
      </w:r>
    </w:p>
    <w:p w:rsidR="00ED2939" w:rsidRDefault="00ED2939" w:rsidP="00537C23">
      <w:pPr>
        <w:jc w:val="both"/>
        <w:rPr>
          <w:rFonts w:ascii="Arial" w:hAnsi="Arial" w:cs="Arial"/>
        </w:rPr>
      </w:pPr>
    </w:p>
    <w:p w:rsidR="00907E70" w:rsidRDefault="00907E70" w:rsidP="00537C23">
      <w:pPr>
        <w:jc w:val="both"/>
        <w:rPr>
          <w:rFonts w:ascii="Arial" w:hAnsi="Arial" w:cs="Arial"/>
          <w:color w:val="FFFFFF"/>
          <w:lang w:val="en-GB" w:eastAsia="en-GB"/>
        </w:rPr>
      </w:pPr>
    </w:p>
    <w:p w:rsidR="001A5E95" w:rsidRPr="007639E7" w:rsidRDefault="001A5E95" w:rsidP="007338A7">
      <w:pPr>
        <w:numPr>
          <w:ilvl w:val="0"/>
          <w:numId w:val="14"/>
        </w:numPr>
        <w:ind w:hanging="720"/>
        <w:jc w:val="both"/>
        <w:rPr>
          <w:rFonts w:ascii="Arial" w:hAnsi="Arial" w:cs="Arial"/>
          <w:b/>
          <w:u w:val="single"/>
        </w:rPr>
      </w:pPr>
      <w:r w:rsidRPr="007639E7">
        <w:rPr>
          <w:rFonts w:ascii="Arial" w:hAnsi="Arial" w:cs="Arial"/>
          <w:b/>
          <w:u w:val="single"/>
        </w:rPr>
        <w:t xml:space="preserve">Compliance Framework </w:t>
      </w:r>
      <w:r>
        <w:rPr>
          <w:rFonts w:ascii="Arial" w:hAnsi="Arial" w:cs="Arial"/>
          <w:b/>
          <w:u w:val="single"/>
        </w:rPr>
        <w:t>2012/13</w:t>
      </w:r>
    </w:p>
    <w:p w:rsidR="001A5E95" w:rsidRDefault="001A5E95" w:rsidP="001A5E95">
      <w:pPr>
        <w:jc w:val="both"/>
        <w:rPr>
          <w:rFonts w:ascii="Arial" w:hAnsi="Arial" w:cs="Arial"/>
        </w:rPr>
      </w:pPr>
      <w:r>
        <w:rPr>
          <w:rFonts w:ascii="Arial" w:hAnsi="Arial" w:cs="Arial"/>
        </w:rPr>
        <w:t xml:space="preserve">On 30 March 2012, Monitor published the updated </w:t>
      </w:r>
      <w:r w:rsidRPr="001A5E95">
        <w:rPr>
          <w:rFonts w:ascii="Arial" w:hAnsi="Arial" w:cs="Arial"/>
          <w:i/>
        </w:rPr>
        <w:t>Compliance Framework</w:t>
      </w:r>
      <w:r>
        <w:rPr>
          <w:rFonts w:ascii="Arial" w:hAnsi="Arial" w:cs="Arial"/>
        </w:rPr>
        <w:t xml:space="preserve"> for 2012/13 (a full copy of this Framework is available from the Trust Secretary upon request).  The updated Framework includes the following:-</w:t>
      </w:r>
    </w:p>
    <w:p w:rsidR="001A5E95" w:rsidRDefault="001A5E95" w:rsidP="001A5E95">
      <w:pPr>
        <w:numPr>
          <w:ilvl w:val="0"/>
          <w:numId w:val="12"/>
        </w:numPr>
        <w:jc w:val="both"/>
        <w:rPr>
          <w:rFonts w:ascii="Arial" w:hAnsi="Arial" w:cs="Arial"/>
        </w:rPr>
      </w:pPr>
      <w:r>
        <w:rPr>
          <w:rFonts w:ascii="Arial" w:hAnsi="Arial" w:cs="Arial"/>
        </w:rPr>
        <w:t>changes to Board Statements to streamline and simplify the certifications and reduce the overall number;</w:t>
      </w:r>
    </w:p>
    <w:p w:rsidR="001A5E95" w:rsidRDefault="001A5E95" w:rsidP="001A5E95">
      <w:pPr>
        <w:numPr>
          <w:ilvl w:val="0"/>
          <w:numId w:val="12"/>
        </w:numPr>
        <w:jc w:val="both"/>
        <w:rPr>
          <w:rFonts w:ascii="Arial" w:hAnsi="Arial" w:cs="Arial"/>
        </w:rPr>
      </w:pPr>
      <w:r>
        <w:rPr>
          <w:rFonts w:ascii="Arial" w:hAnsi="Arial" w:cs="Arial"/>
        </w:rPr>
        <w:t>refining Monitor’s approach to determining Financial Risk Ratings;</w:t>
      </w:r>
    </w:p>
    <w:p w:rsidR="001A5E95" w:rsidRDefault="001A5E95" w:rsidP="001A5E95">
      <w:pPr>
        <w:numPr>
          <w:ilvl w:val="0"/>
          <w:numId w:val="12"/>
        </w:numPr>
        <w:jc w:val="both"/>
        <w:rPr>
          <w:rFonts w:ascii="Arial" w:hAnsi="Arial" w:cs="Arial"/>
        </w:rPr>
      </w:pPr>
      <w:r>
        <w:rPr>
          <w:rFonts w:ascii="Arial" w:hAnsi="Arial" w:cs="Arial"/>
        </w:rPr>
        <w:t>revising how Monitor incorporates Care Quality Commission judgments in Governance Risk Ratings; and</w:t>
      </w:r>
    </w:p>
    <w:p w:rsidR="001A5E95" w:rsidRDefault="001A5E95" w:rsidP="001A5E95">
      <w:pPr>
        <w:numPr>
          <w:ilvl w:val="0"/>
          <w:numId w:val="12"/>
        </w:numPr>
        <w:jc w:val="both"/>
        <w:rPr>
          <w:rFonts w:ascii="Arial" w:hAnsi="Arial" w:cs="Arial"/>
        </w:rPr>
      </w:pPr>
      <w:r>
        <w:rPr>
          <w:rFonts w:ascii="Arial" w:hAnsi="Arial" w:cs="Arial"/>
        </w:rPr>
        <w:t xml:space="preserve">including relevant priorities from the </w:t>
      </w:r>
      <w:r>
        <w:rPr>
          <w:rFonts w:ascii="Arial" w:hAnsi="Arial" w:cs="Arial"/>
          <w:i/>
        </w:rPr>
        <w:t>Operating Framework for the NHS 2012/13</w:t>
      </w:r>
      <w:r>
        <w:rPr>
          <w:rFonts w:ascii="Arial" w:hAnsi="Arial" w:cs="Arial"/>
        </w:rPr>
        <w:t xml:space="preserve"> (published on 24 November 2011).</w:t>
      </w:r>
    </w:p>
    <w:p w:rsidR="001A5E95" w:rsidRDefault="001A5E95" w:rsidP="001A5E95">
      <w:pPr>
        <w:jc w:val="both"/>
        <w:rPr>
          <w:rFonts w:ascii="Arial" w:hAnsi="Arial" w:cs="Arial"/>
        </w:rPr>
      </w:pPr>
    </w:p>
    <w:p w:rsidR="001A5E95" w:rsidRDefault="001A5E95" w:rsidP="001A5E95">
      <w:pPr>
        <w:jc w:val="both"/>
        <w:rPr>
          <w:rFonts w:ascii="Arial" w:hAnsi="Arial" w:cs="Arial"/>
        </w:rPr>
      </w:pPr>
      <w:r>
        <w:rPr>
          <w:rFonts w:ascii="Arial" w:hAnsi="Arial" w:cs="Arial"/>
        </w:rPr>
        <w:t xml:space="preserve">The </w:t>
      </w:r>
      <w:r w:rsidRPr="001A5E95">
        <w:rPr>
          <w:rFonts w:ascii="Arial" w:hAnsi="Arial" w:cs="Arial"/>
          <w:i/>
        </w:rPr>
        <w:t>Compliance Framework</w:t>
      </w:r>
      <w:r>
        <w:rPr>
          <w:rFonts w:ascii="Arial" w:hAnsi="Arial" w:cs="Arial"/>
        </w:rPr>
        <w:t xml:space="preserve"> for 2012/13 applies from 1 April 2012 and forms the basis on which annual plan submissions and subsequent in-year reports should be made.  </w:t>
      </w:r>
    </w:p>
    <w:p w:rsidR="001A5E95" w:rsidRDefault="001A5E95" w:rsidP="001A5E95">
      <w:pPr>
        <w:jc w:val="both"/>
        <w:rPr>
          <w:rFonts w:ascii="Arial" w:hAnsi="Arial" w:cs="Arial"/>
        </w:rPr>
      </w:pPr>
    </w:p>
    <w:p w:rsidR="001A5E95" w:rsidRDefault="001A5E95" w:rsidP="001A5E95">
      <w:pPr>
        <w:jc w:val="both"/>
        <w:rPr>
          <w:rFonts w:ascii="Arial" w:hAnsi="Arial" w:cs="Arial"/>
        </w:rPr>
      </w:pPr>
      <w:r>
        <w:rPr>
          <w:rFonts w:ascii="Arial" w:hAnsi="Arial" w:cs="Arial"/>
        </w:rPr>
        <w:t xml:space="preserve">The </w:t>
      </w:r>
      <w:r>
        <w:rPr>
          <w:rFonts w:ascii="Arial" w:hAnsi="Arial" w:cs="Arial"/>
          <w:i/>
        </w:rPr>
        <w:t xml:space="preserve">Compliance Framework </w:t>
      </w:r>
      <w:r>
        <w:rPr>
          <w:rFonts w:ascii="Arial" w:hAnsi="Arial" w:cs="Arial"/>
        </w:rPr>
        <w:t>will apply until the commencement of Monitor</w:t>
      </w:r>
      <w:r w:rsidR="00237CB4">
        <w:rPr>
          <w:rFonts w:ascii="Arial" w:hAnsi="Arial" w:cs="Arial"/>
        </w:rPr>
        <w:t>’s new licensing regime in 2013 (when the Authorisation regime ceases to apply) which is set out in the Health and Social Care Act 2012.</w:t>
      </w:r>
    </w:p>
    <w:p w:rsidR="00B928E2" w:rsidRDefault="00B928E2" w:rsidP="00B928E2">
      <w:pPr>
        <w:jc w:val="both"/>
        <w:rPr>
          <w:rFonts w:ascii="Arial" w:hAnsi="Arial" w:cs="Arial"/>
        </w:rPr>
      </w:pPr>
    </w:p>
    <w:p w:rsidR="00B928E2" w:rsidRPr="00C039F5" w:rsidRDefault="00B928E2" w:rsidP="00B928E2">
      <w:pPr>
        <w:jc w:val="both"/>
        <w:rPr>
          <w:rFonts w:ascii="Arial" w:hAnsi="Arial" w:cs="Arial"/>
        </w:rPr>
      </w:pPr>
      <w:r>
        <w:rPr>
          <w:rFonts w:ascii="Arial" w:hAnsi="Arial" w:cs="Arial"/>
        </w:rPr>
        <w:t xml:space="preserve">The Executive Board will consider the 2012/13 </w:t>
      </w:r>
      <w:r>
        <w:rPr>
          <w:rFonts w:ascii="Arial" w:hAnsi="Arial" w:cs="Arial"/>
          <w:i/>
        </w:rPr>
        <w:t>Compliance Framework</w:t>
      </w:r>
      <w:r>
        <w:rPr>
          <w:rFonts w:ascii="Arial" w:hAnsi="Arial" w:cs="Arial"/>
        </w:rPr>
        <w:t xml:space="preserve"> on 24 April 2012 with a view to analysing the Trust’s forecasted performance against the targets and indicators.   An oral report on this discussion will be provided at the Board meeting.</w:t>
      </w:r>
    </w:p>
    <w:p w:rsidR="00B928E2" w:rsidRDefault="00B928E2" w:rsidP="001A5E95">
      <w:pPr>
        <w:jc w:val="both"/>
        <w:rPr>
          <w:rFonts w:ascii="Arial" w:hAnsi="Arial" w:cs="Arial"/>
        </w:rPr>
      </w:pPr>
    </w:p>
    <w:p w:rsidR="00B928E2" w:rsidRDefault="00B928E2" w:rsidP="001A5E95">
      <w:pPr>
        <w:jc w:val="both"/>
        <w:rPr>
          <w:rFonts w:ascii="Arial" w:hAnsi="Arial" w:cs="Arial"/>
        </w:rPr>
      </w:pPr>
      <w:r>
        <w:rPr>
          <w:rFonts w:ascii="Arial" w:hAnsi="Arial" w:cs="Arial"/>
        </w:rPr>
        <w:t>The 2012/13 targets and indicators are set out in the table below:</w:t>
      </w:r>
    </w:p>
    <w:p w:rsidR="00B928E2" w:rsidRDefault="00B928E2" w:rsidP="001A5E95">
      <w:pPr>
        <w:jc w:val="both"/>
        <w:rPr>
          <w:rFonts w:ascii="Arial" w:hAnsi="Arial" w:cs="Arial"/>
        </w:rPr>
      </w:pPr>
    </w:p>
    <w:p w:rsidR="00B928E2" w:rsidRDefault="00B928E2" w:rsidP="001A5E95">
      <w:pPr>
        <w:jc w:val="both"/>
        <w:rPr>
          <w:rFonts w:ascii="Arial" w:hAnsi="Arial" w:cs="Arial"/>
        </w:rPr>
      </w:pPr>
    </w:p>
    <w:p w:rsidR="00B928E2" w:rsidRDefault="00B928E2" w:rsidP="001A5E95">
      <w:pPr>
        <w:jc w:val="both"/>
        <w:rPr>
          <w:rFonts w:ascii="Arial" w:hAnsi="Arial" w:cs="Arial"/>
        </w:rPr>
      </w:pPr>
    </w:p>
    <w:p w:rsidR="00B928E2" w:rsidRDefault="00B928E2" w:rsidP="001A5E95">
      <w:pPr>
        <w:jc w:val="both"/>
        <w:rPr>
          <w:rFonts w:ascii="Arial" w:hAnsi="Arial" w:cs="Arial"/>
        </w:rPr>
      </w:pPr>
    </w:p>
    <w:p w:rsidR="00B928E2" w:rsidRDefault="00B928E2" w:rsidP="001A5E95">
      <w:pPr>
        <w:jc w:val="both"/>
        <w:rPr>
          <w:rFonts w:ascii="Arial" w:hAnsi="Arial" w:cs="Arial"/>
        </w:rPr>
      </w:pPr>
    </w:p>
    <w:p w:rsidR="00B928E2" w:rsidRDefault="00B928E2" w:rsidP="001A5E95">
      <w:pPr>
        <w:jc w:val="both"/>
        <w:rPr>
          <w:rFonts w:ascii="Arial" w:hAnsi="Arial" w:cs="Arial"/>
        </w:rPr>
      </w:pPr>
    </w:p>
    <w:p w:rsidR="00B928E2" w:rsidRDefault="00B928E2" w:rsidP="001A5E95">
      <w:pPr>
        <w:jc w:val="both"/>
        <w:rPr>
          <w:rFonts w:ascii="Arial" w:hAnsi="Arial" w:cs="Arial"/>
        </w:rPr>
      </w:pPr>
    </w:p>
    <w:p w:rsidR="00B928E2" w:rsidRDefault="00B928E2" w:rsidP="001A5E95">
      <w:pPr>
        <w:jc w:val="both"/>
        <w:rPr>
          <w:rFonts w:ascii="Arial" w:hAnsi="Arial" w:cs="Arial"/>
        </w:rPr>
      </w:pPr>
    </w:p>
    <w:p w:rsidR="00B928E2" w:rsidRDefault="00B928E2" w:rsidP="001A5E95">
      <w:pPr>
        <w:jc w:val="both"/>
        <w:rPr>
          <w:rFonts w:ascii="Arial" w:hAnsi="Arial" w:cs="Arial"/>
        </w:rPr>
      </w:pPr>
    </w:p>
    <w:p w:rsidR="00B928E2" w:rsidRDefault="00B928E2" w:rsidP="001A5E95">
      <w:pPr>
        <w:jc w:val="both"/>
        <w:rPr>
          <w:rFonts w:ascii="Arial" w:hAnsi="Arial" w:cs="Arial"/>
        </w:rPr>
      </w:pPr>
    </w:p>
    <w:p w:rsidR="00B928E2" w:rsidRDefault="00B928E2" w:rsidP="001A5E95">
      <w:pPr>
        <w:jc w:val="both"/>
        <w:rPr>
          <w:rFonts w:ascii="Arial" w:hAnsi="Arial" w:cs="Arial"/>
        </w:rPr>
      </w:pPr>
    </w:p>
    <w:p w:rsidR="00B928E2" w:rsidRDefault="00B928E2" w:rsidP="001A5E95">
      <w:pPr>
        <w:jc w:val="both"/>
        <w:rPr>
          <w:rFonts w:ascii="Arial" w:hAnsi="Arial" w:cs="Arial"/>
        </w:rPr>
      </w:pPr>
    </w:p>
    <w:p w:rsidR="00B928E2" w:rsidRDefault="00B928E2" w:rsidP="001A5E95">
      <w:pPr>
        <w:jc w:val="both"/>
        <w:rPr>
          <w:rFonts w:ascii="Arial" w:hAnsi="Arial" w:cs="Arial"/>
        </w:rPr>
      </w:pPr>
    </w:p>
    <w:p w:rsidR="00B928E2" w:rsidRDefault="00B928E2" w:rsidP="001A5E95">
      <w:pPr>
        <w:jc w:val="both"/>
        <w:rPr>
          <w:rFonts w:ascii="Arial" w:hAnsi="Arial" w:cs="Arial"/>
        </w:rPr>
      </w:pPr>
    </w:p>
    <w:p w:rsidR="00B928E2" w:rsidRDefault="00B928E2" w:rsidP="001A5E95">
      <w:pPr>
        <w:jc w:val="both"/>
        <w:rPr>
          <w:rFonts w:ascii="Arial" w:hAnsi="Arial" w:cs="Arial"/>
        </w:rPr>
      </w:pPr>
    </w:p>
    <w:p w:rsidR="00B928E2" w:rsidRDefault="00B928E2" w:rsidP="001A5E95">
      <w:pPr>
        <w:jc w:val="both"/>
        <w:rPr>
          <w:rFonts w:ascii="Arial" w:hAnsi="Arial" w:cs="Arial"/>
        </w:rPr>
      </w:pPr>
    </w:p>
    <w:p w:rsidR="00B928E2" w:rsidRDefault="00B928E2" w:rsidP="001A5E95">
      <w:pPr>
        <w:jc w:val="both"/>
        <w:rPr>
          <w:rFonts w:ascii="Arial" w:hAnsi="Arial" w:cs="Arial"/>
        </w:rPr>
      </w:pPr>
    </w:p>
    <w:p w:rsidR="00B928E2" w:rsidRDefault="00B928E2" w:rsidP="001A5E95">
      <w:pPr>
        <w:jc w:val="both"/>
        <w:rPr>
          <w:rFonts w:ascii="Arial" w:hAnsi="Arial" w:cs="Arial"/>
        </w:rPr>
      </w:pPr>
    </w:p>
    <w:p w:rsidR="00B928E2" w:rsidRDefault="00B928E2" w:rsidP="001A5E95">
      <w:pPr>
        <w:jc w:val="both"/>
        <w:rPr>
          <w:rFonts w:ascii="Arial" w:hAnsi="Arial" w:cs="Arial"/>
        </w:rPr>
      </w:pPr>
    </w:p>
    <w:p w:rsidR="00B928E2" w:rsidRDefault="00B928E2" w:rsidP="001A5E95">
      <w:pPr>
        <w:jc w:val="both"/>
        <w:rPr>
          <w:rFonts w:ascii="Arial" w:hAnsi="Arial" w:cs="Arial"/>
        </w:rPr>
      </w:pPr>
    </w:p>
    <w:p w:rsidR="00B928E2" w:rsidRDefault="00B928E2" w:rsidP="001A5E95">
      <w:pPr>
        <w:jc w:val="both"/>
        <w:rPr>
          <w:rFonts w:ascii="Arial" w:hAnsi="Arial" w:cs="Arial"/>
        </w:rPr>
      </w:pPr>
    </w:p>
    <w:p w:rsidR="00B928E2" w:rsidRDefault="00B928E2" w:rsidP="001A5E95">
      <w:pPr>
        <w:jc w:val="both"/>
        <w:rPr>
          <w:rFonts w:ascii="Arial" w:hAnsi="Arial" w:cs="Arial"/>
        </w:rPr>
      </w:pPr>
    </w:p>
    <w:p w:rsidR="00B928E2" w:rsidRDefault="00B928E2" w:rsidP="001A5E95">
      <w:pPr>
        <w:jc w:val="both"/>
        <w:rPr>
          <w:rFonts w:ascii="Arial" w:hAnsi="Arial" w:cs="Arial"/>
        </w:rPr>
      </w:pPr>
    </w:p>
    <w:p w:rsidR="00B928E2" w:rsidRDefault="00B928E2" w:rsidP="001A5E95">
      <w:pPr>
        <w:jc w:val="both"/>
        <w:rPr>
          <w:rFonts w:ascii="Arial" w:hAnsi="Arial" w:cs="Arial"/>
        </w:rPr>
      </w:pPr>
    </w:p>
    <w:p w:rsidR="001A5E95" w:rsidRDefault="001D5B24" w:rsidP="001A5E95">
      <w:pPr>
        <w:jc w:val="both"/>
        <w:rPr>
          <w:rFonts w:ascii="Arial" w:hAnsi="Arial" w:cs="Arial"/>
          <w:b/>
          <w:i/>
        </w:rPr>
      </w:pPr>
      <w:r>
        <w:rPr>
          <w:rFonts w:ascii="Arial" w:hAnsi="Arial" w:cs="Arial"/>
          <w:b/>
          <w:i/>
        </w:rPr>
        <w:t>2012</w:t>
      </w:r>
      <w:r w:rsidR="00B928E2">
        <w:rPr>
          <w:rFonts w:ascii="Arial" w:hAnsi="Arial" w:cs="Arial"/>
          <w:b/>
          <w:i/>
        </w:rPr>
        <w:t>/</w:t>
      </w:r>
      <w:r>
        <w:rPr>
          <w:rFonts w:ascii="Arial" w:hAnsi="Arial" w:cs="Arial"/>
          <w:b/>
          <w:i/>
        </w:rPr>
        <w:t>13</w:t>
      </w:r>
      <w:r w:rsidR="001A5E95" w:rsidRPr="003E2864">
        <w:rPr>
          <w:rFonts w:ascii="Arial" w:hAnsi="Arial" w:cs="Arial"/>
          <w:b/>
          <w:i/>
        </w:rPr>
        <w:t xml:space="preserve"> </w:t>
      </w:r>
      <w:r w:rsidR="001A5E95">
        <w:rPr>
          <w:rFonts w:ascii="Arial" w:hAnsi="Arial" w:cs="Arial"/>
          <w:b/>
          <w:i/>
        </w:rPr>
        <w:t xml:space="preserve">Targets and </w:t>
      </w:r>
      <w:r w:rsidR="001A5E95" w:rsidRPr="003E2864">
        <w:rPr>
          <w:rFonts w:ascii="Arial" w:hAnsi="Arial" w:cs="Arial"/>
          <w:b/>
          <w:i/>
        </w:rPr>
        <w:t>Indicators</w:t>
      </w:r>
    </w:p>
    <w:p w:rsidR="001D5B24" w:rsidRDefault="001D5B24" w:rsidP="001A5E95">
      <w:pPr>
        <w:jc w:val="both"/>
        <w:rPr>
          <w:rFonts w:ascii="Arial" w:hAnsi="Arial" w:cs="Arial"/>
          <w:b/>
          <w:i/>
        </w:rPr>
      </w:pPr>
    </w:p>
    <w:tbl>
      <w:tblPr>
        <w:tblW w:w="7616" w:type="dxa"/>
        <w:tblBorders>
          <w:top w:val="nil"/>
          <w:left w:val="nil"/>
          <w:bottom w:val="nil"/>
          <w:right w:val="nil"/>
        </w:tblBorders>
        <w:tblLayout w:type="fixed"/>
        <w:tblLook w:val="0000"/>
      </w:tblPr>
      <w:tblGrid>
        <w:gridCol w:w="1384"/>
        <w:gridCol w:w="3827"/>
        <w:gridCol w:w="1134"/>
        <w:gridCol w:w="1271"/>
      </w:tblGrid>
      <w:tr w:rsidR="001D5B24" w:rsidRPr="001D5B24" w:rsidTr="001D5B24">
        <w:trPr>
          <w:trHeight w:val="181"/>
        </w:trPr>
        <w:tc>
          <w:tcPr>
            <w:tcW w:w="1384" w:type="dxa"/>
          </w:tcPr>
          <w:p w:rsidR="001D5B24" w:rsidRPr="001D5B24" w:rsidRDefault="001D5B24">
            <w:pPr>
              <w:pStyle w:val="Default"/>
              <w:rPr>
                <w:sz w:val="18"/>
                <w:szCs w:val="18"/>
              </w:rPr>
            </w:pPr>
            <w:r w:rsidRPr="001D5B24">
              <w:rPr>
                <w:b/>
                <w:bCs/>
                <w:sz w:val="18"/>
                <w:szCs w:val="18"/>
              </w:rPr>
              <w:t xml:space="preserve">Area </w:t>
            </w:r>
          </w:p>
        </w:tc>
        <w:tc>
          <w:tcPr>
            <w:tcW w:w="3827" w:type="dxa"/>
          </w:tcPr>
          <w:p w:rsidR="001D5B24" w:rsidRPr="001D5B24" w:rsidRDefault="001D5B24">
            <w:pPr>
              <w:pStyle w:val="Default"/>
              <w:rPr>
                <w:sz w:val="18"/>
                <w:szCs w:val="18"/>
              </w:rPr>
            </w:pPr>
            <w:r w:rsidRPr="001D5B24">
              <w:rPr>
                <w:b/>
                <w:bCs/>
                <w:sz w:val="18"/>
                <w:szCs w:val="18"/>
              </w:rPr>
              <w:t xml:space="preserve">Indicator </w:t>
            </w:r>
          </w:p>
        </w:tc>
        <w:tc>
          <w:tcPr>
            <w:tcW w:w="1134" w:type="dxa"/>
          </w:tcPr>
          <w:p w:rsidR="001D5B24" w:rsidRPr="001D5B24" w:rsidRDefault="001D5B24">
            <w:pPr>
              <w:pStyle w:val="Default"/>
              <w:rPr>
                <w:sz w:val="18"/>
                <w:szCs w:val="18"/>
              </w:rPr>
            </w:pPr>
            <w:r w:rsidRPr="001D5B24">
              <w:rPr>
                <w:b/>
                <w:bCs/>
                <w:sz w:val="18"/>
                <w:szCs w:val="18"/>
              </w:rPr>
              <w:t xml:space="preserve">Threshold </w:t>
            </w:r>
          </w:p>
        </w:tc>
        <w:tc>
          <w:tcPr>
            <w:tcW w:w="1271" w:type="dxa"/>
          </w:tcPr>
          <w:p w:rsidR="001D5B24" w:rsidRPr="001D5B24" w:rsidRDefault="001D5B24">
            <w:pPr>
              <w:pStyle w:val="Default"/>
              <w:rPr>
                <w:sz w:val="18"/>
                <w:szCs w:val="18"/>
              </w:rPr>
            </w:pPr>
            <w:r w:rsidRPr="001D5B24">
              <w:rPr>
                <w:b/>
                <w:bCs/>
                <w:sz w:val="18"/>
                <w:szCs w:val="18"/>
              </w:rPr>
              <w:t xml:space="preserve">Weighting </w:t>
            </w:r>
          </w:p>
        </w:tc>
      </w:tr>
      <w:tr w:rsidR="001D5B24" w:rsidRPr="001D5B24" w:rsidTr="001D5B24">
        <w:trPr>
          <w:trHeight w:val="106"/>
        </w:trPr>
        <w:tc>
          <w:tcPr>
            <w:tcW w:w="1384" w:type="dxa"/>
          </w:tcPr>
          <w:p w:rsidR="001D5B24" w:rsidRPr="001D5B24" w:rsidRDefault="001D5B24">
            <w:pPr>
              <w:pStyle w:val="Default"/>
              <w:rPr>
                <w:sz w:val="18"/>
                <w:szCs w:val="18"/>
              </w:rPr>
            </w:pPr>
            <w:r w:rsidRPr="001D5B24">
              <w:rPr>
                <w:sz w:val="18"/>
                <w:szCs w:val="18"/>
              </w:rPr>
              <w:t xml:space="preserve">Safety </w:t>
            </w:r>
          </w:p>
        </w:tc>
        <w:tc>
          <w:tcPr>
            <w:tcW w:w="3827" w:type="dxa"/>
          </w:tcPr>
          <w:p w:rsidR="001D5B24" w:rsidRPr="00B928E2" w:rsidRDefault="001D5B24">
            <w:pPr>
              <w:pStyle w:val="Default"/>
              <w:rPr>
                <w:b/>
                <w:sz w:val="18"/>
                <w:szCs w:val="18"/>
              </w:rPr>
            </w:pPr>
            <w:r w:rsidRPr="001D5B24">
              <w:rPr>
                <w:sz w:val="18"/>
                <w:szCs w:val="18"/>
              </w:rPr>
              <w:t xml:space="preserve">Clostridium (C.) difficile – meeting the C. difficile objective </w:t>
            </w:r>
            <w:r w:rsidR="00B928E2">
              <w:rPr>
                <w:b/>
                <w:sz w:val="18"/>
                <w:szCs w:val="18"/>
              </w:rPr>
              <w:t>(1)</w:t>
            </w:r>
          </w:p>
        </w:tc>
        <w:tc>
          <w:tcPr>
            <w:tcW w:w="1134" w:type="dxa"/>
          </w:tcPr>
          <w:p w:rsidR="001D5B24" w:rsidRPr="001D5B24" w:rsidRDefault="001D5B24">
            <w:pPr>
              <w:pStyle w:val="Default"/>
              <w:rPr>
                <w:sz w:val="18"/>
                <w:szCs w:val="18"/>
              </w:rPr>
            </w:pPr>
            <w:r w:rsidRPr="001D5B24">
              <w:rPr>
                <w:sz w:val="18"/>
                <w:szCs w:val="18"/>
              </w:rPr>
              <w:t xml:space="preserve">0 </w:t>
            </w:r>
          </w:p>
        </w:tc>
        <w:tc>
          <w:tcPr>
            <w:tcW w:w="1271" w:type="dxa"/>
          </w:tcPr>
          <w:p w:rsidR="001D5B24" w:rsidRPr="001D5B24" w:rsidRDefault="001D5B24">
            <w:pPr>
              <w:pStyle w:val="Default"/>
              <w:rPr>
                <w:sz w:val="18"/>
                <w:szCs w:val="18"/>
              </w:rPr>
            </w:pPr>
            <w:r w:rsidRPr="001D5B24">
              <w:rPr>
                <w:sz w:val="18"/>
                <w:szCs w:val="18"/>
              </w:rPr>
              <w:t xml:space="preserve">1.0 </w:t>
            </w:r>
          </w:p>
        </w:tc>
      </w:tr>
      <w:tr w:rsidR="001D5B24" w:rsidRPr="001D5B24" w:rsidTr="001D5B24">
        <w:trPr>
          <w:trHeight w:val="179"/>
        </w:trPr>
        <w:tc>
          <w:tcPr>
            <w:tcW w:w="1384" w:type="dxa"/>
          </w:tcPr>
          <w:p w:rsidR="001D5B24" w:rsidRPr="001D5B24" w:rsidRDefault="001D5B24">
            <w:pPr>
              <w:pStyle w:val="Default"/>
              <w:rPr>
                <w:sz w:val="18"/>
                <w:szCs w:val="18"/>
              </w:rPr>
            </w:pPr>
            <w:r w:rsidRPr="001D5B24">
              <w:rPr>
                <w:sz w:val="18"/>
                <w:szCs w:val="18"/>
              </w:rPr>
              <w:t xml:space="preserve">Safety </w:t>
            </w:r>
          </w:p>
        </w:tc>
        <w:tc>
          <w:tcPr>
            <w:tcW w:w="3827" w:type="dxa"/>
          </w:tcPr>
          <w:p w:rsidR="001D5B24" w:rsidRPr="001D5B24" w:rsidRDefault="001D5B24">
            <w:pPr>
              <w:pStyle w:val="Default"/>
              <w:rPr>
                <w:sz w:val="18"/>
                <w:szCs w:val="18"/>
              </w:rPr>
            </w:pPr>
            <w:r w:rsidRPr="001D5B24">
              <w:rPr>
                <w:sz w:val="18"/>
                <w:szCs w:val="18"/>
              </w:rPr>
              <w:t xml:space="preserve">Methicillin-resistant Staphylococcus aureus (MRSA) bacteraemia – meeting the MRSA objective </w:t>
            </w:r>
          </w:p>
        </w:tc>
        <w:tc>
          <w:tcPr>
            <w:tcW w:w="1134" w:type="dxa"/>
          </w:tcPr>
          <w:p w:rsidR="001D5B24" w:rsidRPr="001D5B24" w:rsidRDefault="001D5B24">
            <w:pPr>
              <w:pStyle w:val="Default"/>
              <w:rPr>
                <w:sz w:val="18"/>
                <w:szCs w:val="18"/>
              </w:rPr>
            </w:pPr>
            <w:r w:rsidRPr="001D5B24">
              <w:rPr>
                <w:sz w:val="18"/>
                <w:szCs w:val="18"/>
              </w:rPr>
              <w:t xml:space="preserve">0 </w:t>
            </w:r>
          </w:p>
        </w:tc>
        <w:tc>
          <w:tcPr>
            <w:tcW w:w="1271" w:type="dxa"/>
          </w:tcPr>
          <w:p w:rsidR="001D5B24" w:rsidRPr="001D5B24" w:rsidRDefault="001D5B24">
            <w:pPr>
              <w:pStyle w:val="Default"/>
              <w:rPr>
                <w:sz w:val="18"/>
                <w:szCs w:val="18"/>
              </w:rPr>
            </w:pPr>
            <w:r w:rsidRPr="001D5B24">
              <w:rPr>
                <w:sz w:val="18"/>
                <w:szCs w:val="18"/>
              </w:rPr>
              <w:t xml:space="preserve">1.0 </w:t>
            </w:r>
          </w:p>
        </w:tc>
      </w:tr>
      <w:tr w:rsidR="001D5B24" w:rsidRPr="001D5B24" w:rsidTr="001D5B24">
        <w:trPr>
          <w:trHeight w:val="181"/>
        </w:trPr>
        <w:tc>
          <w:tcPr>
            <w:tcW w:w="1384" w:type="dxa"/>
          </w:tcPr>
          <w:p w:rsidR="001D5B24" w:rsidRPr="001D5B24" w:rsidRDefault="001D5B24">
            <w:pPr>
              <w:pStyle w:val="Default"/>
              <w:rPr>
                <w:sz w:val="18"/>
                <w:szCs w:val="18"/>
              </w:rPr>
            </w:pPr>
            <w:r w:rsidRPr="001D5B24">
              <w:rPr>
                <w:sz w:val="18"/>
                <w:szCs w:val="18"/>
              </w:rPr>
              <w:t xml:space="preserve">Patient Experience </w:t>
            </w:r>
          </w:p>
        </w:tc>
        <w:tc>
          <w:tcPr>
            <w:tcW w:w="3827" w:type="dxa"/>
          </w:tcPr>
          <w:p w:rsidR="001D5B24" w:rsidRPr="001D5B24" w:rsidRDefault="001D5B24">
            <w:pPr>
              <w:pStyle w:val="Default"/>
              <w:rPr>
                <w:sz w:val="18"/>
                <w:szCs w:val="18"/>
              </w:rPr>
            </w:pPr>
            <w:r w:rsidRPr="001D5B24">
              <w:rPr>
                <w:sz w:val="18"/>
                <w:szCs w:val="18"/>
              </w:rPr>
              <w:t xml:space="preserve">Maximum time of 18 weeks from point of referral to treatment in aggregate – admitted </w:t>
            </w:r>
            <w:r w:rsidR="00B928E2">
              <w:rPr>
                <w:b/>
                <w:sz w:val="18"/>
                <w:szCs w:val="18"/>
              </w:rPr>
              <w:t>(2)</w:t>
            </w:r>
          </w:p>
        </w:tc>
        <w:tc>
          <w:tcPr>
            <w:tcW w:w="1134" w:type="dxa"/>
          </w:tcPr>
          <w:p w:rsidR="001D5B24" w:rsidRPr="001D5B24" w:rsidRDefault="001D5B24">
            <w:pPr>
              <w:pStyle w:val="Default"/>
              <w:rPr>
                <w:sz w:val="18"/>
                <w:szCs w:val="18"/>
              </w:rPr>
            </w:pPr>
            <w:r w:rsidRPr="001D5B24">
              <w:rPr>
                <w:sz w:val="18"/>
                <w:szCs w:val="18"/>
              </w:rPr>
              <w:t xml:space="preserve">90% </w:t>
            </w:r>
          </w:p>
        </w:tc>
        <w:tc>
          <w:tcPr>
            <w:tcW w:w="1271" w:type="dxa"/>
          </w:tcPr>
          <w:p w:rsidR="001D5B24" w:rsidRPr="001D5B24" w:rsidRDefault="001D5B24">
            <w:pPr>
              <w:pStyle w:val="Default"/>
              <w:rPr>
                <w:sz w:val="18"/>
                <w:szCs w:val="18"/>
              </w:rPr>
            </w:pPr>
            <w:r w:rsidRPr="001D5B24">
              <w:rPr>
                <w:sz w:val="18"/>
                <w:szCs w:val="18"/>
              </w:rPr>
              <w:t xml:space="preserve">1.0 </w:t>
            </w:r>
          </w:p>
        </w:tc>
      </w:tr>
      <w:tr w:rsidR="001D5B24" w:rsidRPr="001D5B24" w:rsidTr="001D5B24">
        <w:trPr>
          <w:trHeight w:val="181"/>
        </w:trPr>
        <w:tc>
          <w:tcPr>
            <w:tcW w:w="1384" w:type="dxa"/>
          </w:tcPr>
          <w:p w:rsidR="001D5B24" w:rsidRPr="001D5B24" w:rsidRDefault="001D5B24">
            <w:pPr>
              <w:pStyle w:val="Default"/>
              <w:rPr>
                <w:sz w:val="18"/>
                <w:szCs w:val="18"/>
              </w:rPr>
            </w:pPr>
            <w:r w:rsidRPr="001D5B24">
              <w:rPr>
                <w:sz w:val="18"/>
                <w:szCs w:val="18"/>
              </w:rPr>
              <w:t xml:space="preserve">Patient Experience </w:t>
            </w:r>
          </w:p>
        </w:tc>
        <w:tc>
          <w:tcPr>
            <w:tcW w:w="3827" w:type="dxa"/>
          </w:tcPr>
          <w:p w:rsidR="001D5B24" w:rsidRPr="001D5B24" w:rsidRDefault="001D5B24" w:rsidP="00B928E2">
            <w:pPr>
              <w:pStyle w:val="Default"/>
              <w:rPr>
                <w:sz w:val="18"/>
                <w:szCs w:val="18"/>
              </w:rPr>
            </w:pPr>
            <w:r w:rsidRPr="001D5B24">
              <w:rPr>
                <w:sz w:val="18"/>
                <w:szCs w:val="18"/>
              </w:rPr>
              <w:t xml:space="preserve">Maximum time of 18 weeks from point of referral to treatment in aggregate – non-admitted </w:t>
            </w:r>
            <w:r w:rsidR="00B928E2">
              <w:rPr>
                <w:b/>
                <w:sz w:val="18"/>
                <w:szCs w:val="18"/>
              </w:rPr>
              <w:t>(2)</w:t>
            </w:r>
          </w:p>
        </w:tc>
        <w:tc>
          <w:tcPr>
            <w:tcW w:w="1134" w:type="dxa"/>
          </w:tcPr>
          <w:p w:rsidR="001D5B24" w:rsidRPr="001D5B24" w:rsidRDefault="001D5B24">
            <w:pPr>
              <w:pStyle w:val="Default"/>
              <w:rPr>
                <w:sz w:val="18"/>
                <w:szCs w:val="18"/>
              </w:rPr>
            </w:pPr>
            <w:r w:rsidRPr="001D5B24">
              <w:rPr>
                <w:sz w:val="18"/>
                <w:szCs w:val="18"/>
              </w:rPr>
              <w:t xml:space="preserve">95% </w:t>
            </w:r>
          </w:p>
        </w:tc>
        <w:tc>
          <w:tcPr>
            <w:tcW w:w="1271" w:type="dxa"/>
          </w:tcPr>
          <w:p w:rsidR="001D5B24" w:rsidRPr="001D5B24" w:rsidRDefault="001D5B24">
            <w:pPr>
              <w:pStyle w:val="Default"/>
              <w:rPr>
                <w:sz w:val="18"/>
                <w:szCs w:val="18"/>
              </w:rPr>
            </w:pPr>
            <w:r w:rsidRPr="001D5B24">
              <w:rPr>
                <w:sz w:val="18"/>
                <w:szCs w:val="18"/>
              </w:rPr>
              <w:t xml:space="preserve">1.0 </w:t>
            </w:r>
          </w:p>
        </w:tc>
      </w:tr>
      <w:tr w:rsidR="001D5B24" w:rsidRPr="001D5B24" w:rsidTr="001D5B24">
        <w:trPr>
          <w:trHeight w:val="194"/>
        </w:trPr>
        <w:tc>
          <w:tcPr>
            <w:tcW w:w="1384" w:type="dxa"/>
          </w:tcPr>
          <w:p w:rsidR="001D5B24" w:rsidRPr="001D5B24" w:rsidRDefault="001D5B24">
            <w:pPr>
              <w:pStyle w:val="Default"/>
              <w:rPr>
                <w:sz w:val="18"/>
                <w:szCs w:val="18"/>
              </w:rPr>
            </w:pPr>
            <w:r w:rsidRPr="001D5B24">
              <w:rPr>
                <w:sz w:val="18"/>
                <w:szCs w:val="18"/>
              </w:rPr>
              <w:t xml:space="preserve">Patient Experience </w:t>
            </w:r>
          </w:p>
        </w:tc>
        <w:tc>
          <w:tcPr>
            <w:tcW w:w="3827" w:type="dxa"/>
          </w:tcPr>
          <w:p w:rsidR="001D5B24" w:rsidRPr="001D5B24" w:rsidRDefault="001D5B24">
            <w:pPr>
              <w:pStyle w:val="Default"/>
              <w:rPr>
                <w:sz w:val="18"/>
                <w:szCs w:val="18"/>
              </w:rPr>
            </w:pPr>
            <w:r w:rsidRPr="001D5B24">
              <w:rPr>
                <w:sz w:val="18"/>
                <w:szCs w:val="18"/>
              </w:rPr>
              <w:t xml:space="preserve">Maximum time of 18 weeks from point of referral to treatment in aggregate – patients on an incomplete pathway </w:t>
            </w:r>
            <w:r w:rsidR="00B928E2">
              <w:rPr>
                <w:b/>
                <w:sz w:val="18"/>
                <w:szCs w:val="18"/>
              </w:rPr>
              <w:t>(2)</w:t>
            </w:r>
          </w:p>
        </w:tc>
        <w:tc>
          <w:tcPr>
            <w:tcW w:w="1134" w:type="dxa"/>
          </w:tcPr>
          <w:p w:rsidR="001D5B24" w:rsidRPr="001D5B24" w:rsidRDefault="001D5B24">
            <w:pPr>
              <w:pStyle w:val="Default"/>
              <w:rPr>
                <w:sz w:val="18"/>
                <w:szCs w:val="18"/>
              </w:rPr>
            </w:pPr>
            <w:r w:rsidRPr="001D5B24">
              <w:rPr>
                <w:sz w:val="18"/>
                <w:szCs w:val="18"/>
              </w:rPr>
              <w:t xml:space="preserve">92% </w:t>
            </w:r>
          </w:p>
        </w:tc>
        <w:tc>
          <w:tcPr>
            <w:tcW w:w="1271" w:type="dxa"/>
          </w:tcPr>
          <w:p w:rsidR="001D5B24" w:rsidRPr="001D5B24" w:rsidRDefault="001D5B24">
            <w:pPr>
              <w:pStyle w:val="Default"/>
              <w:rPr>
                <w:sz w:val="18"/>
                <w:szCs w:val="18"/>
              </w:rPr>
            </w:pPr>
            <w:r w:rsidRPr="001D5B24">
              <w:rPr>
                <w:sz w:val="18"/>
                <w:szCs w:val="18"/>
              </w:rPr>
              <w:t xml:space="preserve">1.0 </w:t>
            </w:r>
          </w:p>
        </w:tc>
      </w:tr>
      <w:tr w:rsidR="001D5B24" w:rsidRPr="001D5B24" w:rsidTr="001D5B24">
        <w:trPr>
          <w:trHeight w:val="239"/>
        </w:trPr>
        <w:tc>
          <w:tcPr>
            <w:tcW w:w="1384" w:type="dxa"/>
          </w:tcPr>
          <w:p w:rsidR="001D5B24" w:rsidRPr="001D5B24" w:rsidRDefault="001D5B24">
            <w:pPr>
              <w:pStyle w:val="Default"/>
              <w:rPr>
                <w:sz w:val="18"/>
                <w:szCs w:val="18"/>
              </w:rPr>
            </w:pPr>
            <w:r w:rsidRPr="001D5B24">
              <w:rPr>
                <w:sz w:val="18"/>
                <w:szCs w:val="18"/>
              </w:rPr>
              <w:t xml:space="preserve">Quality </w:t>
            </w:r>
          </w:p>
        </w:tc>
        <w:tc>
          <w:tcPr>
            <w:tcW w:w="3827" w:type="dxa"/>
          </w:tcPr>
          <w:p w:rsidR="001D5B24" w:rsidRPr="001D5B24" w:rsidRDefault="001D5B24">
            <w:pPr>
              <w:pStyle w:val="Default"/>
              <w:rPr>
                <w:sz w:val="18"/>
                <w:szCs w:val="18"/>
              </w:rPr>
            </w:pPr>
            <w:r w:rsidRPr="001D5B24">
              <w:rPr>
                <w:sz w:val="18"/>
                <w:szCs w:val="18"/>
              </w:rPr>
              <w:t>A&amp;E: maximum waiting time of four hours from arrival to admission/transfer/discharge</w:t>
            </w:r>
            <w:r w:rsidR="00B928E2">
              <w:rPr>
                <w:sz w:val="18"/>
                <w:szCs w:val="18"/>
              </w:rPr>
              <w:t xml:space="preserve"> </w:t>
            </w:r>
            <w:r w:rsidR="00B928E2">
              <w:rPr>
                <w:b/>
                <w:sz w:val="18"/>
                <w:szCs w:val="18"/>
              </w:rPr>
              <w:t>(3)</w:t>
            </w:r>
          </w:p>
        </w:tc>
        <w:tc>
          <w:tcPr>
            <w:tcW w:w="1134" w:type="dxa"/>
          </w:tcPr>
          <w:p w:rsidR="001D5B24" w:rsidRPr="001D5B24" w:rsidRDefault="001D5B24">
            <w:pPr>
              <w:pStyle w:val="Default"/>
              <w:rPr>
                <w:sz w:val="18"/>
                <w:szCs w:val="18"/>
              </w:rPr>
            </w:pPr>
            <w:r w:rsidRPr="001D5B24">
              <w:rPr>
                <w:sz w:val="18"/>
                <w:szCs w:val="18"/>
              </w:rPr>
              <w:t xml:space="preserve">95% </w:t>
            </w:r>
          </w:p>
        </w:tc>
        <w:tc>
          <w:tcPr>
            <w:tcW w:w="1271" w:type="dxa"/>
          </w:tcPr>
          <w:p w:rsidR="001D5B24" w:rsidRPr="001D5B24" w:rsidRDefault="001D5B24">
            <w:pPr>
              <w:pStyle w:val="Default"/>
              <w:rPr>
                <w:sz w:val="18"/>
                <w:szCs w:val="18"/>
              </w:rPr>
            </w:pPr>
            <w:r w:rsidRPr="001D5B24">
              <w:rPr>
                <w:sz w:val="18"/>
                <w:szCs w:val="18"/>
              </w:rPr>
              <w:t xml:space="preserve">1.0 </w:t>
            </w:r>
          </w:p>
        </w:tc>
      </w:tr>
      <w:tr w:rsidR="001D5B24" w:rsidRPr="001D5B24" w:rsidTr="001D5B24">
        <w:trPr>
          <w:trHeight w:val="1052"/>
        </w:trPr>
        <w:tc>
          <w:tcPr>
            <w:tcW w:w="1384" w:type="dxa"/>
          </w:tcPr>
          <w:p w:rsidR="001D5B24" w:rsidRPr="001D5B24" w:rsidRDefault="001D5B24">
            <w:pPr>
              <w:pStyle w:val="Default"/>
              <w:rPr>
                <w:sz w:val="18"/>
                <w:szCs w:val="18"/>
              </w:rPr>
            </w:pPr>
            <w:r w:rsidRPr="001D5B24">
              <w:rPr>
                <w:sz w:val="18"/>
                <w:szCs w:val="18"/>
              </w:rPr>
              <w:t xml:space="preserve">Effectiveness </w:t>
            </w:r>
          </w:p>
        </w:tc>
        <w:tc>
          <w:tcPr>
            <w:tcW w:w="3827" w:type="dxa"/>
          </w:tcPr>
          <w:p w:rsidR="001D5B24" w:rsidRPr="001D5B24" w:rsidRDefault="001D5B24">
            <w:pPr>
              <w:pStyle w:val="Default"/>
              <w:rPr>
                <w:sz w:val="18"/>
                <w:szCs w:val="18"/>
              </w:rPr>
            </w:pPr>
            <w:r w:rsidRPr="001D5B24">
              <w:rPr>
                <w:sz w:val="18"/>
                <w:szCs w:val="18"/>
              </w:rPr>
              <w:t xml:space="preserve">Data completeness: community services, comprising: </w:t>
            </w:r>
          </w:p>
          <w:p w:rsidR="001D5B24" w:rsidRPr="001D5B24" w:rsidRDefault="001D5B24">
            <w:pPr>
              <w:pStyle w:val="Default"/>
              <w:rPr>
                <w:sz w:val="18"/>
                <w:szCs w:val="18"/>
              </w:rPr>
            </w:pPr>
            <w:r w:rsidRPr="001D5B24">
              <w:rPr>
                <w:sz w:val="18"/>
                <w:szCs w:val="18"/>
              </w:rPr>
              <w:t xml:space="preserve">Referral to treatment information </w:t>
            </w:r>
          </w:p>
          <w:p w:rsidR="001D5B24" w:rsidRPr="001D5B24" w:rsidRDefault="001D5B24">
            <w:pPr>
              <w:pStyle w:val="Default"/>
              <w:rPr>
                <w:sz w:val="18"/>
                <w:szCs w:val="18"/>
              </w:rPr>
            </w:pPr>
            <w:r w:rsidRPr="001D5B24">
              <w:rPr>
                <w:sz w:val="18"/>
                <w:szCs w:val="18"/>
              </w:rPr>
              <w:t xml:space="preserve">Referral information </w:t>
            </w:r>
          </w:p>
          <w:p w:rsidR="001D5B24" w:rsidRPr="001D5B24" w:rsidRDefault="001D5B24">
            <w:pPr>
              <w:pStyle w:val="Default"/>
              <w:rPr>
                <w:sz w:val="18"/>
                <w:szCs w:val="18"/>
              </w:rPr>
            </w:pPr>
            <w:r w:rsidRPr="001D5B24">
              <w:rPr>
                <w:sz w:val="18"/>
                <w:szCs w:val="18"/>
              </w:rPr>
              <w:t xml:space="preserve">Treatment activity information </w:t>
            </w:r>
          </w:p>
          <w:p w:rsidR="00B928E2" w:rsidRDefault="00B928E2">
            <w:pPr>
              <w:pStyle w:val="Default"/>
              <w:rPr>
                <w:i/>
                <w:iCs/>
                <w:sz w:val="18"/>
                <w:szCs w:val="18"/>
              </w:rPr>
            </w:pPr>
          </w:p>
          <w:p w:rsidR="001D5B24" w:rsidRPr="001D5B24" w:rsidRDefault="001D5B24">
            <w:pPr>
              <w:pStyle w:val="Default"/>
              <w:rPr>
                <w:sz w:val="18"/>
                <w:szCs w:val="18"/>
              </w:rPr>
            </w:pPr>
            <w:r w:rsidRPr="001D5B24">
              <w:rPr>
                <w:i/>
                <w:iCs/>
                <w:sz w:val="18"/>
                <w:szCs w:val="18"/>
              </w:rPr>
              <w:t xml:space="preserve">The inclusion of further data items may be introduced later in 2012/13, comprising: </w:t>
            </w:r>
          </w:p>
          <w:p w:rsidR="001D5B24" w:rsidRPr="001D5B24" w:rsidRDefault="001D5B24">
            <w:pPr>
              <w:pStyle w:val="Default"/>
              <w:rPr>
                <w:sz w:val="18"/>
                <w:szCs w:val="18"/>
              </w:rPr>
            </w:pPr>
            <w:r w:rsidRPr="001D5B24">
              <w:rPr>
                <w:i/>
                <w:iCs/>
                <w:sz w:val="18"/>
                <w:szCs w:val="18"/>
              </w:rPr>
              <w:t xml:space="preserve">Patient identifier information </w:t>
            </w:r>
          </w:p>
          <w:p w:rsidR="001D5B24" w:rsidRPr="001D5B24" w:rsidRDefault="001D5B24">
            <w:pPr>
              <w:pStyle w:val="Default"/>
              <w:rPr>
                <w:sz w:val="18"/>
                <w:szCs w:val="18"/>
              </w:rPr>
            </w:pPr>
            <w:r w:rsidRPr="001D5B24">
              <w:rPr>
                <w:i/>
                <w:iCs/>
                <w:sz w:val="18"/>
                <w:szCs w:val="18"/>
              </w:rPr>
              <w:t xml:space="preserve">Patients dying at home/care home </w:t>
            </w:r>
          </w:p>
        </w:tc>
        <w:tc>
          <w:tcPr>
            <w:tcW w:w="1134" w:type="dxa"/>
          </w:tcPr>
          <w:p w:rsidR="00B928E2" w:rsidRDefault="00B928E2">
            <w:pPr>
              <w:pStyle w:val="Default"/>
              <w:rPr>
                <w:sz w:val="18"/>
                <w:szCs w:val="18"/>
              </w:rPr>
            </w:pPr>
          </w:p>
          <w:p w:rsidR="00B928E2" w:rsidRDefault="00B928E2">
            <w:pPr>
              <w:pStyle w:val="Default"/>
              <w:rPr>
                <w:sz w:val="18"/>
                <w:szCs w:val="18"/>
              </w:rPr>
            </w:pPr>
          </w:p>
          <w:p w:rsidR="001D5B24" w:rsidRPr="001D5B24" w:rsidRDefault="001D5B24">
            <w:pPr>
              <w:pStyle w:val="Default"/>
              <w:rPr>
                <w:sz w:val="18"/>
                <w:szCs w:val="18"/>
              </w:rPr>
            </w:pPr>
            <w:r w:rsidRPr="001D5B24">
              <w:rPr>
                <w:sz w:val="18"/>
                <w:szCs w:val="18"/>
              </w:rPr>
              <w:t xml:space="preserve">50% </w:t>
            </w:r>
          </w:p>
          <w:p w:rsidR="001D5B24" w:rsidRPr="001D5B24" w:rsidRDefault="001D5B24">
            <w:pPr>
              <w:pStyle w:val="Default"/>
              <w:rPr>
                <w:sz w:val="18"/>
                <w:szCs w:val="18"/>
              </w:rPr>
            </w:pPr>
            <w:r w:rsidRPr="001D5B24">
              <w:rPr>
                <w:sz w:val="18"/>
                <w:szCs w:val="18"/>
              </w:rPr>
              <w:t xml:space="preserve">50% </w:t>
            </w:r>
          </w:p>
          <w:p w:rsidR="001D5B24" w:rsidRPr="001D5B24" w:rsidRDefault="001D5B24">
            <w:pPr>
              <w:pStyle w:val="Default"/>
              <w:rPr>
                <w:sz w:val="18"/>
                <w:szCs w:val="18"/>
              </w:rPr>
            </w:pPr>
            <w:r w:rsidRPr="001D5B24">
              <w:rPr>
                <w:sz w:val="18"/>
                <w:szCs w:val="18"/>
              </w:rPr>
              <w:t xml:space="preserve">50% </w:t>
            </w:r>
          </w:p>
          <w:p w:rsidR="00B928E2" w:rsidRDefault="00B928E2">
            <w:pPr>
              <w:pStyle w:val="Default"/>
              <w:rPr>
                <w:i/>
                <w:iCs/>
                <w:sz w:val="18"/>
                <w:szCs w:val="18"/>
              </w:rPr>
            </w:pPr>
          </w:p>
          <w:p w:rsidR="00B928E2" w:rsidRDefault="00B928E2">
            <w:pPr>
              <w:pStyle w:val="Default"/>
              <w:rPr>
                <w:i/>
                <w:iCs/>
                <w:sz w:val="18"/>
                <w:szCs w:val="18"/>
              </w:rPr>
            </w:pPr>
          </w:p>
          <w:p w:rsidR="00B928E2" w:rsidRDefault="00B928E2">
            <w:pPr>
              <w:pStyle w:val="Default"/>
              <w:rPr>
                <w:i/>
                <w:iCs/>
                <w:sz w:val="18"/>
                <w:szCs w:val="18"/>
              </w:rPr>
            </w:pPr>
          </w:p>
          <w:p w:rsidR="001D5B24" w:rsidRPr="001D5B24" w:rsidRDefault="001D5B24">
            <w:pPr>
              <w:pStyle w:val="Default"/>
              <w:rPr>
                <w:sz w:val="18"/>
                <w:szCs w:val="18"/>
              </w:rPr>
            </w:pPr>
            <w:r w:rsidRPr="001D5B24">
              <w:rPr>
                <w:i/>
                <w:iCs/>
                <w:sz w:val="18"/>
                <w:szCs w:val="18"/>
              </w:rPr>
              <w:t xml:space="preserve">50% </w:t>
            </w:r>
          </w:p>
          <w:p w:rsidR="001D5B24" w:rsidRPr="001D5B24" w:rsidRDefault="001D5B24">
            <w:pPr>
              <w:pStyle w:val="Default"/>
              <w:rPr>
                <w:sz w:val="18"/>
                <w:szCs w:val="18"/>
              </w:rPr>
            </w:pPr>
            <w:r w:rsidRPr="001D5B24">
              <w:rPr>
                <w:i/>
                <w:iCs/>
                <w:sz w:val="18"/>
                <w:szCs w:val="18"/>
              </w:rPr>
              <w:t xml:space="preserve">50% </w:t>
            </w:r>
          </w:p>
        </w:tc>
        <w:tc>
          <w:tcPr>
            <w:tcW w:w="1271" w:type="dxa"/>
          </w:tcPr>
          <w:p w:rsidR="001D5B24" w:rsidRPr="001D5B24" w:rsidRDefault="001D5B24">
            <w:pPr>
              <w:pStyle w:val="Default"/>
              <w:rPr>
                <w:sz w:val="18"/>
                <w:szCs w:val="18"/>
              </w:rPr>
            </w:pPr>
            <w:r w:rsidRPr="001D5B24">
              <w:rPr>
                <w:sz w:val="18"/>
                <w:szCs w:val="18"/>
              </w:rPr>
              <w:t xml:space="preserve">1.0 </w:t>
            </w:r>
          </w:p>
        </w:tc>
      </w:tr>
      <w:tr w:rsidR="00B928E2" w:rsidRPr="001D5B24" w:rsidTr="001D5B24">
        <w:trPr>
          <w:trHeight w:val="1052"/>
        </w:trPr>
        <w:tc>
          <w:tcPr>
            <w:tcW w:w="1384" w:type="dxa"/>
          </w:tcPr>
          <w:p w:rsidR="00B928E2" w:rsidRPr="001D5B24" w:rsidRDefault="00B928E2">
            <w:pPr>
              <w:pStyle w:val="Default"/>
              <w:rPr>
                <w:sz w:val="18"/>
                <w:szCs w:val="18"/>
              </w:rPr>
            </w:pPr>
            <w:r w:rsidRPr="001D5B24">
              <w:rPr>
                <w:sz w:val="18"/>
                <w:szCs w:val="18"/>
              </w:rPr>
              <w:t>Quality</w:t>
            </w:r>
          </w:p>
        </w:tc>
        <w:tc>
          <w:tcPr>
            <w:tcW w:w="3827" w:type="dxa"/>
          </w:tcPr>
          <w:p w:rsidR="00B928E2" w:rsidRPr="001D5B24" w:rsidRDefault="00B928E2" w:rsidP="00B928E2">
            <w:pPr>
              <w:pStyle w:val="Default"/>
              <w:rPr>
                <w:sz w:val="18"/>
                <w:szCs w:val="18"/>
              </w:rPr>
            </w:pPr>
            <w:r w:rsidRPr="001D5B24">
              <w:rPr>
                <w:sz w:val="18"/>
                <w:szCs w:val="18"/>
              </w:rPr>
              <w:t xml:space="preserve">Care Programme Approach (CPA) patients, comprising: </w:t>
            </w:r>
          </w:p>
          <w:tbl>
            <w:tblPr>
              <w:tblW w:w="7616" w:type="dxa"/>
              <w:tblBorders>
                <w:top w:val="nil"/>
                <w:left w:val="nil"/>
                <w:bottom w:val="nil"/>
                <w:right w:val="nil"/>
              </w:tblBorders>
              <w:tblLayout w:type="fixed"/>
              <w:tblLook w:val="0000"/>
            </w:tblPr>
            <w:tblGrid>
              <w:gridCol w:w="7616"/>
            </w:tblGrid>
            <w:tr w:rsidR="00B928E2" w:rsidRPr="001D5B24" w:rsidTr="00B928E2">
              <w:trPr>
                <w:trHeight w:val="75"/>
              </w:trPr>
              <w:tc>
                <w:tcPr>
                  <w:tcW w:w="5211" w:type="dxa"/>
                </w:tcPr>
                <w:p w:rsidR="00B928E2" w:rsidRDefault="00B928E2" w:rsidP="00B928E2">
                  <w:pPr>
                    <w:pStyle w:val="Default"/>
                    <w:rPr>
                      <w:sz w:val="18"/>
                      <w:szCs w:val="18"/>
                    </w:rPr>
                  </w:pPr>
                  <w:r w:rsidRPr="001D5B24">
                    <w:rPr>
                      <w:sz w:val="18"/>
                      <w:szCs w:val="18"/>
                    </w:rPr>
                    <w:t xml:space="preserve">receiving follow-up contact within </w:t>
                  </w:r>
                </w:p>
                <w:p w:rsidR="00B928E2" w:rsidRPr="001D5B24" w:rsidRDefault="00B928E2" w:rsidP="00B928E2">
                  <w:pPr>
                    <w:pStyle w:val="Default"/>
                    <w:rPr>
                      <w:sz w:val="18"/>
                      <w:szCs w:val="18"/>
                    </w:rPr>
                  </w:pPr>
                  <w:r w:rsidRPr="001D5B24">
                    <w:rPr>
                      <w:sz w:val="18"/>
                      <w:szCs w:val="18"/>
                    </w:rPr>
                    <w:t xml:space="preserve">seven days of discharge </w:t>
                  </w:r>
                </w:p>
              </w:tc>
            </w:tr>
            <w:tr w:rsidR="00B928E2" w:rsidRPr="001D5B24" w:rsidTr="00B928E2">
              <w:trPr>
                <w:trHeight w:val="105"/>
              </w:trPr>
              <w:tc>
                <w:tcPr>
                  <w:tcW w:w="5211" w:type="dxa"/>
                </w:tcPr>
                <w:p w:rsidR="00B928E2" w:rsidRPr="001D5B24" w:rsidRDefault="00B928E2" w:rsidP="00B928E2">
                  <w:pPr>
                    <w:pStyle w:val="Default"/>
                    <w:rPr>
                      <w:sz w:val="18"/>
                      <w:szCs w:val="18"/>
                    </w:rPr>
                  </w:pPr>
                  <w:r w:rsidRPr="001D5B24">
                    <w:rPr>
                      <w:sz w:val="18"/>
                      <w:szCs w:val="18"/>
                    </w:rPr>
                    <w:t xml:space="preserve">having formal review within 12 months </w:t>
                  </w:r>
                </w:p>
              </w:tc>
            </w:tr>
          </w:tbl>
          <w:p w:rsidR="00B928E2" w:rsidRPr="001D5B24" w:rsidRDefault="00B928E2">
            <w:pPr>
              <w:pStyle w:val="Default"/>
              <w:rPr>
                <w:sz w:val="18"/>
                <w:szCs w:val="18"/>
              </w:rPr>
            </w:pPr>
          </w:p>
        </w:tc>
        <w:tc>
          <w:tcPr>
            <w:tcW w:w="1134" w:type="dxa"/>
          </w:tcPr>
          <w:p w:rsidR="00B928E2" w:rsidRDefault="00B928E2">
            <w:pPr>
              <w:pStyle w:val="Default"/>
              <w:rPr>
                <w:sz w:val="18"/>
                <w:szCs w:val="18"/>
              </w:rPr>
            </w:pPr>
          </w:p>
          <w:p w:rsidR="00B928E2" w:rsidRDefault="00B928E2">
            <w:pPr>
              <w:pStyle w:val="Default"/>
              <w:rPr>
                <w:sz w:val="18"/>
                <w:szCs w:val="18"/>
              </w:rPr>
            </w:pPr>
          </w:p>
          <w:p w:rsidR="00B928E2" w:rsidRDefault="00B928E2">
            <w:pPr>
              <w:pStyle w:val="Default"/>
              <w:rPr>
                <w:sz w:val="18"/>
                <w:szCs w:val="18"/>
              </w:rPr>
            </w:pPr>
            <w:r>
              <w:rPr>
                <w:sz w:val="18"/>
                <w:szCs w:val="18"/>
              </w:rPr>
              <w:t>95%</w:t>
            </w:r>
          </w:p>
          <w:p w:rsidR="00B928E2" w:rsidRDefault="00B928E2">
            <w:pPr>
              <w:pStyle w:val="Default"/>
              <w:rPr>
                <w:sz w:val="18"/>
                <w:szCs w:val="18"/>
              </w:rPr>
            </w:pPr>
          </w:p>
          <w:p w:rsidR="00B928E2" w:rsidRDefault="00B928E2">
            <w:pPr>
              <w:pStyle w:val="Default"/>
              <w:rPr>
                <w:sz w:val="18"/>
                <w:szCs w:val="18"/>
              </w:rPr>
            </w:pPr>
            <w:r>
              <w:rPr>
                <w:sz w:val="18"/>
                <w:szCs w:val="18"/>
              </w:rPr>
              <w:t>95%</w:t>
            </w:r>
          </w:p>
        </w:tc>
        <w:tc>
          <w:tcPr>
            <w:tcW w:w="1271" w:type="dxa"/>
          </w:tcPr>
          <w:p w:rsidR="00B928E2" w:rsidRPr="001D5B24" w:rsidRDefault="00B928E2">
            <w:pPr>
              <w:pStyle w:val="Default"/>
              <w:rPr>
                <w:sz w:val="18"/>
                <w:szCs w:val="18"/>
              </w:rPr>
            </w:pPr>
            <w:r>
              <w:rPr>
                <w:sz w:val="18"/>
                <w:szCs w:val="18"/>
              </w:rPr>
              <w:t>1.0</w:t>
            </w:r>
          </w:p>
        </w:tc>
      </w:tr>
      <w:tr w:rsidR="001D5B24" w:rsidRPr="001D5B24" w:rsidTr="001D5B24">
        <w:trPr>
          <w:trHeight w:val="106"/>
        </w:trPr>
        <w:tc>
          <w:tcPr>
            <w:tcW w:w="1384" w:type="dxa"/>
          </w:tcPr>
          <w:p w:rsidR="001D5B24" w:rsidRPr="001D5B24" w:rsidRDefault="001D5B24">
            <w:pPr>
              <w:pStyle w:val="Default"/>
              <w:rPr>
                <w:sz w:val="18"/>
                <w:szCs w:val="18"/>
              </w:rPr>
            </w:pPr>
            <w:r w:rsidRPr="001D5B24">
              <w:rPr>
                <w:sz w:val="18"/>
                <w:szCs w:val="18"/>
              </w:rPr>
              <w:t xml:space="preserve">Quality </w:t>
            </w:r>
          </w:p>
        </w:tc>
        <w:tc>
          <w:tcPr>
            <w:tcW w:w="3827" w:type="dxa"/>
          </w:tcPr>
          <w:p w:rsidR="001D5B24" w:rsidRPr="001D5B24" w:rsidRDefault="001D5B24">
            <w:pPr>
              <w:pStyle w:val="Default"/>
              <w:rPr>
                <w:sz w:val="18"/>
                <w:szCs w:val="18"/>
              </w:rPr>
            </w:pPr>
            <w:r w:rsidRPr="001D5B24">
              <w:rPr>
                <w:sz w:val="18"/>
                <w:szCs w:val="18"/>
              </w:rPr>
              <w:t xml:space="preserve">Minimising mental health delayed transfers of care </w:t>
            </w:r>
            <w:r w:rsidR="00B928E2">
              <w:rPr>
                <w:b/>
                <w:sz w:val="18"/>
                <w:szCs w:val="18"/>
              </w:rPr>
              <w:t>(4)</w:t>
            </w:r>
          </w:p>
        </w:tc>
        <w:tc>
          <w:tcPr>
            <w:tcW w:w="1134" w:type="dxa"/>
          </w:tcPr>
          <w:p w:rsidR="001D5B24" w:rsidRPr="001D5B24" w:rsidRDefault="001D5B24">
            <w:pPr>
              <w:pStyle w:val="Default"/>
              <w:rPr>
                <w:sz w:val="18"/>
                <w:szCs w:val="18"/>
              </w:rPr>
            </w:pPr>
            <w:r w:rsidRPr="001D5B24">
              <w:rPr>
                <w:sz w:val="18"/>
                <w:szCs w:val="18"/>
              </w:rPr>
              <w:t xml:space="preserve">≤7.5% </w:t>
            </w:r>
          </w:p>
        </w:tc>
        <w:tc>
          <w:tcPr>
            <w:tcW w:w="1271" w:type="dxa"/>
          </w:tcPr>
          <w:p w:rsidR="001D5B24" w:rsidRPr="001D5B24" w:rsidRDefault="001D5B24">
            <w:pPr>
              <w:pStyle w:val="Default"/>
              <w:rPr>
                <w:sz w:val="18"/>
                <w:szCs w:val="18"/>
              </w:rPr>
            </w:pPr>
            <w:r w:rsidRPr="001D5B24">
              <w:rPr>
                <w:sz w:val="18"/>
                <w:szCs w:val="18"/>
              </w:rPr>
              <w:t xml:space="preserve">1.0 </w:t>
            </w:r>
          </w:p>
        </w:tc>
      </w:tr>
      <w:tr w:rsidR="001D5B24" w:rsidRPr="001D5B24" w:rsidTr="001D5B24">
        <w:trPr>
          <w:trHeight w:val="179"/>
        </w:trPr>
        <w:tc>
          <w:tcPr>
            <w:tcW w:w="1384" w:type="dxa"/>
          </w:tcPr>
          <w:p w:rsidR="001D5B24" w:rsidRPr="001D5B24" w:rsidRDefault="001D5B24">
            <w:pPr>
              <w:pStyle w:val="Default"/>
              <w:rPr>
                <w:sz w:val="18"/>
                <w:szCs w:val="18"/>
              </w:rPr>
            </w:pPr>
            <w:r w:rsidRPr="001D5B24">
              <w:rPr>
                <w:sz w:val="18"/>
                <w:szCs w:val="18"/>
              </w:rPr>
              <w:t xml:space="preserve">Quality </w:t>
            </w:r>
          </w:p>
        </w:tc>
        <w:tc>
          <w:tcPr>
            <w:tcW w:w="3827" w:type="dxa"/>
          </w:tcPr>
          <w:p w:rsidR="001D5B24" w:rsidRPr="001D5B24" w:rsidRDefault="001D5B24">
            <w:pPr>
              <w:pStyle w:val="Default"/>
              <w:rPr>
                <w:sz w:val="18"/>
                <w:szCs w:val="18"/>
              </w:rPr>
            </w:pPr>
            <w:r w:rsidRPr="001D5B24">
              <w:rPr>
                <w:sz w:val="18"/>
                <w:szCs w:val="18"/>
              </w:rPr>
              <w:t xml:space="preserve">Admissions to inpatients services had access to Crisis Resolution/Home Treatment teams </w:t>
            </w:r>
          </w:p>
        </w:tc>
        <w:tc>
          <w:tcPr>
            <w:tcW w:w="1134" w:type="dxa"/>
          </w:tcPr>
          <w:p w:rsidR="001D5B24" w:rsidRPr="001D5B24" w:rsidRDefault="001D5B24">
            <w:pPr>
              <w:pStyle w:val="Default"/>
              <w:rPr>
                <w:sz w:val="18"/>
                <w:szCs w:val="18"/>
              </w:rPr>
            </w:pPr>
            <w:r w:rsidRPr="001D5B24">
              <w:rPr>
                <w:sz w:val="18"/>
                <w:szCs w:val="18"/>
              </w:rPr>
              <w:t xml:space="preserve">95% </w:t>
            </w:r>
          </w:p>
        </w:tc>
        <w:tc>
          <w:tcPr>
            <w:tcW w:w="1271" w:type="dxa"/>
          </w:tcPr>
          <w:p w:rsidR="001D5B24" w:rsidRPr="001D5B24" w:rsidRDefault="001D5B24">
            <w:pPr>
              <w:pStyle w:val="Default"/>
              <w:rPr>
                <w:sz w:val="18"/>
                <w:szCs w:val="18"/>
              </w:rPr>
            </w:pPr>
            <w:r w:rsidRPr="001D5B24">
              <w:rPr>
                <w:sz w:val="18"/>
                <w:szCs w:val="18"/>
              </w:rPr>
              <w:t xml:space="preserve">1.0 </w:t>
            </w:r>
          </w:p>
        </w:tc>
      </w:tr>
      <w:tr w:rsidR="001D5B24" w:rsidRPr="001D5B24" w:rsidTr="001D5B24">
        <w:trPr>
          <w:trHeight w:val="179"/>
        </w:trPr>
        <w:tc>
          <w:tcPr>
            <w:tcW w:w="1384" w:type="dxa"/>
          </w:tcPr>
          <w:p w:rsidR="001D5B24" w:rsidRPr="001D5B24" w:rsidRDefault="001D5B24">
            <w:pPr>
              <w:pStyle w:val="Default"/>
              <w:rPr>
                <w:sz w:val="18"/>
                <w:szCs w:val="18"/>
              </w:rPr>
            </w:pPr>
            <w:r w:rsidRPr="001D5B24">
              <w:rPr>
                <w:sz w:val="18"/>
                <w:szCs w:val="18"/>
              </w:rPr>
              <w:t xml:space="preserve">Quality </w:t>
            </w:r>
          </w:p>
        </w:tc>
        <w:tc>
          <w:tcPr>
            <w:tcW w:w="3827" w:type="dxa"/>
          </w:tcPr>
          <w:p w:rsidR="001D5B24" w:rsidRPr="001D5B24" w:rsidRDefault="001D5B24">
            <w:pPr>
              <w:pStyle w:val="Default"/>
              <w:rPr>
                <w:sz w:val="18"/>
                <w:szCs w:val="18"/>
              </w:rPr>
            </w:pPr>
            <w:r w:rsidRPr="001D5B24">
              <w:rPr>
                <w:sz w:val="18"/>
                <w:szCs w:val="18"/>
              </w:rPr>
              <w:t>Meeting commitment to serve new psychosis cases by early intervention teams</w:t>
            </w:r>
          </w:p>
        </w:tc>
        <w:tc>
          <w:tcPr>
            <w:tcW w:w="1134" w:type="dxa"/>
          </w:tcPr>
          <w:p w:rsidR="001D5B24" w:rsidRPr="001D5B24" w:rsidRDefault="001D5B24">
            <w:pPr>
              <w:pStyle w:val="Default"/>
              <w:rPr>
                <w:sz w:val="18"/>
                <w:szCs w:val="18"/>
              </w:rPr>
            </w:pPr>
            <w:r w:rsidRPr="001D5B24">
              <w:rPr>
                <w:sz w:val="18"/>
                <w:szCs w:val="18"/>
              </w:rPr>
              <w:t xml:space="preserve">95% </w:t>
            </w:r>
          </w:p>
        </w:tc>
        <w:tc>
          <w:tcPr>
            <w:tcW w:w="1271" w:type="dxa"/>
          </w:tcPr>
          <w:p w:rsidR="001D5B24" w:rsidRPr="001D5B24" w:rsidRDefault="001D5B24">
            <w:pPr>
              <w:pStyle w:val="Default"/>
              <w:rPr>
                <w:sz w:val="18"/>
                <w:szCs w:val="18"/>
              </w:rPr>
            </w:pPr>
            <w:r w:rsidRPr="001D5B24">
              <w:rPr>
                <w:sz w:val="18"/>
                <w:szCs w:val="18"/>
              </w:rPr>
              <w:t xml:space="preserve">0.5 </w:t>
            </w:r>
          </w:p>
        </w:tc>
      </w:tr>
      <w:tr w:rsidR="001D5B24" w:rsidRPr="001D5B24" w:rsidTr="001D5B24">
        <w:trPr>
          <w:trHeight w:val="106"/>
        </w:trPr>
        <w:tc>
          <w:tcPr>
            <w:tcW w:w="1384" w:type="dxa"/>
          </w:tcPr>
          <w:p w:rsidR="001D5B24" w:rsidRPr="001D5B24" w:rsidRDefault="001D5B24">
            <w:pPr>
              <w:pStyle w:val="Default"/>
              <w:rPr>
                <w:sz w:val="18"/>
                <w:szCs w:val="18"/>
              </w:rPr>
            </w:pPr>
            <w:r w:rsidRPr="001D5B24">
              <w:rPr>
                <w:sz w:val="18"/>
                <w:szCs w:val="18"/>
              </w:rPr>
              <w:t xml:space="preserve">Effectiveness </w:t>
            </w:r>
          </w:p>
        </w:tc>
        <w:tc>
          <w:tcPr>
            <w:tcW w:w="3827" w:type="dxa"/>
          </w:tcPr>
          <w:p w:rsidR="001D5B24" w:rsidRPr="001D5B24" w:rsidRDefault="001D5B24">
            <w:pPr>
              <w:pStyle w:val="Default"/>
              <w:rPr>
                <w:sz w:val="18"/>
                <w:szCs w:val="18"/>
              </w:rPr>
            </w:pPr>
            <w:r w:rsidRPr="001D5B24">
              <w:rPr>
                <w:sz w:val="18"/>
                <w:szCs w:val="18"/>
              </w:rPr>
              <w:t xml:space="preserve">Data completeness: identifiers </w:t>
            </w:r>
          </w:p>
        </w:tc>
        <w:tc>
          <w:tcPr>
            <w:tcW w:w="1134" w:type="dxa"/>
          </w:tcPr>
          <w:p w:rsidR="001D5B24" w:rsidRPr="001D5B24" w:rsidRDefault="001D5B24">
            <w:pPr>
              <w:pStyle w:val="Default"/>
              <w:rPr>
                <w:sz w:val="18"/>
                <w:szCs w:val="18"/>
              </w:rPr>
            </w:pPr>
            <w:r w:rsidRPr="001D5B24">
              <w:rPr>
                <w:sz w:val="18"/>
                <w:szCs w:val="18"/>
              </w:rPr>
              <w:t xml:space="preserve">97% </w:t>
            </w:r>
          </w:p>
        </w:tc>
        <w:tc>
          <w:tcPr>
            <w:tcW w:w="1271" w:type="dxa"/>
          </w:tcPr>
          <w:p w:rsidR="001D5B24" w:rsidRPr="001D5B24" w:rsidRDefault="001D5B24">
            <w:pPr>
              <w:pStyle w:val="Default"/>
              <w:rPr>
                <w:sz w:val="18"/>
                <w:szCs w:val="18"/>
              </w:rPr>
            </w:pPr>
            <w:r w:rsidRPr="001D5B24">
              <w:rPr>
                <w:sz w:val="18"/>
                <w:szCs w:val="18"/>
              </w:rPr>
              <w:t xml:space="preserve">0.5 </w:t>
            </w:r>
          </w:p>
        </w:tc>
      </w:tr>
      <w:tr w:rsidR="001D5B24" w:rsidRPr="001D5B24" w:rsidTr="001D5B24">
        <w:trPr>
          <w:trHeight w:val="106"/>
        </w:trPr>
        <w:tc>
          <w:tcPr>
            <w:tcW w:w="1384" w:type="dxa"/>
          </w:tcPr>
          <w:p w:rsidR="001D5B24" w:rsidRPr="001D5B24" w:rsidRDefault="001D5B24">
            <w:pPr>
              <w:pStyle w:val="Default"/>
              <w:rPr>
                <w:sz w:val="18"/>
                <w:szCs w:val="18"/>
              </w:rPr>
            </w:pPr>
            <w:r w:rsidRPr="001D5B24">
              <w:rPr>
                <w:sz w:val="18"/>
                <w:szCs w:val="18"/>
              </w:rPr>
              <w:t xml:space="preserve">Effectiveness </w:t>
            </w:r>
          </w:p>
        </w:tc>
        <w:tc>
          <w:tcPr>
            <w:tcW w:w="3827" w:type="dxa"/>
          </w:tcPr>
          <w:p w:rsidR="001D5B24" w:rsidRPr="001D5B24" w:rsidRDefault="001D5B24">
            <w:pPr>
              <w:pStyle w:val="Default"/>
              <w:rPr>
                <w:sz w:val="18"/>
                <w:szCs w:val="18"/>
              </w:rPr>
            </w:pPr>
            <w:r w:rsidRPr="001D5B24">
              <w:rPr>
                <w:sz w:val="18"/>
                <w:szCs w:val="18"/>
              </w:rPr>
              <w:t xml:space="preserve">Data completeness: outcomes for patients on CPA </w:t>
            </w:r>
          </w:p>
        </w:tc>
        <w:tc>
          <w:tcPr>
            <w:tcW w:w="1134" w:type="dxa"/>
          </w:tcPr>
          <w:p w:rsidR="001D5B24" w:rsidRPr="001D5B24" w:rsidRDefault="001D5B24">
            <w:pPr>
              <w:pStyle w:val="Default"/>
              <w:rPr>
                <w:sz w:val="18"/>
                <w:szCs w:val="18"/>
              </w:rPr>
            </w:pPr>
            <w:r w:rsidRPr="001D5B24">
              <w:rPr>
                <w:sz w:val="18"/>
                <w:szCs w:val="18"/>
              </w:rPr>
              <w:t xml:space="preserve">50% </w:t>
            </w:r>
          </w:p>
        </w:tc>
        <w:tc>
          <w:tcPr>
            <w:tcW w:w="1271" w:type="dxa"/>
          </w:tcPr>
          <w:p w:rsidR="001D5B24" w:rsidRPr="001D5B24" w:rsidRDefault="001D5B24">
            <w:pPr>
              <w:pStyle w:val="Default"/>
              <w:rPr>
                <w:sz w:val="18"/>
                <w:szCs w:val="18"/>
              </w:rPr>
            </w:pPr>
            <w:r w:rsidRPr="001D5B24">
              <w:rPr>
                <w:sz w:val="18"/>
                <w:szCs w:val="18"/>
              </w:rPr>
              <w:t xml:space="preserve">0.5 </w:t>
            </w:r>
          </w:p>
        </w:tc>
      </w:tr>
      <w:tr w:rsidR="001D5B24" w:rsidRPr="001D5B24" w:rsidTr="001D5B24">
        <w:trPr>
          <w:trHeight w:val="181"/>
        </w:trPr>
        <w:tc>
          <w:tcPr>
            <w:tcW w:w="1384" w:type="dxa"/>
          </w:tcPr>
          <w:p w:rsidR="001D5B24" w:rsidRPr="001D5B24" w:rsidRDefault="001D5B24">
            <w:pPr>
              <w:pStyle w:val="Default"/>
              <w:rPr>
                <w:sz w:val="18"/>
                <w:szCs w:val="18"/>
              </w:rPr>
            </w:pPr>
            <w:r w:rsidRPr="001D5B24">
              <w:rPr>
                <w:sz w:val="18"/>
                <w:szCs w:val="18"/>
              </w:rPr>
              <w:lastRenderedPageBreak/>
              <w:t xml:space="preserve">Patient experience </w:t>
            </w:r>
          </w:p>
        </w:tc>
        <w:tc>
          <w:tcPr>
            <w:tcW w:w="3827" w:type="dxa"/>
          </w:tcPr>
          <w:p w:rsidR="001D5B24" w:rsidRPr="001D5B24" w:rsidRDefault="001D5B24">
            <w:pPr>
              <w:pStyle w:val="Default"/>
              <w:rPr>
                <w:sz w:val="18"/>
                <w:szCs w:val="18"/>
              </w:rPr>
            </w:pPr>
            <w:r w:rsidRPr="001D5B24">
              <w:rPr>
                <w:sz w:val="18"/>
                <w:szCs w:val="18"/>
              </w:rPr>
              <w:t xml:space="preserve">Certification against compliance with requirements regarding access to healthcare for people with a learning disability </w:t>
            </w:r>
            <w:r w:rsidRPr="001D5B24">
              <w:rPr>
                <w:b/>
                <w:bCs/>
                <w:sz w:val="18"/>
                <w:szCs w:val="18"/>
              </w:rPr>
              <w:t xml:space="preserve">(18) </w:t>
            </w:r>
          </w:p>
        </w:tc>
        <w:tc>
          <w:tcPr>
            <w:tcW w:w="1134" w:type="dxa"/>
          </w:tcPr>
          <w:p w:rsidR="001D5B24" w:rsidRPr="001D5B24" w:rsidRDefault="001D5B24">
            <w:pPr>
              <w:pStyle w:val="Default"/>
              <w:rPr>
                <w:sz w:val="18"/>
                <w:szCs w:val="18"/>
              </w:rPr>
            </w:pPr>
            <w:r w:rsidRPr="001D5B24">
              <w:rPr>
                <w:sz w:val="18"/>
                <w:szCs w:val="18"/>
              </w:rPr>
              <w:t xml:space="preserve">N/A </w:t>
            </w:r>
          </w:p>
        </w:tc>
        <w:tc>
          <w:tcPr>
            <w:tcW w:w="1271" w:type="dxa"/>
          </w:tcPr>
          <w:p w:rsidR="001D5B24" w:rsidRPr="001D5B24" w:rsidRDefault="001D5B24">
            <w:pPr>
              <w:pStyle w:val="Default"/>
              <w:rPr>
                <w:sz w:val="18"/>
                <w:szCs w:val="18"/>
              </w:rPr>
            </w:pPr>
            <w:r w:rsidRPr="001D5B24">
              <w:rPr>
                <w:sz w:val="18"/>
                <w:szCs w:val="18"/>
              </w:rPr>
              <w:t xml:space="preserve">0.5 </w:t>
            </w:r>
          </w:p>
        </w:tc>
      </w:tr>
    </w:tbl>
    <w:p w:rsidR="001D5B24" w:rsidRPr="00B928E2" w:rsidRDefault="001D5B24" w:rsidP="001A5E95">
      <w:pPr>
        <w:jc w:val="both"/>
        <w:rPr>
          <w:rFonts w:ascii="Arial" w:hAnsi="Arial" w:cs="Arial"/>
          <w:b/>
          <w:i/>
          <w:color w:val="000000" w:themeColor="text1"/>
          <w:sz w:val="18"/>
          <w:szCs w:val="18"/>
        </w:rPr>
      </w:pPr>
    </w:p>
    <w:p w:rsidR="00907E70" w:rsidRDefault="00B928E2" w:rsidP="00537C23">
      <w:pPr>
        <w:jc w:val="both"/>
        <w:rPr>
          <w:rFonts w:ascii="Arial" w:hAnsi="Arial" w:cs="Arial"/>
          <w:b/>
          <w:color w:val="000000" w:themeColor="text1"/>
          <w:sz w:val="20"/>
          <w:szCs w:val="20"/>
          <w:lang w:val="en-GB" w:eastAsia="en-GB"/>
        </w:rPr>
      </w:pPr>
      <w:r w:rsidRPr="00B928E2">
        <w:rPr>
          <w:rFonts w:ascii="Arial" w:hAnsi="Arial" w:cs="Arial"/>
          <w:b/>
          <w:color w:val="000000" w:themeColor="text1"/>
          <w:sz w:val="20"/>
          <w:szCs w:val="20"/>
          <w:lang w:val="en-GB" w:eastAsia="en-GB"/>
        </w:rPr>
        <w:t>Key</w:t>
      </w:r>
      <w:r>
        <w:rPr>
          <w:rFonts w:ascii="Arial" w:hAnsi="Arial" w:cs="Arial"/>
          <w:b/>
          <w:color w:val="000000" w:themeColor="text1"/>
          <w:sz w:val="20"/>
          <w:szCs w:val="20"/>
          <w:lang w:val="en-GB" w:eastAsia="en-GB"/>
        </w:rPr>
        <w:t>:</w:t>
      </w:r>
    </w:p>
    <w:p w:rsidR="00B928E2" w:rsidRDefault="00B928E2" w:rsidP="00B928E2">
      <w:pPr>
        <w:numPr>
          <w:ilvl w:val="0"/>
          <w:numId w:val="13"/>
        </w:numPr>
        <w:jc w:val="both"/>
        <w:rPr>
          <w:rFonts w:ascii="Arial" w:hAnsi="Arial" w:cs="Arial"/>
          <w:color w:val="000000" w:themeColor="text1"/>
          <w:sz w:val="20"/>
          <w:szCs w:val="20"/>
          <w:lang w:val="en-GB" w:eastAsia="en-GB"/>
        </w:rPr>
      </w:pPr>
      <w:r>
        <w:rPr>
          <w:rFonts w:ascii="Arial" w:hAnsi="Arial" w:cs="Arial"/>
          <w:color w:val="000000" w:themeColor="text1"/>
          <w:sz w:val="20"/>
          <w:szCs w:val="20"/>
          <w:lang w:val="en-GB" w:eastAsia="en-GB"/>
        </w:rPr>
        <w:t>– to be confirmed if this applies to the Trust</w:t>
      </w:r>
    </w:p>
    <w:p w:rsidR="00B928E2" w:rsidRDefault="00B928E2" w:rsidP="00B928E2">
      <w:pPr>
        <w:numPr>
          <w:ilvl w:val="0"/>
          <w:numId w:val="13"/>
        </w:numPr>
        <w:jc w:val="both"/>
        <w:rPr>
          <w:rFonts w:ascii="Arial" w:hAnsi="Arial" w:cs="Arial"/>
          <w:color w:val="000000" w:themeColor="text1"/>
          <w:sz w:val="20"/>
          <w:szCs w:val="20"/>
          <w:lang w:val="en-GB" w:eastAsia="en-GB"/>
        </w:rPr>
      </w:pPr>
      <w:r>
        <w:rPr>
          <w:rFonts w:ascii="Arial" w:hAnsi="Arial" w:cs="Arial"/>
          <w:color w:val="000000" w:themeColor="text1"/>
          <w:sz w:val="20"/>
          <w:szCs w:val="20"/>
          <w:lang w:val="en-GB" w:eastAsia="en-GB"/>
        </w:rPr>
        <w:t>– to be confirmed if this applies to the Trust</w:t>
      </w:r>
    </w:p>
    <w:p w:rsidR="00B928E2" w:rsidRDefault="00B928E2" w:rsidP="00B928E2">
      <w:pPr>
        <w:numPr>
          <w:ilvl w:val="0"/>
          <w:numId w:val="13"/>
        </w:numPr>
        <w:jc w:val="both"/>
        <w:rPr>
          <w:rFonts w:ascii="Arial" w:hAnsi="Arial" w:cs="Arial"/>
          <w:color w:val="000000" w:themeColor="text1"/>
          <w:sz w:val="20"/>
          <w:szCs w:val="20"/>
          <w:lang w:val="en-GB" w:eastAsia="en-GB"/>
        </w:rPr>
      </w:pPr>
      <w:r>
        <w:rPr>
          <w:rFonts w:ascii="Arial" w:hAnsi="Arial" w:cs="Arial"/>
          <w:color w:val="000000" w:themeColor="text1"/>
          <w:sz w:val="20"/>
          <w:szCs w:val="20"/>
          <w:lang w:val="en-GB" w:eastAsia="en-GB"/>
        </w:rPr>
        <w:t xml:space="preserve">– applies to the Trust by virtue of Minor Injury Units </w:t>
      </w:r>
    </w:p>
    <w:p w:rsidR="00B928E2" w:rsidRPr="00B928E2" w:rsidRDefault="00B928E2" w:rsidP="00B928E2">
      <w:pPr>
        <w:numPr>
          <w:ilvl w:val="0"/>
          <w:numId w:val="13"/>
        </w:numPr>
        <w:jc w:val="both"/>
        <w:rPr>
          <w:rFonts w:ascii="Arial" w:hAnsi="Arial" w:cs="Arial"/>
          <w:color w:val="000000" w:themeColor="text1"/>
          <w:sz w:val="20"/>
          <w:szCs w:val="20"/>
          <w:lang w:val="en-GB" w:eastAsia="en-GB"/>
        </w:rPr>
      </w:pPr>
      <w:r>
        <w:rPr>
          <w:rFonts w:ascii="Arial" w:hAnsi="Arial" w:cs="Arial"/>
          <w:color w:val="000000" w:themeColor="text1"/>
          <w:sz w:val="20"/>
          <w:szCs w:val="20"/>
          <w:lang w:val="en-GB" w:eastAsia="en-GB"/>
        </w:rPr>
        <w:t xml:space="preserve">– Delayed transfers of care attributable </w:t>
      </w:r>
      <w:r w:rsidR="007338A7">
        <w:rPr>
          <w:rFonts w:ascii="Arial" w:hAnsi="Arial" w:cs="Arial"/>
          <w:color w:val="000000" w:themeColor="text1"/>
          <w:sz w:val="20"/>
          <w:szCs w:val="20"/>
          <w:lang w:val="en-GB" w:eastAsia="en-GB"/>
        </w:rPr>
        <w:t>to social care services are now included</w:t>
      </w:r>
      <w:r>
        <w:rPr>
          <w:rFonts w:ascii="Arial" w:hAnsi="Arial" w:cs="Arial"/>
          <w:color w:val="000000" w:themeColor="text1"/>
          <w:sz w:val="20"/>
          <w:szCs w:val="20"/>
          <w:lang w:val="en-GB" w:eastAsia="en-GB"/>
        </w:rPr>
        <w:t xml:space="preserve"> </w:t>
      </w:r>
    </w:p>
    <w:p w:rsidR="00B928E2" w:rsidRPr="00B928E2" w:rsidRDefault="00B928E2" w:rsidP="00537C23">
      <w:pPr>
        <w:jc w:val="both"/>
        <w:rPr>
          <w:rFonts w:ascii="Arial" w:hAnsi="Arial" w:cs="Arial"/>
          <w:color w:val="000000" w:themeColor="text1"/>
          <w:lang w:val="en-GB" w:eastAsia="en-GB"/>
        </w:rPr>
      </w:pPr>
    </w:p>
    <w:p w:rsidR="00B928E2" w:rsidRDefault="00B928E2" w:rsidP="00537C23">
      <w:pPr>
        <w:jc w:val="both"/>
        <w:rPr>
          <w:rFonts w:ascii="Arial" w:hAnsi="Arial" w:cs="Arial"/>
          <w:color w:val="FFFFFF"/>
          <w:lang w:val="en-GB" w:eastAsia="en-GB"/>
        </w:rPr>
      </w:pPr>
    </w:p>
    <w:p w:rsidR="00537C23" w:rsidRDefault="00537C23" w:rsidP="00537C23">
      <w:pPr>
        <w:jc w:val="both"/>
        <w:rPr>
          <w:rFonts w:ascii="Arial" w:hAnsi="Arial" w:cs="Arial"/>
          <w:b/>
        </w:rPr>
      </w:pPr>
      <w:r>
        <w:rPr>
          <w:rFonts w:ascii="Arial" w:hAnsi="Arial" w:cs="Arial"/>
          <w:b/>
        </w:rPr>
        <w:t>Recommendation</w:t>
      </w:r>
    </w:p>
    <w:p w:rsidR="00537C23" w:rsidRDefault="00537C23" w:rsidP="00537C23">
      <w:pPr>
        <w:jc w:val="both"/>
        <w:rPr>
          <w:rFonts w:ascii="Arial" w:hAnsi="Arial" w:cs="Arial"/>
        </w:rPr>
      </w:pPr>
      <w:r>
        <w:rPr>
          <w:rFonts w:ascii="Arial" w:hAnsi="Arial" w:cs="Arial"/>
        </w:rPr>
        <w:t>The Board is asked to note what the Trust should report to Monitor as part of the quarterly in-year submission.</w:t>
      </w:r>
    </w:p>
    <w:p w:rsidR="0038018C" w:rsidRDefault="0038018C" w:rsidP="00537C23">
      <w:pPr>
        <w:jc w:val="both"/>
        <w:rPr>
          <w:rFonts w:ascii="Arial" w:hAnsi="Arial" w:cs="Arial"/>
        </w:rPr>
      </w:pPr>
    </w:p>
    <w:p w:rsidR="00537C23" w:rsidRDefault="00537C23" w:rsidP="00537C23">
      <w:pPr>
        <w:jc w:val="both"/>
        <w:rPr>
          <w:rFonts w:ascii="Arial" w:hAnsi="Arial" w:cs="Arial"/>
        </w:rPr>
      </w:pPr>
      <w:r>
        <w:rPr>
          <w:rFonts w:ascii="Arial" w:hAnsi="Arial" w:cs="Arial"/>
        </w:rPr>
        <w:t xml:space="preserve">The Board is asked to comment on and approve the Quarter </w:t>
      </w:r>
      <w:r w:rsidR="00F4113A">
        <w:rPr>
          <w:rFonts w:ascii="Arial" w:hAnsi="Arial" w:cs="Arial"/>
        </w:rPr>
        <w:t>4</w:t>
      </w:r>
      <w:r>
        <w:rPr>
          <w:rFonts w:ascii="Arial" w:hAnsi="Arial" w:cs="Arial"/>
        </w:rPr>
        <w:t xml:space="preserve"> submission to Monitor </w:t>
      </w:r>
    </w:p>
    <w:p w:rsidR="0038018C" w:rsidRDefault="0038018C" w:rsidP="00537C23">
      <w:pPr>
        <w:jc w:val="both"/>
        <w:rPr>
          <w:rFonts w:ascii="Arial" w:hAnsi="Arial" w:cs="Arial"/>
        </w:rPr>
      </w:pPr>
    </w:p>
    <w:p w:rsidR="001A5E95" w:rsidRPr="006F4C3B" w:rsidRDefault="001A5E95" w:rsidP="001A5E95">
      <w:pPr>
        <w:jc w:val="both"/>
        <w:rPr>
          <w:rFonts w:ascii="Arial" w:hAnsi="Arial" w:cs="Arial"/>
        </w:rPr>
      </w:pPr>
      <w:r>
        <w:rPr>
          <w:rFonts w:ascii="Arial" w:hAnsi="Arial" w:cs="Arial"/>
        </w:rPr>
        <w:t>The Board is asked to note what the publication of the 2012/13 Compliance Framework and take note of the targets and indicators.</w:t>
      </w:r>
    </w:p>
    <w:p w:rsidR="005D3499" w:rsidRDefault="005D3499">
      <w:pPr>
        <w:jc w:val="both"/>
        <w:rPr>
          <w:rFonts w:ascii="Arial" w:hAnsi="Arial" w:cs="Arial"/>
          <w:b/>
        </w:rPr>
      </w:pPr>
    </w:p>
    <w:p w:rsidR="002712E4" w:rsidRDefault="002712E4">
      <w:pPr>
        <w:jc w:val="both"/>
        <w:rPr>
          <w:rFonts w:ascii="Arial" w:hAnsi="Arial" w:cs="Arial"/>
          <w:b/>
        </w:rPr>
      </w:pPr>
    </w:p>
    <w:p w:rsidR="0073522A" w:rsidRDefault="002619EF" w:rsidP="0038018C">
      <w:pPr>
        <w:ind w:left="2835" w:hanging="2835"/>
        <w:jc w:val="both"/>
        <w:rPr>
          <w:rFonts w:ascii="Arial" w:hAnsi="Arial" w:cs="Arial"/>
        </w:rPr>
      </w:pPr>
      <w:r>
        <w:rPr>
          <w:rFonts w:ascii="Arial" w:hAnsi="Arial" w:cs="Arial"/>
          <w:b/>
        </w:rPr>
        <w:t>Author and T</w:t>
      </w:r>
      <w:r w:rsidR="0073522A">
        <w:rPr>
          <w:rFonts w:ascii="Arial" w:hAnsi="Arial" w:cs="Arial"/>
          <w:b/>
        </w:rPr>
        <w:t>itle:</w:t>
      </w:r>
      <w:r w:rsidR="0073522A">
        <w:rPr>
          <w:rFonts w:ascii="Arial" w:hAnsi="Arial" w:cs="Arial"/>
        </w:rPr>
        <w:t xml:space="preserve"> </w:t>
      </w:r>
      <w:r w:rsidR="0073522A">
        <w:rPr>
          <w:rFonts w:ascii="Arial" w:hAnsi="Arial" w:cs="Arial"/>
        </w:rPr>
        <w:tab/>
      </w:r>
      <w:r w:rsidR="0038018C">
        <w:rPr>
          <w:rFonts w:ascii="Arial" w:hAnsi="Arial" w:cs="Arial"/>
        </w:rPr>
        <w:tab/>
        <w:t>Jus</w:t>
      </w:r>
      <w:r w:rsidR="00E21E88">
        <w:rPr>
          <w:rFonts w:ascii="Arial" w:hAnsi="Arial" w:cs="Arial"/>
        </w:rPr>
        <w:t xml:space="preserve">tinian Habner, Trust Secretary </w:t>
      </w:r>
    </w:p>
    <w:p w:rsidR="0073522A" w:rsidRPr="002712E4" w:rsidRDefault="0073522A" w:rsidP="0073522A">
      <w:pPr>
        <w:jc w:val="both"/>
        <w:rPr>
          <w:rFonts w:ascii="Arial" w:hAnsi="Arial" w:cs="Arial"/>
        </w:rPr>
      </w:pPr>
      <w:r>
        <w:rPr>
          <w:rFonts w:ascii="Arial" w:hAnsi="Arial" w:cs="Arial"/>
          <w:b/>
        </w:rPr>
        <w:t>Lead Executive Director:</w:t>
      </w:r>
      <w:r>
        <w:rPr>
          <w:rFonts w:ascii="Arial" w:hAnsi="Arial" w:cs="Arial"/>
          <w:b/>
        </w:rPr>
        <w:tab/>
      </w:r>
      <w:r w:rsidR="00CB32C4">
        <w:rPr>
          <w:rFonts w:ascii="Arial" w:hAnsi="Arial" w:cs="Arial"/>
        </w:rPr>
        <w:t>Mike McEnaney</w:t>
      </w:r>
      <w:r w:rsidR="002712E4">
        <w:rPr>
          <w:rFonts w:ascii="Arial" w:hAnsi="Arial" w:cs="Arial"/>
        </w:rPr>
        <w:t>,</w:t>
      </w:r>
      <w:r w:rsidR="00CB32C4">
        <w:rPr>
          <w:rFonts w:ascii="Arial" w:hAnsi="Arial" w:cs="Arial"/>
        </w:rPr>
        <w:t xml:space="preserve"> Director of Finance</w:t>
      </w:r>
    </w:p>
    <w:p w:rsidR="0073522A" w:rsidRDefault="0073522A">
      <w:pPr>
        <w:jc w:val="both"/>
        <w:rPr>
          <w:rFonts w:ascii="Arial" w:hAnsi="Arial" w:cs="Arial"/>
          <w:b/>
        </w:rPr>
      </w:pPr>
    </w:p>
    <w:p w:rsidR="004F4BBA" w:rsidRPr="0073522A" w:rsidRDefault="004F4BBA" w:rsidP="004F4BBA">
      <w:pPr>
        <w:numPr>
          <w:ilvl w:val="0"/>
          <w:numId w:val="2"/>
        </w:numPr>
        <w:jc w:val="both"/>
        <w:rPr>
          <w:rFonts w:ascii="Arial" w:hAnsi="Arial" w:cs="Arial"/>
          <w:i/>
          <w:sz w:val="20"/>
          <w:szCs w:val="20"/>
        </w:rPr>
      </w:pPr>
      <w:r w:rsidRPr="0073522A">
        <w:rPr>
          <w:rFonts w:ascii="Arial" w:hAnsi="Arial" w:cs="Arial"/>
          <w:i/>
          <w:sz w:val="20"/>
          <w:szCs w:val="20"/>
        </w:rPr>
        <w:t>A risk assessment has been undertaken around the legal issues that this paper presents and there are no issues that need to be r</w:t>
      </w:r>
      <w:r w:rsidR="0073522A">
        <w:rPr>
          <w:rFonts w:ascii="Arial" w:hAnsi="Arial" w:cs="Arial"/>
          <w:i/>
          <w:sz w:val="20"/>
          <w:szCs w:val="20"/>
        </w:rPr>
        <w:t>eferred to the Trust Solicitors.</w:t>
      </w:r>
    </w:p>
    <w:p w:rsidR="00AF0562" w:rsidRPr="0073522A" w:rsidRDefault="00AF0562" w:rsidP="00AF0562">
      <w:pPr>
        <w:ind w:left="720"/>
        <w:jc w:val="both"/>
        <w:rPr>
          <w:rFonts w:ascii="Arial" w:hAnsi="Arial" w:cs="Arial"/>
          <w:sz w:val="20"/>
          <w:szCs w:val="20"/>
        </w:rPr>
      </w:pPr>
    </w:p>
    <w:sectPr w:rsidR="00AF0562" w:rsidRPr="0073522A" w:rsidSect="00DE6B28">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8A7" w:rsidRDefault="007338A7" w:rsidP="005B3E3C">
      <w:r>
        <w:separator/>
      </w:r>
    </w:p>
  </w:endnote>
  <w:endnote w:type="continuationSeparator" w:id="0">
    <w:p w:rsidR="007338A7" w:rsidRDefault="007338A7" w:rsidP="005B3E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Frutiger">
    <w:panose1 w:val="020B0500000000000000"/>
    <w:charset w:val="00"/>
    <w:family w:val="swiss"/>
    <w:pitch w:val="variable"/>
    <w:sig w:usb0="00000003" w:usb1="00000000" w:usb2="00000000" w:usb3="00000000" w:csb0="00000001" w:csb1="00000000"/>
  </w:font>
  <w:font w:name="HelveticaNeue-Medium">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8A7" w:rsidRDefault="002B0BE8">
    <w:pPr>
      <w:pStyle w:val="Footer"/>
      <w:jc w:val="center"/>
    </w:pPr>
    <w:fldSimple w:instr=" PAGE   \* MERGEFORMAT ">
      <w:r w:rsidR="00023CD3">
        <w:rPr>
          <w:noProof/>
        </w:rPr>
        <w:t>1</w:t>
      </w:r>
    </w:fldSimple>
  </w:p>
  <w:p w:rsidR="007338A7" w:rsidRDefault="007338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8A7" w:rsidRDefault="007338A7" w:rsidP="005B3E3C">
      <w:r>
        <w:separator/>
      </w:r>
    </w:p>
  </w:footnote>
  <w:footnote w:type="continuationSeparator" w:id="0">
    <w:p w:rsidR="007338A7" w:rsidRDefault="007338A7" w:rsidP="005B3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8A7" w:rsidRPr="005B3E3C" w:rsidRDefault="007338A7" w:rsidP="005B3E3C">
    <w:pPr>
      <w:pStyle w:val="Header"/>
      <w:jc w:val="center"/>
      <w:rPr>
        <w:rFonts w:ascii="Arial" w:hAnsi="Arial" w:cs="Arial"/>
      </w:rPr>
    </w:pPr>
    <w:r>
      <w:rPr>
        <w:rFonts w:ascii="Arial" w:hAnsi="Arial" w:cs="Arial"/>
        <w:b/>
        <w:i/>
      </w:rPr>
      <w:t>PUBLIC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305"/>
    <w:multiLevelType w:val="hybridMultilevel"/>
    <w:tmpl w:val="7D48BDCA"/>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B">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5046A7F"/>
    <w:multiLevelType w:val="hybridMultilevel"/>
    <w:tmpl w:val="B41A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0C4FDB"/>
    <w:multiLevelType w:val="hybridMultilevel"/>
    <w:tmpl w:val="9FC266E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AB41333"/>
    <w:multiLevelType w:val="hybridMultilevel"/>
    <w:tmpl w:val="9DC03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AE10EB"/>
    <w:multiLevelType w:val="hybridMultilevel"/>
    <w:tmpl w:val="4C62C552"/>
    <w:lvl w:ilvl="0" w:tplc="4DFACB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A41950"/>
    <w:multiLevelType w:val="hybridMultilevel"/>
    <w:tmpl w:val="4BF2E3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493204"/>
    <w:multiLevelType w:val="hybridMultilevel"/>
    <w:tmpl w:val="2382AE4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C6B1EBD"/>
    <w:multiLevelType w:val="hybridMultilevel"/>
    <w:tmpl w:val="F6A6F31C"/>
    <w:lvl w:ilvl="0" w:tplc="08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55B6DF9"/>
    <w:multiLevelType w:val="hybridMultilevel"/>
    <w:tmpl w:val="13F2A8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B6079F"/>
    <w:multiLevelType w:val="hybridMultilevel"/>
    <w:tmpl w:val="3C70FF3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4957050"/>
    <w:multiLevelType w:val="hybridMultilevel"/>
    <w:tmpl w:val="075C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BEE3808"/>
    <w:multiLevelType w:val="hybridMultilevel"/>
    <w:tmpl w:val="0A0AA6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10"/>
  </w:num>
  <w:num w:numId="3">
    <w:abstractNumId w:val="9"/>
  </w:num>
  <w:num w:numId="4">
    <w:abstractNumId w:val="0"/>
  </w:num>
  <w:num w:numId="5">
    <w:abstractNumId w:val="6"/>
  </w:num>
  <w:num w:numId="6">
    <w:abstractNumId w:val="2"/>
  </w:num>
  <w:num w:numId="7">
    <w:abstractNumId w:val="8"/>
  </w:num>
  <w:num w:numId="8">
    <w:abstractNumId w:val="13"/>
  </w:num>
  <w:num w:numId="9">
    <w:abstractNumId w:val="5"/>
  </w:num>
  <w:num w:numId="10">
    <w:abstractNumId w:val="7"/>
  </w:num>
  <w:num w:numId="11">
    <w:abstractNumId w:val="1"/>
  </w:num>
  <w:num w:numId="12">
    <w:abstractNumId w:val="11"/>
  </w:num>
  <w:num w:numId="13">
    <w:abstractNumId w:val="4"/>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73E8"/>
    <w:rsid w:val="00023CD3"/>
    <w:rsid w:val="000C58B3"/>
    <w:rsid w:val="00182E47"/>
    <w:rsid w:val="001A5E95"/>
    <w:rsid w:val="001D5B24"/>
    <w:rsid w:val="001F76ED"/>
    <w:rsid w:val="00220EAE"/>
    <w:rsid w:val="00227FCE"/>
    <w:rsid w:val="00237CB4"/>
    <w:rsid w:val="002619EF"/>
    <w:rsid w:val="002712E4"/>
    <w:rsid w:val="00275246"/>
    <w:rsid w:val="002821F8"/>
    <w:rsid w:val="00292613"/>
    <w:rsid w:val="002A73E8"/>
    <w:rsid w:val="002B0BE8"/>
    <w:rsid w:val="002C2F97"/>
    <w:rsid w:val="002E6FC6"/>
    <w:rsid w:val="002F150E"/>
    <w:rsid w:val="0033327E"/>
    <w:rsid w:val="0038018C"/>
    <w:rsid w:val="003971F6"/>
    <w:rsid w:val="004326BB"/>
    <w:rsid w:val="004F196D"/>
    <w:rsid w:val="004F4BBA"/>
    <w:rsid w:val="005233AA"/>
    <w:rsid w:val="00537C23"/>
    <w:rsid w:val="00551B0F"/>
    <w:rsid w:val="005659FB"/>
    <w:rsid w:val="005B3E3C"/>
    <w:rsid w:val="005C3FC1"/>
    <w:rsid w:val="005D3499"/>
    <w:rsid w:val="005E2583"/>
    <w:rsid w:val="005E72B7"/>
    <w:rsid w:val="0061684E"/>
    <w:rsid w:val="00625264"/>
    <w:rsid w:val="007338A7"/>
    <w:rsid w:val="0073522A"/>
    <w:rsid w:val="007769CD"/>
    <w:rsid w:val="0078032B"/>
    <w:rsid w:val="007976E7"/>
    <w:rsid w:val="008038A2"/>
    <w:rsid w:val="00811FE8"/>
    <w:rsid w:val="0086436B"/>
    <w:rsid w:val="00894B97"/>
    <w:rsid w:val="008D72C9"/>
    <w:rsid w:val="008E7E7E"/>
    <w:rsid w:val="00907E70"/>
    <w:rsid w:val="00946E6E"/>
    <w:rsid w:val="00A1210D"/>
    <w:rsid w:val="00A85311"/>
    <w:rsid w:val="00AC3814"/>
    <w:rsid w:val="00AF0562"/>
    <w:rsid w:val="00B26E1A"/>
    <w:rsid w:val="00B403C8"/>
    <w:rsid w:val="00B46BD5"/>
    <w:rsid w:val="00B50D5E"/>
    <w:rsid w:val="00B6269D"/>
    <w:rsid w:val="00B928E2"/>
    <w:rsid w:val="00BA3B3E"/>
    <w:rsid w:val="00BF5367"/>
    <w:rsid w:val="00C07817"/>
    <w:rsid w:val="00C11AA2"/>
    <w:rsid w:val="00CB32C4"/>
    <w:rsid w:val="00D07064"/>
    <w:rsid w:val="00D279FC"/>
    <w:rsid w:val="00D55ADD"/>
    <w:rsid w:val="00D8544F"/>
    <w:rsid w:val="00DA0FA6"/>
    <w:rsid w:val="00DB4A51"/>
    <w:rsid w:val="00DD33DF"/>
    <w:rsid w:val="00DD7856"/>
    <w:rsid w:val="00DE1293"/>
    <w:rsid w:val="00DE6B28"/>
    <w:rsid w:val="00DF590D"/>
    <w:rsid w:val="00E21E88"/>
    <w:rsid w:val="00E71A88"/>
    <w:rsid w:val="00E827C5"/>
    <w:rsid w:val="00ED2939"/>
    <w:rsid w:val="00F4113A"/>
    <w:rsid w:val="00F57119"/>
    <w:rsid w:val="00F7034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6B28"/>
    <w:rPr>
      <w:sz w:val="24"/>
      <w:szCs w:val="24"/>
      <w:lang w:val="en-US" w:eastAsia="en-US"/>
    </w:rPr>
  </w:style>
  <w:style w:type="paragraph" w:styleId="Heading1">
    <w:name w:val="heading 1"/>
    <w:basedOn w:val="Normal"/>
    <w:next w:val="Normal"/>
    <w:qFormat/>
    <w:rsid w:val="00DE6B28"/>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6B28"/>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customStyle="1" w:styleId="Default">
    <w:name w:val="Default"/>
    <w:rsid w:val="00237CB4"/>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1559</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Oxfordshire Mental Healthcare NHS Trust</Company>
  <LinksUpToDate>false</LinksUpToDate>
  <CharactersWithSpaces>10295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StackJ</dc:creator>
  <cp:keywords/>
  <dc:description/>
  <cp:lastModifiedBy>Habner Justinian (RNU) OBMH</cp:lastModifiedBy>
  <cp:revision>2</cp:revision>
  <cp:lastPrinted>2012-04-18T09:26:00Z</cp:lastPrinted>
  <dcterms:created xsi:type="dcterms:W3CDTF">2012-04-26T11:00:00Z</dcterms:created>
  <dcterms:modified xsi:type="dcterms:W3CDTF">2012-04-26T11:00:00Z</dcterms:modified>
</cp:coreProperties>
</file>