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Pr="00B44ADB" w:rsidRDefault="003446B6" w:rsidP="0086436B">
      <w:pPr>
        <w:ind w:right="-900"/>
        <w:jc w:val="right"/>
        <w:rPr>
          <w:rFonts w:ascii="Segoe UI" w:hAnsi="Segoe UI" w:cs="Segoe UI"/>
          <w:lang w:val="en-GB"/>
        </w:rPr>
      </w:pPr>
      <w:r w:rsidRPr="00B44ADB">
        <w:rPr>
          <w:rFonts w:ascii="Segoe UI" w:hAnsi="Segoe UI" w:cs="Segoe UI"/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Pr="00B44ADB" w:rsidRDefault="005D3499">
      <w:pPr>
        <w:rPr>
          <w:rFonts w:ascii="Segoe UI" w:hAnsi="Segoe UI" w:cs="Segoe UI"/>
        </w:rPr>
      </w:pPr>
    </w:p>
    <w:p w:rsidR="005D3499" w:rsidRPr="00B44ADB" w:rsidRDefault="00025BF5">
      <w:pPr>
        <w:jc w:val="center"/>
        <w:rPr>
          <w:rFonts w:ascii="Segoe UI" w:hAnsi="Segoe UI" w:cs="Segoe UI"/>
        </w:rPr>
      </w:pPr>
      <w:r w:rsidRPr="00025BF5">
        <w:rPr>
          <w:rFonts w:ascii="Segoe UI" w:hAnsi="Segoe UI" w:cs="Segoe UI"/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B44ADB" w:rsidRDefault="00B44ADB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B44ADB" w:rsidRDefault="00195F67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</w:t>
                  </w:r>
                  <w:r w:rsidR="007B3270">
                    <w:rPr>
                      <w:sz w:val="22"/>
                    </w:rPr>
                    <w:t xml:space="preserve"> 60</w:t>
                  </w:r>
                  <w:r>
                    <w:rPr>
                      <w:sz w:val="22"/>
                    </w:rPr>
                    <w:t>/2012</w:t>
                  </w:r>
                </w:p>
                <w:p w:rsidR="00B44ADB" w:rsidRPr="007B3270" w:rsidRDefault="007B327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(Agenda Item: 15)</w:t>
                  </w:r>
                </w:p>
              </w:txbxContent>
            </v:textbox>
          </v:rect>
        </w:pict>
      </w:r>
    </w:p>
    <w:p w:rsidR="005D3499" w:rsidRPr="00B44ADB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B44ADB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B44ADB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B44ADB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5E2583" w:rsidRPr="00B44ADB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B44ADB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B44ADB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B44ADB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B44ADB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B44ADB">
        <w:rPr>
          <w:rFonts w:ascii="Segoe UI" w:hAnsi="Segoe UI" w:cs="Segoe UI"/>
          <w:sz w:val="28"/>
          <w:u w:val="none"/>
        </w:rPr>
        <w:t xml:space="preserve">Foundation Trust </w:t>
      </w:r>
    </w:p>
    <w:p w:rsidR="005D3499" w:rsidRPr="00B44ADB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B44ADB">
        <w:rPr>
          <w:rFonts w:ascii="Segoe UI" w:hAnsi="Segoe UI" w:cs="Segoe UI"/>
          <w:sz w:val="28"/>
          <w:u w:val="none"/>
        </w:rPr>
        <w:t>Board</w:t>
      </w:r>
      <w:r w:rsidR="002821F8" w:rsidRPr="00B44ADB">
        <w:rPr>
          <w:rFonts w:ascii="Segoe UI" w:hAnsi="Segoe UI" w:cs="Segoe UI"/>
          <w:sz w:val="28"/>
          <w:u w:val="none"/>
        </w:rPr>
        <w:t xml:space="preserve"> of Directors</w:t>
      </w:r>
    </w:p>
    <w:p w:rsidR="005D3499" w:rsidRPr="00B44ADB" w:rsidRDefault="005D3499" w:rsidP="00A85311">
      <w:pPr>
        <w:rPr>
          <w:rFonts w:ascii="Segoe UI" w:hAnsi="Segoe UI" w:cs="Segoe UI"/>
          <w:b/>
        </w:rPr>
      </w:pPr>
    </w:p>
    <w:p w:rsidR="005D3499" w:rsidRPr="00B44ADB" w:rsidRDefault="00195F67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25</w:t>
      </w:r>
      <w:r w:rsidR="00E24680" w:rsidRPr="00B44ADB">
        <w:rPr>
          <w:rFonts w:ascii="Segoe UI" w:hAnsi="Segoe UI" w:cs="Segoe UI"/>
          <w:b/>
        </w:rPr>
        <w:t xml:space="preserve"> April </w:t>
      </w:r>
      <w:r w:rsidR="004326BB" w:rsidRPr="00B44ADB">
        <w:rPr>
          <w:rFonts w:ascii="Segoe UI" w:hAnsi="Segoe UI" w:cs="Segoe UI"/>
          <w:b/>
        </w:rPr>
        <w:t>20</w:t>
      </w:r>
      <w:r w:rsidR="00D07064" w:rsidRPr="00B44ADB">
        <w:rPr>
          <w:rFonts w:ascii="Segoe UI" w:hAnsi="Segoe UI" w:cs="Segoe UI"/>
          <w:b/>
        </w:rPr>
        <w:t>1</w:t>
      </w:r>
      <w:r w:rsidR="00A674FB" w:rsidRPr="00B44ADB">
        <w:rPr>
          <w:rFonts w:ascii="Segoe UI" w:hAnsi="Segoe UI" w:cs="Segoe UI"/>
          <w:b/>
        </w:rPr>
        <w:t>2</w:t>
      </w:r>
    </w:p>
    <w:p w:rsidR="005D3499" w:rsidRPr="00B44ADB" w:rsidRDefault="005D3499">
      <w:pPr>
        <w:jc w:val="center"/>
        <w:rPr>
          <w:rFonts w:ascii="Segoe UI" w:hAnsi="Segoe UI" w:cs="Segoe UI"/>
          <w:b/>
        </w:rPr>
      </w:pPr>
    </w:p>
    <w:p w:rsidR="005D3499" w:rsidRPr="00B44ADB" w:rsidRDefault="00B44ADB">
      <w:pPr>
        <w:jc w:val="center"/>
        <w:rPr>
          <w:rFonts w:ascii="Segoe UI" w:hAnsi="Segoe UI" w:cs="Segoe UI"/>
          <w:b/>
        </w:rPr>
      </w:pPr>
      <w:r w:rsidRPr="00B44ADB">
        <w:rPr>
          <w:rFonts w:ascii="Segoe UI" w:hAnsi="Segoe UI" w:cs="Segoe UI"/>
          <w:b/>
        </w:rPr>
        <w:t xml:space="preserve">Innovation Health and Wealth – </w:t>
      </w:r>
      <w:r w:rsidR="00852FE3">
        <w:rPr>
          <w:rFonts w:ascii="Segoe UI" w:hAnsi="Segoe UI" w:cs="Segoe UI"/>
          <w:b/>
        </w:rPr>
        <w:t xml:space="preserve">Summary </w:t>
      </w:r>
      <w:r w:rsidRPr="00B44ADB">
        <w:rPr>
          <w:rFonts w:ascii="Segoe UI" w:hAnsi="Segoe UI" w:cs="Segoe UI"/>
          <w:b/>
        </w:rPr>
        <w:t xml:space="preserve">and </w:t>
      </w:r>
      <w:r w:rsidR="00195F67">
        <w:rPr>
          <w:rFonts w:ascii="Segoe UI" w:hAnsi="Segoe UI" w:cs="Segoe UI"/>
          <w:b/>
        </w:rPr>
        <w:t>I</w:t>
      </w:r>
      <w:r w:rsidR="00852FE3">
        <w:rPr>
          <w:rFonts w:ascii="Segoe UI" w:hAnsi="Segoe UI" w:cs="Segoe UI"/>
          <w:b/>
        </w:rPr>
        <w:t>mplications</w:t>
      </w:r>
      <w:r w:rsidRPr="00B44ADB">
        <w:rPr>
          <w:rFonts w:ascii="Segoe UI" w:hAnsi="Segoe UI" w:cs="Segoe UI"/>
          <w:b/>
        </w:rPr>
        <w:t xml:space="preserve"> for the Trust</w:t>
      </w:r>
    </w:p>
    <w:p w:rsidR="005D3499" w:rsidRPr="00B44ADB" w:rsidRDefault="005D3499">
      <w:pPr>
        <w:rPr>
          <w:rFonts w:ascii="Segoe UI" w:hAnsi="Segoe UI" w:cs="Segoe UI"/>
          <w:b/>
        </w:rPr>
      </w:pPr>
    </w:p>
    <w:p w:rsidR="005D3499" w:rsidRPr="00846A5B" w:rsidRDefault="005D3499">
      <w:pPr>
        <w:rPr>
          <w:rFonts w:ascii="Segoe UI" w:hAnsi="Segoe UI" w:cs="Segoe UI"/>
          <w:b/>
          <w:sz w:val="22"/>
        </w:rPr>
      </w:pPr>
    </w:p>
    <w:p w:rsidR="00050214" w:rsidRPr="00846A5B" w:rsidRDefault="00050214" w:rsidP="0005021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u w:val="single"/>
        </w:rPr>
      </w:pPr>
      <w:r w:rsidRPr="00846A5B">
        <w:rPr>
          <w:rFonts w:ascii="Segoe UI" w:hAnsi="Segoe UI" w:cs="Segoe UI"/>
          <w:b/>
          <w:bCs/>
          <w:sz w:val="22"/>
          <w:u w:val="single"/>
        </w:rPr>
        <w:t xml:space="preserve">For: </w:t>
      </w:r>
      <w:r w:rsidR="00846A5B" w:rsidRPr="00846A5B">
        <w:rPr>
          <w:rFonts w:ascii="Segoe UI" w:hAnsi="Segoe UI" w:cs="Segoe UI"/>
          <w:b/>
          <w:bCs/>
          <w:sz w:val="22"/>
          <w:u w:val="single"/>
        </w:rPr>
        <w:t>Approval</w:t>
      </w:r>
    </w:p>
    <w:p w:rsidR="00050214" w:rsidRPr="00846A5B" w:rsidRDefault="00050214" w:rsidP="00050214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</w:rPr>
      </w:pPr>
    </w:p>
    <w:p w:rsidR="00B44ADB" w:rsidRPr="00846A5B" w:rsidRDefault="00B44ADB" w:rsidP="00050214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</w:rPr>
      </w:pPr>
      <w:r w:rsidRPr="00846A5B">
        <w:rPr>
          <w:rFonts w:ascii="Segoe UI" w:hAnsi="Segoe UI" w:cs="Segoe UI"/>
          <w:sz w:val="22"/>
        </w:rPr>
        <w:t>Innovation Health and Wealth (DH 2011)</w:t>
      </w:r>
      <w:r w:rsidR="00846A5B">
        <w:rPr>
          <w:rFonts w:ascii="Segoe UI" w:hAnsi="Segoe UI" w:cs="Segoe UI"/>
          <w:sz w:val="22"/>
        </w:rPr>
        <w:t xml:space="preserve"> (IHW)</w:t>
      </w:r>
      <w:r w:rsidRPr="00846A5B">
        <w:rPr>
          <w:rFonts w:ascii="Segoe UI" w:hAnsi="Segoe UI" w:cs="Segoe UI"/>
          <w:sz w:val="22"/>
        </w:rPr>
        <w:t xml:space="preserve"> is a key document laying out the conclusions of a recent review of how the adoption and diffusion of innovations could be accelerated across the NHS. The report will inform the strategic approach to innovation i</w:t>
      </w:r>
      <w:r w:rsidR="00846A5B" w:rsidRPr="00846A5B">
        <w:rPr>
          <w:rFonts w:ascii="Segoe UI" w:hAnsi="Segoe UI" w:cs="Segoe UI"/>
          <w:sz w:val="22"/>
        </w:rPr>
        <w:t xml:space="preserve">n the reformed NHS. This paper </w:t>
      </w:r>
      <w:proofErr w:type="spellStart"/>
      <w:r w:rsidR="00846A5B" w:rsidRPr="00846A5B">
        <w:rPr>
          <w:rFonts w:ascii="Segoe UI" w:hAnsi="Segoe UI" w:cs="Segoe UI"/>
          <w:sz w:val="22"/>
        </w:rPr>
        <w:t>summarises</w:t>
      </w:r>
      <w:proofErr w:type="spellEnd"/>
      <w:r w:rsidRPr="00846A5B">
        <w:rPr>
          <w:rFonts w:ascii="Segoe UI" w:hAnsi="Segoe UI" w:cs="Segoe UI"/>
          <w:sz w:val="22"/>
        </w:rPr>
        <w:t xml:space="preserve"> the </w:t>
      </w:r>
      <w:r w:rsidR="00846A5B" w:rsidRPr="00846A5B">
        <w:rPr>
          <w:rFonts w:ascii="Segoe UI" w:hAnsi="Segoe UI" w:cs="Segoe UI"/>
          <w:sz w:val="22"/>
        </w:rPr>
        <w:t xml:space="preserve">main National actions </w:t>
      </w:r>
      <w:r w:rsidR="00846A5B">
        <w:rPr>
          <w:rFonts w:ascii="Segoe UI" w:hAnsi="Segoe UI" w:cs="Segoe UI"/>
          <w:sz w:val="22"/>
        </w:rPr>
        <w:t>described in</w:t>
      </w:r>
      <w:r w:rsidR="00846A5B" w:rsidRPr="00846A5B">
        <w:rPr>
          <w:rFonts w:ascii="Segoe UI" w:hAnsi="Segoe UI" w:cs="Segoe UI"/>
          <w:sz w:val="22"/>
        </w:rPr>
        <w:t xml:space="preserve"> the document and makes some recommendations for next steps for the Trust in order to ensure a systematic approach to responding t</w:t>
      </w:r>
      <w:bookmarkStart w:id="0" w:name="_GoBack"/>
      <w:bookmarkEnd w:id="0"/>
      <w:r w:rsidR="00846A5B" w:rsidRPr="00846A5B">
        <w:rPr>
          <w:rFonts w:ascii="Segoe UI" w:hAnsi="Segoe UI" w:cs="Segoe UI"/>
          <w:sz w:val="22"/>
        </w:rPr>
        <w:t>o these actions locally.</w:t>
      </w:r>
    </w:p>
    <w:p w:rsidR="00BA3B3E" w:rsidRPr="00846A5B" w:rsidRDefault="00BA3B3E" w:rsidP="0073522A">
      <w:pPr>
        <w:jc w:val="both"/>
        <w:rPr>
          <w:rFonts w:ascii="Segoe UI" w:hAnsi="Segoe UI" w:cs="Segoe UI"/>
          <w:b/>
          <w:sz w:val="22"/>
        </w:rPr>
      </w:pPr>
    </w:p>
    <w:p w:rsidR="0073522A" w:rsidRPr="00846A5B" w:rsidRDefault="0073522A" w:rsidP="0073522A">
      <w:pPr>
        <w:jc w:val="both"/>
        <w:rPr>
          <w:rFonts w:ascii="Segoe UI" w:hAnsi="Segoe UI" w:cs="Segoe UI"/>
          <w:b/>
          <w:sz w:val="22"/>
        </w:rPr>
      </w:pPr>
      <w:r w:rsidRPr="00846A5B">
        <w:rPr>
          <w:rFonts w:ascii="Segoe UI" w:hAnsi="Segoe UI" w:cs="Segoe UI"/>
          <w:b/>
          <w:sz w:val="22"/>
        </w:rPr>
        <w:t>Recommendation</w:t>
      </w:r>
    </w:p>
    <w:p w:rsidR="0073522A" w:rsidRPr="00846A5B" w:rsidRDefault="0073522A" w:rsidP="0073522A">
      <w:pPr>
        <w:jc w:val="both"/>
        <w:rPr>
          <w:rFonts w:ascii="Segoe UI" w:hAnsi="Segoe UI" w:cs="Segoe UI"/>
          <w:sz w:val="22"/>
        </w:rPr>
      </w:pPr>
    </w:p>
    <w:p w:rsidR="00B44ADB" w:rsidRPr="00846A5B" w:rsidRDefault="00846A5B" w:rsidP="0073522A">
      <w:pPr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The </w:t>
      </w:r>
      <w:r w:rsidRPr="00846A5B">
        <w:rPr>
          <w:rFonts w:ascii="Segoe UI" w:hAnsi="Segoe UI" w:cs="Segoe UI"/>
          <w:sz w:val="22"/>
        </w:rPr>
        <w:t>Board of Directors is</w:t>
      </w:r>
      <w:r w:rsidR="00B44ADB" w:rsidRPr="00846A5B">
        <w:rPr>
          <w:rFonts w:ascii="Segoe UI" w:hAnsi="Segoe UI" w:cs="Segoe UI"/>
          <w:sz w:val="22"/>
        </w:rPr>
        <w:t xml:space="preserve"> asked to note the </w:t>
      </w:r>
      <w:r w:rsidRPr="00846A5B">
        <w:rPr>
          <w:rFonts w:ascii="Segoe UI" w:hAnsi="Segoe UI" w:cs="Segoe UI"/>
          <w:sz w:val="22"/>
        </w:rPr>
        <w:t>summary of the content</w:t>
      </w:r>
      <w:r w:rsidR="00B44ADB" w:rsidRPr="00846A5B">
        <w:rPr>
          <w:rFonts w:ascii="Segoe UI" w:hAnsi="Segoe UI" w:cs="Segoe UI"/>
          <w:sz w:val="22"/>
        </w:rPr>
        <w:t xml:space="preserve"> of </w:t>
      </w:r>
      <w:r>
        <w:rPr>
          <w:rFonts w:ascii="Segoe UI" w:hAnsi="Segoe UI" w:cs="Segoe UI"/>
          <w:sz w:val="22"/>
        </w:rPr>
        <w:t>IHW</w:t>
      </w:r>
      <w:r w:rsidRPr="00846A5B">
        <w:rPr>
          <w:rFonts w:ascii="Segoe UI" w:hAnsi="Segoe UI" w:cs="Segoe UI"/>
          <w:sz w:val="22"/>
        </w:rPr>
        <w:t xml:space="preserve"> and to approve the recommendations regarding next steps within the Trust:</w:t>
      </w:r>
    </w:p>
    <w:p w:rsidR="00846A5B" w:rsidRPr="00846A5B" w:rsidRDefault="00846A5B" w:rsidP="00846A5B">
      <w:pPr>
        <w:pStyle w:val="ListParagraph"/>
        <w:numPr>
          <w:ilvl w:val="0"/>
          <w:numId w:val="4"/>
        </w:numPr>
        <w:spacing w:after="200"/>
        <w:contextualSpacing/>
        <w:rPr>
          <w:rFonts w:ascii="Segoe UI" w:hAnsi="Segoe UI" w:cs="Segoe UI"/>
          <w:sz w:val="22"/>
        </w:rPr>
      </w:pPr>
      <w:r w:rsidRPr="00846A5B">
        <w:rPr>
          <w:rFonts w:ascii="Segoe UI" w:hAnsi="Segoe UI" w:cs="Segoe UI"/>
          <w:sz w:val="22"/>
        </w:rPr>
        <w:t xml:space="preserve">It is recommended that a ‘Leading Innovation Steering Group’ is established in order to oversee the Trust’s response to IHW and to coordinate the creation of an </w:t>
      </w:r>
      <w:proofErr w:type="gramStart"/>
      <w:r w:rsidRPr="00846A5B">
        <w:rPr>
          <w:rFonts w:ascii="Segoe UI" w:hAnsi="Segoe UI" w:cs="Segoe UI"/>
          <w:sz w:val="22"/>
        </w:rPr>
        <w:t>internal</w:t>
      </w:r>
      <w:proofErr w:type="gramEnd"/>
      <w:r w:rsidRPr="00846A5B">
        <w:rPr>
          <w:rFonts w:ascii="Segoe UI" w:hAnsi="Segoe UI" w:cs="Segoe UI"/>
          <w:sz w:val="22"/>
        </w:rPr>
        <w:t xml:space="preserve"> ‘system for innovation’ across the Trust. </w:t>
      </w:r>
    </w:p>
    <w:p w:rsidR="00846A5B" w:rsidRDefault="00846A5B" w:rsidP="00846A5B">
      <w:pPr>
        <w:pStyle w:val="ListParagraph"/>
        <w:numPr>
          <w:ilvl w:val="0"/>
          <w:numId w:val="4"/>
        </w:numPr>
        <w:spacing w:after="200"/>
        <w:contextualSpacing/>
        <w:rPr>
          <w:rFonts w:ascii="Segoe UI" w:hAnsi="Segoe UI" w:cs="Segoe UI"/>
          <w:sz w:val="22"/>
        </w:rPr>
      </w:pPr>
      <w:r w:rsidRPr="00846A5B">
        <w:rPr>
          <w:rFonts w:ascii="Segoe UI" w:hAnsi="Segoe UI" w:cs="Segoe UI"/>
          <w:sz w:val="22"/>
        </w:rPr>
        <w:t xml:space="preserve">It is recommended that an implementation plan is developed with the Executive Team with delivery the responsibility of the Leading Innovation Steering Group. </w:t>
      </w:r>
    </w:p>
    <w:p w:rsidR="005D3499" w:rsidRPr="00B44ADB" w:rsidRDefault="005D3499">
      <w:pPr>
        <w:jc w:val="both"/>
        <w:rPr>
          <w:rFonts w:ascii="Segoe UI" w:hAnsi="Segoe UI" w:cs="Segoe UI"/>
          <w:b/>
        </w:rPr>
      </w:pPr>
    </w:p>
    <w:p w:rsidR="0073522A" w:rsidRPr="00B44ADB" w:rsidRDefault="002619EF" w:rsidP="0073522A">
      <w:pPr>
        <w:ind w:left="1440" w:hanging="1440"/>
        <w:jc w:val="both"/>
        <w:rPr>
          <w:rFonts w:ascii="Segoe UI" w:hAnsi="Segoe UI" w:cs="Segoe UI"/>
        </w:rPr>
      </w:pPr>
      <w:r w:rsidRPr="00B44ADB">
        <w:rPr>
          <w:rFonts w:ascii="Segoe UI" w:hAnsi="Segoe UI" w:cs="Segoe UI"/>
          <w:b/>
        </w:rPr>
        <w:t>Author and T</w:t>
      </w:r>
      <w:r w:rsidR="0073522A" w:rsidRPr="00B44ADB">
        <w:rPr>
          <w:rFonts w:ascii="Segoe UI" w:hAnsi="Segoe UI" w:cs="Segoe UI"/>
          <w:b/>
        </w:rPr>
        <w:t>itle:</w:t>
      </w:r>
      <w:r w:rsidR="0073522A" w:rsidRPr="00B44ADB">
        <w:rPr>
          <w:rFonts w:ascii="Segoe UI" w:hAnsi="Segoe UI" w:cs="Segoe UI"/>
        </w:rPr>
        <w:t xml:space="preserve"> </w:t>
      </w:r>
      <w:r w:rsidR="0073522A" w:rsidRPr="00B44ADB">
        <w:rPr>
          <w:rFonts w:ascii="Segoe UI" w:hAnsi="Segoe UI" w:cs="Segoe UI"/>
        </w:rPr>
        <w:tab/>
      </w:r>
      <w:r w:rsidR="00B44ADB" w:rsidRPr="00F95F34">
        <w:rPr>
          <w:rFonts w:ascii="Segoe UI" w:hAnsi="Segoe UI" w:cs="Segoe UI"/>
          <w:b/>
        </w:rPr>
        <w:t xml:space="preserve">Sharon Fennell, Associate Director of Operations </w:t>
      </w:r>
      <w:r w:rsidR="00E24680" w:rsidRPr="00F95F34">
        <w:rPr>
          <w:rFonts w:ascii="Segoe UI" w:hAnsi="Segoe UI" w:cs="Segoe UI"/>
          <w:b/>
        </w:rPr>
        <w:tab/>
      </w:r>
    </w:p>
    <w:p w:rsidR="0073522A" w:rsidRPr="00B44ADB" w:rsidRDefault="0073522A" w:rsidP="0073522A">
      <w:pPr>
        <w:jc w:val="both"/>
        <w:rPr>
          <w:rFonts w:ascii="Segoe UI" w:hAnsi="Segoe UI" w:cs="Segoe UI"/>
          <w:b/>
        </w:rPr>
      </w:pPr>
      <w:r w:rsidRPr="00B44ADB">
        <w:rPr>
          <w:rFonts w:ascii="Segoe UI" w:hAnsi="Segoe UI" w:cs="Segoe UI"/>
          <w:b/>
        </w:rPr>
        <w:t>Lead Executive Director:</w:t>
      </w:r>
      <w:r w:rsidRPr="00B44ADB">
        <w:rPr>
          <w:rFonts w:ascii="Segoe UI" w:hAnsi="Segoe UI" w:cs="Segoe UI"/>
          <w:b/>
        </w:rPr>
        <w:tab/>
      </w:r>
      <w:r w:rsidR="00E24680" w:rsidRPr="00B44ADB">
        <w:rPr>
          <w:rFonts w:ascii="Segoe UI" w:hAnsi="Segoe UI" w:cs="Segoe UI"/>
          <w:b/>
          <w:bCs/>
        </w:rPr>
        <w:t>David Bradley, Chief Operating Officer</w:t>
      </w:r>
    </w:p>
    <w:p w:rsidR="0073522A" w:rsidRPr="00B44ADB" w:rsidRDefault="0073522A">
      <w:pPr>
        <w:jc w:val="both"/>
        <w:rPr>
          <w:rFonts w:ascii="Segoe UI" w:hAnsi="Segoe UI" w:cs="Segoe UI"/>
          <w:b/>
        </w:rPr>
      </w:pPr>
    </w:p>
    <w:p w:rsidR="004F4BBA" w:rsidRPr="00B44ADB" w:rsidRDefault="004F4BBA" w:rsidP="004F4BBA">
      <w:pPr>
        <w:numPr>
          <w:ilvl w:val="0"/>
          <w:numId w:val="2"/>
        </w:numPr>
        <w:jc w:val="both"/>
        <w:rPr>
          <w:rFonts w:ascii="Segoe UI" w:hAnsi="Segoe UI" w:cs="Segoe UI"/>
          <w:i/>
          <w:sz w:val="20"/>
          <w:szCs w:val="20"/>
        </w:rPr>
      </w:pPr>
      <w:r w:rsidRPr="00B44ADB">
        <w:rPr>
          <w:rFonts w:ascii="Segoe UI" w:hAnsi="Segoe UI" w:cs="Segoe UI"/>
          <w:i/>
          <w:sz w:val="20"/>
          <w:szCs w:val="20"/>
        </w:rPr>
        <w:lastRenderedPageBreak/>
        <w:t>A risk assessment has been undertaken around the legal issues that this paper presents and there are no issues that need to be r</w:t>
      </w:r>
      <w:r w:rsidR="0073522A" w:rsidRPr="00B44ADB">
        <w:rPr>
          <w:rFonts w:ascii="Segoe UI" w:hAnsi="Segoe UI" w:cs="Segoe UI"/>
          <w:i/>
          <w:sz w:val="20"/>
          <w:szCs w:val="20"/>
        </w:rPr>
        <w:t>eferred to the Trust Solicitors.</w:t>
      </w:r>
    </w:p>
    <w:p w:rsidR="00AA0C3F" w:rsidRPr="00B44ADB" w:rsidRDefault="00AA0C3F" w:rsidP="00AA0C3F">
      <w:pPr>
        <w:jc w:val="both"/>
        <w:rPr>
          <w:rFonts w:ascii="Segoe UI" w:hAnsi="Segoe UI" w:cs="Segoe UI"/>
          <w:i/>
          <w:sz w:val="20"/>
          <w:szCs w:val="20"/>
        </w:rPr>
      </w:pPr>
    </w:p>
    <w:p w:rsidR="00AA0C3F" w:rsidRPr="00B44ADB" w:rsidRDefault="00781566" w:rsidP="004F4BBA">
      <w:pPr>
        <w:numPr>
          <w:ilvl w:val="0"/>
          <w:numId w:val="2"/>
        </w:numPr>
        <w:jc w:val="both"/>
        <w:rPr>
          <w:rFonts w:ascii="Segoe UI" w:hAnsi="Segoe UI" w:cs="Segoe UI"/>
          <w:i/>
          <w:sz w:val="20"/>
          <w:szCs w:val="20"/>
        </w:rPr>
      </w:pPr>
      <w:r w:rsidRPr="00B44ADB">
        <w:rPr>
          <w:rFonts w:ascii="Segoe UI" w:hAnsi="Segoe UI" w:cs="Segoe UI"/>
          <w:i/>
          <w:sz w:val="20"/>
          <w:szCs w:val="20"/>
        </w:rPr>
        <w:t xml:space="preserve">This paper (including all appendices) has been assessed against the Freedom of Information Act and the following applies: </w:t>
      </w:r>
    </w:p>
    <w:p w:rsidR="00781566" w:rsidRPr="00B44ADB" w:rsidRDefault="00781566" w:rsidP="00781566">
      <w:pPr>
        <w:numPr>
          <w:ilvl w:val="0"/>
          <w:numId w:val="3"/>
        </w:numPr>
        <w:jc w:val="both"/>
        <w:rPr>
          <w:rFonts w:ascii="Segoe UI" w:hAnsi="Segoe UI" w:cs="Segoe UI"/>
          <w:i/>
          <w:sz w:val="20"/>
          <w:szCs w:val="20"/>
        </w:rPr>
      </w:pPr>
      <w:r w:rsidRPr="00B44ADB">
        <w:rPr>
          <w:rFonts w:ascii="Segoe UI" w:hAnsi="Segoe UI" w:cs="Segoe UI"/>
          <w:i/>
          <w:sz w:val="20"/>
          <w:szCs w:val="20"/>
        </w:rPr>
        <w:t>THIS PAPER MAY BE PUBLISHED UNDER FOI</w:t>
      </w:r>
    </w:p>
    <w:p w:rsidR="00AA0C3F" w:rsidRPr="00B44ADB" w:rsidRDefault="00AA0C3F" w:rsidP="00AA0C3F">
      <w:pPr>
        <w:jc w:val="both"/>
        <w:rPr>
          <w:rFonts w:ascii="Segoe UI" w:hAnsi="Segoe UI" w:cs="Segoe UI"/>
          <w:i/>
          <w:sz w:val="20"/>
          <w:szCs w:val="20"/>
        </w:rPr>
      </w:pPr>
    </w:p>
    <w:p w:rsidR="005D3499" w:rsidRPr="00B44ADB" w:rsidRDefault="004F4BBA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44ADB">
        <w:rPr>
          <w:rFonts w:ascii="Segoe UI" w:hAnsi="Segoe UI" w:cs="Segoe UI"/>
          <w:i/>
          <w:sz w:val="20"/>
          <w:szCs w:val="20"/>
        </w:rPr>
        <w:t>This paper provides assurance and evidence against the</w:t>
      </w:r>
      <w:r w:rsidR="00946E6E" w:rsidRPr="00B44ADB">
        <w:rPr>
          <w:rFonts w:ascii="Segoe UI" w:hAnsi="Segoe UI" w:cs="Segoe UI"/>
          <w:i/>
          <w:sz w:val="20"/>
          <w:szCs w:val="20"/>
        </w:rPr>
        <w:t xml:space="preserve"> Care Quality Commission Outcome: </w:t>
      </w:r>
      <w:r w:rsidRPr="00B44ADB">
        <w:rPr>
          <w:rFonts w:ascii="Segoe UI" w:hAnsi="Segoe UI" w:cs="Segoe UI"/>
          <w:i/>
          <w:sz w:val="20"/>
          <w:szCs w:val="20"/>
        </w:rPr>
        <w:t xml:space="preserve"> </w:t>
      </w:r>
      <w:r w:rsidR="00DB6138" w:rsidRPr="00B44ADB">
        <w:rPr>
          <w:rFonts w:ascii="Segoe UI" w:hAnsi="Segoe UI" w:cs="Segoe UI"/>
          <w:i/>
          <w:sz w:val="20"/>
          <w:szCs w:val="20"/>
        </w:rPr>
        <w:t xml:space="preserve">4, 5, 6, </w:t>
      </w:r>
      <w:r w:rsidR="008140DF" w:rsidRPr="00B44ADB">
        <w:rPr>
          <w:rFonts w:ascii="Segoe UI" w:hAnsi="Segoe UI" w:cs="Segoe UI"/>
          <w:i/>
          <w:sz w:val="20"/>
          <w:szCs w:val="20"/>
        </w:rPr>
        <w:t>10,14, 21</w:t>
      </w:r>
    </w:p>
    <w:p w:rsidR="00AF0562" w:rsidRPr="00B44ADB" w:rsidRDefault="00AF0562" w:rsidP="00AF0562">
      <w:pPr>
        <w:ind w:left="720"/>
        <w:jc w:val="both"/>
        <w:rPr>
          <w:rFonts w:ascii="Segoe UI" w:hAnsi="Segoe UI" w:cs="Segoe UI"/>
          <w:sz w:val="20"/>
          <w:szCs w:val="20"/>
        </w:rPr>
      </w:pPr>
    </w:p>
    <w:sectPr w:rsidR="00AF0562" w:rsidRPr="00B44ADB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21" w:rsidRDefault="00920621" w:rsidP="005B3E3C">
      <w:r>
        <w:separator/>
      </w:r>
    </w:p>
  </w:endnote>
  <w:endnote w:type="continuationSeparator" w:id="0">
    <w:p w:rsidR="00920621" w:rsidRDefault="00920621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21" w:rsidRDefault="00920621" w:rsidP="005B3E3C">
      <w:r>
        <w:separator/>
      </w:r>
    </w:p>
  </w:footnote>
  <w:footnote w:type="continuationSeparator" w:id="0">
    <w:p w:rsidR="00920621" w:rsidRDefault="00920621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DB" w:rsidRPr="005B3E3C" w:rsidRDefault="00B44ADB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0B2E"/>
    <w:multiLevelType w:val="hybridMultilevel"/>
    <w:tmpl w:val="53BA7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25BF5"/>
    <w:rsid w:val="00050214"/>
    <w:rsid w:val="00195F67"/>
    <w:rsid w:val="001C6CFF"/>
    <w:rsid w:val="001F76ED"/>
    <w:rsid w:val="00227FCE"/>
    <w:rsid w:val="002619EF"/>
    <w:rsid w:val="002821F8"/>
    <w:rsid w:val="00292613"/>
    <w:rsid w:val="002A73E8"/>
    <w:rsid w:val="002C2F97"/>
    <w:rsid w:val="002E6FC6"/>
    <w:rsid w:val="003446B6"/>
    <w:rsid w:val="003971F6"/>
    <w:rsid w:val="004326BB"/>
    <w:rsid w:val="004F4BBA"/>
    <w:rsid w:val="005233AA"/>
    <w:rsid w:val="005376A3"/>
    <w:rsid w:val="00551B0F"/>
    <w:rsid w:val="00552B43"/>
    <w:rsid w:val="005659FB"/>
    <w:rsid w:val="00566318"/>
    <w:rsid w:val="005B3E3C"/>
    <w:rsid w:val="005C3FC1"/>
    <w:rsid w:val="005D3499"/>
    <w:rsid w:val="005E2583"/>
    <w:rsid w:val="0061684E"/>
    <w:rsid w:val="0073522A"/>
    <w:rsid w:val="007769CD"/>
    <w:rsid w:val="0078032B"/>
    <w:rsid w:val="00781566"/>
    <w:rsid w:val="007976E7"/>
    <w:rsid w:val="00797BB0"/>
    <w:rsid w:val="007B3270"/>
    <w:rsid w:val="00802701"/>
    <w:rsid w:val="008038A2"/>
    <w:rsid w:val="00811FE8"/>
    <w:rsid w:val="008140DF"/>
    <w:rsid w:val="008345FA"/>
    <w:rsid w:val="00846A5B"/>
    <w:rsid w:val="00852FE3"/>
    <w:rsid w:val="0086436B"/>
    <w:rsid w:val="00894B97"/>
    <w:rsid w:val="00920621"/>
    <w:rsid w:val="00946E6E"/>
    <w:rsid w:val="00981FA0"/>
    <w:rsid w:val="00A44088"/>
    <w:rsid w:val="00A674FB"/>
    <w:rsid w:val="00A85311"/>
    <w:rsid w:val="00A9475A"/>
    <w:rsid w:val="00AA0C3F"/>
    <w:rsid w:val="00AC3814"/>
    <w:rsid w:val="00AF0562"/>
    <w:rsid w:val="00AF1274"/>
    <w:rsid w:val="00B20E9E"/>
    <w:rsid w:val="00B26E1A"/>
    <w:rsid w:val="00B44ADB"/>
    <w:rsid w:val="00B50D5E"/>
    <w:rsid w:val="00BA3B3E"/>
    <w:rsid w:val="00BF5367"/>
    <w:rsid w:val="00C07817"/>
    <w:rsid w:val="00C11AA2"/>
    <w:rsid w:val="00D07064"/>
    <w:rsid w:val="00D279FC"/>
    <w:rsid w:val="00D55ADD"/>
    <w:rsid w:val="00D8544F"/>
    <w:rsid w:val="00DA0FA6"/>
    <w:rsid w:val="00DB6138"/>
    <w:rsid w:val="00DD33DF"/>
    <w:rsid w:val="00DE1293"/>
    <w:rsid w:val="00E24680"/>
    <w:rsid w:val="00E827C5"/>
    <w:rsid w:val="00F57119"/>
    <w:rsid w:val="00F95F34"/>
    <w:rsid w:val="00FE113A"/>
    <w:rsid w:val="00FE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05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21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05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2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Habner Justinian (RNU) OBMH</cp:lastModifiedBy>
  <cp:revision>2</cp:revision>
  <cp:lastPrinted>2005-05-11T11:48:00Z</cp:lastPrinted>
  <dcterms:created xsi:type="dcterms:W3CDTF">2012-04-26T11:02:00Z</dcterms:created>
  <dcterms:modified xsi:type="dcterms:W3CDTF">2012-04-26T11:02:00Z</dcterms:modified>
</cp:coreProperties>
</file>