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A2" w:rsidRDefault="00C723AD" w:rsidP="00F12BA2">
      <w:pPr>
        <w:ind w:right="-900"/>
        <w:jc w:val="right"/>
      </w:pPr>
      <w:r>
        <w:rPr>
          <w:noProof/>
          <w:lang w:eastAsia="en-GB"/>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F12BA2" w:rsidRDefault="00521CD9" w:rsidP="00F12BA2">
      <w:pPr>
        <w:jc w:val="center"/>
        <w:rPr>
          <w:rFonts w:ascii="Frutiger" w:hAnsi="Frutiger"/>
        </w:rPr>
      </w:pPr>
      <w:r w:rsidRPr="00521CD9">
        <w:rPr>
          <w:rFonts w:ascii="Times New Roman" w:hAnsi="Times New Roman"/>
          <w:noProof/>
          <w:sz w:val="20"/>
          <w:lang w:val="en-US"/>
        </w:rPr>
        <w:pict>
          <v:rect id="_x0000_s1026" style="position:absolute;left:0;text-align:left;margin-left:324pt;margin-top:4.05pt;width:108pt;height:45pt;z-index:251657728">
            <v:textbox inset="0,0,0,0">
              <w:txbxContent>
                <w:p w:rsidR="00632396" w:rsidRDefault="00632396" w:rsidP="00F12BA2">
                  <w:pPr>
                    <w:pStyle w:val="Heading1"/>
                    <w:jc w:val="center"/>
                    <w:rPr>
                      <w:sz w:val="24"/>
                      <w:u w:val="none"/>
                    </w:rPr>
                  </w:pPr>
                  <w:r>
                    <w:rPr>
                      <w:sz w:val="24"/>
                      <w:u w:val="none"/>
                    </w:rPr>
                    <w:t>PAPER</w:t>
                  </w:r>
                </w:p>
                <w:p w:rsidR="00632396" w:rsidRDefault="00C723AD" w:rsidP="00F12BA2">
                  <w:pPr>
                    <w:pStyle w:val="BodyText"/>
                    <w:rPr>
                      <w:sz w:val="22"/>
                    </w:rPr>
                  </w:pPr>
                  <w:r>
                    <w:rPr>
                      <w:sz w:val="22"/>
                    </w:rPr>
                    <w:t>BOD 101/2012</w:t>
                  </w:r>
                </w:p>
                <w:p w:rsidR="00632396" w:rsidRPr="00C723AD" w:rsidRDefault="00C723AD" w:rsidP="00F12BA2">
                  <w:pPr>
                    <w:jc w:val="center"/>
                    <w:rPr>
                      <w:sz w:val="20"/>
                      <w:szCs w:val="20"/>
                    </w:rPr>
                  </w:pPr>
                  <w:r>
                    <w:rPr>
                      <w:sz w:val="20"/>
                      <w:szCs w:val="20"/>
                    </w:rPr>
                    <w:t>(Agenda Item: 8)</w:t>
                  </w:r>
                </w:p>
              </w:txbxContent>
            </v:textbox>
          </v:rect>
        </w:pict>
      </w:r>
    </w:p>
    <w:p w:rsidR="00F12BA2" w:rsidRDefault="00F12BA2" w:rsidP="00F12BA2">
      <w:pPr>
        <w:pStyle w:val="Heading1"/>
        <w:rPr>
          <w:sz w:val="24"/>
        </w:rPr>
      </w:pPr>
    </w:p>
    <w:p w:rsidR="00F12BA2" w:rsidRDefault="00F12BA2" w:rsidP="00F12BA2">
      <w:pPr>
        <w:pStyle w:val="Heading1"/>
        <w:rPr>
          <w:sz w:val="24"/>
        </w:rPr>
      </w:pPr>
    </w:p>
    <w:p w:rsidR="00F12BA2" w:rsidRDefault="00F12BA2" w:rsidP="00F12BA2">
      <w:pPr>
        <w:pStyle w:val="Heading1"/>
        <w:rPr>
          <w:sz w:val="24"/>
        </w:rPr>
      </w:pPr>
    </w:p>
    <w:p w:rsidR="00F12BA2" w:rsidRDefault="00F12BA2" w:rsidP="00F12BA2">
      <w:pPr>
        <w:pStyle w:val="Heading1"/>
        <w:jc w:val="center"/>
        <w:rPr>
          <w:sz w:val="28"/>
          <w:u w:val="none"/>
        </w:rPr>
      </w:pPr>
    </w:p>
    <w:p w:rsidR="00F12BA2" w:rsidRDefault="00F12BA2" w:rsidP="00F12BA2">
      <w:pPr>
        <w:pStyle w:val="Heading1"/>
        <w:jc w:val="center"/>
        <w:rPr>
          <w:sz w:val="28"/>
          <w:u w:val="none"/>
        </w:rPr>
      </w:pPr>
      <w:r>
        <w:rPr>
          <w:sz w:val="28"/>
          <w:u w:val="none"/>
        </w:rPr>
        <w:t xml:space="preserve">Report to the Meeting of the </w:t>
      </w:r>
    </w:p>
    <w:p w:rsidR="00F12BA2" w:rsidRDefault="00F12BA2" w:rsidP="00F12BA2">
      <w:pPr>
        <w:pStyle w:val="Heading1"/>
        <w:jc w:val="center"/>
        <w:rPr>
          <w:sz w:val="28"/>
          <w:u w:val="none"/>
        </w:rPr>
      </w:pPr>
      <w:r>
        <w:rPr>
          <w:sz w:val="28"/>
          <w:u w:val="none"/>
        </w:rPr>
        <w:t xml:space="preserve">Oxford Health NHS Foundation Trust </w:t>
      </w:r>
    </w:p>
    <w:p w:rsidR="00F12BA2" w:rsidRDefault="00F12BA2" w:rsidP="00F12BA2">
      <w:pPr>
        <w:pStyle w:val="Heading1"/>
        <w:jc w:val="center"/>
        <w:rPr>
          <w:sz w:val="28"/>
          <w:u w:val="none"/>
        </w:rPr>
      </w:pPr>
      <w:r>
        <w:rPr>
          <w:sz w:val="28"/>
          <w:u w:val="none"/>
        </w:rPr>
        <w:t>Board of Directors</w:t>
      </w:r>
    </w:p>
    <w:p w:rsidR="00F12BA2" w:rsidRDefault="00F12BA2" w:rsidP="00F12BA2">
      <w:pPr>
        <w:rPr>
          <w:rFonts w:ascii="Arial" w:hAnsi="Arial" w:cs="Arial"/>
          <w:b/>
        </w:rPr>
      </w:pPr>
    </w:p>
    <w:p w:rsidR="00F12BA2" w:rsidRDefault="00C723AD" w:rsidP="00F12BA2">
      <w:pPr>
        <w:jc w:val="center"/>
        <w:rPr>
          <w:rFonts w:ascii="Arial" w:hAnsi="Arial" w:cs="Arial"/>
          <w:b/>
        </w:rPr>
      </w:pPr>
      <w:r>
        <w:rPr>
          <w:rFonts w:ascii="Arial" w:hAnsi="Arial" w:cs="Arial"/>
          <w:b/>
        </w:rPr>
        <w:t xml:space="preserve">25 </w:t>
      </w:r>
      <w:r w:rsidR="007173A2">
        <w:rPr>
          <w:rFonts w:ascii="Arial" w:hAnsi="Arial" w:cs="Arial"/>
          <w:b/>
        </w:rPr>
        <w:t>July</w:t>
      </w:r>
      <w:r w:rsidR="00F12BA2">
        <w:rPr>
          <w:rFonts w:ascii="Arial" w:hAnsi="Arial" w:cs="Arial"/>
          <w:b/>
        </w:rPr>
        <w:t xml:space="preserve"> 2012</w:t>
      </w:r>
    </w:p>
    <w:p w:rsidR="00F12BA2" w:rsidRDefault="00F12BA2" w:rsidP="00F12BA2">
      <w:pPr>
        <w:jc w:val="center"/>
        <w:rPr>
          <w:rFonts w:ascii="Arial" w:hAnsi="Arial" w:cs="Arial"/>
          <w:b/>
        </w:rPr>
      </w:pPr>
    </w:p>
    <w:p w:rsidR="00F12BA2" w:rsidRDefault="007173A2" w:rsidP="00F12BA2">
      <w:pPr>
        <w:jc w:val="center"/>
        <w:rPr>
          <w:rFonts w:ascii="Arial" w:hAnsi="Arial" w:cs="Arial"/>
          <w:b/>
        </w:rPr>
      </w:pPr>
      <w:r w:rsidRPr="007173A2">
        <w:rPr>
          <w:rFonts w:ascii="Arial" w:hAnsi="Arial" w:cs="Arial"/>
          <w:b/>
          <w:i/>
        </w:rPr>
        <w:t xml:space="preserve">Clostridium </w:t>
      </w:r>
      <w:proofErr w:type="spellStart"/>
      <w:r w:rsidRPr="007173A2">
        <w:rPr>
          <w:rFonts w:ascii="Arial" w:hAnsi="Arial" w:cs="Arial"/>
          <w:b/>
          <w:i/>
        </w:rPr>
        <w:t>Difficile</w:t>
      </w:r>
      <w:proofErr w:type="spellEnd"/>
      <w:r>
        <w:rPr>
          <w:rFonts w:ascii="Arial" w:hAnsi="Arial" w:cs="Arial"/>
          <w:b/>
        </w:rPr>
        <w:t xml:space="preserve"> Management </w:t>
      </w:r>
    </w:p>
    <w:p w:rsidR="00F12BA2" w:rsidRDefault="00F12BA2" w:rsidP="00F12BA2">
      <w:pPr>
        <w:rPr>
          <w:rFonts w:ascii="Arial" w:hAnsi="Arial" w:cs="Arial"/>
          <w:b/>
        </w:rPr>
      </w:pPr>
    </w:p>
    <w:p w:rsidR="007173A2" w:rsidRDefault="00F12BA2" w:rsidP="00F12BA2">
      <w:pPr>
        <w:rPr>
          <w:rFonts w:ascii="Arial" w:hAnsi="Arial" w:cs="Arial"/>
          <w:b/>
          <w:u w:val="single"/>
        </w:rPr>
      </w:pPr>
      <w:r w:rsidRPr="00292613">
        <w:rPr>
          <w:rFonts w:ascii="Arial" w:hAnsi="Arial" w:cs="Arial"/>
          <w:b/>
          <w:u w:val="single"/>
        </w:rPr>
        <w:t>For</w:t>
      </w:r>
      <w:r>
        <w:rPr>
          <w:rFonts w:ascii="Arial" w:hAnsi="Arial" w:cs="Arial"/>
          <w:b/>
          <w:u w:val="single"/>
        </w:rPr>
        <w:t>:</w:t>
      </w:r>
      <w:r w:rsidR="007173A2">
        <w:rPr>
          <w:rFonts w:ascii="Arial" w:hAnsi="Arial" w:cs="Arial"/>
          <w:b/>
          <w:u w:val="single"/>
        </w:rPr>
        <w:t xml:space="preserve"> </w:t>
      </w:r>
      <w:r w:rsidRPr="00292613">
        <w:rPr>
          <w:rFonts w:ascii="Arial" w:hAnsi="Arial" w:cs="Arial"/>
          <w:b/>
          <w:u w:val="single"/>
        </w:rPr>
        <w:t>Approval</w:t>
      </w:r>
    </w:p>
    <w:p w:rsidR="007173A2" w:rsidRDefault="007173A2" w:rsidP="00F12BA2">
      <w:pPr>
        <w:rPr>
          <w:rFonts w:ascii="Arial" w:hAnsi="Arial" w:cs="Arial"/>
        </w:rPr>
      </w:pPr>
      <w:r>
        <w:rPr>
          <w:rFonts w:ascii="Arial" w:hAnsi="Arial" w:cs="Arial"/>
        </w:rPr>
        <w:t>Executive Summary:</w:t>
      </w:r>
    </w:p>
    <w:p w:rsidR="00804BD7" w:rsidRDefault="00804BD7" w:rsidP="00F12BA2">
      <w:pPr>
        <w:rPr>
          <w:rFonts w:ascii="Arial" w:hAnsi="Arial" w:cs="Arial"/>
        </w:rPr>
      </w:pPr>
      <w:r w:rsidRPr="00804BD7">
        <w:rPr>
          <w:rFonts w:ascii="Arial" w:hAnsi="Arial" w:cs="Arial"/>
          <w:i/>
        </w:rPr>
        <w:t xml:space="preserve">Clostridium </w:t>
      </w:r>
      <w:proofErr w:type="spellStart"/>
      <w:r w:rsidRPr="00804BD7">
        <w:rPr>
          <w:rFonts w:ascii="Arial" w:hAnsi="Arial" w:cs="Arial"/>
          <w:i/>
        </w:rPr>
        <w:t>difficile</w:t>
      </w:r>
      <w:proofErr w:type="spellEnd"/>
      <w:r w:rsidRPr="00804BD7">
        <w:rPr>
          <w:rFonts w:ascii="Arial" w:hAnsi="Arial" w:cs="Arial"/>
        </w:rPr>
        <w:t xml:space="preserve"> infection (CDI) is the major cause of antibiotic-associated diarrhoea and colitis and is a healthcare associated intestinal infection that mostly affects older patients with other underlying disease.</w:t>
      </w:r>
      <w:r w:rsidRPr="00804BD7">
        <w:t xml:space="preserve"> </w:t>
      </w:r>
      <w:r w:rsidRPr="00804BD7">
        <w:rPr>
          <w:rFonts w:ascii="Arial" w:hAnsi="Arial" w:cs="Arial"/>
        </w:rPr>
        <w:t xml:space="preserve">In March 2012 the Department of Health (DH) published new guidance regarding the diagnosis and reporting of </w:t>
      </w:r>
      <w:r w:rsidRPr="00804BD7">
        <w:rPr>
          <w:rFonts w:ascii="Arial" w:hAnsi="Arial" w:cs="Arial"/>
          <w:i/>
        </w:rPr>
        <w:t xml:space="preserve">Clostridium </w:t>
      </w:r>
      <w:proofErr w:type="spellStart"/>
      <w:r w:rsidRPr="00804BD7">
        <w:rPr>
          <w:rFonts w:ascii="Arial" w:hAnsi="Arial" w:cs="Arial"/>
          <w:i/>
        </w:rPr>
        <w:t>difficile</w:t>
      </w:r>
      <w:proofErr w:type="spellEnd"/>
      <w:r w:rsidRPr="00804BD7">
        <w:rPr>
          <w:rFonts w:ascii="Arial" w:hAnsi="Arial" w:cs="Arial"/>
        </w:rPr>
        <w:t xml:space="preserve"> infection.</w:t>
      </w:r>
    </w:p>
    <w:p w:rsidR="00804BD7" w:rsidRDefault="00804BD7" w:rsidP="00F12BA2">
      <w:pPr>
        <w:rPr>
          <w:rFonts w:ascii="Arial" w:hAnsi="Arial" w:cs="Arial"/>
        </w:rPr>
      </w:pPr>
      <w:r>
        <w:rPr>
          <w:rFonts w:ascii="Arial" w:hAnsi="Arial" w:cs="Arial"/>
        </w:rPr>
        <w:t>This report identifies the action being taken by Oxford Health NHS Foundation Trust</w:t>
      </w:r>
      <w:r w:rsidR="00632396">
        <w:rPr>
          <w:rFonts w:ascii="Arial" w:hAnsi="Arial" w:cs="Arial"/>
        </w:rPr>
        <w:t xml:space="preserve"> to meet the requirements of the new guidance.</w:t>
      </w:r>
    </w:p>
    <w:p w:rsidR="007C03C3" w:rsidRDefault="007C03C3" w:rsidP="00F12BA2">
      <w:pPr>
        <w:rPr>
          <w:rFonts w:ascii="Arial" w:hAnsi="Arial" w:cs="Arial"/>
        </w:rPr>
      </w:pPr>
      <w:r>
        <w:rPr>
          <w:rFonts w:ascii="Arial" w:hAnsi="Arial" w:cs="Arial"/>
        </w:rPr>
        <w:t>This report will be presented to the infection prevention, control and decontamination committee for discussion on 18</w:t>
      </w:r>
      <w:r w:rsidRPr="007C03C3">
        <w:rPr>
          <w:rFonts w:ascii="Arial" w:hAnsi="Arial" w:cs="Arial"/>
          <w:vertAlign w:val="superscript"/>
        </w:rPr>
        <w:t>th</w:t>
      </w:r>
      <w:r>
        <w:rPr>
          <w:rFonts w:ascii="Arial" w:hAnsi="Arial" w:cs="Arial"/>
        </w:rPr>
        <w:t xml:space="preserve"> July 2012.</w:t>
      </w:r>
    </w:p>
    <w:p w:rsidR="00F12BA2" w:rsidRDefault="00F12BA2" w:rsidP="00F12BA2">
      <w:pPr>
        <w:jc w:val="both"/>
        <w:rPr>
          <w:rFonts w:ascii="Arial" w:hAnsi="Arial" w:cs="Arial"/>
        </w:rPr>
      </w:pPr>
      <w:r>
        <w:rPr>
          <w:rFonts w:ascii="Arial" w:hAnsi="Arial" w:cs="Arial"/>
          <w:b/>
        </w:rPr>
        <w:t>Report</w:t>
      </w:r>
    </w:p>
    <w:p w:rsidR="007C03C3" w:rsidRDefault="007C03C3" w:rsidP="007173A2">
      <w:pPr>
        <w:jc w:val="both"/>
        <w:rPr>
          <w:rFonts w:ascii="Arial" w:hAnsi="Arial" w:cs="Arial"/>
        </w:rPr>
      </w:pPr>
      <w:r>
        <w:rPr>
          <w:rFonts w:ascii="Arial" w:hAnsi="Arial" w:cs="Arial"/>
        </w:rPr>
        <w:t>Summary of key points:</w:t>
      </w:r>
    </w:p>
    <w:p w:rsidR="007C03C3" w:rsidRDefault="007173A2" w:rsidP="007C03C3">
      <w:pPr>
        <w:numPr>
          <w:ilvl w:val="0"/>
          <w:numId w:val="12"/>
        </w:numPr>
        <w:jc w:val="both"/>
        <w:rPr>
          <w:rFonts w:ascii="Arial" w:hAnsi="Arial" w:cs="Arial"/>
        </w:rPr>
      </w:pPr>
      <w:r w:rsidRPr="007C03C3">
        <w:rPr>
          <w:rFonts w:ascii="Arial" w:hAnsi="Arial" w:cs="Arial"/>
        </w:rPr>
        <w:t xml:space="preserve">Patients with unexplained diarrhoea will be fully assessed for possible causes and the SIGHT mnemonic algorithm used. </w:t>
      </w:r>
    </w:p>
    <w:p w:rsidR="007C03C3" w:rsidRDefault="007C03C3" w:rsidP="007C03C3">
      <w:pPr>
        <w:numPr>
          <w:ilvl w:val="0"/>
          <w:numId w:val="12"/>
        </w:numPr>
        <w:jc w:val="both"/>
        <w:rPr>
          <w:rFonts w:ascii="Arial" w:hAnsi="Arial" w:cs="Arial"/>
        </w:rPr>
      </w:pPr>
      <w:r>
        <w:rPr>
          <w:rFonts w:ascii="Arial" w:hAnsi="Arial" w:cs="Arial"/>
        </w:rPr>
        <w:t>Only patients with unexplained diarrhoea who have been medically reviewed and CDI is suspected should be tested. The Oxford University Hospitals Trust will only test patients for CDI if requested to do so.</w:t>
      </w:r>
    </w:p>
    <w:p w:rsidR="00E61F46" w:rsidRDefault="007173A2" w:rsidP="007C03C3">
      <w:pPr>
        <w:numPr>
          <w:ilvl w:val="0"/>
          <w:numId w:val="12"/>
        </w:numPr>
        <w:jc w:val="both"/>
        <w:rPr>
          <w:rFonts w:ascii="Arial" w:hAnsi="Arial" w:cs="Arial"/>
        </w:rPr>
      </w:pPr>
      <w:r w:rsidRPr="007C03C3">
        <w:rPr>
          <w:rFonts w:ascii="Arial" w:hAnsi="Arial" w:cs="Arial"/>
        </w:rPr>
        <w:t xml:space="preserve">Specimens </w:t>
      </w:r>
      <w:r w:rsidR="00E61F46">
        <w:rPr>
          <w:rFonts w:ascii="Arial" w:hAnsi="Arial" w:cs="Arial"/>
        </w:rPr>
        <w:t>should only be</w:t>
      </w:r>
      <w:r w:rsidRPr="007C03C3">
        <w:rPr>
          <w:rFonts w:ascii="Arial" w:hAnsi="Arial" w:cs="Arial"/>
        </w:rPr>
        <w:t xml:space="preserve"> sent by trained nurses and the </w:t>
      </w:r>
      <w:proofErr w:type="gramStart"/>
      <w:r w:rsidRPr="007C03C3">
        <w:rPr>
          <w:rFonts w:ascii="Arial" w:hAnsi="Arial" w:cs="Arial"/>
        </w:rPr>
        <w:t>result  actively</w:t>
      </w:r>
      <w:proofErr w:type="gramEnd"/>
      <w:r w:rsidRPr="007C03C3">
        <w:rPr>
          <w:rFonts w:ascii="Arial" w:hAnsi="Arial" w:cs="Arial"/>
        </w:rPr>
        <w:t xml:space="preserve"> followed up the next working day and action taken if required. </w:t>
      </w:r>
    </w:p>
    <w:p w:rsidR="007173A2" w:rsidRDefault="007173A2" w:rsidP="007C03C3">
      <w:pPr>
        <w:numPr>
          <w:ilvl w:val="0"/>
          <w:numId w:val="12"/>
        </w:numPr>
        <w:jc w:val="both"/>
        <w:rPr>
          <w:rFonts w:ascii="Arial" w:hAnsi="Arial" w:cs="Arial"/>
        </w:rPr>
      </w:pPr>
      <w:r w:rsidRPr="007C03C3">
        <w:rPr>
          <w:rFonts w:ascii="Arial" w:hAnsi="Arial" w:cs="Arial"/>
        </w:rPr>
        <w:lastRenderedPageBreak/>
        <w:t>SLA and reporting arrangements will be reviewed by the 5 Trusts providing laboratory services in order to ensure significant results are received at the earliest opportunity so patients can be safely care</w:t>
      </w:r>
      <w:r w:rsidR="007252ED">
        <w:rPr>
          <w:rFonts w:ascii="Arial" w:hAnsi="Arial" w:cs="Arial"/>
        </w:rPr>
        <w:t>d</w:t>
      </w:r>
      <w:r w:rsidRPr="007C03C3">
        <w:rPr>
          <w:rFonts w:ascii="Arial" w:hAnsi="Arial" w:cs="Arial"/>
        </w:rPr>
        <w:t xml:space="preserve"> for.</w:t>
      </w:r>
    </w:p>
    <w:p w:rsidR="007C03C3" w:rsidRDefault="007C03C3" w:rsidP="007C03C3">
      <w:pPr>
        <w:numPr>
          <w:ilvl w:val="0"/>
          <w:numId w:val="12"/>
        </w:numPr>
        <w:jc w:val="both"/>
        <w:rPr>
          <w:rFonts w:ascii="Arial" w:hAnsi="Arial" w:cs="Arial"/>
        </w:rPr>
      </w:pPr>
      <w:proofErr w:type="spellStart"/>
      <w:r>
        <w:rPr>
          <w:rFonts w:ascii="Arial" w:hAnsi="Arial" w:cs="Arial"/>
        </w:rPr>
        <w:t>Vancomycin</w:t>
      </w:r>
      <w:proofErr w:type="spellEnd"/>
      <w:r>
        <w:rPr>
          <w:rFonts w:ascii="Arial" w:hAnsi="Arial" w:cs="Arial"/>
        </w:rPr>
        <w:t xml:space="preserve"> will be held as stock on high risk wards to ensure patients can be commenced on CDI treatment as soon as possible.</w:t>
      </w:r>
    </w:p>
    <w:p w:rsidR="00E61F46" w:rsidRPr="007C03C3" w:rsidRDefault="00E61F46" w:rsidP="007C03C3">
      <w:pPr>
        <w:numPr>
          <w:ilvl w:val="0"/>
          <w:numId w:val="12"/>
        </w:numPr>
        <w:jc w:val="both"/>
        <w:rPr>
          <w:rFonts w:ascii="Arial" w:hAnsi="Arial" w:cs="Arial"/>
        </w:rPr>
      </w:pPr>
      <w:r>
        <w:rPr>
          <w:rFonts w:ascii="Arial" w:hAnsi="Arial" w:cs="Arial"/>
        </w:rPr>
        <w:t>Root cause analysis investigations are conducted for all CDI cases and learning identified</w:t>
      </w:r>
      <w:r w:rsidR="007252ED">
        <w:rPr>
          <w:rFonts w:ascii="Arial" w:hAnsi="Arial" w:cs="Arial"/>
        </w:rPr>
        <w:t>. Action plans are developed through the SIRI panel process, t</w:t>
      </w:r>
      <w:r>
        <w:rPr>
          <w:rFonts w:ascii="Arial" w:hAnsi="Arial" w:cs="Arial"/>
        </w:rPr>
        <w:t>he weekly</w:t>
      </w:r>
      <w:r w:rsidR="007252ED">
        <w:rPr>
          <w:rFonts w:ascii="Arial" w:hAnsi="Arial" w:cs="Arial"/>
        </w:rPr>
        <w:t xml:space="preserve"> corporate</w:t>
      </w:r>
      <w:r>
        <w:rPr>
          <w:rFonts w:ascii="Arial" w:hAnsi="Arial" w:cs="Arial"/>
        </w:rPr>
        <w:t xml:space="preserve"> clinical governance meeting </w:t>
      </w:r>
      <w:r w:rsidR="007252ED">
        <w:rPr>
          <w:rFonts w:ascii="Arial" w:hAnsi="Arial" w:cs="Arial"/>
        </w:rPr>
        <w:t xml:space="preserve">updated </w:t>
      </w:r>
      <w:r>
        <w:rPr>
          <w:rFonts w:ascii="Arial" w:hAnsi="Arial" w:cs="Arial"/>
        </w:rPr>
        <w:t xml:space="preserve">and </w:t>
      </w:r>
      <w:r w:rsidR="007252ED">
        <w:rPr>
          <w:rFonts w:ascii="Arial" w:hAnsi="Arial" w:cs="Arial"/>
        </w:rPr>
        <w:t xml:space="preserve">plans are </w:t>
      </w:r>
      <w:proofErr w:type="spellStart"/>
      <w:r w:rsidR="007252ED">
        <w:rPr>
          <w:rFonts w:ascii="Arial" w:hAnsi="Arial" w:cs="Arial"/>
        </w:rPr>
        <w:t>actioned</w:t>
      </w:r>
      <w:proofErr w:type="spellEnd"/>
      <w:r w:rsidR="007252ED">
        <w:rPr>
          <w:rFonts w:ascii="Arial" w:hAnsi="Arial" w:cs="Arial"/>
        </w:rPr>
        <w:t xml:space="preserve"> by the relevant division</w:t>
      </w:r>
      <w:r>
        <w:rPr>
          <w:rFonts w:ascii="Arial" w:hAnsi="Arial" w:cs="Arial"/>
        </w:rPr>
        <w:t>.</w:t>
      </w:r>
    </w:p>
    <w:p w:rsidR="007173A2" w:rsidRDefault="007173A2" w:rsidP="00F12BA2">
      <w:pPr>
        <w:jc w:val="both"/>
        <w:rPr>
          <w:rFonts w:ascii="Arial" w:hAnsi="Arial" w:cs="Arial"/>
        </w:rPr>
      </w:pPr>
      <w:r w:rsidRPr="007173A2">
        <w:rPr>
          <w:rFonts w:ascii="Arial" w:hAnsi="Arial" w:cs="Arial"/>
        </w:rPr>
        <w:t>We will continue to work closely with our colleagues and if there are any changes in the future in national guidance or virulence of CDI cases o</w:t>
      </w:r>
      <w:r w:rsidR="00804BD7">
        <w:rPr>
          <w:rFonts w:ascii="Arial" w:hAnsi="Arial" w:cs="Arial"/>
        </w:rPr>
        <w:t>ur procedures will be reviewed.</w:t>
      </w:r>
    </w:p>
    <w:p w:rsidR="00F12BA2" w:rsidRDefault="00F12BA2" w:rsidP="00F12BA2">
      <w:pPr>
        <w:jc w:val="both"/>
        <w:rPr>
          <w:rFonts w:ascii="Arial" w:hAnsi="Arial" w:cs="Arial"/>
          <w:b/>
        </w:rPr>
      </w:pPr>
      <w:r>
        <w:rPr>
          <w:rFonts w:ascii="Arial" w:hAnsi="Arial" w:cs="Arial"/>
          <w:b/>
        </w:rPr>
        <w:t>Recommendation</w:t>
      </w:r>
    </w:p>
    <w:p w:rsidR="00F12BA2" w:rsidRDefault="007173A2" w:rsidP="00F12BA2">
      <w:pPr>
        <w:jc w:val="both"/>
        <w:rPr>
          <w:rFonts w:ascii="Arial" w:hAnsi="Arial" w:cs="Arial"/>
        </w:rPr>
      </w:pPr>
      <w:r>
        <w:rPr>
          <w:rFonts w:ascii="Arial" w:hAnsi="Arial" w:cs="Arial"/>
        </w:rPr>
        <w:t>The Board are asked to note the report and approve the action being taken.</w:t>
      </w:r>
    </w:p>
    <w:p w:rsidR="00F12BA2" w:rsidRDefault="00F12BA2" w:rsidP="00F12BA2">
      <w:pPr>
        <w:jc w:val="both"/>
        <w:rPr>
          <w:rFonts w:ascii="Arial" w:hAnsi="Arial" w:cs="Arial"/>
          <w:b/>
        </w:rPr>
      </w:pPr>
    </w:p>
    <w:p w:rsidR="00F12BA2" w:rsidRPr="007173A2" w:rsidRDefault="00F12BA2" w:rsidP="00F12BA2">
      <w:pPr>
        <w:ind w:left="1440" w:hanging="1440"/>
        <w:jc w:val="both"/>
        <w:rPr>
          <w:rFonts w:ascii="Arial" w:hAnsi="Arial" w:cs="Arial"/>
          <w:b/>
        </w:rPr>
      </w:pPr>
      <w:r>
        <w:rPr>
          <w:rFonts w:ascii="Arial" w:hAnsi="Arial" w:cs="Arial"/>
          <w:b/>
        </w:rPr>
        <w:t>Author and Title:</w:t>
      </w:r>
      <w:r>
        <w:rPr>
          <w:rFonts w:ascii="Arial" w:hAnsi="Arial" w:cs="Arial"/>
        </w:rPr>
        <w:t xml:space="preserve"> </w:t>
      </w:r>
      <w:r>
        <w:rPr>
          <w:rFonts w:ascii="Arial" w:hAnsi="Arial" w:cs="Arial"/>
        </w:rPr>
        <w:tab/>
      </w:r>
      <w:r w:rsidR="007173A2" w:rsidRPr="007173A2">
        <w:rPr>
          <w:rFonts w:ascii="Arial" w:hAnsi="Arial" w:cs="Arial"/>
          <w:b/>
        </w:rPr>
        <w:t>Helen Bosley, Infection Prevention and Control Matron</w:t>
      </w:r>
    </w:p>
    <w:p w:rsidR="00F12BA2" w:rsidRDefault="00F12BA2" w:rsidP="00F12BA2">
      <w:pPr>
        <w:jc w:val="both"/>
        <w:rPr>
          <w:rFonts w:ascii="Arial" w:hAnsi="Arial" w:cs="Arial"/>
          <w:b/>
        </w:rPr>
      </w:pPr>
      <w:r>
        <w:rPr>
          <w:rFonts w:ascii="Arial" w:hAnsi="Arial" w:cs="Arial"/>
          <w:b/>
        </w:rPr>
        <w:t>Lead Executive Director:</w:t>
      </w:r>
      <w:r>
        <w:rPr>
          <w:rFonts w:ascii="Arial" w:hAnsi="Arial" w:cs="Arial"/>
          <w:b/>
        </w:rPr>
        <w:tab/>
      </w:r>
      <w:r w:rsidR="007173A2" w:rsidRPr="007173A2">
        <w:rPr>
          <w:rFonts w:ascii="Arial" w:hAnsi="Arial" w:cs="Arial"/>
          <w:b/>
        </w:rPr>
        <w:t>Ros Alstead, Director of Infection Prevention and Control (DIPC) and Director of Nursing and Clinical Standards</w:t>
      </w:r>
    </w:p>
    <w:p w:rsidR="00F12BA2" w:rsidRDefault="00F12BA2" w:rsidP="00F12BA2">
      <w:pPr>
        <w:jc w:val="both"/>
        <w:rPr>
          <w:rFonts w:ascii="Arial" w:hAnsi="Arial" w:cs="Arial"/>
          <w:b/>
        </w:rPr>
      </w:pPr>
    </w:p>
    <w:p w:rsidR="00F12BA2" w:rsidRDefault="00F12BA2" w:rsidP="00F12BA2">
      <w:pPr>
        <w:numPr>
          <w:ilvl w:val="0"/>
          <w:numId w:val="8"/>
        </w:numPr>
        <w:spacing w:after="0" w:line="240" w:lineRule="auto"/>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F12BA2" w:rsidRDefault="00F12BA2" w:rsidP="00F12BA2">
      <w:pPr>
        <w:jc w:val="both"/>
        <w:rPr>
          <w:rFonts w:ascii="Arial" w:hAnsi="Arial" w:cs="Arial"/>
          <w:i/>
          <w:sz w:val="20"/>
          <w:szCs w:val="20"/>
        </w:rPr>
      </w:pPr>
    </w:p>
    <w:p w:rsidR="00F12BA2" w:rsidRDefault="00F12BA2" w:rsidP="00F12BA2">
      <w:pPr>
        <w:numPr>
          <w:ilvl w:val="0"/>
          <w:numId w:val="8"/>
        </w:numPr>
        <w:spacing w:after="0" w:line="240" w:lineRule="auto"/>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F12BA2" w:rsidRDefault="00F12BA2" w:rsidP="00F12BA2">
      <w:pPr>
        <w:numPr>
          <w:ilvl w:val="0"/>
          <w:numId w:val="9"/>
        </w:numPr>
        <w:spacing w:after="0" w:line="240" w:lineRule="auto"/>
        <w:jc w:val="both"/>
        <w:rPr>
          <w:rFonts w:ascii="Arial" w:hAnsi="Arial" w:cs="Arial"/>
          <w:i/>
          <w:sz w:val="20"/>
          <w:szCs w:val="20"/>
        </w:rPr>
      </w:pPr>
      <w:r>
        <w:rPr>
          <w:rFonts w:ascii="Arial" w:hAnsi="Arial" w:cs="Arial"/>
          <w:i/>
          <w:sz w:val="20"/>
          <w:szCs w:val="20"/>
        </w:rPr>
        <w:t>THIS PAPER MAY BE PUBLISHED UNDER FOI</w:t>
      </w:r>
    </w:p>
    <w:p w:rsidR="00F12BA2" w:rsidRPr="0073522A" w:rsidRDefault="00F12BA2" w:rsidP="00F12BA2">
      <w:pPr>
        <w:jc w:val="both"/>
        <w:rPr>
          <w:rFonts w:ascii="Arial" w:hAnsi="Arial" w:cs="Arial"/>
          <w:i/>
          <w:sz w:val="20"/>
          <w:szCs w:val="20"/>
        </w:rPr>
      </w:pPr>
    </w:p>
    <w:p w:rsidR="00F12BA2" w:rsidRPr="00AF0562" w:rsidRDefault="00F12BA2" w:rsidP="00F12BA2">
      <w:pPr>
        <w:numPr>
          <w:ilvl w:val="0"/>
          <w:numId w:val="8"/>
        </w:numPr>
        <w:spacing w:after="0" w:line="240" w:lineRule="auto"/>
        <w:jc w:val="both"/>
        <w:rPr>
          <w:rFonts w:ascii="Arial" w:hAnsi="Arial" w:cs="Arial"/>
          <w:sz w:val="20"/>
          <w:szCs w:val="20"/>
        </w:rPr>
      </w:pPr>
      <w:r w:rsidRPr="0073522A">
        <w:rPr>
          <w:rFonts w:ascii="Arial" w:hAnsi="Arial" w:cs="Arial"/>
          <w:i/>
          <w:sz w:val="20"/>
          <w:szCs w:val="20"/>
        </w:rPr>
        <w:t>This paper provides assurance and evidence against the</w:t>
      </w:r>
      <w:r>
        <w:rPr>
          <w:rFonts w:ascii="Arial" w:hAnsi="Arial" w:cs="Arial"/>
          <w:i/>
          <w:sz w:val="20"/>
          <w:szCs w:val="20"/>
        </w:rPr>
        <w:t xml:space="preserve"> Care Quality Commission Outcome: </w:t>
      </w:r>
      <w:r w:rsidRPr="0073522A">
        <w:rPr>
          <w:rFonts w:ascii="Arial" w:hAnsi="Arial" w:cs="Arial"/>
          <w:i/>
          <w:sz w:val="20"/>
          <w:szCs w:val="20"/>
        </w:rPr>
        <w:t xml:space="preserve"> </w:t>
      </w:r>
      <w:r w:rsidR="00804BD7">
        <w:rPr>
          <w:rFonts w:ascii="Arial" w:hAnsi="Arial" w:cs="Arial"/>
          <w:i/>
          <w:sz w:val="20"/>
          <w:szCs w:val="20"/>
        </w:rPr>
        <w:t>8</w:t>
      </w:r>
    </w:p>
    <w:p w:rsidR="00F12BA2" w:rsidRDefault="00F12BA2" w:rsidP="00F12BA2">
      <w:pPr>
        <w:ind w:left="720"/>
        <w:jc w:val="both"/>
        <w:rPr>
          <w:rFonts w:ascii="Arial" w:hAnsi="Arial" w:cs="Arial"/>
          <w:sz w:val="20"/>
          <w:szCs w:val="20"/>
        </w:rPr>
      </w:pPr>
    </w:p>
    <w:p w:rsidR="00F12BA2" w:rsidRDefault="00F12BA2" w:rsidP="00F12BA2">
      <w:pPr>
        <w:ind w:left="720"/>
        <w:jc w:val="both"/>
        <w:rPr>
          <w:rFonts w:ascii="Arial" w:hAnsi="Arial" w:cs="Arial"/>
          <w:sz w:val="20"/>
          <w:szCs w:val="20"/>
        </w:rPr>
      </w:pPr>
    </w:p>
    <w:p w:rsidR="00F12BA2" w:rsidRDefault="00F12BA2" w:rsidP="00F12BA2">
      <w:pPr>
        <w:ind w:left="720"/>
        <w:jc w:val="both"/>
        <w:rPr>
          <w:rFonts w:ascii="Arial" w:hAnsi="Arial" w:cs="Arial"/>
          <w:sz w:val="20"/>
          <w:szCs w:val="20"/>
        </w:rPr>
      </w:pPr>
    </w:p>
    <w:p w:rsidR="00F12BA2" w:rsidRDefault="00F12BA2" w:rsidP="00F12BA2">
      <w:pPr>
        <w:ind w:left="720"/>
        <w:jc w:val="both"/>
        <w:rPr>
          <w:rFonts w:ascii="Arial" w:hAnsi="Arial" w:cs="Arial"/>
          <w:sz w:val="20"/>
          <w:szCs w:val="20"/>
        </w:rPr>
      </w:pPr>
    </w:p>
    <w:p w:rsidR="00F12BA2" w:rsidRPr="0073522A" w:rsidRDefault="00804BD7" w:rsidP="00F12BA2">
      <w:pPr>
        <w:ind w:left="720"/>
        <w:jc w:val="both"/>
        <w:rPr>
          <w:rFonts w:ascii="Arial" w:hAnsi="Arial" w:cs="Arial"/>
          <w:sz w:val="20"/>
          <w:szCs w:val="20"/>
        </w:rPr>
      </w:pPr>
      <w:r>
        <w:rPr>
          <w:rFonts w:ascii="Arial" w:hAnsi="Arial" w:cs="Arial"/>
          <w:sz w:val="20"/>
          <w:szCs w:val="20"/>
        </w:rPr>
        <w:br w:type="page"/>
      </w:r>
    </w:p>
    <w:p w:rsidR="008718A5" w:rsidRPr="002440D2" w:rsidRDefault="00C723AD" w:rsidP="00A15714">
      <w:pPr>
        <w:jc w:val="right"/>
      </w:pPr>
      <w:r>
        <w:rPr>
          <w:noProof/>
          <w:lang w:eastAsia="en-GB"/>
        </w:rPr>
        <w:lastRenderedPageBreak/>
        <w:drawing>
          <wp:inline distT="0" distB="0" distL="0" distR="0">
            <wp:extent cx="2545080" cy="500380"/>
            <wp:effectExtent l="19050" t="0" r="762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545080" cy="500380"/>
                    </a:xfrm>
                    <a:prstGeom prst="rect">
                      <a:avLst/>
                    </a:prstGeom>
                    <a:noFill/>
                    <a:ln w="9525">
                      <a:noFill/>
                      <a:miter lim="800000"/>
                      <a:headEnd/>
                      <a:tailEnd/>
                    </a:ln>
                  </pic:spPr>
                </pic:pic>
              </a:graphicData>
            </a:graphic>
          </wp:inline>
        </w:drawing>
      </w:r>
    </w:p>
    <w:p w:rsidR="00BA72D4" w:rsidRPr="002440D2" w:rsidRDefault="00BA72D4" w:rsidP="005C71AC">
      <w:pPr>
        <w:spacing w:line="240" w:lineRule="auto"/>
        <w:jc w:val="right"/>
        <w:rPr>
          <w:rFonts w:cs="Calibri"/>
          <w:sz w:val="20"/>
          <w:szCs w:val="20"/>
        </w:rPr>
      </w:pPr>
    </w:p>
    <w:p w:rsidR="00FB4C7F" w:rsidRPr="00F12BA2" w:rsidRDefault="00013E39" w:rsidP="00F12BA2">
      <w:pPr>
        <w:pStyle w:val="Default"/>
        <w:jc w:val="both"/>
        <w:rPr>
          <w:rFonts w:ascii="Segoe UI" w:hAnsi="Segoe UI" w:cs="Segoe UI"/>
          <w:sz w:val="22"/>
          <w:szCs w:val="22"/>
        </w:rPr>
      </w:pPr>
      <w:r w:rsidRPr="00F12BA2">
        <w:rPr>
          <w:rFonts w:ascii="Segoe UI" w:hAnsi="Segoe UI" w:cs="Segoe UI"/>
          <w:b/>
          <w:i/>
          <w:sz w:val="22"/>
          <w:szCs w:val="22"/>
          <w:u w:val="single"/>
        </w:rPr>
        <w:t xml:space="preserve">Clostridium </w:t>
      </w:r>
      <w:proofErr w:type="spellStart"/>
      <w:r w:rsidRPr="00F12BA2">
        <w:rPr>
          <w:rFonts w:ascii="Segoe UI" w:hAnsi="Segoe UI" w:cs="Segoe UI"/>
          <w:b/>
          <w:i/>
          <w:sz w:val="22"/>
          <w:szCs w:val="22"/>
          <w:u w:val="single"/>
        </w:rPr>
        <w:t>Difficile</w:t>
      </w:r>
      <w:proofErr w:type="spellEnd"/>
      <w:r w:rsidRPr="00F12BA2">
        <w:rPr>
          <w:rFonts w:ascii="Segoe UI" w:hAnsi="Segoe UI" w:cs="Segoe UI"/>
          <w:b/>
          <w:i/>
          <w:sz w:val="22"/>
          <w:szCs w:val="22"/>
          <w:u w:val="single"/>
        </w:rPr>
        <w:t>-</w:t>
      </w:r>
      <w:r w:rsidRPr="00F12BA2">
        <w:rPr>
          <w:rFonts w:ascii="Segoe UI" w:hAnsi="Segoe UI" w:cs="Segoe UI"/>
          <w:b/>
          <w:sz w:val="22"/>
          <w:szCs w:val="22"/>
          <w:u w:val="single"/>
        </w:rPr>
        <w:t xml:space="preserve"> </w:t>
      </w:r>
      <w:r w:rsidR="00507BB6" w:rsidRPr="00F12BA2">
        <w:rPr>
          <w:rFonts w:ascii="Segoe UI" w:hAnsi="Segoe UI" w:cs="Segoe UI"/>
          <w:b/>
          <w:sz w:val="22"/>
          <w:szCs w:val="22"/>
          <w:u w:val="single"/>
        </w:rPr>
        <w:t>Updated Guidance</w:t>
      </w:r>
      <w:r w:rsidR="00810E3C" w:rsidRPr="00F12BA2">
        <w:rPr>
          <w:rFonts w:ascii="Segoe UI" w:hAnsi="Segoe UI" w:cs="Segoe UI"/>
          <w:b/>
          <w:sz w:val="22"/>
          <w:szCs w:val="22"/>
          <w:u w:val="single"/>
        </w:rPr>
        <w:t xml:space="preserve"> </w:t>
      </w:r>
      <w:r w:rsidR="00FB4C7F" w:rsidRPr="00F12BA2">
        <w:rPr>
          <w:rFonts w:ascii="Segoe UI" w:hAnsi="Segoe UI" w:cs="Segoe UI"/>
          <w:b/>
          <w:sz w:val="22"/>
          <w:szCs w:val="22"/>
          <w:u w:val="single"/>
        </w:rPr>
        <w:t>on</w:t>
      </w:r>
      <w:r w:rsidRPr="00F12BA2">
        <w:rPr>
          <w:rFonts w:ascii="Segoe UI" w:hAnsi="Segoe UI" w:cs="Segoe UI"/>
          <w:b/>
          <w:sz w:val="22"/>
          <w:szCs w:val="22"/>
          <w:u w:val="single"/>
        </w:rPr>
        <w:t xml:space="preserve"> the diagnosis and reporting </w:t>
      </w:r>
    </w:p>
    <w:p w:rsidR="00013E39" w:rsidRPr="00F12BA2" w:rsidRDefault="00FB4C7F" w:rsidP="00F12BA2">
      <w:pPr>
        <w:spacing w:line="240" w:lineRule="auto"/>
        <w:jc w:val="both"/>
        <w:rPr>
          <w:rFonts w:ascii="Segoe UI" w:hAnsi="Segoe UI" w:cs="Segoe UI"/>
        </w:rPr>
      </w:pPr>
      <w:r w:rsidRPr="00F12BA2">
        <w:rPr>
          <w:rFonts w:ascii="Segoe UI" w:hAnsi="Segoe UI" w:cs="Segoe UI"/>
        </w:rPr>
        <w:t xml:space="preserve"> </w:t>
      </w:r>
    </w:p>
    <w:p w:rsidR="00013E39" w:rsidRPr="00F12BA2" w:rsidRDefault="00013E39" w:rsidP="00F12BA2">
      <w:pPr>
        <w:spacing w:line="240" w:lineRule="auto"/>
        <w:jc w:val="both"/>
        <w:rPr>
          <w:rFonts w:ascii="Segoe UI" w:hAnsi="Segoe UI" w:cs="Segoe UI"/>
          <w:b/>
          <w:u w:val="single"/>
        </w:rPr>
      </w:pPr>
      <w:r w:rsidRPr="00F12BA2">
        <w:rPr>
          <w:rFonts w:ascii="Segoe UI" w:hAnsi="Segoe UI" w:cs="Segoe UI"/>
          <w:b/>
          <w:u w:val="single"/>
        </w:rPr>
        <w:t>Introduction</w:t>
      </w:r>
    </w:p>
    <w:p w:rsidR="00013E39" w:rsidRPr="00F12BA2" w:rsidRDefault="00013E39" w:rsidP="00F12BA2">
      <w:pPr>
        <w:spacing w:line="240" w:lineRule="auto"/>
        <w:jc w:val="both"/>
        <w:rPr>
          <w:rFonts w:ascii="Segoe UI" w:hAnsi="Segoe UI" w:cs="Segoe UI"/>
        </w:rPr>
      </w:pPr>
      <w:r w:rsidRPr="00F12BA2">
        <w:rPr>
          <w:rFonts w:ascii="Segoe UI" w:hAnsi="Segoe UI" w:cs="Segoe UI"/>
          <w:i/>
        </w:rPr>
        <w:t xml:space="preserve">Clostridium </w:t>
      </w:r>
      <w:proofErr w:type="spellStart"/>
      <w:r w:rsidRPr="00F12BA2">
        <w:rPr>
          <w:rFonts w:ascii="Segoe UI" w:hAnsi="Segoe UI" w:cs="Segoe UI"/>
          <w:i/>
        </w:rPr>
        <w:t>difficile</w:t>
      </w:r>
      <w:proofErr w:type="spellEnd"/>
      <w:r w:rsidRPr="00F12BA2">
        <w:rPr>
          <w:rFonts w:ascii="Segoe UI" w:hAnsi="Segoe UI" w:cs="Segoe UI"/>
        </w:rPr>
        <w:t xml:space="preserve"> infection is the major cause of antibiotic-associated diarrhoea and colitis and is a healthcare associated intestinal infection that mostly affects older patients with other underlying disease. Increasing proportions of older people may carry the bacterium without symptoms - around 20% of people aged over 65 in hospital.  Those who are at  greatest risk of </w:t>
      </w:r>
      <w:r w:rsidRPr="00F12BA2">
        <w:rPr>
          <w:rFonts w:ascii="Segoe UI" w:hAnsi="Segoe UI" w:cs="Segoe UI"/>
          <w:i/>
        </w:rPr>
        <w:t xml:space="preserve">Clostridium </w:t>
      </w:r>
      <w:proofErr w:type="spellStart"/>
      <w:r w:rsidRPr="00F12BA2">
        <w:rPr>
          <w:rFonts w:ascii="Segoe UI" w:hAnsi="Segoe UI" w:cs="Segoe UI"/>
          <w:i/>
        </w:rPr>
        <w:t>difficile</w:t>
      </w:r>
      <w:proofErr w:type="spellEnd"/>
      <w:r w:rsidRPr="00F12BA2">
        <w:rPr>
          <w:rFonts w:ascii="Segoe UI" w:hAnsi="Segoe UI" w:cs="Segoe UI"/>
        </w:rPr>
        <w:t xml:space="preserve"> infection are people who have been treated with broad spectrum antibiotics, people with serious underlying illnesses and the elderly. Antibiotics are known to disturb the balance of bacteria in the gut allowing </w:t>
      </w:r>
      <w:r w:rsidRPr="00F12BA2">
        <w:rPr>
          <w:rFonts w:ascii="Segoe UI" w:hAnsi="Segoe UI" w:cs="Segoe UI"/>
          <w:i/>
        </w:rPr>
        <w:t xml:space="preserve">Clostridium </w:t>
      </w:r>
      <w:proofErr w:type="spellStart"/>
      <w:r w:rsidRPr="00F12BA2">
        <w:rPr>
          <w:rFonts w:ascii="Segoe UI" w:hAnsi="Segoe UI" w:cs="Segoe UI"/>
          <w:i/>
        </w:rPr>
        <w:t>difficile</w:t>
      </w:r>
      <w:proofErr w:type="spellEnd"/>
      <w:r w:rsidRPr="00F12BA2">
        <w:rPr>
          <w:rFonts w:ascii="Segoe UI" w:hAnsi="Segoe UI" w:cs="Segoe UI"/>
        </w:rPr>
        <w:t xml:space="preserve"> to multiply rapidly and produce toxins which may cause illness. </w:t>
      </w:r>
    </w:p>
    <w:p w:rsidR="003547C1" w:rsidRPr="00F12BA2" w:rsidRDefault="00013E39" w:rsidP="00F12BA2">
      <w:pPr>
        <w:spacing w:line="240" w:lineRule="auto"/>
        <w:jc w:val="both"/>
        <w:rPr>
          <w:rFonts w:ascii="Segoe UI" w:hAnsi="Segoe UI" w:cs="Segoe UI"/>
          <w:b/>
          <w:u w:val="single"/>
        </w:rPr>
      </w:pPr>
      <w:r w:rsidRPr="00F12BA2">
        <w:rPr>
          <w:rFonts w:ascii="Segoe UI" w:hAnsi="Segoe UI" w:cs="Segoe UI"/>
          <w:b/>
          <w:u w:val="single"/>
        </w:rPr>
        <w:t>New Testing</w:t>
      </w:r>
    </w:p>
    <w:p w:rsidR="006D30D3" w:rsidRPr="00F12BA2" w:rsidRDefault="00FB4C7F" w:rsidP="00F12BA2">
      <w:pPr>
        <w:spacing w:line="240" w:lineRule="auto"/>
        <w:jc w:val="both"/>
        <w:rPr>
          <w:rFonts w:ascii="Segoe UI" w:hAnsi="Segoe UI" w:cs="Segoe UI"/>
        </w:rPr>
      </w:pPr>
      <w:r w:rsidRPr="00F12BA2">
        <w:rPr>
          <w:rFonts w:ascii="Segoe UI" w:hAnsi="Segoe UI" w:cs="Segoe UI"/>
        </w:rPr>
        <w:t>In March 2012 the Department of Health</w:t>
      </w:r>
      <w:r w:rsidR="003547C1" w:rsidRPr="00F12BA2">
        <w:rPr>
          <w:rFonts w:ascii="Segoe UI" w:hAnsi="Segoe UI" w:cs="Segoe UI"/>
        </w:rPr>
        <w:t xml:space="preserve"> (DH)</w:t>
      </w:r>
      <w:r w:rsidRPr="00F12BA2">
        <w:rPr>
          <w:rFonts w:ascii="Segoe UI" w:hAnsi="Segoe UI" w:cs="Segoe UI"/>
        </w:rPr>
        <w:t xml:space="preserve"> published</w:t>
      </w:r>
      <w:r w:rsidR="00972660" w:rsidRPr="00F12BA2">
        <w:rPr>
          <w:rFonts w:ascii="Segoe UI" w:hAnsi="Segoe UI" w:cs="Segoe UI"/>
        </w:rPr>
        <w:t xml:space="preserve"> new</w:t>
      </w:r>
      <w:r w:rsidRPr="00F12BA2">
        <w:rPr>
          <w:rFonts w:ascii="Segoe UI" w:hAnsi="Segoe UI" w:cs="Segoe UI"/>
        </w:rPr>
        <w:t xml:space="preserve"> guidance regarding the diagnosis and reporting </w:t>
      </w:r>
      <w:r w:rsidR="006D30D3" w:rsidRPr="00F12BA2">
        <w:rPr>
          <w:rFonts w:ascii="Segoe UI" w:hAnsi="Segoe UI" w:cs="Segoe UI"/>
        </w:rPr>
        <w:t xml:space="preserve">of </w:t>
      </w:r>
      <w:r w:rsidR="006D30D3" w:rsidRPr="00F12BA2">
        <w:rPr>
          <w:rFonts w:ascii="Segoe UI" w:hAnsi="Segoe UI" w:cs="Segoe UI"/>
          <w:i/>
        </w:rPr>
        <w:t>Clostridium</w:t>
      </w:r>
      <w:r w:rsidRPr="00F12BA2">
        <w:rPr>
          <w:rFonts w:ascii="Segoe UI" w:hAnsi="Segoe UI" w:cs="Segoe UI"/>
          <w:i/>
        </w:rPr>
        <w:t xml:space="preserve"> </w:t>
      </w:r>
      <w:proofErr w:type="spellStart"/>
      <w:r w:rsidRPr="00F12BA2">
        <w:rPr>
          <w:rFonts w:ascii="Segoe UI" w:hAnsi="Segoe UI" w:cs="Segoe UI"/>
          <w:i/>
        </w:rPr>
        <w:t>difficile</w:t>
      </w:r>
      <w:proofErr w:type="spellEnd"/>
      <w:r w:rsidRPr="00F12BA2">
        <w:rPr>
          <w:rFonts w:ascii="Segoe UI" w:hAnsi="Segoe UI" w:cs="Segoe UI"/>
        </w:rPr>
        <w:t xml:space="preserve"> infection (CDI)</w:t>
      </w:r>
      <w:r w:rsidR="006D30D3" w:rsidRPr="00F12BA2">
        <w:rPr>
          <w:rFonts w:ascii="Segoe UI" w:hAnsi="Segoe UI" w:cs="Segoe UI"/>
        </w:rPr>
        <w:t>.</w:t>
      </w:r>
    </w:p>
    <w:p w:rsidR="006D30D3" w:rsidRPr="00F12BA2" w:rsidRDefault="006D30D3" w:rsidP="00F12BA2">
      <w:pPr>
        <w:spacing w:line="240" w:lineRule="auto"/>
        <w:jc w:val="both"/>
        <w:rPr>
          <w:rFonts w:ascii="Segoe UI" w:hAnsi="Segoe UI" w:cs="Segoe UI"/>
          <w:bCs/>
        </w:rPr>
      </w:pPr>
      <w:r w:rsidRPr="00F12BA2">
        <w:rPr>
          <w:rFonts w:ascii="Segoe UI" w:hAnsi="Segoe UI" w:cs="Segoe UI"/>
          <w:bCs/>
        </w:rPr>
        <w:t>This revised guidance to healthcare providers identifies two types of tests GDH</w:t>
      </w:r>
      <w:r w:rsidRPr="00F12BA2">
        <w:rPr>
          <w:rFonts w:ascii="Segoe UI" w:hAnsi="Segoe UI" w:cs="Segoe UI"/>
        </w:rPr>
        <w:t xml:space="preserve"> (glutamate </w:t>
      </w:r>
      <w:proofErr w:type="spellStart"/>
      <w:r w:rsidRPr="00F12BA2">
        <w:rPr>
          <w:rFonts w:ascii="Segoe UI" w:hAnsi="Segoe UI" w:cs="Segoe UI"/>
        </w:rPr>
        <w:t>dehydrogenase</w:t>
      </w:r>
      <w:proofErr w:type="spellEnd"/>
      <w:r w:rsidRPr="00F12BA2">
        <w:rPr>
          <w:rFonts w:ascii="Segoe UI" w:hAnsi="Segoe UI" w:cs="Segoe UI"/>
        </w:rPr>
        <w:t>)</w:t>
      </w:r>
      <w:r w:rsidRPr="00F12BA2">
        <w:rPr>
          <w:rFonts w:ascii="Segoe UI" w:hAnsi="Segoe UI" w:cs="Segoe UI"/>
          <w:bCs/>
        </w:rPr>
        <w:t>, stage 1 and EIA (</w:t>
      </w:r>
      <w:r w:rsidRPr="00F12BA2">
        <w:rPr>
          <w:rFonts w:ascii="Segoe UI" w:hAnsi="Segoe UI" w:cs="Segoe UI"/>
        </w:rPr>
        <w:t xml:space="preserve">Enzyme </w:t>
      </w:r>
      <w:r w:rsidR="00914A96" w:rsidRPr="00F12BA2">
        <w:rPr>
          <w:rFonts w:ascii="Segoe UI" w:hAnsi="Segoe UI" w:cs="Segoe UI"/>
        </w:rPr>
        <w:t>immunoassay) stage</w:t>
      </w:r>
      <w:r w:rsidRPr="00F12BA2">
        <w:rPr>
          <w:rFonts w:ascii="Segoe UI" w:hAnsi="Segoe UI" w:cs="Segoe UI"/>
          <w:bCs/>
        </w:rPr>
        <w:t xml:space="preserve"> 2. The specimen must be GDH positive in o</w:t>
      </w:r>
      <w:r w:rsidR="00914A96" w:rsidRPr="00F12BA2">
        <w:rPr>
          <w:rFonts w:ascii="Segoe UI" w:hAnsi="Segoe UI" w:cs="Segoe UI"/>
          <w:bCs/>
        </w:rPr>
        <w:t>rder to proceed to the stage 2 test</w:t>
      </w:r>
      <w:r w:rsidRPr="00F12BA2">
        <w:rPr>
          <w:rFonts w:ascii="Segoe UI" w:hAnsi="Segoe UI" w:cs="Segoe UI"/>
          <w:bCs/>
        </w:rPr>
        <w:t>. Both tests must be positive for the specimen to be deemed positive.</w:t>
      </w:r>
      <w:r w:rsidR="003547C1" w:rsidRPr="00F12BA2">
        <w:rPr>
          <w:rFonts w:ascii="Segoe UI" w:hAnsi="Segoe UI" w:cs="Segoe UI"/>
          <w:bCs/>
        </w:rPr>
        <w:t xml:space="preserve"> The GDH test has been used previously in other local Trusts who have reported higher numbers of CDI cases.</w:t>
      </w:r>
    </w:p>
    <w:p w:rsidR="003A3B65" w:rsidRPr="00F12BA2" w:rsidRDefault="003A3B65" w:rsidP="00F12BA2">
      <w:pPr>
        <w:spacing w:line="240" w:lineRule="auto"/>
        <w:jc w:val="both"/>
        <w:rPr>
          <w:rFonts w:ascii="Segoe UI" w:hAnsi="Segoe UI" w:cs="Segoe UI"/>
          <w:bCs/>
        </w:rPr>
      </w:pPr>
      <w:r w:rsidRPr="00F12BA2">
        <w:rPr>
          <w:rFonts w:ascii="Segoe UI" w:hAnsi="Segoe UI" w:cs="Segoe UI"/>
          <w:bCs/>
        </w:rPr>
        <w:t xml:space="preserve">The guidance refers to sending specimens for patients </w:t>
      </w:r>
      <w:r w:rsidR="00D978B3" w:rsidRPr="00F12BA2">
        <w:rPr>
          <w:rFonts w:ascii="Segoe UI" w:hAnsi="Segoe UI" w:cs="Segoe UI"/>
          <w:bCs/>
        </w:rPr>
        <w:t>on the first episode of diarrhoea</w:t>
      </w:r>
      <w:r w:rsidR="006D30D3" w:rsidRPr="00F12BA2">
        <w:rPr>
          <w:rFonts w:ascii="Segoe UI" w:hAnsi="Segoe UI" w:cs="Segoe UI"/>
          <w:bCs/>
        </w:rPr>
        <w:t xml:space="preserve"> (Bristol Stool Chart types 5-7) that is not clearly attributable to an underlying condition (e.g. inflammatory colitis, overflow) or therapy (e.g. laxatives, </w:t>
      </w:r>
      <w:proofErr w:type="spellStart"/>
      <w:r w:rsidR="006D30D3" w:rsidRPr="00F12BA2">
        <w:rPr>
          <w:rFonts w:ascii="Segoe UI" w:hAnsi="Segoe UI" w:cs="Segoe UI"/>
          <w:bCs/>
        </w:rPr>
        <w:t>enteral</w:t>
      </w:r>
      <w:proofErr w:type="spellEnd"/>
      <w:r w:rsidR="006D30D3" w:rsidRPr="00F12BA2">
        <w:rPr>
          <w:rFonts w:ascii="Segoe UI" w:hAnsi="Segoe UI" w:cs="Segoe UI"/>
          <w:bCs/>
        </w:rPr>
        <w:t xml:space="preserve"> feeding) then it is necessary to determine if this is due to CDI. </w:t>
      </w:r>
      <w:r w:rsidR="00D978B3" w:rsidRPr="00F12BA2">
        <w:rPr>
          <w:rFonts w:ascii="Segoe UI" w:hAnsi="Segoe UI" w:cs="Segoe UI"/>
          <w:bCs/>
        </w:rPr>
        <w:t>The point in this guidance is whether or not the diarrhoea is attributable to other reasons and often this is harder to establish unless staff have monitor the patients’ pattern on a stool chart.</w:t>
      </w:r>
    </w:p>
    <w:p w:rsidR="006D30D3" w:rsidRPr="00F12BA2" w:rsidRDefault="003A3B65" w:rsidP="00F12BA2">
      <w:pPr>
        <w:spacing w:line="240" w:lineRule="auto"/>
        <w:jc w:val="both"/>
        <w:rPr>
          <w:rFonts w:ascii="Segoe UI" w:hAnsi="Segoe UI" w:cs="Segoe UI"/>
        </w:rPr>
      </w:pPr>
      <w:r w:rsidRPr="00F12BA2">
        <w:rPr>
          <w:rFonts w:ascii="Segoe UI" w:hAnsi="Segoe UI" w:cs="Segoe UI"/>
        </w:rPr>
        <w:t xml:space="preserve">The guidance also acknowledges </w:t>
      </w:r>
      <w:r w:rsidR="003547C1" w:rsidRPr="00F12BA2">
        <w:rPr>
          <w:rFonts w:ascii="Segoe UI" w:hAnsi="Segoe UI" w:cs="Segoe UI"/>
        </w:rPr>
        <w:t>that no</w:t>
      </w:r>
      <w:r w:rsidR="006D30D3" w:rsidRPr="00F12BA2">
        <w:rPr>
          <w:rFonts w:ascii="Segoe UI" w:hAnsi="Segoe UI" w:cs="Segoe UI"/>
        </w:rPr>
        <w:t xml:space="preserve"> test or combination of tests is infallible and the clinical condition of the patient should always be taken into consideration when making management and treatment choices.</w:t>
      </w:r>
    </w:p>
    <w:p w:rsidR="003547C1" w:rsidRPr="00F12BA2" w:rsidRDefault="003547C1" w:rsidP="00F12BA2">
      <w:pPr>
        <w:spacing w:line="240" w:lineRule="auto"/>
        <w:jc w:val="both"/>
        <w:rPr>
          <w:rFonts w:ascii="Segoe UI" w:hAnsi="Segoe UI" w:cs="Segoe UI"/>
          <w:b/>
          <w:u w:val="single"/>
        </w:rPr>
      </w:pPr>
      <w:r w:rsidRPr="00F12BA2">
        <w:rPr>
          <w:rFonts w:ascii="Segoe UI" w:hAnsi="Segoe UI" w:cs="Segoe UI"/>
          <w:b/>
          <w:u w:val="single"/>
        </w:rPr>
        <w:t>Current position</w:t>
      </w:r>
    </w:p>
    <w:p w:rsidR="003A3B65" w:rsidRPr="00F12BA2" w:rsidRDefault="00013E39" w:rsidP="00F12BA2">
      <w:pPr>
        <w:spacing w:line="240" w:lineRule="auto"/>
        <w:jc w:val="both"/>
        <w:rPr>
          <w:rFonts w:ascii="Segoe UI" w:hAnsi="Segoe UI" w:cs="Segoe UI"/>
        </w:rPr>
      </w:pPr>
      <w:r w:rsidRPr="00F12BA2">
        <w:rPr>
          <w:rFonts w:ascii="Segoe UI" w:hAnsi="Segoe UI" w:cs="Segoe UI"/>
        </w:rPr>
        <w:t>The Oxford University H</w:t>
      </w:r>
      <w:r w:rsidR="004C017A" w:rsidRPr="00F12BA2">
        <w:rPr>
          <w:rFonts w:ascii="Segoe UI" w:hAnsi="Segoe UI" w:cs="Segoe UI"/>
        </w:rPr>
        <w:t>ospitals</w:t>
      </w:r>
      <w:r w:rsidRPr="00F12BA2">
        <w:rPr>
          <w:rFonts w:ascii="Segoe UI" w:hAnsi="Segoe UI" w:cs="Segoe UI"/>
        </w:rPr>
        <w:t xml:space="preserve"> (OUH)</w:t>
      </w:r>
      <w:r w:rsidR="004C017A" w:rsidRPr="00F12BA2">
        <w:rPr>
          <w:rFonts w:ascii="Segoe UI" w:hAnsi="Segoe UI" w:cs="Segoe UI"/>
        </w:rPr>
        <w:t xml:space="preserve"> NHS Trust </w:t>
      </w:r>
      <w:r w:rsidRPr="00F12BA2">
        <w:rPr>
          <w:rFonts w:ascii="Segoe UI" w:hAnsi="Segoe UI" w:cs="Segoe UI"/>
        </w:rPr>
        <w:t>provides</w:t>
      </w:r>
      <w:r w:rsidR="004C017A" w:rsidRPr="00F12BA2">
        <w:rPr>
          <w:rFonts w:ascii="Segoe UI" w:hAnsi="Segoe UI" w:cs="Segoe UI"/>
        </w:rPr>
        <w:t xml:space="preserve"> laboratory support </w:t>
      </w:r>
      <w:r w:rsidR="007A2CDB" w:rsidRPr="00F12BA2">
        <w:rPr>
          <w:rFonts w:ascii="Segoe UI" w:hAnsi="Segoe UI" w:cs="Segoe UI"/>
        </w:rPr>
        <w:t xml:space="preserve">in Oxfordshire </w:t>
      </w:r>
      <w:r w:rsidR="004C017A" w:rsidRPr="00F12BA2">
        <w:rPr>
          <w:rFonts w:ascii="Segoe UI" w:hAnsi="Segoe UI" w:cs="Segoe UI"/>
        </w:rPr>
        <w:t xml:space="preserve">and microbiology advice to </w:t>
      </w:r>
      <w:r w:rsidR="007A2CDB" w:rsidRPr="00F12BA2">
        <w:rPr>
          <w:rFonts w:ascii="Segoe UI" w:hAnsi="Segoe UI" w:cs="Segoe UI"/>
        </w:rPr>
        <w:t>the whole of Oxford Health NHS Foundation Trust</w:t>
      </w:r>
      <w:r w:rsidR="004C017A" w:rsidRPr="00F12BA2">
        <w:rPr>
          <w:rFonts w:ascii="Segoe UI" w:hAnsi="Segoe UI" w:cs="Segoe UI"/>
        </w:rPr>
        <w:t xml:space="preserve">. The OUH are conducting research studies in CDI infection and have identified </w:t>
      </w:r>
      <w:r w:rsidR="003A3B65" w:rsidRPr="00F12BA2">
        <w:rPr>
          <w:rFonts w:ascii="Segoe UI" w:hAnsi="Segoe UI" w:cs="Segoe UI"/>
        </w:rPr>
        <w:t>approximately 50% false positive rate</w:t>
      </w:r>
      <w:r w:rsidR="004C017A" w:rsidRPr="00F12BA2">
        <w:rPr>
          <w:rFonts w:ascii="Segoe UI" w:hAnsi="Segoe UI" w:cs="Segoe UI"/>
        </w:rPr>
        <w:t>s in the past</w:t>
      </w:r>
      <w:r w:rsidR="003A3B65" w:rsidRPr="00F12BA2">
        <w:rPr>
          <w:rFonts w:ascii="Segoe UI" w:hAnsi="Segoe UI" w:cs="Segoe UI"/>
        </w:rPr>
        <w:t xml:space="preserve">. Some of this was due to the test </w:t>
      </w:r>
      <w:r w:rsidR="000A5D32" w:rsidRPr="00F12BA2">
        <w:rPr>
          <w:rFonts w:ascii="Segoe UI" w:hAnsi="Segoe UI" w:cs="Segoe UI"/>
        </w:rPr>
        <w:t>and samples’ being taken before it was</w:t>
      </w:r>
      <w:r w:rsidR="003A3B65" w:rsidRPr="00F12BA2">
        <w:rPr>
          <w:rFonts w:ascii="Segoe UI" w:hAnsi="Segoe UI" w:cs="Segoe UI"/>
        </w:rPr>
        <w:t xml:space="preserve"> established </w:t>
      </w:r>
      <w:r w:rsidR="004C017A" w:rsidRPr="00F12BA2">
        <w:rPr>
          <w:rFonts w:ascii="Segoe UI" w:hAnsi="Segoe UI" w:cs="Segoe UI"/>
        </w:rPr>
        <w:t>that a</w:t>
      </w:r>
      <w:r w:rsidR="003A3B65" w:rsidRPr="00F12BA2">
        <w:rPr>
          <w:rFonts w:ascii="Segoe UI" w:hAnsi="Segoe UI" w:cs="Segoe UI"/>
        </w:rPr>
        <w:t xml:space="preserve"> patient had diarrhoea (4 or more episodes in 24hrs)</w:t>
      </w:r>
      <w:r w:rsidR="004C017A" w:rsidRPr="00F12BA2">
        <w:rPr>
          <w:rFonts w:ascii="Segoe UI" w:hAnsi="Segoe UI" w:cs="Segoe UI"/>
        </w:rPr>
        <w:t>.</w:t>
      </w:r>
      <w:r w:rsidR="003A3B65" w:rsidRPr="00F12BA2">
        <w:rPr>
          <w:rFonts w:ascii="Segoe UI" w:hAnsi="Segoe UI" w:cs="Segoe UI"/>
        </w:rPr>
        <w:t xml:space="preserve"> </w:t>
      </w:r>
    </w:p>
    <w:p w:rsidR="000A5D32" w:rsidRPr="00F12BA2" w:rsidRDefault="000A5D32" w:rsidP="00F12BA2">
      <w:pPr>
        <w:spacing w:line="240" w:lineRule="auto"/>
        <w:jc w:val="both"/>
        <w:rPr>
          <w:rFonts w:ascii="Segoe UI" w:hAnsi="Segoe UI" w:cs="Segoe UI"/>
        </w:rPr>
      </w:pPr>
      <w:r w:rsidRPr="00F12BA2">
        <w:rPr>
          <w:rFonts w:ascii="Segoe UI" w:hAnsi="Segoe UI" w:cs="Segoe UI"/>
        </w:rPr>
        <w:t>As a Trust w</w:t>
      </w:r>
      <w:r w:rsidR="003A3B65" w:rsidRPr="00F12BA2">
        <w:rPr>
          <w:rFonts w:ascii="Segoe UI" w:hAnsi="Segoe UI" w:cs="Segoe UI"/>
        </w:rPr>
        <w:t xml:space="preserve">e </w:t>
      </w:r>
      <w:r w:rsidRPr="00F12BA2">
        <w:rPr>
          <w:rFonts w:ascii="Segoe UI" w:hAnsi="Segoe UI" w:cs="Segoe UI"/>
        </w:rPr>
        <w:t>have reviewed the guidance and our management of CDI again.</w:t>
      </w:r>
    </w:p>
    <w:p w:rsidR="00A15714" w:rsidRPr="00F12BA2" w:rsidRDefault="000A5D32" w:rsidP="00F12BA2">
      <w:pPr>
        <w:spacing w:line="240" w:lineRule="auto"/>
        <w:jc w:val="both"/>
        <w:rPr>
          <w:rFonts w:ascii="Segoe UI" w:hAnsi="Segoe UI" w:cs="Segoe UI"/>
        </w:rPr>
      </w:pPr>
      <w:r w:rsidRPr="00F12BA2">
        <w:rPr>
          <w:rFonts w:ascii="Segoe UI" w:hAnsi="Segoe UI" w:cs="Segoe UI"/>
        </w:rPr>
        <w:lastRenderedPageBreak/>
        <w:t>The emphasis remains a clinical review of the patient, establishing what is normal for them and any risk factors. We have worked hard to reduce CDI cases in the Trust and have seen excellent reduction over t</w:t>
      </w:r>
      <w:r w:rsidR="00A15714" w:rsidRPr="00F12BA2">
        <w:rPr>
          <w:rFonts w:ascii="Segoe UI" w:hAnsi="Segoe UI" w:cs="Segoe UI"/>
        </w:rPr>
        <w:t>he last 4 years.</w:t>
      </w:r>
    </w:p>
    <w:p w:rsidR="00013E39" w:rsidRPr="00F12BA2" w:rsidRDefault="00C723AD" w:rsidP="00F12BA2">
      <w:pPr>
        <w:spacing w:line="240" w:lineRule="auto"/>
        <w:jc w:val="both"/>
        <w:rPr>
          <w:rFonts w:ascii="Segoe UI" w:hAnsi="Segoe UI" w:cs="Segoe UI"/>
          <w:b/>
          <w:u w:val="single"/>
        </w:rPr>
      </w:pPr>
      <w:r>
        <w:rPr>
          <w:rFonts w:ascii="Segoe UI" w:hAnsi="Segoe UI" w:cs="Segoe UI"/>
          <w:noProof/>
          <w:lang w:eastAsia="en-GB"/>
        </w:rPr>
        <w:drawing>
          <wp:inline distT="0" distB="0" distL="0" distR="0">
            <wp:extent cx="5728484" cy="3375127"/>
            <wp:effectExtent l="12176" t="6096" r="4820" b="152"/>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3E39" w:rsidRPr="00F12BA2" w:rsidRDefault="00A15714" w:rsidP="00F12BA2">
      <w:pPr>
        <w:spacing w:line="240" w:lineRule="auto"/>
        <w:jc w:val="both"/>
        <w:rPr>
          <w:rFonts w:ascii="Segoe UI" w:hAnsi="Segoe UI" w:cs="Segoe UI"/>
        </w:rPr>
      </w:pPr>
      <w:r w:rsidRPr="00F12BA2">
        <w:rPr>
          <w:rFonts w:ascii="Segoe UI" w:hAnsi="Segoe UI" w:cs="Segoe UI"/>
        </w:rPr>
        <w:t>There will be however, a point at which further reduction will be hard to achieve due to the nature and risk factors of the patients we treat and care for in the Trust. The complexity of our patient’s medical conditions and their underlying physical health requirements are increasing. Our older adult patients are all</w:t>
      </w:r>
      <w:r w:rsidR="00972660" w:rsidRPr="00F12BA2">
        <w:rPr>
          <w:rFonts w:ascii="Segoe UI" w:hAnsi="Segoe UI" w:cs="Segoe UI"/>
        </w:rPr>
        <w:t xml:space="preserve"> at high risk of developing CDI, none of these factors have been taken into consideration when the CDI trajectory was set for us by the PCT /SHA.</w:t>
      </w:r>
    </w:p>
    <w:p w:rsidR="00EE6D83" w:rsidRPr="00F12BA2" w:rsidRDefault="00EE6D83" w:rsidP="00F12BA2">
      <w:pPr>
        <w:spacing w:line="240" w:lineRule="auto"/>
        <w:jc w:val="both"/>
        <w:rPr>
          <w:rFonts w:ascii="Segoe UI" w:hAnsi="Segoe UI" w:cs="Segoe UI"/>
          <w:b/>
          <w:u w:val="single"/>
        </w:rPr>
      </w:pPr>
      <w:r w:rsidRPr="00F12BA2">
        <w:rPr>
          <w:rFonts w:ascii="Segoe UI" w:hAnsi="Segoe UI" w:cs="Segoe UI"/>
          <w:b/>
          <w:u w:val="single"/>
        </w:rPr>
        <w:t>Action being taken</w:t>
      </w:r>
      <w:r w:rsidR="00395FC4" w:rsidRPr="00F12BA2">
        <w:rPr>
          <w:rFonts w:ascii="Segoe UI" w:hAnsi="Segoe UI" w:cs="Segoe UI"/>
          <w:b/>
          <w:u w:val="single"/>
        </w:rPr>
        <w:t xml:space="preserve"> by </w:t>
      </w:r>
      <w:r w:rsidR="00A15714" w:rsidRPr="00F12BA2">
        <w:rPr>
          <w:rFonts w:ascii="Segoe UI" w:hAnsi="Segoe UI" w:cs="Segoe UI"/>
          <w:b/>
          <w:u w:val="single"/>
        </w:rPr>
        <w:t>Oxford Health NHS Foundation Trust</w:t>
      </w:r>
    </w:p>
    <w:p w:rsidR="00087189" w:rsidRPr="00F12BA2" w:rsidRDefault="00087189" w:rsidP="00F12BA2">
      <w:pPr>
        <w:spacing w:line="240" w:lineRule="auto"/>
        <w:jc w:val="both"/>
        <w:rPr>
          <w:rFonts w:ascii="Segoe UI" w:hAnsi="Segoe UI" w:cs="Segoe UI"/>
          <w:b/>
          <w:u w:val="single"/>
        </w:rPr>
      </w:pPr>
      <w:r w:rsidRPr="00F12BA2">
        <w:rPr>
          <w:rFonts w:ascii="Segoe UI" w:hAnsi="Segoe UI" w:cs="Segoe UI"/>
          <w:b/>
          <w:u w:val="single"/>
        </w:rPr>
        <w:t>Specimen collection and results</w:t>
      </w:r>
    </w:p>
    <w:p w:rsidR="00087189" w:rsidRPr="00F12BA2" w:rsidRDefault="00087189" w:rsidP="00F12BA2">
      <w:pPr>
        <w:spacing w:line="240" w:lineRule="auto"/>
        <w:jc w:val="both"/>
        <w:rPr>
          <w:rFonts w:ascii="Segoe UI" w:hAnsi="Segoe UI" w:cs="Segoe UI"/>
        </w:rPr>
      </w:pPr>
      <w:r w:rsidRPr="00F12BA2">
        <w:rPr>
          <w:rFonts w:ascii="Segoe UI" w:hAnsi="Segoe UI" w:cs="Segoe UI"/>
        </w:rPr>
        <w:t>The reporting of specimen results is challenging as the Trust uses</w:t>
      </w:r>
      <w:r w:rsidR="00972660" w:rsidRPr="00F12BA2">
        <w:rPr>
          <w:rFonts w:ascii="Segoe UI" w:hAnsi="Segoe UI" w:cs="Segoe UI"/>
        </w:rPr>
        <w:t xml:space="preserve"> 5 different </w:t>
      </w:r>
      <w:proofErr w:type="gramStart"/>
      <w:r w:rsidR="00972660" w:rsidRPr="00F12BA2">
        <w:rPr>
          <w:rFonts w:ascii="Segoe UI" w:hAnsi="Segoe UI" w:cs="Segoe UI"/>
        </w:rPr>
        <w:t>laboratories  across</w:t>
      </w:r>
      <w:proofErr w:type="gramEnd"/>
      <w:r w:rsidR="00972660" w:rsidRPr="00F12BA2">
        <w:rPr>
          <w:rFonts w:ascii="Segoe UI" w:hAnsi="Segoe UI" w:cs="Segoe UI"/>
        </w:rPr>
        <w:t xml:space="preserve"> our geography:</w:t>
      </w:r>
    </w:p>
    <w:p w:rsidR="00087189" w:rsidRPr="00F12BA2" w:rsidRDefault="00087189" w:rsidP="00F12BA2">
      <w:pPr>
        <w:numPr>
          <w:ilvl w:val="0"/>
          <w:numId w:val="4"/>
        </w:numPr>
        <w:spacing w:line="240" w:lineRule="auto"/>
        <w:jc w:val="both"/>
        <w:rPr>
          <w:rFonts w:ascii="Segoe UI" w:hAnsi="Segoe UI" w:cs="Segoe UI"/>
        </w:rPr>
      </w:pPr>
      <w:r w:rsidRPr="00F12BA2">
        <w:rPr>
          <w:rFonts w:ascii="Segoe UI" w:hAnsi="Segoe UI" w:cs="Segoe UI"/>
        </w:rPr>
        <w:t>All D</w:t>
      </w:r>
      <w:r w:rsidR="00972660" w:rsidRPr="00F12BA2">
        <w:rPr>
          <w:rFonts w:ascii="Segoe UI" w:hAnsi="Segoe UI" w:cs="Segoe UI"/>
        </w:rPr>
        <w:t>irector of Infection P</w:t>
      </w:r>
      <w:r w:rsidR="00B86248" w:rsidRPr="00F12BA2">
        <w:rPr>
          <w:rFonts w:ascii="Segoe UI" w:hAnsi="Segoe UI" w:cs="Segoe UI"/>
        </w:rPr>
        <w:t>revention and Control (D</w:t>
      </w:r>
      <w:r w:rsidRPr="00F12BA2">
        <w:rPr>
          <w:rFonts w:ascii="Segoe UI" w:hAnsi="Segoe UI" w:cs="Segoe UI"/>
        </w:rPr>
        <w:t>IPC</w:t>
      </w:r>
      <w:r w:rsidR="00B86248" w:rsidRPr="00F12BA2">
        <w:rPr>
          <w:rFonts w:ascii="Segoe UI" w:hAnsi="Segoe UI" w:cs="Segoe UI"/>
        </w:rPr>
        <w:t>)</w:t>
      </w:r>
      <w:r w:rsidRPr="00F12BA2">
        <w:rPr>
          <w:rFonts w:ascii="Segoe UI" w:hAnsi="Segoe UI" w:cs="Segoe UI"/>
        </w:rPr>
        <w:t xml:space="preserve"> for the 5 Tru</w:t>
      </w:r>
      <w:r w:rsidR="001B669A" w:rsidRPr="00F12BA2">
        <w:rPr>
          <w:rFonts w:ascii="Segoe UI" w:hAnsi="Segoe UI" w:cs="Segoe UI"/>
        </w:rPr>
        <w:t xml:space="preserve">sts used by </w:t>
      </w:r>
      <w:r w:rsidR="00A15714" w:rsidRPr="00F12BA2">
        <w:rPr>
          <w:rFonts w:ascii="Segoe UI" w:hAnsi="Segoe UI" w:cs="Segoe UI"/>
        </w:rPr>
        <w:t>Oxford Health NHS Foundation Trust NHS</w:t>
      </w:r>
      <w:r w:rsidR="00B86248" w:rsidRPr="00F12BA2">
        <w:rPr>
          <w:rFonts w:ascii="Segoe UI" w:hAnsi="Segoe UI" w:cs="Segoe UI"/>
        </w:rPr>
        <w:t xml:space="preserve"> Foundation </w:t>
      </w:r>
      <w:r w:rsidR="00A15714" w:rsidRPr="00F12BA2">
        <w:rPr>
          <w:rFonts w:ascii="Segoe UI" w:hAnsi="Segoe UI" w:cs="Segoe UI"/>
        </w:rPr>
        <w:t>Trust which are</w:t>
      </w:r>
      <w:r w:rsidRPr="00F12BA2">
        <w:rPr>
          <w:rFonts w:ascii="Segoe UI" w:hAnsi="Segoe UI" w:cs="Segoe UI"/>
        </w:rPr>
        <w:t xml:space="preserve"> O</w:t>
      </w:r>
      <w:r w:rsidR="00972660" w:rsidRPr="00F12BA2">
        <w:rPr>
          <w:rFonts w:ascii="Segoe UI" w:hAnsi="Segoe UI" w:cs="Segoe UI"/>
        </w:rPr>
        <w:t>UH, Buckinghamshire H</w:t>
      </w:r>
      <w:r w:rsidRPr="00F12BA2">
        <w:rPr>
          <w:rFonts w:ascii="Segoe UI" w:hAnsi="Segoe UI" w:cs="Segoe UI"/>
        </w:rPr>
        <w:t>ealthcare, Milton Keynes F</w:t>
      </w:r>
      <w:r w:rsidR="00A15714" w:rsidRPr="00F12BA2">
        <w:rPr>
          <w:rFonts w:ascii="Segoe UI" w:hAnsi="Segoe UI" w:cs="Segoe UI"/>
        </w:rPr>
        <w:t>oundation Trust</w:t>
      </w:r>
      <w:r w:rsidRPr="00F12BA2">
        <w:rPr>
          <w:rFonts w:ascii="Segoe UI" w:hAnsi="Segoe UI" w:cs="Segoe UI"/>
        </w:rPr>
        <w:t>, Great Western</w:t>
      </w:r>
      <w:r w:rsidR="00972660" w:rsidRPr="00F12BA2">
        <w:rPr>
          <w:rFonts w:ascii="Segoe UI" w:hAnsi="Segoe UI" w:cs="Segoe UI"/>
        </w:rPr>
        <w:t xml:space="preserve"> (Swindon) and Royal Berkshire H</w:t>
      </w:r>
      <w:r w:rsidRPr="00F12BA2">
        <w:rPr>
          <w:rFonts w:ascii="Segoe UI" w:hAnsi="Segoe UI" w:cs="Segoe UI"/>
        </w:rPr>
        <w:t>ospita</w:t>
      </w:r>
      <w:r w:rsidR="00972660" w:rsidRPr="00F12BA2">
        <w:rPr>
          <w:rFonts w:ascii="Segoe UI" w:hAnsi="Segoe UI" w:cs="Segoe UI"/>
        </w:rPr>
        <w:t xml:space="preserve">l will be contacted to remind them about our services and the reporting for </w:t>
      </w:r>
      <w:r w:rsidR="00972660" w:rsidRPr="00F12BA2">
        <w:rPr>
          <w:rFonts w:ascii="Segoe UI" w:hAnsi="Segoe UI" w:cs="Segoe UI"/>
          <w:i/>
        </w:rPr>
        <w:t xml:space="preserve">C </w:t>
      </w:r>
      <w:proofErr w:type="spellStart"/>
      <w:r w:rsidR="00972660" w:rsidRPr="00F12BA2">
        <w:rPr>
          <w:rFonts w:ascii="Segoe UI" w:hAnsi="Segoe UI" w:cs="Segoe UI"/>
          <w:i/>
        </w:rPr>
        <w:t>Diff</w:t>
      </w:r>
      <w:r w:rsidR="00972660" w:rsidRPr="00F12BA2">
        <w:rPr>
          <w:rFonts w:ascii="Segoe UI" w:hAnsi="Segoe UI" w:cs="Segoe UI"/>
        </w:rPr>
        <w:t>The</w:t>
      </w:r>
      <w:proofErr w:type="spellEnd"/>
      <w:r w:rsidR="00972660" w:rsidRPr="00F12BA2">
        <w:rPr>
          <w:rFonts w:ascii="Segoe UI" w:hAnsi="Segoe UI" w:cs="Segoe UI"/>
        </w:rPr>
        <w:t xml:space="preserve"> letter will outline the process</w:t>
      </w:r>
      <w:r w:rsidRPr="00F12BA2">
        <w:rPr>
          <w:rFonts w:ascii="Segoe UI" w:hAnsi="Segoe UI" w:cs="Segoe UI"/>
        </w:rPr>
        <w:t xml:space="preserve"> for the reporting of positive significant organism positive results.</w:t>
      </w:r>
    </w:p>
    <w:p w:rsidR="00087189" w:rsidRPr="00F12BA2" w:rsidRDefault="00087189" w:rsidP="00F12BA2">
      <w:pPr>
        <w:numPr>
          <w:ilvl w:val="0"/>
          <w:numId w:val="4"/>
        </w:numPr>
        <w:spacing w:line="240" w:lineRule="auto"/>
        <w:jc w:val="both"/>
        <w:rPr>
          <w:rFonts w:ascii="Segoe UI" w:hAnsi="Segoe UI" w:cs="Segoe UI"/>
        </w:rPr>
      </w:pPr>
      <w:r w:rsidRPr="00F12BA2">
        <w:rPr>
          <w:rFonts w:ascii="Segoe UI" w:hAnsi="Segoe UI" w:cs="Segoe UI"/>
        </w:rPr>
        <w:t xml:space="preserve">All SLA’s for laboratory services are being reviewed and will include </w:t>
      </w:r>
      <w:r w:rsidR="00A15714" w:rsidRPr="00F12BA2">
        <w:rPr>
          <w:rFonts w:ascii="Segoe UI" w:hAnsi="Segoe UI" w:cs="Segoe UI"/>
        </w:rPr>
        <w:t>Oxford Health NHS Foundation Trust</w:t>
      </w:r>
      <w:r w:rsidRPr="00F12BA2">
        <w:rPr>
          <w:rFonts w:ascii="Segoe UI" w:hAnsi="Segoe UI" w:cs="Segoe UI"/>
        </w:rPr>
        <w:t>’s expectation on reporting times, including out of hours results, so patients are be appropriately and safely managed.</w:t>
      </w:r>
    </w:p>
    <w:p w:rsidR="00087189" w:rsidRPr="00F12BA2" w:rsidRDefault="00087189" w:rsidP="00F12BA2">
      <w:pPr>
        <w:numPr>
          <w:ilvl w:val="0"/>
          <w:numId w:val="4"/>
        </w:numPr>
        <w:spacing w:line="240" w:lineRule="auto"/>
        <w:jc w:val="both"/>
        <w:rPr>
          <w:rFonts w:ascii="Segoe UI" w:hAnsi="Segoe UI" w:cs="Segoe UI"/>
        </w:rPr>
      </w:pPr>
      <w:r w:rsidRPr="00F12BA2">
        <w:rPr>
          <w:rFonts w:ascii="Segoe UI" w:hAnsi="Segoe UI" w:cs="Segoe UI"/>
        </w:rPr>
        <w:t>A specimen results flowchart is being developed to reflect the results information cascade</w:t>
      </w:r>
      <w:r w:rsidR="00013E39" w:rsidRPr="00F12BA2">
        <w:rPr>
          <w:rFonts w:ascii="Segoe UI" w:hAnsi="Segoe UI" w:cs="Segoe UI"/>
        </w:rPr>
        <w:t xml:space="preserve"> and will be integrated into the specimen procedure</w:t>
      </w:r>
      <w:r w:rsidRPr="00F12BA2">
        <w:rPr>
          <w:rFonts w:ascii="Segoe UI" w:hAnsi="Segoe UI" w:cs="Segoe UI"/>
        </w:rPr>
        <w:t>.</w:t>
      </w:r>
    </w:p>
    <w:p w:rsidR="007A2CDB" w:rsidRPr="00F12BA2" w:rsidRDefault="007A2CDB" w:rsidP="00F12BA2">
      <w:pPr>
        <w:spacing w:line="240" w:lineRule="auto"/>
        <w:ind w:left="360"/>
        <w:jc w:val="both"/>
        <w:rPr>
          <w:rFonts w:ascii="Segoe UI" w:hAnsi="Segoe UI" w:cs="Segoe UI"/>
          <w:b/>
          <w:u w:val="single"/>
        </w:rPr>
      </w:pPr>
      <w:r w:rsidRPr="00F12BA2">
        <w:rPr>
          <w:rFonts w:ascii="Segoe UI" w:hAnsi="Segoe UI" w:cs="Segoe UI"/>
          <w:b/>
          <w:u w:val="single"/>
        </w:rPr>
        <w:lastRenderedPageBreak/>
        <w:t xml:space="preserve">Action being taken by Oxford University Hospitals </w:t>
      </w:r>
    </w:p>
    <w:p w:rsidR="00395FC4" w:rsidRPr="00F12BA2" w:rsidRDefault="00395FC4" w:rsidP="00F12BA2">
      <w:pPr>
        <w:numPr>
          <w:ilvl w:val="0"/>
          <w:numId w:val="4"/>
        </w:numPr>
        <w:spacing w:line="240" w:lineRule="auto"/>
        <w:jc w:val="both"/>
        <w:rPr>
          <w:rFonts w:ascii="Segoe UI" w:hAnsi="Segoe UI" w:cs="Segoe UI"/>
        </w:rPr>
      </w:pPr>
      <w:r w:rsidRPr="00F12BA2">
        <w:rPr>
          <w:rFonts w:ascii="Segoe UI" w:hAnsi="Segoe UI" w:cs="Segoe UI"/>
        </w:rPr>
        <w:t>The OUH have r</w:t>
      </w:r>
      <w:r w:rsidR="00972660" w:rsidRPr="00F12BA2">
        <w:rPr>
          <w:rFonts w:ascii="Segoe UI" w:hAnsi="Segoe UI" w:cs="Segoe UI"/>
        </w:rPr>
        <w:t>eviewed the Standard Operating P</w:t>
      </w:r>
      <w:r w:rsidRPr="00F12BA2">
        <w:rPr>
          <w:rFonts w:ascii="Segoe UI" w:hAnsi="Segoe UI" w:cs="Segoe UI"/>
        </w:rPr>
        <w:t>rocedure for the processing of diarrhoeal specimens. This is after discussion with the DH, H</w:t>
      </w:r>
      <w:r w:rsidR="00972660" w:rsidRPr="00F12BA2">
        <w:rPr>
          <w:rFonts w:ascii="Segoe UI" w:hAnsi="Segoe UI" w:cs="Segoe UI"/>
        </w:rPr>
        <w:t>ealth P</w:t>
      </w:r>
      <w:r w:rsidR="00A15714" w:rsidRPr="00F12BA2">
        <w:rPr>
          <w:rFonts w:ascii="Segoe UI" w:hAnsi="Segoe UI" w:cs="Segoe UI"/>
        </w:rPr>
        <w:t>rotection Unit</w:t>
      </w:r>
      <w:r w:rsidRPr="00F12BA2">
        <w:rPr>
          <w:rFonts w:ascii="Segoe UI" w:hAnsi="Segoe UI" w:cs="Segoe UI"/>
        </w:rPr>
        <w:t xml:space="preserve"> and S</w:t>
      </w:r>
      <w:r w:rsidR="00A15714" w:rsidRPr="00F12BA2">
        <w:rPr>
          <w:rFonts w:ascii="Segoe UI" w:hAnsi="Segoe UI" w:cs="Segoe UI"/>
        </w:rPr>
        <w:t>trategic Health Authority</w:t>
      </w:r>
      <w:r w:rsidR="00972660" w:rsidRPr="00F12BA2">
        <w:rPr>
          <w:rFonts w:ascii="Segoe UI" w:hAnsi="Segoe UI" w:cs="Segoe UI"/>
        </w:rPr>
        <w:t xml:space="preserve"> who have given guidance </w:t>
      </w:r>
      <w:proofErr w:type="gramStart"/>
      <w:r w:rsidR="00972660" w:rsidRPr="00F12BA2">
        <w:rPr>
          <w:rFonts w:ascii="Segoe UI" w:hAnsi="Segoe UI" w:cs="Segoe UI"/>
        </w:rPr>
        <w:t>that only diarrheal samples</w:t>
      </w:r>
      <w:proofErr w:type="gramEnd"/>
      <w:r w:rsidRPr="00F12BA2">
        <w:rPr>
          <w:rFonts w:ascii="Segoe UI" w:hAnsi="Segoe UI" w:cs="Segoe UI"/>
        </w:rPr>
        <w:t xml:space="preserve"> where the diarrhoea is not clearly attributable to any other condition or therapy </w:t>
      </w:r>
      <w:r w:rsidR="007A2CDB" w:rsidRPr="00F12BA2">
        <w:rPr>
          <w:rFonts w:ascii="Segoe UI" w:hAnsi="Segoe UI" w:cs="Segoe UI"/>
        </w:rPr>
        <w:t>is</w:t>
      </w:r>
      <w:r w:rsidRPr="00F12BA2">
        <w:rPr>
          <w:rFonts w:ascii="Segoe UI" w:hAnsi="Segoe UI" w:cs="Segoe UI"/>
        </w:rPr>
        <w:t xml:space="preserve"> tested. The DH has also stated that the recent guidance replaces the previous mandatory requirement to test a</w:t>
      </w:r>
      <w:r w:rsidR="00013E39" w:rsidRPr="00F12BA2">
        <w:rPr>
          <w:rFonts w:ascii="Segoe UI" w:hAnsi="Segoe UI" w:cs="Segoe UI"/>
        </w:rPr>
        <w:t>ll diarrhoeal stools for CDI</w:t>
      </w:r>
      <w:r w:rsidRPr="00F12BA2">
        <w:rPr>
          <w:rFonts w:ascii="Segoe UI" w:hAnsi="Segoe UI" w:cs="Segoe UI"/>
        </w:rPr>
        <w:t xml:space="preserve"> from patients over the age of 65yrs. The OUH will now only test diarrhoeal stools from those over the</w:t>
      </w:r>
      <w:r w:rsidR="00013E39" w:rsidRPr="00F12BA2">
        <w:rPr>
          <w:rFonts w:ascii="Segoe UI" w:hAnsi="Segoe UI" w:cs="Segoe UI"/>
        </w:rPr>
        <w:t xml:space="preserve"> age of 65yrs where CDI </w:t>
      </w:r>
      <w:r w:rsidRPr="00F12BA2">
        <w:rPr>
          <w:rFonts w:ascii="Segoe UI" w:hAnsi="Segoe UI" w:cs="Segoe UI"/>
        </w:rPr>
        <w:t>is requested.</w:t>
      </w:r>
    </w:p>
    <w:p w:rsidR="0022180B" w:rsidRPr="00F12BA2" w:rsidRDefault="0022180B" w:rsidP="00F12BA2">
      <w:pPr>
        <w:numPr>
          <w:ilvl w:val="0"/>
          <w:numId w:val="4"/>
        </w:numPr>
        <w:spacing w:line="240" w:lineRule="auto"/>
        <w:jc w:val="both"/>
        <w:rPr>
          <w:rFonts w:ascii="Segoe UI" w:hAnsi="Segoe UI" w:cs="Segoe UI"/>
        </w:rPr>
      </w:pPr>
      <w:r w:rsidRPr="00F12BA2">
        <w:rPr>
          <w:rFonts w:ascii="Segoe UI" w:hAnsi="Segoe UI" w:cs="Segoe UI"/>
        </w:rPr>
        <w:t>OUH will be analysing the changes in the testing regime to estimate the effect of changing from the Meridian test to the two stage test.</w:t>
      </w:r>
      <w:r w:rsidR="00B86248" w:rsidRPr="00F12BA2">
        <w:rPr>
          <w:rFonts w:ascii="Segoe UI" w:hAnsi="Segoe UI" w:cs="Segoe UI"/>
        </w:rPr>
        <w:t xml:space="preserve"> It is possible this will result in an increase in cases.</w:t>
      </w:r>
    </w:p>
    <w:p w:rsidR="00395FC4" w:rsidRPr="00F12BA2" w:rsidRDefault="0022180B" w:rsidP="00F12BA2">
      <w:pPr>
        <w:numPr>
          <w:ilvl w:val="0"/>
          <w:numId w:val="4"/>
        </w:numPr>
        <w:spacing w:line="240" w:lineRule="auto"/>
        <w:jc w:val="both"/>
        <w:rPr>
          <w:rFonts w:ascii="Segoe UI" w:hAnsi="Segoe UI" w:cs="Segoe UI"/>
        </w:rPr>
      </w:pPr>
      <w:r w:rsidRPr="00F12BA2">
        <w:rPr>
          <w:rFonts w:ascii="Segoe UI" w:hAnsi="Segoe UI" w:cs="Segoe UI"/>
        </w:rPr>
        <w:t xml:space="preserve">Further research is being proposed to analyse long-term trends of CDI in community hospitals and </w:t>
      </w:r>
      <w:r w:rsidR="00A15714" w:rsidRPr="00F12BA2">
        <w:rPr>
          <w:rFonts w:ascii="Segoe UI" w:hAnsi="Segoe UI" w:cs="Segoe UI"/>
        </w:rPr>
        <w:t>Oxford Health NHS Foundation Trust</w:t>
      </w:r>
      <w:r w:rsidRPr="00F12BA2">
        <w:rPr>
          <w:rFonts w:ascii="Segoe UI" w:hAnsi="Segoe UI" w:cs="Segoe UI"/>
        </w:rPr>
        <w:t xml:space="preserve"> will be working collaboratively with the OUH to provide information.  All new cases will be investigated with full sequence typing.</w:t>
      </w:r>
      <w:r w:rsidR="000F20F0" w:rsidRPr="00F12BA2">
        <w:rPr>
          <w:rFonts w:ascii="Segoe UI" w:hAnsi="Segoe UI" w:cs="Segoe UI"/>
        </w:rPr>
        <w:t xml:space="preserve"> This is innovatory and OUH particularly our consultant microbiologist Dr Derrick Crook is leading the field in this research, and working with DH on future policy guidance.</w:t>
      </w:r>
    </w:p>
    <w:p w:rsidR="0082310B" w:rsidRPr="00F12BA2" w:rsidRDefault="0082310B" w:rsidP="00F12BA2">
      <w:pPr>
        <w:spacing w:line="240" w:lineRule="auto"/>
        <w:jc w:val="both"/>
        <w:rPr>
          <w:rFonts w:ascii="Segoe UI" w:hAnsi="Segoe UI" w:cs="Segoe UI"/>
          <w:b/>
          <w:u w:val="single"/>
        </w:rPr>
      </w:pPr>
      <w:r w:rsidRPr="00F12BA2">
        <w:rPr>
          <w:rFonts w:ascii="Segoe UI" w:hAnsi="Segoe UI" w:cs="Segoe UI"/>
          <w:b/>
          <w:u w:val="single"/>
        </w:rPr>
        <w:t>Antimicrobial management</w:t>
      </w:r>
    </w:p>
    <w:p w:rsidR="0082310B" w:rsidRPr="00F12BA2" w:rsidRDefault="0082310B" w:rsidP="00F12BA2">
      <w:pPr>
        <w:numPr>
          <w:ilvl w:val="0"/>
          <w:numId w:val="5"/>
        </w:numPr>
        <w:spacing w:line="240" w:lineRule="auto"/>
        <w:jc w:val="both"/>
        <w:rPr>
          <w:rFonts w:ascii="Segoe UI" w:hAnsi="Segoe UI" w:cs="Segoe UI"/>
          <w:b/>
          <w:u w:val="single"/>
        </w:rPr>
      </w:pPr>
      <w:r w:rsidRPr="00F12BA2">
        <w:rPr>
          <w:rFonts w:ascii="Segoe UI" w:hAnsi="Segoe UI" w:cs="Segoe UI"/>
        </w:rPr>
        <w:t>The medicines management lead</w:t>
      </w:r>
      <w:r w:rsidR="000F20F0" w:rsidRPr="00F12BA2">
        <w:rPr>
          <w:rFonts w:ascii="Segoe UI" w:hAnsi="Segoe UI" w:cs="Segoe UI"/>
        </w:rPr>
        <w:t xml:space="preserve"> (pharmacist)</w:t>
      </w:r>
      <w:r w:rsidRPr="00F12BA2">
        <w:rPr>
          <w:rFonts w:ascii="Segoe UI" w:hAnsi="Segoe UI" w:cs="Segoe UI"/>
        </w:rPr>
        <w:t xml:space="preserve"> </w:t>
      </w:r>
      <w:r w:rsidR="00B86248" w:rsidRPr="00F12BA2">
        <w:rPr>
          <w:rFonts w:ascii="Segoe UI" w:hAnsi="Segoe UI" w:cs="Segoe UI"/>
        </w:rPr>
        <w:t>in the community divi</w:t>
      </w:r>
      <w:r w:rsidR="00A15714" w:rsidRPr="00F12BA2">
        <w:rPr>
          <w:rFonts w:ascii="Segoe UI" w:hAnsi="Segoe UI" w:cs="Segoe UI"/>
        </w:rPr>
        <w:t>sio</w:t>
      </w:r>
      <w:r w:rsidR="00B86248" w:rsidRPr="00F12BA2">
        <w:rPr>
          <w:rFonts w:ascii="Segoe UI" w:hAnsi="Segoe UI" w:cs="Segoe UI"/>
        </w:rPr>
        <w:t xml:space="preserve">n </w:t>
      </w:r>
      <w:r w:rsidRPr="00F12BA2">
        <w:rPr>
          <w:rFonts w:ascii="Segoe UI" w:hAnsi="Segoe UI" w:cs="Segoe UI"/>
        </w:rPr>
        <w:t xml:space="preserve">is working collaboratively with the OUH to develop </w:t>
      </w:r>
      <w:r w:rsidRPr="00F12BA2">
        <w:rPr>
          <w:rFonts w:ascii="Segoe UI" w:eastAsia="Times New Roman" w:hAnsi="Segoe UI" w:cs="Segoe UI"/>
          <w:color w:val="000000"/>
          <w:lang w:eastAsia="en-GB"/>
        </w:rPr>
        <w:t>prescribing guidelines for community hospitals.</w:t>
      </w:r>
    </w:p>
    <w:p w:rsidR="005C71AC" w:rsidRPr="00F12BA2" w:rsidRDefault="005C71AC" w:rsidP="00F12BA2">
      <w:pPr>
        <w:numPr>
          <w:ilvl w:val="0"/>
          <w:numId w:val="5"/>
        </w:numPr>
        <w:spacing w:line="240" w:lineRule="auto"/>
        <w:jc w:val="both"/>
        <w:rPr>
          <w:rFonts w:ascii="Segoe UI" w:hAnsi="Segoe UI" w:cs="Segoe UI"/>
          <w:b/>
          <w:u w:val="single"/>
        </w:rPr>
      </w:pPr>
      <w:r w:rsidRPr="00F12BA2">
        <w:rPr>
          <w:rFonts w:ascii="Segoe UI" w:eastAsia="Times New Roman" w:hAnsi="Segoe UI" w:cs="Segoe UI"/>
          <w:color w:val="000000"/>
          <w:lang w:eastAsia="en-GB"/>
        </w:rPr>
        <w:t>More integrated pharmacy services to be developed in the Trust</w:t>
      </w:r>
      <w:r w:rsidR="00B86248" w:rsidRPr="00F12BA2">
        <w:rPr>
          <w:rFonts w:ascii="Segoe UI" w:eastAsia="Times New Roman" w:hAnsi="Segoe UI" w:cs="Segoe UI"/>
          <w:color w:val="000000"/>
          <w:lang w:eastAsia="en-GB"/>
        </w:rPr>
        <w:t xml:space="preserve">. This will result in </w:t>
      </w:r>
      <w:r w:rsidR="00ED7A28" w:rsidRPr="00F12BA2">
        <w:rPr>
          <w:rFonts w:ascii="Segoe UI" w:eastAsia="Times New Roman" w:hAnsi="Segoe UI" w:cs="Segoe UI"/>
          <w:color w:val="000000"/>
          <w:lang w:eastAsia="en-GB"/>
        </w:rPr>
        <w:t>increased oversight</w:t>
      </w:r>
      <w:r w:rsidR="00B86248" w:rsidRPr="00F12BA2">
        <w:rPr>
          <w:rFonts w:ascii="Segoe UI" w:eastAsia="Times New Roman" w:hAnsi="Segoe UI" w:cs="Segoe UI"/>
          <w:color w:val="000000"/>
          <w:lang w:eastAsia="en-GB"/>
        </w:rPr>
        <w:t xml:space="preserve"> of prescribing of antibiotics across all in patient wards.</w:t>
      </w:r>
    </w:p>
    <w:p w:rsidR="0082310B" w:rsidRPr="00F12BA2" w:rsidRDefault="00A15714" w:rsidP="00F12BA2">
      <w:pPr>
        <w:numPr>
          <w:ilvl w:val="0"/>
          <w:numId w:val="5"/>
        </w:numPr>
        <w:spacing w:line="240" w:lineRule="auto"/>
        <w:jc w:val="both"/>
        <w:rPr>
          <w:rFonts w:ascii="Segoe UI" w:hAnsi="Segoe UI" w:cs="Segoe UI"/>
          <w:b/>
          <w:u w:val="single"/>
        </w:rPr>
      </w:pPr>
      <w:r w:rsidRPr="00F12BA2">
        <w:rPr>
          <w:rFonts w:ascii="Segoe UI" w:eastAsia="Times New Roman" w:hAnsi="Segoe UI" w:cs="Segoe UI"/>
          <w:color w:val="000000"/>
          <w:lang w:eastAsia="en-GB"/>
        </w:rPr>
        <w:t>The c</w:t>
      </w:r>
      <w:r w:rsidR="0082310B" w:rsidRPr="00F12BA2">
        <w:rPr>
          <w:rFonts w:ascii="Segoe UI" w:eastAsia="Times New Roman" w:hAnsi="Segoe UI" w:cs="Segoe UI"/>
          <w:color w:val="000000"/>
          <w:lang w:eastAsia="en-GB"/>
        </w:rPr>
        <w:t>linical director of community services is working with the GP’s via the out of hours contracts to provide more robust and accountable prescribing.</w:t>
      </w:r>
    </w:p>
    <w:p w:rsidR="0082310B" w:rsidRPr="00F12BA2" w:rsidRDefault="0082310B" w:rsidP="00F12BA2">
      <w:pPr>
        <w:numPr>
          <w:ilvl w:val="0"/>
          <w:numId w:val="5"/>
        </w:numPr>
        <w:spacing w:line="240" w:lineRule="auto"/>
        <w:jc w:val="both"/>
        <w:rPr>
          <w:rFonts w:ascii="Segoe UI" w:hAnsi="Segoe UI" w:cs="Segoe UI"/>
          <w:b/>
          <w:u w:val="single"/>
        </w:rPr>
      </w:pPr>
      <w:r w:rsidRPr="00F12BA2">
        <w:rPr>
          <w:rFonts w:ascii="Segoe UI" w:eastAsia="Times New Roman" w:hAnsi="Segoe UI" w:cs="Segoe UI"/>
          <w:color w:val="000000"/>
          <w:lang w:eastAsia="en-GB"/>
        </w:rPr>
        <w:t xml:space="preserve">All RCA’s are reviewed by the clinical director and medicines management lead and any prescribing issues identified are followed up </w:t>
      </w:r>
      <w:r w:rsidR="00507BB6" w:rsidRPr="00F12BA2">
        <w:rPr>
          <w:rFonts w:ascii="Segoe UI" w:eastAsia="Times New Roman" w:hAnsi="Segoe UI" w:cs="Segoe UI"/>
          <w:color w:val="000000"/>
          <w:lang w:eastAsia="en-GB"/>
        </w:rPr>
        <w:t>via a</w:t>
      </w:r>
      <w:r w:rsidRPr="00F12BA2">
        <w:rPr>
          <w:rFonts w:ascii="Segoe UI" w:eastAsia="Times New Roman" w:hAnsi="Segoe UI" w:cs="Segoe UI"/>
          <w:color w:val="000000"/>
          <w:lang w:eastAsia="en-GB"/>
        </w:rPr>
        <w:t xml:space="preserve"> meeting with the prescriber. </w:t>
      </w:r>
    </w:p>
    <w:p w:rsidR="0082310B" w:rsidRPr="00F12BA2" w:rsidRDefault="0082310B" w:rsidP="00F12BA2">
      <w:pPr>
        <w:spacing w:line="240" w:lineRule="auto"/>
        <w:jc w:val="both"/>
        <w:rPr>
          <w:rFonts w:ascii="Segoe UI" w:eastAsia="Times New Roman" w:hAnsi="Segoe UI" w:cs="Segoe UI"/>
          <w:b/>
          <w:color w:val="000000"/>
          <w:u w:val="single"/>
          <w:lang w:eastAsia="en-GB"/>
        </w:rPr>
      </w:pPr>
      <w:r w:rsidRPr="00F12BA2">
        <w:rPr>
          <w:rFonts w:ascii="Segoe UI" w:eastAsia="Times New Roman" w:hAnsi="Segoe UI" w:cs="Segoe UI"/>
          <w:b/>
          <w:color w:val="000000"/>
          <w:u w:val="single"/>
          <w:lang w:eastAsia="en-GB"/>
        </w:rPr>
        <w:t>Patient management</w:t>
      </w:r>
    </w:p>
    <w:p w:rsidR="0082310B" w:rsidRPr="00F12BA2" w:rsidRDefault="000F20F0" w:rsidP="00F12BA2">
      <w:pPr>
        <w:numPr>
          <w:ilvl w:val="0"/>
          <w:numId w:val="6"/>
        </w:numPr>
        <w:spacing w:line="240" w:lineRule="auto"/>
        <w:jc w:val="both"/>
        <w:rPr>
          <w:rFonts w:ascii="Segoe UI" w:hAnsi="Segoe UI" w:cs="Segoe UI"/>
        </w:rPr>
      </w:pPr>
      <w:r w:rsidRPr="00F12BA2">
        <w:rPr>
          <w:rFonts w:ascii="Segoe UI" w:hAnsi="Segoe UI" w:cs="Segoe UI"/>
        </w:rPr>
        <w:t>Senior ward</w:t>
      </w:r>
      <w:r w:rsidR="0082310B" w:rsidRPr="00F12BA2">
        <w:rPr>
          <w:rFonts w:ascii="Segoe UI" w:hAnsi="Segoe UI" w:cs="Segoe UI"/>
        </w:rPr>
        <w:t xml:space="preserve"> </w:t>
      </w:r>
      <w:proofErr w:type="gramStart"/>
      <w:r w:rsidR="0082310B" w:rsidRPr="00F12BA2">
        <w:rPr>
          <w:rFonts w:ascii="Segoe UI" w:hAnsi="Segoe UI" w:cs="Segoe UI"/>
        </w:rPr>
        <w:t>staff</w:t>
      </w:r>
      <w:proofErr w:type="gramEnd"/>
      <w:r w:rsidR="0082310B" w:rsidRPr="00F12BA2">
        <w:rPr>
          <w:rFonts w:ascii="Segoe UI" w:hAnsi="Segoe UI" w:cs="Segoe UI"/>
        </w:rPr>
        <w:t xml:space="preserve"> </w:t>
      </w:r>
      <w:r w:rsidR="00013E39" w:rsidRPr="00F12BA2">
        <w:rPr>
          <w:rFonts w:ascii="Segoe UI" w:hAnsi="Segoe UI" w:cs="Segoe UI"/>
        </w:rPr>
        <w:t xml:space="preserve">who are </w:t>
      </w:r>
      <w:r w:rsidR="0082310B" w:rsidRPr="00F12BA2">
        <w:rPr>
          <w:rFonts w:ascii="Segoe UI" w:hAnsi="Segoe UI" w:cs="Segoe UI"/>
        </w:rPr>
        <w:t>working in community hospitals and older adult mental health wards have received specific training regarding the safe and appropriate management of patients with suspected or confirmed CDI. This has been cascaded to staff via ward meetings.</w:t>
      </w:r>
    </w:p>
    <w:p w:rsidR="00E26ACC" w:rsidRPr="00F12BA2" w:rsidRDefault="00A15714" w:rsidP="00F12BA2">
      <w:pPr>
        <w:numPr>
          <w:ilvl w:val="0"/>
          <w:numId w:val="6"/>
        </w:numPr>
        <w:spacing w:line="240" w:lineRule="auto"/>
        <w:jc w:val="both"/>
        <w:rPr>
          <w:rFonts w:ascii="Segoe UI" w:hAnsi="Segoe UI" w:cs="Segoe UI"/>
        </w:rPr>
      </w:pPr>
      <w:r w:rsidRPr="00F12BA2">
        <w:rPr>
          <w:rFonts w:ascii="Segoe UI" w:hAnsi="Segoe UI" w:cs="Segoe UI"/>
        </w:rPr>
        <w:t xml:space="preserve">The SIGHT </w:t>
      </w:r>
      <w:r w:rsidR="00ED7A28" w:rsidRPr="00F12BA2">
        <w:rPr>
          <w:rFonts w:ascii="Segoe UI" w:hAnsi="Segoe UI" w:cs="Segoe UI"/>
        </w:rPr>
        <w:t>mnemonic</w:t>
      </w:r>
      <w:r w:rsidR="00E26ACC" w:rsidRPr="00F12BA2">
        <w:rPr>
          <w:rFonts w:ascii="Segoe UI" w:hAnsi="Segoe UI" w:cs="Segoe UI"/>
        </w:rPr>
        <w:t xml:space="preserve"> has been reissued to all wards and </w:t>
      </w:r>
      <w:proofErr w:type="gramStart"/>
      <w:r w:rsidR="00E26ACC" w:rsidRPr="00F12BA2">
        <w:rPr>
          <w:rFonts w:ascii="Segoe UI" w:hAnsi="Segoe UI" w:cs="Segoe UI"/>
        </w:rPr>
        <w:t>staff are</w:t>
      </w:r>
      <w:proofErr w:type="gramEnd"/>
      <w:r w:rsidR="00E26ACC" w:rsidRPr="00F12BA2">
        <w:rPr>
          <w:rFonts w:ascii="Segoe UI" w:hAnsi="Segoe UI" w:cs="Segoe UI"/>
        </w:rPr>
        <w:t xml:space="preserve"> required to follow it when suspecting CDI.</w:t>
      </w:r>
    </w:p>
    <w:p w:rsidR="0082310B" w:rsidRPr="00F12BA2" w:rsidRDefault="0082310B" w:rsidP="00F12BA2">
      <w:pPr>
        <w:numPr>
          <w:ilvl w:val="0"/>
          <w:numId w:val="6"/>
        </w:numPr>
        <w:spacing w:line="240" w:lineRule="auto"/>
        <w:jc w:val="both"/>
        <w:rPr>
          <w:rFonts w:ascii="Segoe UI" w:hAnsi="Segoe UI" w:cs="Segoe UI"/>
        </w:rPr>
      </w:pPr>
      <w:r w:rsidRPr="00F12BA2">
        <w:rPr>
          <w:rFonts w:ascii="Segoe UI" w:hAnsi="Segoe UI" w:cs="Segoe UI"/>
        </w:rPr>
        <w:t>Further advice for CDI management has been provided by the I</w:t>
      </w:r>
      <w:r w:rsidR="00A15714" w:rsidRPr="00F12BA2">
        <w:rPr>
          <w:rFonts w:ascii="Segoe UI" w:hAnsi="Segoe UI" w:cs="Segoe UI"/>
        </w:rPr>
        <w:t xml:space="preserve">nfection Prevention Control Team (IPCT) </w:t>
      </w:r>
      <w:r w:rsidRPr="00F12BA2">
        <w:rPr>
          <w:rFonts w:ascii="Segoe UI" w:hAnsi="Segoe UI" w:cs="Segoe UI"/>
        </w:rPr>
        <w:t xml:space="preserve">newsletter which is sent via </w:t>
      </w:r>
      <w:proofErr w:type="spellStart"/>
      <w:r w:rsidRPr="00F12BA2">
        <w:rPr>
          <w:rFonts w:ascii="Segoe UI" w:hAnsi="Segoe UI" w:cs="Segoe UI"/>
        </w:rPr>
        <w:t>comms</w:t>
      </w:r>
      <w:proofErr w:type="spellEnd"/>
      <w:r w:rsidRPr="00F12BA2">
        <w:rPr>
          <w:rFonts w:ascii="Segoe UI" w:hAnsi="Segoe UI" w:cs="Segoe UI"/>
        </w:rPr>
        <w:t xml:space="preserve"> to all staff quarterly. Back dated issues of the newsletter are available on the IPCT intranet page.</w:t>
      </w:r>
    </w:p>
    <w:p w:rsidR="0082310B" w:rsidRPr="00F12BA2" w:rsidRDefault="0082310B" w:rsidP="00F12BA2">
      <w:pPr>
        <w:numPr>
          <w:ilvl w:val="0"/>
          <w:numId w:val="6"/>
        </w:numPr>
        <w:spacing w:line="240" w:lineRule="auto"/>
        <w:jc w:val="both"/>
        <w:rPr>
          <w:rFonts w:ascii="Segoe UI" w:hAnsi="Segoe UI" w:cs="Segoe UI"/>
        </w:rPr>
      </w:pPr>
      <w:r w:rsidRPr="00F12BA2">
        <w:rPr>
          <w:rFonts w:ascii="Segoe UI" w:hAnsi="Segoe UI" w:cs="Segoe UI"/>
        </w:rPr>
        <w:lastRenderedPageBreak/>
        <w:t xml:space="preserve">A CDI refresher </w:t>
      </w:r>
      <w:r w:rsidR="00507BB6" w:rsidRPr="00F12BA2">
        <w:rPr>
          <w:rFonts w:ascii="Segoe UI" w:hAnsi="Segoe UI" w:cs="Segoe UI"/>
        </w:rPr>
        <w:t>PowerPoint</w:t>
      </w:r>
      <w:r w:rsidRPr="00F12BA2">
        <w:rPr>
          <w:rFonts w:ascii="Segoe UI" w:hAnsi="Segoe UI" w:cs="Segoe UI"/>
        </w:rPr>
        <w:t xml:space="preserve"> training session has been developed and is available on the IPCT intr</w:t>
      </w:r>
      <w:r w:rsidR="00013E39" w:rsidRPr="00F12BA2">
        <w:rPr>
          <w:rFonts w:ascii="Segoe UI" w:hAnsi="Segoe UI" w:cs="Segoe UI"/>
        </w:rPr>
        <w:t>anet page for senior staff and infection prevention and control</w:t>
      </w:r>
      <w:r w:rsidRPr="00F12BA2">
        <w:rPr>
          <w:rFonts w:ascii="Segoe UI" w:hAnsi="Segoe UI" w:cs="Segoe UI"/>
        </w:rPr>
        <w:t xml:space="preserve"> link practitioners to use</w:t>
      </w:r>
      <w:r w:rsidR="00A15714" w:rsidRPr="00F12BA2">
        <w:rPr>
          <w:rFonts w:ascii="Segoe UI" w:hAnsi="Segoe UI" w:cs="Segoe UI"/>
        </w:rPr>
        <w:t xml:space="preserve"> and conduct in house refresher training</w:t>
      </w:r>
      <w:r w:rsidRPr="00F12BA2">
        <w:rPr>
          <w:rFonts w:ascii="Segoe UI" w:hAnsi="Segoe UI" w:cs="Segoe UI"/>
        </w:rPr>
        <w:t>.</w:t>
      </w:r>
    </w:p>
    <w:p w:rsidR="00E26ACC" w:rsidRPr="00F12BA2" w:rsidRDefault="0082310B" w:rsidP="00F12BA2">
      <w:pPr>
        <w:numPr>
          <w:ilvl w:val="0"/>
          <w:numId w:val="6"/>
        </w:numPr>
        <w:spacing w:line="240" w:lineRule="auto"/>
        <w:jc w:val="both"/>
        <w:rPr>
          <w:rFonts w:ascii="Segoe UI" w:hAnsi="Segoe UI" w:cs="Segoe UI"/>
          <w:b/>
          <w:u w:val="single"/>
        </w:rPr>
      </w:pPr>
      <w:r w:rsidRPr="00F12BA2">
        <w:rPr>
          <w:rFonts w:ascii="Segoe UI" w:hAnsi="Segoe UI" w:cs="Segoe UI"/>
        </w:rPr>
        <w:t xml:space="preserve">Access to </w:t>
      </w:r>
      <w:proofErr w:type="spellStart"/>
      <w:r w:rsidRPr="00F12BA2">
        <w:rPr>
          <w:rFonts w:ascii="Segoe UI" w:hAnsi="Segoe UI" w:cs="Segoe UI"/>
        </w:rPr>
        <w:t>casenotes</w:t>
      </w:r>
      <w:proofErr w:type="spellEnd"/>
      <w:r w:rsidRPr="00F12BA2">
        <w:rPr>
          <w:rFonts w:ascii="Segoe UI" w:hAnsi="Segoe UI" w:cs="Segoe UI"/>
        </w:rPr>
        <w:t xml:space="preserve"> for trained nurses</w:t>
      </w:r>
      <w:r w:rsidR="00E26ACC" w:rsidRPr="00F12BA2">
        <w:rPr>
          <w:rFonts w:ascii="Segoe UI" w:hAnsi="Segoe UI" w:cs="Segoe UI"/>
        </w:rPr>
        <w:t xml:space="preserve"> has been increased and all trained nurses are expected to have access.</w:t>
      </w:r>
      <w:r w:rsidR="00E26ACC" w:rsidRPr="00F12BA2">
        <w:rPr>
          <w:rFonts w:ascii="Segoe UI" w:eastAsia="Times New Roman" w:hAnsi="Segoe UI" w:cs="Segoe UI"/>
          <w:color w:val="000000"/>
          <w:lang w:eastAsia="en-GB"/>
        </w:rPr>
        <w:t xml:space="preserve"> This ensures patients are actively followed up and any further action taken in a timely manner if required.</w:t>
      </w:r>
    </w:p>
    <w:p w:rsidR="005640DB" w:rsidRPr="00F12BA2" w:rsidRDefault="00E26ACC" w:rsidP="00F12BA2">
      <w:pPr>
        <w:numPr>
          <w:ilvl w:val="0"/>
          <w:numId w:val="6"/>
        </w:numPr>
        <w:spacing w:line="240" w:lineRule="auto"/>
        <w:jc w:val="both"/>
        <w:rPr>
          <w:rFonts w:ascii="Segoe UI" w:hAnsi="Segoe UI" w:cs="Segoe UI"/>
        </w:rPr>
      </w:pPr>
      <w:r w:rsidRPr="00F12BA2">
        <w:rPr>
          <w:rFonts w:ascii="Segoe UI" w:eastAsia="Times New Roman" w:hAnsi="Segoe UI" w:cs="Segoe UI"/>
          <w:color w:val="000000"/>
          <w:lang w:eastAsia="en-GB"/>
        </w:rPr>
        <w:t>The specimen collection times are being reviewed and the process for sending specimens out of hours reviewed.</w:t>
      </w:r>
    </w:p>
    <w:p w:rsidR="00E26ACC" w:rsidRPr="00F12BA2" w:rsidRDefault="006B0830" w:rsidP="00F12BA2">
      <w:pPr>
        <w:numPr>
          <w:ilvl w:val="0"/>
          <w:numId w:val="6"/>
        </w:numPr>
        <w:spacing w:line="240" w:lineRule="auto"/>
        <w:jc w:val="both"/>
        <w:rPr>
          <w:rFonts w:ascii="Segoe UI" w:hAnsi="Segoe UI" w:cs="Segoe UI"/>
        </w:rPr>
      </w:pPr>
      <w:r w:rsidRPr="00F12BA2">
        <w:rPr>
          <w:rFonts w:ascii="Segoe UI" w:eastAsia="Times New Roman" w:hAnsi="Segoe UI" w:cs="Segoe UI"/>
          <w:color w:val="000000"/>
          <w:lang w:eastAsia="en-GB"/>
        </w:rPr>
        <w:t xml:space="preserve">The </w:t>
      </w:r>
      <w:r w:rsidR="00013E39" w:rsidRPr="00F12BA2">
        <w:rPr>
          <w:rFonts w:ascii="Segoe UI" w:eastAsia="Times New Roman" w:hAnsi="Segoe UI" w:cs="Segoe UI"/>
          <w:color w:val="000000"/>
          <w:lang w:eastAsia="en-GB"/>
        </w:rPr>
        <w:t>stock</w:t>
      </w:r>
      <w:r w:rsidRPr="00F12BA2">
        <w:rPr>
          <w:rFonts w:ascii="Segoe UI" w:eastAsia="Times New Roman" w:hAnsi="Segoe UI" w:cs="Segoe UI"/>
          <w:color w:val="000000"/>
          <w:lang w:eastAsia="en-GB"/>
        </w:rPr>
        <w:t>ing</w:t>
      </w:r>
      <w:r w:rsidR="00013E39" w:rsidRPr="00F12BA2">
        <w:rPr>
          <w:rFonts w:ascii="Segoe UI" w:eastAsia="Times New Roman" w:hAnsi="Segoe UI" w:cs="Segoe UI"/>
          <w:color w:val="000000"/>
          <w:lang w:eastAsia="en-GB"/>
        </w:rPr>
        <w:t xml:space="preserve"> of </w:t>
      </w:r>
      <w:proofErr w:type="spellStart"/>
      <w:r w:rsidR="00013E39" w:rsidRPr="00F12BA2">
        <w:rPr>
          <w:rFonts w:ascii="Segoe UI" w:eastAsia="Times New Roman" w:hAnsi="Segoe UI" w:cs="Segoe UI"/>
          <w:color w:val="000000"/>
          <w:lang w:eastAsia="en-GB"/>
        </w:rPr>
        <w:t>vancomycin</w:t>
      </w:r>
      <w:proofErr w:type="spellEnd"/>
      <w:r w:rsidRPr="00F12BA2">
        <w:rPr>
          <w:rFonts w:ascii="Segoe UI" w:eastAsia="Times New Roman" w:hAnsi="Segoe UI" w:cs="Segoe UI"/>
          <w:color w:val="000000"/>
          <w:lang w:eastAsia="en-GB"/>
        </w:rPr>
        <w:t xml:space="preserve"> on wards so patients can be commenced on appropriate treatment as soon as possible is being arranged.</w:t>
      </w:r>
    </w:p>
    <w:p w:rsidR="000A5D32" w:rsidRPr="00F12BA2" w:rsidRDefault="000A5D32" w:rsidP="00F12BA2">
      <w:pPr>
        <w:spacing w:line="240" w:lineRule="auto"/>
        <w:jc w:val="both"/>
        <w:rPr>
          <w:rFonts w:ascii="Segoe UI" w:hAnsi="Segoe UI" w:cs="Segoe UI"/>
          <w:b/>
          <w:u w:val="single"/>
        </w:rPr>
      </w:pPr>
      <w:r w:rsidRPr="00F12BA2">
        <w:rPr>
          <w:rFonts w:ascii="Segoe UI" w:hAnsi="Segoe UI" w:cs="Segoe UI"/>
          <w:b/>
          <w:u w:val="single"/>
        </w:rPr>
        <w:t>Assurance</w:t>
      </w:r>
    </w:p>
    <w:p w:rsidR="00A15714" w:rsidRPr="00F12BA2" w:rsidRDefault="000A5D32" w:rsidP="00F12BA2">
      <w:pPr>
        <w:spacing w:line="240" w:lineRule="auto"/>
        <w:jc w:val="both"/>
        <w:rPr>
          <w:rFonts w:ascii="Segoe UI" w:hAnsi="Segoe UI" w:cs="Segoe UI"/>
        </w:rPr>
      </w:pPr>
      <w:r w:rsidRPr="00F12BA2">
        <w:rPr>
          <w:rFonts w:ascii="Segoe UI" w:hAnsi="Segoe UI" w:cs="Segoe UI"/>
        </w:rPr>
        <w:t xml:space="preserve">Following each CDI case the ward completes a full RCA </w:t>
      </w:r>
      <w:r w:rsidR="00507BB6" w:rsidRPr="00F12BA2">
        <w:rPr>
          <w:rFonts w:ascii="Segoe UI" w:hAnsi="Segoe UI" w:cs="Segoe UI"/>
        </w:rPr>
        <w:t>(</w:t>
      </w:r>
      <w:r w:rsidR="00A15714" w:rsidRPr="00F12BA2">
        <w:rPr>
          <w:rFonts w:ascii="Segoe UI" w:hAnsi="Segoe UI" w:cs="Segoe UI"/>
        </w:rPr>
        <w:t xml:space="preserve">root cause analysis, </w:t>
      </w:r>
      <w:r w:rsidR="00507BB6" w:rsidRPr="00F12BA2">
        <w:rPr>
          <w:rFonts w:ascii="Segoe UI" w:hAnsi="Segoe UI" w:cs="Segoe UI"/>
        </w:rPr>
        <w:t>based</w:t>
      </w:r>
      <w:r w:rsidRPr="00F12BA2">
        <w:rPr>
          <w:rFonts w:ascii="Segoe UI" w:hAnsi="Segoe UI" w:cs="Segoe UI"/>
        </w:rPr>
        <w:t xml:space="preserve"> on the national tool) whic</w:t>
      </w:r>
      <w:r w:rsidR="007A2CDB" w:rsidRPr="00F12BA2">
        <w:rPr>
          <w:rFonts w:ascii="Segoe UI" w:hAnsi="Segoe UI" w:cs="Segoe UI"/>
        </w:rPr>
        <w:t xml:space="preserve">h is reviewed by the </w:t>
      </w:r>
      <w:r w:rsidR="00A15714" w:rsidRPr="00F12BA2">
        <w:rPr>
          <w:rFonts w:ascii="Segoe UI" w:hAnsi="Segoe UI" w:cs="Segoe UI"/>
        </w:rPr>
        <w:t xml:space="preserve">IPCT. </w:t>
      </w:r>
      <w:r w:rsidRPr="00F12BA2">
        <w:rPr>
          <w:rFonts w:ascii="Segoe UI" w:hAnsi="Segoe UI" w:cs="Segoe UI"/>
        </w:rPr>
        <w:t xml:space="preserve"> An action plan identifying any lea</w:t>
      </w:r>
      <w:r w:rsidR="007A2CDB" w:rsidRPr="00F12BA2">
        <w:rPr>
          <w:rFonts w:ascii="Segoe UI" w:hAnsi="Segoe UI" w:cs="Segoe UI"/>
        </w:rPr>
        <w:t>rning points is developed and a</w:t>
      </w:r>
      <w:r w:rsidRPr="00F12BA2">
        <w:rPr>
          <w:rFonts w:ascii="Segoe UI" w:hAnsi="Segoe UI" w:cs="Segoe UI"/>
        </w:rPr>
        <w:t>ction</w:t>
      </w:r>
      <w:r w:rsidR="007A2CDB" w:rsidRPr="00F12BA2">
        <w:rPr>
          <w:rFonts w:ascii="Segoe UI" w:hAnsi="Segoe UI" w:cs="Segoe UI"/>
        </w:rPr>
        <w:t xml:space="preserve"> taken </w:t>
      </w:r>
      <w:r w:rsidRPr="00F12BA2">
        <w:rPr>
          <w:rFonts w:ascii="Segoe UI" w:hAnsi="Segoe UI" w:cs="Segoe UI"/>
        </w:rPr>
        <w:t>by the clinical team. Each RCA and action plan is reviewed at the week</w:t>
      </w:r>
      <w:r w:rsidR="00A15714" w:rsidRPr="00F12BA2">
        <w:rPr>
          <w:rFonts w:ascii="Segoe UI" w:hAnsi="Segoe UI" w:cs="Segoe UI"/>
        </w:rPr>
        <w:t>ly clinical governance meeting.</w:t>
      </w:r>
    </w:p>
    <w:p w:rsidR="000A5D32" w:rsidRPr="00F12BA2" w:rsidRDefault="00A15714" w:rsidP="00F12BA2">
      <w:pPr>
        <w:spacing w:line="240" w:lineRule="auto"/>
        <w:jc w:val="both"/>
        <w:rPr>
          <w:rFonts w:ascii="Segoe UI" w:hAnsi="Segoe UI" w:cs="Segoe UI"/>
        </w:rPr>
      </w:pPr>
      <w:r w:rsidRPr="00F12BA2">
        <w:rPr>
          <w:rFonts w:ascii="Segoe UI" w:hAnsi="Segoe UI" w:cs="Segoe UI"/>
        </w:rPr>
        <w:t>In addition, w</w:t>
      </w:r>
      <w:r w:rsidR="00B86248" w:rsidRPr="00F12BA2">
        <w:rPr>
          <w:rFonts w:ascii="Segoe UI" w:hAnsi="Segoe UI" w:cs="Segoe UI"/>
        </w:rPr>
        <w:t xml:space="preserve">e </w:t>
      </w:r>
      <w:r w:rsidR="00395FC4" w:rsidRPr="00F12BA2">
        <w:rPr>
          <w:rFonts w:ascii="Segoe UI" w:hAnsi="Segoe UI" w:cs="Segoe UI"/>
        </w:rPr>
        <w:t xml:space="preserve">have </w:t>
      </w:r>
      <w:r w:rsidRPr="00F12BA2">
        <w:rPr>
          <w:rFonts w:ascii="Segoe UI" w:hAnsi="Segoe UI" w:cs="Segoe UI"/>
        </w:rPr>
        <w:t>participated in</w:t>
      </w:r>
      <w:r w:rsidR="00B86248" w:rsidRPr="00F12BA2">
        <w:rPr>
          <w:rFonts w:ascii="Segoe UI" w:hAnsi="Segoe UI" w:cs="Segoe UI"/>
        </w:rPr>
        <w:t xml:space="preserve"> a peer review </w:t>
      </w:r>
      <w:r w:rsidRPr="00F12BA2">
        <w:rPr>
          <w:rFonts w:ascii="Segoe UI" w:hAnsi="Segoe UI" w:cs="Segoe UI"/>
        </w:rPr>
        <w:t xml:space="preserve">of these 4 </w:t>
      </w:r>
      <w:smartTag w:uri="urn:schemas-microsoft-com:office:smarttags" w:element="stockticker">
        <w:r w:rsidRPr="00F12BA2">
          <w:rPr>
            <w:rFonts w:ascii="Segoe UI" w:hAnsi="Segoe UI" w:cs="Segoe UI"/>
          </w:rPr>
          <w:t>CDI</w:t>
        </w:r>
      </w:smartTag>
      <w:r w:rsidRPr="00F12BA2">
        <w:rPr>
          <w:rFonts w:ascii="Segoe UI" w:hAnsi="Segoe UI" w:cs="Segoe UI"/>
        </w:rPr>
        <w:t xml:space="preserve"> cases</w:t>
      </w:r>
      <w:r w:rsidR="000F20F0" w:rsidRPr="00F12BA2">
        <w:rPr>
          <w:rFonts w:ascii="Segoe UI" w:hAnsi="Segoe UI" w:cs="Segoe UI"/>
        </w:rPr>
        <w:t xml:space="preserve"> with our</w:t>
      </w:r>
      <w:r w:rsidRPr="00F12BA2">
        <w:rPr>
          <w:rFonts w:ascii="Segoe UI" w:hAnsi="Segoe UI" w:cs="Segoe UI"/>
        </w:rPr>
        <w:t xml:space="preserve"> commissioning infection prevention and control lead, antimicrobial pharmacist and GP lead for Oxfordshire</w:t>
      </w:r>
      <w:r w:rsidR="00395FC4" w:rsidRPr="00F12BA2">
        <w:rPr>
          <w:rFonts w:ascii="Segoe UI" w:hAnsi="Segoe UI" w:cs="Segoe UI"/>
        </w:rPr>
        <w:t xml:space="preserve"> and the OUH infection control manager.</w:t>
      </w:r>
      <w:r w:rsidR="007B3138" w:rsidRPr="00F12BA2">
        <w:rPr>
          <w:rFonts w:ascii="Segoe UI" w:hAnsi="Segoe UI" w:cs="Segoe UI"/>
        </w:rPr>
        <w:t xml:space="preserve"> </w:t>
      </w:r>
      <w:r w:rsidR="003D5D94" w:rsidRPr="00F12BA2">
        <w:rPr>
          <w:rFonts w:ascii="Segoe UI" w:hAnsi="Segoe UI" w:cs="Segoe UI"/>
        </w:rPr>
        <w:t xml:space="preserve">It was </w:t>
      </w:r>
      <w:r w:rsidR="00B86248" w:rsidRPr="00F12BA2">
        <w:rPr>
          <w:rFonts w:ascii="Segoe UI" w:hAnsi="Segoe UI" w:cs="Segoe UI"/>
        </w:rPr>
        <w:t>confirmed</w:t>
      </w:r>
      <w:r w:rsidR="003D5D94" w:rsidRPr="00F12BA2">
        <w:rPr>
          <w:rFonts w:ascii="Segoe UI" w:hAnsi="Segoe UI" w:cs="Segoe UI"/>
        </w:rPr>
        <w:t xml:space="preserve"> that these</w:t>
      </w:r>
      <w:r w:rsidR="007B3138" w:rsidRPr="00F12BA2">
        <w:rPr>
          <w:rFonts w:ascii="Segoe UI" w:hAnsi="Segoe UI" w:cs="Segoe UI"/>
        </w:rPr>
        <w:t xml:space="preserve"> cases were unavoidable and all patients were high risk and had received </w:t>
      </w:r>
      <w:r w:rsidR="00B86248" w:rsidRPr="00F12BA2">
        <w:rPr>
          <w:rFonts w:ascii="Segoe UI" w:hAnsi="Segoe UI" w:cs="Segoe UI"/>
        </w:rPr>
        <w:t>appropriate</w:t>
      </w:r>
      <w:r w:rsidRPr="00F12BA2">
        <w:rPr>
          <w:rFonts w:ascii="Segoe UI" w:hAnsi="Segoe UI" w:cs="Segoe UI"/>
        </w:rPr>
        <w:t>ly</w:t>
      </w:r>
      <w:r w:rsidR="00B86248" w:rsidRPr="00F12BA2">
        <w:rPr>
          <w:rFonts w:ascii="Segoe UI" w:hAnsi="Segoe UI" w:cs="Segoe UI"/>
        </w:rPr>
        <w:t xml:space="preserve"> prescribed antibiotics</w:t>
      </w:r>
      <w:r w:rsidR="007B3138" w:rsidRPr="00F12BA2">
        <w:rPr>
          <w:rFonts w:ascii="Segoe UI" w:hAnsi="Segoe UI" w:cs="Segoe UI"/>
        </w:rPr>
        <w:t>.</w:t>
      </w:r>
    </w:p>
    <w:p w:rsidR="00B86248" w:rsidRPr="00F12BA2" w:rsidRDefault="00B86248" w:rsidP="00F12BA2">
      <w:pPr>
        <w:spacing w:line="240" w:lineRule="auto"/>
        <w:jc w:val="both"/>
        <w:rPr>
          <w:rFonts w:ascii="Segoe UI" w:hAnsi="Segoe UI" w:cs="Segoe UI"/>
        </w:rPr>
      </w:pPr>
      <w:r w:rsidRPr="00F12BA2">
        <w:rPr>
          <w:rFonts w:ascii="Segoe UI" w:hAnsi="Segoe UI" w:cs="Segoe UI"/>
        </w:rPr>
        <w:t>Despite the above</w:t>
      </w:r>
      <w:r w:rsidR="000F20F0" w:rsidRPr="00F12BA2">
        <w:rPr>
          <w:rFonts w:ascii="Segoe UI" w:hAnsi="Segoe UI" w:cs="Segoe UI"/>
        </w:rPr>
        <w:t>,</w:t>
      </w:r>
      <w:r w:rsidRPr="00F12BA2">
        <w:rPr>
          <w:rFonts w:ascii="Segoe UI" w:hAnsi="Segoe UI" w:cs="Segoe UI"/>
        </w:rPr>
        <w:t xml:space="preserve"> t</w:t>
      </w:r>
      <w:r w:rsidR="00E26ACC" w:rsidRPr="00F12BA2">
        <w:rPr>
          <w:rFonts w:ascii="Segoe UI" w:hAnsi="Segoe UI" w:cs="Segoe UI"/>
        </w:rPr>
        <w:t xml:space="preserve">he </w:t>
      </w:r>
      <w:r w:rsidRPr="00F12BA2">
        <w:rPr>
          <w:rFonts w:ascii="Segoe UI" w:hAnsi="Segoe UI" w:cs="Segoe UI"/>
        </w:rPr>
        <w:t>commissioners have</w:t>
      </w:r>
      <w:r w:rsidR="00E26ACC" w:rsidRPr="00F12BA2">
        <w:rPr>
          <w:rFonts w:ascii="Segoe UI" w:hAnsi="Segoe UI" w:cs="Segoe UI"/>
        </w:rPr>
        <w:t xml:space="preserve"> requested we develop a CDI</w:t>
      </w:r>
      <w:r w:rsidR="000A5D32" w:rsidRPr="00F12BA2">
        <w:rPr>
          <w:rFonts w:ascii="Segoe UI" w:hAnsi="Segoe UI" w:cs="Segoe UI"/>
        </w:rPr>
        <w:t xml:space="preserve"> recovery action plan</w:t>
      </w:r>
      <w:r w:rsidR="00E26ACC" w:rsidRPr="00F12BA2">
        <w:rPr>
          <w:rFonts w:ascii="Segoe UI" w:hAnsi="Segoe UI" w:cs="Segoe UI"/>
        </w:rPr>
        <w:t xml:space="preserve"> (attached) in order to get back on trajec</w:t>
      </w:r>
      <w:r w:rsidRPr="00F12BA2">
        <w:rPr>
          <w:rFonts w:ascii="Segoe UI" w:hAnsi="Segoe UI" w:cs="Segoe UI"/>
        </w:rPr>
        <w:t>tory. The target for 2012-13 has been set by commissioners at</w:t>
      </w:r>
      <w:r w:rsidR="00E26ACC" w:rsidRPr="00F12BA2">
        <w:rPr>
          <w:rFonts w:ascii="Segoe UI" w:hAnsi="Segoe UI" w:cs="Segoe UI"/>
        </w:rPr>
        <w:t xml:space="preserve"> 10 cases. Our end of year number of cases in 2011-12 was 15. This will prove to be very challenging, especially with the change in the CDI testing regime</w:t>
      </w:r>
      <w:r w:rsidRPr="00F12BA2">
        <w:rPr>
          <w:rFonts w:ascii="Segoe UI" w:hAnsi="Segoe UI" w:cs="Segoe UI"/>
        </w:rPr>
        <w:t xml:space="preserve"> and the potential increase in reported cases</w:t>
      </w:r>
      <w:r w:rsidR="00E26ACC" w:rsidRPr="00F12BA2">
        <w:rPr>
          <w:rFonts w:ascii="Segoe UI" w:hAnsi="Segoe UI" w:cs="Segoe UI"/>
        </w:rPr>
        <w:t>.</w:t>
      </w:r>
      <w:r w:rsidR="00230E96" w:rsidRPr="00F12BA2">
        <w:rPr>
          <w:rFonts w:ascii="Segoe UI" w:hAnsi="Segoe UI" w:cs="Segoe UI"/>
        </w:rPr>
        <w:t xml:space="preserve"> </w:t>
      </w:r>
      <w:r w:rsidRPr="00F12BA2">
        <w:rPr>
          <w:rFonts w:ascii="Segoe UI" w:hAnsi="Segoe UI" w:cs="Segoe UI"/>
        </w:rPr>
        <w:t>The contractual penalty is 2% of t</w:t>
      </w:r>
      <w:r w:rsidR="007173A2">
        <w:rPr>
          <w:rFonts w:ascii="Segoe UI" w:hAnsi="Segoe UI" w:cs="Segoe UI"/>
        </w:rPr>
        <w:t>he community contract, which is £ 1.6 Million</w:t>
      </w:r>
      <w:r w:rsidRPr="00F12BA2">
        <w:rPr>
          <w:rFonts w:ascii="Segoe UI" w:hAnsi="Segoe UI" w:cs="Segoe UI"/>
        </w:rPr>
        <w:t>. The com</w:t>
      </w:r>
      <w:r w:rsidR="00A15714" w:rsidRPr="00F12BA2">
        <w:rPr>
          <w:rFonts w:ascii="Segoe UI" w:hAnsi="Segoe UI" w:cs="Segoe UI"/>
        </w:rPr>
        <w:t>missioners have agreed a 40% lea</w:t>
      </w:r>
      <w:r w:rsidRPr="00F12BA2">
        <w:rPr>
          <w:rFonts w:ascii="Segoe UI" w:hAnsi="Segoe UI" w:cs="Segoe UI"/>
        </w:rPr>
        <w:t xml:space="preserve"> way can be applied above </w:t>
      </w:r>
      <w:r w:rsidR="00A15714" w:rsidRPr="00F12BA2">
        <w:rPr>
          <w:rFonts w:ascii="Segoe UI" w:hAnsi="Segoe UI" w:cs="Segoe UI"/>
        </w:rPr>
        <w:t>the 10</w:t>
      </w:r>
      <w:r w:rsidRPr="00F12BA2">
        <w:rPr>
          <w:rFonts w:ascii="Segoe UI" w:hAnsi="Segoe UI" w:cs="Segoe UI"/>
        </w:rPr>
        <w:t xml:space="preserve"> cases before the penalty will apply. This will equate to 14 cases.</w:t>
      </w:r>
    </w:p>
    <w:p w:rsidR="00B86248" w:rsidRPr="00F12BA2" w:rsidRDefault="00ED7A28" w:rsidP="00F12BA2">
      <w:pPr>
        <w:spacing w:line="240" w:lineRule="auto"/>
        <w:jc w:val="both"/>
        <w:rPr>
          <w:rFonts w:ascii="Segoe UI" w:hAnsi="Segoe UI" w:cs="Segoe UI"/>
        </w:rPr>
      </w:pPr>
      <w:r w:rsidRPr="00F12BA2">
        <w:rPr>
          <w:rFonts w:ascii="Segoe UI" w:hAnsi="Segoe UI" w:cs="Segoe UI"/>
        </w:rPr>
        <w:t>MONITOR has</w:t>
      </w:r>
      <w:r w:rsidR="00B86248" w:rsidRPr="00F12BA2">
        <w:rPr>
          <w:rFonts w:ascii="Segoe UI" w:hAnsi="Segoe UI" w:cs="Segoe UI"/>
        </w:rPr>
        <w:t xml:space="preserve"> confirmed that the governance rating for CDI remains green until the threshold of 14 cases is breached. </w:t>
      </w:r>
    </w:p>
    <w:p w:rsidR="00146D9E" w:rsidRPr="00F12BA2" w:rsidRDefault="00146D9E" w:rsidP="00F12BA2">
      <w:pPr>
        <w:spacing w:line="240" w:lineRule="auto"/>
        <w:jc w:val="both"/>
        <w:rPr>
          <w:rFonts w:ascii="Segoe UI" w:hAnsi="Segoe UI" w:cs="Segoe UI"/>
        </w:rPr>
      </w:pPr>
      <w:r w:rsidRPr="00F12BA2">
        <w:rPr>
          <w:rFonts w:ascii="Segoe UI" w:hAnsi="Segoe UI" w:cs="Segoe UI"/>
        </w:rPr>
        <w:t xml:space="preserve">The progress made against reducing CDI </w:t>
      </w:r>
      <w:proofErr w:type="gramStart"/>
      <w:r w:rsidR="00A15714" w:rsidRPr="00F12BA2">
        <w:rPr>
          <w:rFonts w:ascii="Segoe UI" w:hAnsi="Segoe UI" w:cs="Segoe UI"/>
        </w:rPr>
        <w:t>between 2009</w:t>
      </w:r>
      <w:r w:rsidRPr="00F12BA2">
        <w:rPr>
          <w:rFonts w:ascii="Segoe UI" w:hAnsi="Segoe UI" w:cs="Segoe UI"/>
        </w:rPr>
        <w:t>-11</w:t>
      </w:r>
      <w:proofErr w:type="gramEnd"/>
      <w:r w:rsidRPr="00F12BA2">
        <w:rPr>
          <w:rFonts w:ascii="Segoe UI" w:hAnsi="Segoe UI" w:cs="Segoe UI"/>
        </w:rPr>
        <w:t xml:space="preserve"> has been identified via the </w:t>
      </w:r>
      <w:r w:rsidR="00AB015C" w:rsidRPr="00F12BA2">
        <w:rPr>
          <w:rFonts w:ascii="Segoe UI" w:hAnsi="Segoe UI" w:cs="Segoe UI"/>
        </w:rPr>
        <w:t>following</w:t>
      </w:r>
      <w:r w:rsidRPr="00F12BA2">
        <w:rPr>
          <w:rFonts w:ascii="Segoe UI" w:hAnsi="Segoe UI" w:cs="Segoe UI"/>
        </w:rPr>
        <w:t xml:space="preserve"> graph.</w:t>
      </w: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b/>
          <w:i/>
        </w:rPr>
        <w:sectPr w:rsidR="00AB015C" w:rsidRPr="00F12BA2" w:rsidSect="008718A5">
          <w:pgSz w:w="11906" w:h="16838"/>
          <w:pgMar w:top="1440" w:right="1440" w:bottom="1440" w:left="1440" w:header="708" w:footer="708" w:gutter="0"/>
          <w:cols w:space="708"/>
          <w:docGrid w:linePitch="360"/>
        </w:sectPr>
      </w:pPr>
    </w:p>
    <w:p w:rsidR="00AB015C" w:rsidRPr="00F12BA2" w:rsidRDefault="00AB015C" w:rsidP="00F12BA2">
      <w:pPr>
        <w:jc w:val="both"/>
        <w:rPr>
          <w:rFonts w:ascii="Segoe UI" w:hAnsi="Segoe UI" w:cs="Segoe UI"/>
          <w:b/>
        </w:rPr>
      </w:pPr>
      <w:r w:rsidRPr="00F12BA2">
        <w:rPr>
          <w:rFonts w:ascii="Segoe UI" w:hAnsi="Segoe UI" w:cs="Segoe UI"/>
          <w:b/>
          <w:i/>
        </w:rPr>
        <w:lastRenderedPageBreak/>
        <w:t xml:space="preserve">Clostridium </w:t>
      </w:r>
      <w:proofErr w:type="spellStart"/>
      <w:r w:rsidRPr="00F12BA2">
        <w:rPr>
          <w:rFonts w:ascii="Segoe UI" w:hAnsi="Segoe UI" w:cs="Segoe UI"/>
          <w:b/>
          <w:i/>
        </w:rPr>
        <w:t>difficile</w:t>
      </w:r>
      <w:proofErr w:type="spellEnd"/>
      <w:r w:rsidRPr="00F12BA2">
        <w:rPr>
          <w:rFonts w:ascii="Segoe UI" w:hAnsi="Segoe UI" w:cs="Segoe UI"/>
          <w:b/>
        </w:rPr>
        <w:t xml:space="preserve"> Health Economy Recovery Plan</w:t>
      </w: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u w:val="single"/>
        </w:rPr>
      </w:pPr>
      <w:proofErr w:type="gramStart"/>
      <w:r w:rsidRPr="00F12BA2">
        <w:rPr>
          <w:rFonts w:ascii="Segoe UI" w:hAnsi="Segoe UI" w:cs="Segoe UI"/>
          <w:u w:val="single"/>
        </w:rPr>
        <w:t>Current position.</w:t>
      </w:r>
      <w:proofErr w:type="gramEnd"/>
    </w:p>
    <w:p w:rsidR="00AB015C" w:rsidRPr="00F12BA2" w:rsidRDefault="00AB015C" w:rsidP="00F12BA2">
      <w:pPr>
        <w:jc w:val="both"/>
        <w:rPr>
          <w:rFonts w:ascii="Segoe UI" w:hAnsi="Segoe UI" w:cs="Segoe UI"/>
        </w:rPr>
      </w:pPr>
      <w:r w:rsidRPr="00F12BA2">
        <w:rPr>
          <w:rFonts w:ascii="Segoe UI" w:hAnsi="Segoe UI" w:cs="Segoe UI"/>
        </w:rPr>
        <w:t xml:space="preserve">By the end of June 2012 there have been 4 confirmed cases of </w:t>
      </w:r>
      <w:r w:rsidRPr="00F12BA2">
        <w:rPr>
          <w:rFonts w:ascii="Segoe UI" w:hAnsi="Segoe UI" w:cs="Segoe UI"/>
          <w:i/>
        </w:rPr>
        <w:t xml:space="preserve">Clostridium </w:t>
      </w:r>
      <w:proofErr w:type="spellStart"/>
      <w:r w:rsidRPr="00F12BA2">
        <w:rPr>
          <w:rFonts w:ascii="Segoe UI" w:hAnsi="Segoe UI" w:cs="Segoe UI"/>
          <w:i/>
        </w:rPr>
        <w:t>difficile</w:t>
      </w:r>
      <w:proofErr w:type="spellEnd"/>
      <w:r w:rsidRPr="00F12BA2">
        <w:rPr>
          <w:rFonts w:ascii="Segoe UI" w:hAnsi="Segoe UI" w:cs="Segoe UI"/>
        </w:rPr>
        <w:t xml:space="preserve"> infections (CDI) within Oxford Health. There were 6 cases of CDI at the end of June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51"/>
      </w:tblGrid>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April</w:t>
            </w:r>
          </w:p>
        </w:tc>
        <w:tc>
          <w:tcPr>
            <w:tcW w:w="851" w:type="dxa"/>
          </w:tcPr>
          <w:p w:rsidR="00AB015C" w:rsidRPr="00F12BA2" w:rsidRDefault="00AB015C" w:rsidP="00F12BA2">
            <w:pPr>
              <w:jc w:val="both"/>
              <w:rPr>
                <w:rFonts w:ascii="Segoe UI" w:hAnsi="Segoe UI" w:cs="Segoe UI"/>
              </w:rPr>
            </w:pPr>
            <w:r w:rsidRPr="00F12BA2">
              <w:rPr>
                <w:rFonts w:ascii="Segoe UI" w:hAnsi="Segoe UI" w:cs="Segoe UI"/>
              </w:rPr>
              <w:t>2</w:t>
            </w:r>
          </w:p>
        </w:tc>
      </w:tr>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May</w:t>
            </w:r>
          </w:p>
        </w:tc>
        <w:tc>
          <w:tcPr>
            <w:tcW w:w="851" w:type="dxa"/>
          </w:tcPr>
          <w:p w:rsidR="00AB015C" w:rsidRPr="00F12BA2" w:rsidRDefault="00AB015C" w:rsidP="00F12BA2">
            <w:pPr>
              <w:jc w:val="both"/>
              <w:rPr>
                <w:rFonts w:ascii="Segoe UI" w:hAnsi="Segoe UI" w:cs="Segoe UI"/>
              </w:rPr>
            </w:pPr>
            <w:r w:rsidRPr="00F12BA2">
              <w:rPr>
                <w:rFonts w:ascii="Segoe UI" w:hAnsi="Segoe UI" w:cs="Segoe UI"/>
              </w:rPr>
              <w:t>2</w:t>
            </w:r>
          </w:p>
        </w:tc>
      </w:tr>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June</w:t>
            </w:r>
          </w:p>
        </w:tc>
        <w:tc>
          <w:tcPr>
            <w:tcW w:w="851" w:type="dxa"/>
          </w:tcPr>
          <w:p w:rsidR="00AB015C" w:rsidRPr="00F12BA2" w:rsidRDefault="00AB015C" w:rsidP="00F12BA2">
            <w:pPr>
              <w:jc w:val="both"/>
              <w:rPr>
                <w:rFonts w:ascii="Segoe UI" w:hAnsi="Segoe UI" w:cs="Segoe UI"/>
              </w:rPr>
            </w:pPr>
            <w:r w:rsidRPr="00F12BA2">
              <w:rPr>
                <w:rFonts w:ascii="Segoe UI" w:hAnsi="Segoe UI" w:cs="Segoe UI"/>
              </w:rPr>
              <w:t>0</w:t>
            </w:r>
          </w:p>
        </w:tc>
      </w:tr>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July</w:t>
            </w:r>
          </w:p>
        </w:tc>
        <w:tc>
          <w:tcPr>
            <w:tcW w:w="851" w:type="dxa"/>
          </w:tcPr>
          <w:p w:rsidR="00AB015C" w:rsidRPr="00F12BA2" w:rsidRDefault="00AB015C" w:rsidP="00F12BA2">
            <w:pPr>
              <w:jc w:val="both"/>
              <w:rPr>
                <w:rFonts w:ascii="Segoe UI" w:hAnsi="Segoe UI" w:cs="Segoe UI"/>
              </w:rPr>
            </w:pPr>
          </w:p>
        </w:tc>
      </w:tr>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August</w:t>
            </w:r>
          </w:p>
        </w:tc>
        <w:tc>
          <w:tcPr>
            <w:tcW w:w="851" w:type="dxa"/>
          </w:tcPr>
          <w:p w:rsidR="00AB015C" w:rsidRPr="00F12BA2" w:rsidRDefault="00AB015C" w:rsidP="00F12BA2">
            <w:pPr>
              <w:jc w:val="both"/>
              <w:rPr>
                <w:rFonts w:ascii="Segoe UI" w:hAnsi="Segoe UI" w:cs="Segoe UI"/>
              </w:rPr>
            </w:pPr>
          </w:p>
        </w:tc>
      </w:tr>
      <w:tr w:rsidR="00AB015C" w:rsidRPr="00F12BA2" w:rsidTr="00AB015C">
        <w:tc>
          <w:tcPr>
            <w:tcW w:w="1809" w:type="dxa"/>
          </w:tcPr>
          <w:p w:rsidR="00AB015C" w:rsidRPr="00F12BA2" w:rsidRDefault="00AB015C" w:rsidP="00F12BA2">
            <w:pPr>
              <w:jc w:val="both"/>
              <w:rPr>
                <w:rFonts w:ascii="Segoe UI" w:hAnsi="Segoe UI" w:cs="Segoe UI"/>
              </w:rPr>
            </w:pPr>
            <w:r w:rsidRPr="00F12BA2">
              <w:rPr>
                <w:rFonts w:ascii="Segoe UI" w:hAnsi="Segoe UI" w:cs="Segoe UI"/>
              </w:rPr>
              <w:t>September</w:t>
            </w:r>
          </w:p>
        </w:tc>
        <w:tc>
          <w:tcPr>
            <w:tcW w:w="851" w:type="dxa"/>
          </w:tcPr>
          <w:p w:rsidR="00AB015C" w:rsidRPr="00F12BA2" w:rsidRDefault="00AB015C" w:rsidP="00F12BA2">
            <w:pPr>
              <w:jc w:val="both"/>
              <w:rPr>
                <w:rFonts w:ascii="Segoe UI" w:hAnsi="Segoe UI" w:cs="Segoe UI"/>
              </w:rPr>
            </w:pPr>
          </w:p>
        </w:tc>
      </w:tr>
    </w:tbl>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r w:rsidRPr="00F12BA2">
        <w:rPr>
          <w:rFonts w:ascii="Segoe UI" w:hAnsi="Segoe UI" w:cs="Segoe UI"/>
        </w:rPr>
        <w:t xml:space="preserve">It should be recognised that the Trust’s end of year target contributes and is part of the overall Oxfordshire health economy target. </w:t>
      </w:r>
    </w:p>
    <w:p w:rsidR="00AB015C" w:rsidRPr="00F12BA2" w:rsidRDefault="00AB015C" w:rsidP="00F12BA2">
      <w:pPr>
        <w:jc w:val="both"/>
        <w:rPr>
          <w:rFonts w:ascii="Segoe UI" w:hAnsi="Segoe UI" w:cs="Segoe UI"/>
        </w:rPr>
      </w:pPr>
      <w:r w:rsidRPr="00F12BA2">
        <w:rPr>
          <w:rFonts w:ascii="Segoe UI" w:hAnsi="Segoe UI" w:cs="Segoe UI"/>
        </w:rPr>
        <w:t>Oxford Health has a target of 10 cases, which is extremely challenging (2010/11 outturn was 15 cases) and that to remain on track there must be no cases in the next 3 months. The patients cared for in Oxford Health remain extremely high risk for development of CDI. There is a new 2 stage CDI test which has been introduced on 1</w:t>
      </w:r>
      <w:r w:rsidRPr="00F12BA2">
        <w:rPr>
          <w:rFonts w:ascii="Segoe UI" w:hAnsi="Segoe UI" w:cs="Segoe UI"/>
          <w:vertAlign w:val="superscript"/>
        </w:rPr>
        <w:t>st</w:t>
      </w:r>
      <w:r w:rsidRPr="00F12BA2">
        <w:rPr>
          <w:rFonts w:ascii="Segoe UI" w:hAnsi="Segoe UI" w:cs="Segoe UI"/>
        </w:rPr>
        <w:t xml:space="preserve"> April 2012, which may affect the number of cases attributed to Oxford Health. The number of cases which have been seen in April and May in Oxfordshire are already higher than expected and therefore the test may well be increasing the number of cases, without patients experiencing CDI symptoms.</w:t>
      </w:r>
    </w:p>
    <w:p w:rsidR="00AB015C" w:rsidRPr="00F12BA2" w:rsidRDefault="00AB015C" w:rsidP="00F12BA2">
      <w:pPr>
        <w:jc w:val="both"/>
        <w:rPr>
          <w:rFonts w:ascii="Segoe UI" w:hAnsi="Segoe UI" w:cs="Segoe UI"/>
          <w:u w:val="single"/>
        </w:rPr>
      </w:pPr>
      <w:r w:rsidRPr="00F12BA2">
        <w:rPr>
          <w:rFonts w:ascii="Segoe UI" w:hAnsi="Segoe UI" w:cs="Segoe UI"/>
          <w:u w:val="single"/>
        </w:rPr>
        <w:lastRenderedPageBreak/>
        <w:t>Recovery plan</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96"/>
        <w:gridCol w:w="4111"/>
        <w:gridCol w:w="1559"/>
        <w:gridCol w:w="1701"/>
        <w:gridCol w:w="2835"/>
        <w:gridCol w:w="851"/>
      </w:tblGrid>
      <w:tr w:rsidR="00AB015C" w:rsidRPr="00F12BA2" w:rsidTr="00AB015C">
        <w:tc>
          <w:tcPr>
            <w:tcW w:w="648" w:type="dxa"/>
            <w:shd w:val="clear" w:color="auto" w:fill="auto"/>
          </w:tcPr>
          <w:p w:rsidR="00AB015C" w:rsidRPr="00F12BA2" w:rsidRDefault="00AB015C" w:rsidP="00F12BA2">
            <w:pPr>
              <w:ind w:hanging="153"/>
              <w:jc w:val="both"/>
              <w:rPr>
                <w:rFonts w:ascii="Segoe UI" w:hAnsi="Segoe UI" w:cs="Segoe UI"/>
              </w:rPr>
            </w:pP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Issue</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Action</w:t>
            </w: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Person responsible</w:t>
            </w:r>
          </w:p>
        </w:tc>
        <w:tc>
          <w:tcPr>
            <w:tcW w:w="170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 xml:space="preserve">By when </w:t>
            </w:r>
          </w:p>
        </w:tc>
        <w:tc>
          <w:tcPr>
            <w:tcW w:w="2835"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Progress</w:t>
            </w:r>
          </w:p>
        </w:tc>
        <w:tc>
          <w:tcPr>
            <w:tcW w:w="851" w:type="dxa"/>
            <w:tcBorders>
              <w:bottom w:val="single" w:sz="4" w:space="0" w:color="auto"/>
            </w:tcBorders>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RAG</w:t>
            </w:r>
          </w:p>
        </w:tc>
      </w:tr>
      <w:tr w:rsidR="00AB015C" w:rsidRPr="00F12BA2" w:rsidTr="00AB015C">
        <w:tc>
          <w:tcPr>
            <w:tcW w:w="648"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1</w:t>
            </w: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Identify any learning from the 4 cases that occurred in April/May 2012</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All RCA’s and CDI cases to be reviewed. Identify common themes and issues</w:t>
            </w: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HB</w:t>
            </w:r>
          </w:p>
        </w:tc>
        <w:tc>
          <w:tcPr>
            <w:tcW w:w="1701" w:type="dxa"/>
            <w:shd w:val="clear" w:color="auto" w:fill="auto"/>
          </w:tcPr>
          <w:p w:rsidR="00AB015C" w:rsidRPr="00F12BA2" w:rsidRDefault="00AB015C" w:rsidP="00F12BA2">
            <w:pPr>
              <w:jc w:val="both"/>
              <w:rPr>
                <w:rFonts w:ascii="Segoe UI" w:hAnsi="Segoe UI" w:cs="Segoe UI"/>
                <w:highlight w:val="yellow"/>
              </w:rPr>
            </w:pPr>
            <w:r w:rsidRPr="00F12BA2">
              <w:rPr>
                <w:rFonts w:ascii="Segoe UI" w:hAnsi="Segoe UI" w:cs="Segoe UI"/>
              </w:rPr>
              <w:t>June 2012</w:t>
            </w:r>
          </w:p>
        </w:tc>
        <w:tc>
          <w:tcPr>
            <w:tcW w:w="2835"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Complete.</w:t>
            </w:r>
          </w:p>
          <w:p w:rsidR="00AB015C" w:rsidRPr="00F12BA2" w:rsidRDefault="00AB015C" w:rsidP="00F12BA2">
            <w:pPr>
              <w:jc w:val="both"/>
              <w:rPr>
                <w:rFonts w:ascii="Segoe UI" w:hAnsi="Segoe UI" w:cs="Segoe UI"/>
              </w:rPr>
            </w:pPr>
            <w:r w:rsidRPr="00F12BA2">
              <w:rPr>
                <w:rFonts w:ascii="Segoe UI" w:hAnsi="Segoe UI" w:cs="Segoe UI"/>
              </w:rPr>
              <w:t>RCA’s reviewed by Trust clinical governance committee</w:t>
            </w:r>
          </w:p>
        </w:tc>
        <w:tc>
          <w:tcPr>
            <w:tcW w:w="851" w:type="dxa"/>
            <w:shd w:val="clear" w:color="auto" w:fill="92D050"/>
          </w:tcPr>
          <w:p w:rsidR="00AB015C" w:rsidRPr="00F12BA2" w:rsidRDefault="00AB015C" w:rsidP="00F12BA2">
            <w:pPr>
              <w:jc w:val="both"/>
              <w:rPr>
                <w:rFonts w:ascii="Segoe UI" w:hAnsi="Segoe UI" w:cs="Segoe UI"/>
                <w:highlight w:val="yellow"/>
              </w:rPr>
            </w:pPr>
          </w:p>
        </w:tc>
      </w:tr>
      <w:tr w:rsidR="00AB015C" w:rsidRPr="00F12BA2" w:rsidTr="00AB015C">
        <w:tc>
          <w:tcPr>
            <w:tcW w:w="648"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2</w:t>
            </w: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Identify any learning from the 4 cases that have occurred so far in 2012/13</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Complete and review RCA’s for all cases. Identify common issues and take appropriate action.</w:t>
            </w:r>
          </w:p>
          <w:p w:rsidR="00AB015C" w:rsidRPr="00F12BA2" w:rsidRDefault="00AB015C" w:rsidP="00F12BA2">
            <w:pPr>
              <w:jc w:val="both"/>
              <w:rPr>
                <w:rFonts w:ascii="Segoe UI" w:hAnsi="Segoe UI" w:cs="Segoe UI"/>
              </w:rPr>
            </w:pPr>
            <w:r w:rsidRPr="00F12BA2">
              <w:rPr>
                <w:rFonts w:ascii="Segoe UI" w:hAnsi="Segoe UI" w:cs="Segoe UI"/>
              </w:rPr>
              <w:t>Discuss and review RCA’s and action plans at weekly clinical governance meetings and follow up any learning by incidents</w:t>
            </w: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HB</w:t>
            </w:r>
          </w:p>
        </w:tc>
        <w:tc>
          <w:tcPr>
            <w:tcW w:w="170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June 2012</w:t>
            </w:r>
          </w:p>
        </w:tc>
        <w:tc>
          <w:tcPr>
            <w:tcW w:w="2835"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Complete.</w:t>
            </w:r>
          </w:p>
          <w:p w:rsidR="00AB015C" w:rsidRPr="00F12BA2" w:rsidRDefault="00AB015C" w:rsidP="00F12BA2">
            <w:pPr>
              <w:jc w:val="both"/>
              <w:rPr>
                <w:rFonts w:ascii="Segoe UI" w:hAnsi="Segoe UI" w:cs="Segoe UI"/>
              </w:rPr>
            </w:pPr>
            <w:r w:rsidRPr="00F12BA2">
              <w:rPr>
                <w:rFonts w:ascii="Segoe UI" w:hAnsi="Segoe UI" w:cs="Segoe UI"/>
              </w:rPr>
              <w:t>RCA’s reviewed by Trust clinical governance committee</w:t>
            </w:r>
          </w:p>
        </w:tc>
        <w:tc>
          <w:tcPr>
            <w:tcW w:w="851" w:type="dxa"/>
            <w:shd w:val="clear" w:color="auto" w:fill="92D050"/>
          </w:tcPr>
          <w:p w:rsidR="00AB015C" w:rsidRPr="00F12BA2" w:rsidRDefault="00AB015C" w:rsidP="00F12BA2">
            <w:pPr>
              <w:jc w:val="both"/>
              <w:rPr>
                <w:rFonts w:ascii="Segoe UI" w:hAnsi="Segoe UI" w:cs="Segoe UI"/>
                <w:highlight w:val="yellow"/>
              </w:rPr>
            </w:pPr>
          </w:p>
        </w:tc>
      </w:tr>
      <w:tr w:rsidR="00AB015C" w:rsidRPr="00F12BA2" w:rsidTr="00AB015C">
        <w:tc>
          <w:tcPr>
            <w:tcW w:w="648"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3</w:t>
            </w: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Inappropriate sampling as requested by GP</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To reissue sampling guidance to wards</w:t>
            </w:r>
          </w:p>
          <w:p w:rsidR="00AB015C" w:rsidRPr="00F12BA2" w:rsidRDefault="00AB015C" w:rsidP="00F12BA2">
            <w:pPr>
              <w:jc w:val="both"/>
              <w:rPr>
                <w:rFonts w:ascii="Segoe UI" w:hAnsi="Segoe UI" w:cs="Segoe UI"/>
              </w:rPr>
            </w:pPr>
            <w:r w:rsidRPr="00F12BA2">
              <w:rPr>
                <w:rFonts w:ascii="Segoe UI" w:hAnsi="Segoe UI" w:cs="Segoe UI"/>
              </w:rPr>
              <w:t>To review medical contracts to ensure GP‘s are aware of Trust policies and procedures and adhere to them..</w:t>
            </w:r>
          </w:p>
          <w:p w:rsidR="00AB015C" w:rsidRPr="00F12BA2" w:rsidRDefault="00AB015C" w:rsidP="00F12BA2">
            <w:pPr>
              <w:jc w:val="both"/>
              <w:rPr>
                <w:rFonts w:ascii="Segoe UI" w:hAnsi="Segoe UI" w:cs="Segoe UI"/>
              </w:rPr>
            </w:pP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HB</w:t>
            </w: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r w:rsidRPr="00F12BA2">
              <w:rPr>
                <w:rFonts w:ascii="Segoe UI" w:hAnsi="Segoe UI" w:cs="Segoe UI"/>
              </w:rPr>
              <w:t>PM/JC</w:t>
            </w:r>
          </w:p>
        </w:tc>
        <w:tc>
          <w:tcPr>
            <w:tcW w:w="1701" w:type="dxa"/>
            <w:shd w:val="clear" w:color="auto" w:fill="auto"/>
          </w:tcPr>
          <w:p w:rsidR="00AB015C" w:rsidRPr="00F12BA2" w:rsidRDefault="00AB015C" w:rsidP="00F12BA2">
            <w:pPr>
              <w:jc w:val="both"/>
              <w:rPr>
                <w:rFonts w:ascii="Segoe UI" w:hAnsi="Segoe UI" w:cs="Segoe UI"/>
                <w:highlight w:val="yellow"/>
              </w:rPr>
            </w:pPr>
          </w:p>
        </w:tc>
        <w:tc>
          <w:tcPr>
            <w:tcW w:w="2835" w:type="dxa"/>
            <w:shd w:val="clear" w:color="auto" w:fill="auto"/>
          </w:tcPr>
          <w:p w:rsidR="00AB015C" w:rsidRPr="00F12BA2" w:rsidRDefault="00AB015C" w:rsidP="00F12BA2">
            <w:pPr>
              <w:jc w:val="both"/>
              <w:rPr>
                <w:rFonts w:ascii="Segoe UI" w:hAnsi="Segoe UI" w:cs="Segoe UI"/>
                <w:highlight w:val="yellow"/>
              </w:rPr>
            </w:pPr>
            <w:r w:rsidRPr="00F12BA2">
              <w:rPr>
                <w:rFonts w:ascii="Segoe UI" w:hAnsi="Segoe UI" w:cs="Segoe UI"/>
              </w:rPr>
              <w:t>Complete</w:t>
            </w:r>
          </w:p>
        </w:tc>
        <w:tc>
          <w:tcPr>
            <w:tcW w:w="851" w:type="dxa"/>
            <w:shd w:val="clear" w:color="auto" w:fill="92D050"/>
          </w:tcPr>
          <w:p w:rsidR="00AB015C" w:rsidRPr="00F12BA2" w:rsidRDefault="00AB015C" w:rsidP="00F12BA2">
            <w:pPr>
              <w:jc w:val="both"/>
              <w:rPr>
                <w:rFonts w:ascii="Segoe UI" w:hAnsi="Segoe UI" w:cs="Segoe UI"/>
              </w:rPr>
            </w:pPr>
          </w:p>
        </w:tc>
      </w:tr>
      <w:tr w:rsidR="00AB015C" w:rsidRPr="00F12BA2" w:rsidTr="00AB015C">
        <w:trPr>
          <w:trHeight w:val="5377"/>
        </w:trPr>
        <w:tc>
          <w:tcPr>
            <w:tcW w:w="648"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lastRenderedPageBreak/>
              <w:t>4</w:t>
            </w: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Inappropriate antimicrobial prescribing</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RCA’s will be reviewed by the medicines management lead or other appropriate professional.</w:t>
            </w:r>
          </w:p>
          <w:p w:rsidR="00AB015C" w:rsidRPr="00F12BA2" w:rsidRDefault="00AB015C" w:rsidP="00F12BA2">
            <w:pPr>
              <w:jc w:val="both"/>
              <w:rPr>
                <w:rFonts w:ascii="Segoe UI" w:hAnsi="Segoe UI" w:cs="Segoe UI"/>
              </w:rPr>
            </w:pPr>
            <w:r w:rsidRPr="00F12BA2">
              <w:rPr>
                <w:rFonts w:ascii="Segoe UI" w:hAnsi="Segoe UI" w:cs="Segoe UI"/>
              </w:rPr>
              <w:t>Any inappropriate practice will be followed up with the relevant prescriber and action and learning implemented.</w:t>
            </w:r>
          </w:p>
          <w:p w:rsidR="00AB015C" w:rsidRPr="00F12BA2" w:rsidRDefault="00AB015C" w:rsidP="00F12BA2">
            <w:pPr>
              <w:jc w:val="both"/>
              <w:rPr>
                <w:rFonts w:ascii="Segoe UI" w:hAnsi="Segoe UI" w:cs="Segoe UI"/>
              </w:rPr>
            </w:pPr>
            <w:r w:rsidRPr="00F12BA2">
              <w:rPr>
                <w:rFonts w:ascii="Segoe UI" w:hAnsi="Segoe UI" w:cs="Segoe UI"/>
              </w:rPr>
              <w:t>OOH prescribing practice being reviewed by the medicines management lead to ensure latest guidance is available</w:t>
            </w:r>
          </w:p>
          <w:p w:rsidR="00AB015C" w:rsidRPr="00F12BA2" w:rsidRDefault="00AB015C" w:rsidP="00F12BA2">
            <w:pPr>
              <w:spacing w:after="0" w:line="240" w:lineRule="auto"/>
              <w:jc w:val="both"/>
              <w:rPr>
                <w:rFonts w:ascii="Segoe UI" w:hAnsi="Segoe UI" w:cs="Segoe UI"/>
              </w:rPr>
            </w:pPr>
            <w:r w:rsidRPr="00F12BA2">
              <w:rPr>
                <w:rFonts w:ascii="Segoe UI" w:hAnsi="Segoe UI" w:cs="Segoe UI"/>
              </w:rPr>
              <w:t>To upload electronic copies of the pocket book antimicrobial guidelines so are available on all computer desk tops for easy access</w:t>
            </w: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Medicines management lead</w:t>
            </w:r>
          </w:p>
          <w:p w:rsidR="00AB015C" w:rsidRPr="00F12BA2" w:rsidRDefault="00AB015C" w:rsidP="00F12BA2">
            <w:pPr>
              <w:jc w:val="both"/>
              <w:rPr>
                <w:rFonts w:ascii="Segoe UI" w:hAnsi="Segoe UI" w:cs="Segoe UI"/>
              </w:rPr>
            </w:pPr>
            <w:r w:rsidRPr="00F12BA2">
              <w:rPr>
                <w:rFonts w:ascii="Segoe UI" w:hAnsi="Segoe UI" w:cs="Segoe UI"/>
              </w:rPr>
              <w:t>Clinical Director/OOH manager</w:t>
            </w:r>
          </w:p>
        </w:tc>
        <w:tc>
          <w:tcPr>
            <w:tcW w:w="170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June 2012</w:t>
            </w: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p>
          <w:p w:rsidR="00AB015C" w:rsidRPr="00F12BA2" w:rsidRDefault="00AB015C" w:rsidP="00F12BA2">
            <w:pPr>
              <w:jc w:val="both"/>
              <w:rPr>
                <w:rFonts w:ascii="Segoe UI" w:hAnsi="Segoe UI" w:cs="Segoe UI"/>
              </w:rPr>
            </w:pPr>
            <w:r w:rsidRPr="00F12BA2">
              <w:rPr>
                <w:rFonts w:ascii="Segoe UI" w:hAnsi="Segoe UI" w:cs="Segoe UI"/>
              </w:rPr>
              <w:t>July 2012</w:t>
            </w:r>
          </w:p>
        </w:tc>
        <w:tc>
          <w:tcPr>
            <w:tcW w:w="2835"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Complete</w:t>
            </w:r>
          </w:p>
          <w:p w:rsidR="00AB015C" w:rsidRPr="00F12BA2" w:rsidRDefault="00AB015C" w:rsidP="00F12BA2">
            <w:pPr>
              <w:jc w:val="both"/>
              <w:rPr>
                <w:rFonts w:ascii="Segoe UI" w:hAnsi="Segoe UI" w:cs="Segoe UI"/>
              </w:rPr>
            </w:pPr>
            <w:r w:rsidRPr="00F12BA2">
              <w:rPr>
                <w:rFonts w:ascii="Segoe UI" w:hAnsi="Segoe UI" w:cs="Segoe UI"/>
              </w:rPr>
              <w:t>Any prescribing concerns discussed with clinician by the clinical director</w:t>
            </w:r>
          </w:p>
        </w:tc>
        <w:tc>
          <w:tcPr>
            <w:tcW w:w="851" w:type="dxa"/>
            <w:shd w:val="clear" w:color="auto" w:fill="auto"/>
          </w:tcPr>
          <w:p w:rsidR="00AB015C" w:rsidRPr="00F12BA2" w:rsidRDefault="00AB015C" w:rsidP="00F12BA2">
            <w:pPr>
              <w:jc w:val="both"/>
              <w:rPr>
                <w:rFonts w:ascii="Segoe UI" w:hAnsi="Segoe UI" w:cs="Segoe UI"/>
              </w:rPr>
            </w:pPr>
          </w:p>
        </w:tc>
      </w:tr>
      <w:tr w:rsidR="00AB015C" w:rsidRPr="00F12BA2" w:rsidTr="00AB015C">
        <w:tc>
          <w:tcPr>
            <w:tcW w:w="648"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5</w:t>
            </w:r>
          </w:p>
        </w:tc>
        <w:tc>
          <w:tcPr>
            <w:tcW w:w="2896"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Peer review of RCA’s</w:t>
            </w:r>
          </w:p>
        </w:tc>
        <w:tc>
          <w:tcPr>
            <w:tcW w:w="411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To review all RCA’s of new cases of CDI with clinical director, divisional nurse of community services and medicines management lead.</w:t>
            </w:r>
          </w:p>
          <w:p w:rsidR="00AB015C" w:rsidRPr="00F12BA2" w:rsidRDefault="00AB015C" w:rsidP="00F12BA2">
            <w:pPr>
              <w:spacing w:after="0" w:line="240" w:lineRule="auto"/>
              <w:jc w:val="both"/>
              <w:rPr>
                <w:rFonts w:ascii="Segoe UI" w:hAnsi="Segoe UI" w:cs="Segoe UI"/>
              </w:rPr>
            </w:pPr>
            <w:r w:rsidRPr="00F12BA2">
              <w:rPr>
                <w:rFonts w:ascii="Segoe UI" w:hAnsi="Segoe UI" w:cs="Segoe UI"/>
              </w:rPr>
              <w:t>To identify any common themes and implement appropriate action</w:t>
            </w:r>
          </w:p>
        </w:tc>
        <w:tc>
          <w:tcPr>
            <w:tcW w:w="1559"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 xml:space="preserve">HB, </w:t>
            </w:r>
            <w:proofErr w:type="spellStart"/>
            <w:r w:rsidRPr="00F12BA2">
              <w:rPr>
                <w:rFonts w:ascii="Segoe UI" w:hAnsi="Segoe UI" w:cs="Segoe UI"/>
              </w:rPr>
              <w:t>PMcG</w:t>
            </w:r>
            <w:proofErr w:type="spellEnd"/>
            <w:r w:rsidRPr="00F12BA2">
              <w:rPr>
                <w:rFonts w:ascii="Segoe UI" w:hAnsi="Segoe UI" w:cs="Segoe UI"/>
              </w:rPr>
              <w:t>, JC and MB</w:t>
            </w:r>
          </w:p>
        </w:tc>
        <w:tc>
          <w:tcPr>
            <w:tcW w:w="1701"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June 2012</w:t>
            </w:r>
          </w:p>
        </w:tc>
        <w:tc>
          <w:tcPr>
            <w:tcW w:w="2835" w:type="dxa"/>
            <w:shd w:val="clear" w:color="auto" w:fill="auto"/>
          </w:tcPr>
          <w:p w:rsidR="00AB015C" w:rsidRPr="00F12BA2" w:rsidRDefault="00AB015C" w:rsidP="00F12BA2">
            <w:pPr>
              <w:jc w:val="both"/>
              <w:rPr>
                <w:rFonts w:ascii="Segoe UI" w:hAnsi="Segoe UI" w:cs="Segoe UI"/>
              </w:rPr>
            </w:pPr>
            <w:r w:rsidRPr="00F12BA2">
              <w:rPr>
                <w:rFonts w:ascii="Segoe UI" w:hAnsi="Segoe UI" w:cs="Segoe UI"/>
              </w:rPr>
              <w:t>In place</w:t>
            </w:r>
          </w:p>
        </w:tc>
        <w:tc>
          <w:tcPr>
            <w:tcW w:w="851" w:type="dxa"/>
            <w:shd w:val="clear" w:color="auto" w:fill="92D050"/>
          </w:tcPr>
          <w:p w:rsidR="00AB015C" w:rsidRPr="00F12BA2" w:rsidRDefault="00AB015C" w:rsidP="00F12BA2">
            <w:pPr>
              <w:jc w:val="both"/>
              <w:rPr>
                <w:rFonts w:ascii="Segoe UI" w:hAnsi="Segoe UI" w:cs="Segoe UI"/>
              </w:rPr>
            </w:pPr>
          </w:p>
        </w:tc>
      </w:tr>
    </w:tbl>
    <w:p w:rsidR="00AB015C" w:rsidRPr="00F12BA2" w:rsidRDefault="00AB015C" w:rsidP="00F12BA2">
      <w:pPr>
        <w:spacing w:after="0" w:line="240" w:lineRule="auto"/>
        <w:jc w:val="both"/>
        <w:rPr>
          <w:rFonts w:ascii="Segoe UI" w:hAnsi="Segoe UI" w:cs="Segoe UI"/>
          <w:u w:val="single"/>
        </w:rPr>
      </w:pPr>
      <w:r w:rsidRPr="00F12BA2">
        <w:rPr>
          <w:rFonts w:ascii="Segoe UI" w:hAnsi="Segoe UI" w:cs="Segoe UI"/>
          <w:u w:val="single"/>
        </w:rPr>
        <w:t>Assurance</w:t>
      </w:r>
    </w:p>
    <w:p w:rsidR="00AB015C" w:rsidRPr="00F12BA2" w:rsidRDefault="00AB015C" w:rsidP="00F12BA2">
      <w:pPr>
        <w:spacing w:after="0" w:line="240" w:lineRule="auto"/>
        <w:jc w:val="both"/>
        <w:rPr>
          <w:rFonts w:ascii="Segoe UI" w:hAnsi="Segoe UI" w:cs="Segoe UI"/>
        </w:rPr>
      </w:pPr>
      <w:r w:rsidRPr="00F12BA2">
        <w:rPr>
          <w:rFonts w:ascii="Segoe UI" w:hAnsi="Segoe UI" w:cs="Segoe UI"/>
        </w:rPr>
        <w:t>Reporting with be into clinical governance committee via the infection control report</w:t>
      </w:r>
    </w:p>
    <w:p w:rsidR="00AB015C" w:rsidRPr="00F12BA2" w:rsidRDefault="00AB015C" w:rsidP="00F12BA2">
      <w:pPr>
        <w:spacing w:after="0" w:line="240" w:lineRule="auto"/>
        <w:jc w:val="both"/>
        <w:rPr>
          <w:rFonts w:ascii="Segoe UI" w:hAnsi="Segoe UI" w:cs="Segoe UI"/>
          <w:b/>
        </w:rPr>
      </w:pP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r w:rsidRPr="00F12BA2">
        <w:rPr>
          <w:rFonts w:ascii="Segoe UI" w:hAnsi="Segoe UI" w:cs="Segoe UI"/>
        </w:rPr>
        <w:tab/>
      </w:r>
    </w:p>
    <w:p w:rsidR="00AB015C" w:rsidRPr="00F12BA2" w:rsidRDefault="00AB015C" w:rsidP="00F12BA2">
      <w:pPr>
        <w:spacing w:after="0" w:line="240" w:lineRule="auto"/>
        <w:jc w:val="both"/>
        <w:rPr>
          <w:rFonts w:ascii="Segoe UI" w:hAnsi="Segoe UI" w:cs="Segoe UI"/>
        </w:rPr>
      </w:pPr>
      <w:r w:rsidRPr="00F12BA2">
        <w:rPr>
          <w:rFonts w:ascii="Segoe UI" w:hAnsi="Segoe UI" w:cs="Segoe UI"/>
        </w:rPr>
        <w:t>Helen Bosley</w:t>
      </w:r>
    </w:p>
    <w:p w:rsidR="000A5D32" w:rsidRPr="00F12BA2" w:rsidRDefault="00735511" w:rsidP="00F12BA2">
      <w:pPr>
        <w:spacing w:after="0" w:line="240" w:lineRule="auto"/>
        <w:jc w:val="both"/>
        <w:rPr>
          <w:rFonts w:ascii="Segoe UI" w:hAnsi="Segoe UI" w:cs="Segoe UI"/>
        </w:rPr>
      </w:pPr>
      <w:r>
        <w:rPr>
          <w:rFonts w:ascii="Segoe UI" w:hAnsi="Segoe UI" w:cs="Segoe UI"/>
        </w:rPr>
        <w:t>Infection P</w:t>
      </w:r>
      <w:r w:rsidR="00AB015C" w:rsidRPr="00F12BA2">
        <w:rPr>
          <w:rFonts w:ascii="Segoe UI" w:hAnsi="Segoe UI" w:cs="Segoe UI"/>
        </w:rPr>
        <w:t>revention and Control Matron</w:t>
      </w:r>
      <w:r w:rsidR="00F12BA2">
        <w:rPr>
          <w:rFonts w:ascii="Segoe UI" w:hAnsi="Segoe UI" w:cs="Segoe UI"/>
        </w:rPr>
        <w:t xml:space="preserve"> </w:t>
      </w:r>
      <w:r w:rsidR="00AB015C" w:rsidRPr="00F12BA2">
        <w:rPr>
          <w:rFonts w:ascii="Segoe UI" w:hAnsi="Segoe UI" w:cs="Segoe UI"/>
        </w:rPr>
        <w:t>June 2012</w:t>
      </w:r>
      <w:r w:rsidR="00230E96" w:rsidRPr="00F12BA2">
        <w:rPr>
          <w:rFonts w:ascii="Segoe UI" w:hAnsi="Segoe UI" w:cs="Segoe UI"/>
        </w:rPr>
        <w:t xml:space="preserve">                                                    </w:t>
      </w:r>
    </w:p>
    <w:p w:rsidR="00AB015C" w:rsidRPr="00F12BA2" w:rsidRDefault="00AB015C" w:rsidP="00F12BA2">
      <w:pPr>
        <w:spacing w:line="240" w:lineRule="auto"/>
        <w:jc w:val="both"/>
        <w:rPr>
          <w:rFonts w:ascii="Segoe UI" w:hAnsi="Segoe UI" w:cs="Segoe UI"/>
        </w:rPr>
        <w:sectPr w:rsidR="00AB015C" w:rsidRPr="00F12BA2" w:rsidSect="00AB015C">
          <w:pgSz w:w="16838" w:h="11906" w:orient="landscape"/>
          <w:pgMar w:top="1440" w:right="1440" w:bottom="1440" w:left="1440" w:header="709" w:footer="709" w:gutter="0"/>
          <w:cols w:space="708"/>
          <w:docGrid w:linePitch="360"/>
        </w:sectPr>
      </w:pPr>
    </w:p>
    <w:p w:rsidR="00E26ACC" w:rsidRPr="00F12BA2" w:rsidRDefault="00E26ACC" w:rsidP="00F12BA2">
      <w:pPr>
        <w:spacing w:line="240" w:lineRule="auto"/>
        <w:jc w:val="both"/>
        <w:rPr>
          <w:rFonts w:ascii="Segoe UI" w:hAnsi="Segoe UI" w:cs="Segoe UI"/>
          <w:b/>
          <w:u w:val="single"/>
        </w:rPr>
      </w:pPr>
      <w:r w:rsidRPr="00F12BA2">
        <w:rPr>
          <w:rFonts w:ascii="Segoe UI" w:hAnsi="Segoe UI" w:cs="Segoe UI"/>
          <w:b/>
          <w:u w:val="single"/>
        </w:rPr>
        <w:lastRenderedPageBreak/>
        <w:t>Summary</w:t>
      </w:r>
    </w:p>
    <w:p w:rsidR="00DA3F82" w:rsidRPr="00F12BA2" w:rsidRDefault="00E26ACC" w:rsidP="00F12BA2">
      <w:pPr>
        <w:spacing w:line="240" w:lineRule="auto"/>
        <w:jc w:val="both"/>
        <w:rPr>
          <w:rFonts w:ascii="Segoe UI" w:hAnsi="Segoe UI" w:cs="Segoe UI"/>
        </w:rPr>
      </w:pPr>
      <w:r w:rsidRPr="00F12BA2">
        <w:rPr>
          <w:rFonts w:ascii="Segoe UI" w:hAnsi="Segoe UI" w:cs="Segoe UI"/>
        </w:rPr>
        <w:t xml:space="preserve">Patients with true CDI have frequent episodes of diarrhoea (more than 4 episodes in 24 hours). </w:t>
      </w:r>
      <w:r w:rsidR="00DA3F82" w:rsidRPr="00F12BA2">
        <w:rPr>
          <w:rFonts w:ascii="Segoe UI" w:hAnsi="Segoe UI" w:cs="Segoe UI"/>
        </w:rPr>
        <w:t>Patients</w:t>
      </w:r>
      <w:r w:rsidRPr="00F12BA2">
        <w:rPr>
          <w:rFonts w:ascii="Segoe UI" w:hAnsi="Segoe UI" w:cs="Segoe UI"/>
        </w:rPr>
        <w:t xml:space="preserve"> with unexplained </w:t>
      </w:r>
      <w:r w:rsidR="00DA3F82" w:rsidRPr="00F12BA2">
        <w:rPr>
          <w:rFonts w:ascii="Segoe UI" w:hAnsi="Segoe UI" w:cs="Segoe UI"/>
        </w:rPr>
        <w:t>diarrhoea</w:t>
      </w:r>
      <w:r w:rsidRPr="00F12BA2">
        <w:rPr>
          <w:rFonts w:ascii="Segoe UI" w:hAnsi="Segoe UI" w:cs="Segoe UI"/>
        </w:rPr>
        <w:t xml:space="preserve"> will be fully assessed for possible </w:t>
      </w:r>
      <w:r w:rsidR="00A15714" w:rsidRPr="00F12BA2">
        <w:rPr>
          <w:rFonts w:ascii="Segoe UI" w:hAnsi="Segoe UI" w:cs="Segoe UI"/>
        </w:rPr>
        <w:t xml:space="preserve">causes and the SIGHT </w:t>
      </w:r>
      <w:r w:rsidR="00ED7A28" w:rsidRPr="00F12BA2">
        <w:rPr>
          <w:rFonts w:ascii="Segoe UI" w:hAnsi="Segoe UI" w:cs="Segoe UI"/>
        </w:rPr>
        <w:t>mnemonic</w:t>
      </w:r>
      <w:r w:rsidR="00DA3F82" w:rsidRPr="00F12BA2">
        <w:rPr>
          <w:rFonts w:ascii="Segoe UI" w:hAnsi="Segoe UI" w:cs="Segoe UI"/>
        </w:rPr>
        <w:t xml:space="preserve"> algorithm used. Specimens will be sent by trained nurses and the result will be actively followed up the next working day and action taken if required. SLA and reporting arrangements will be reviewed by the 5 Trusts providing laboratory services in order to ensure significant results are received at the earliest opportunity so patients can be safely care for.</w:t>
      </w:r>
    </w:p>
    <w:p w:rsidR="00DA3F82" w:rsidRPr="00F12BA2" w:rsidRDefault="00DA3F82" w:rsidP="00F12BA2">
      <w:pPr>
        <w:spacing w:line="240" w:lineRule="auto"/>
        <w:jc w:val="both"/>
        <w:rPr>
          <w:rFonts w:ascii="Segoe UI" w:hAnsi="Segoe UI" w:cs="Segoe UI"/>
        </w:rPr>
      </w:pPr>
      <w:r w:rsidRPr="00F12BA2">
        <w:rPr>
          <w:rFonts w:ascii="Segoe UI" w:hAnsi="Segoe UI" w:cs="Segoe UI"/>
        </w:rPr>
        <w:t>We will continue to work closely with our colleagues and if there are any changes in the future in national guidance or virulence of CDI cases our procedures will be reviewed.</w:t>
      </w:r>
    </w:p>
    <w:p w:rsidR="008923BE" w:rsidRPr="00F12BA2" w:rsidRDefault="008923BE" w:rsidP="00F12BA2">
      <w:pPr>
        <w:spacing w:line="240" w:lineRule="auto"/>
        <w:jc w:val="both"/>
        <w:rPr>
          <w:rFonts w:ascii="Segoe UI" w:hAnsi="Segoe UI" w:cs="Segoe UI"/>
        </w:rPr>
      </w:pPr>
    </w:p>
    <w:p w:rsidR="008923BE" w:rsidRPr="00F12BA2" w:rsidRDefault="008923BE" w:rsidP="00F12BA2">
      <w:pPr>
        <w:spacing w:line="240" w:lineRule="auto"/>
        <w:jc w:val="both"/>
        <w:rPr>
          <w:rFonts w:ascii="Segoe UI" w:hAnsi="Segoe UI" w:cs="Segoe UI"/>
        </w:rPr>
      </w:pPr>
    </w:p>
    <w:p w:rsidR="008923BE" w:rsidRPr="00F12BA2" w:rsidRDefault="008923BE" w:rsidP="00F12BA2">
      <w:pPr>
        <w:spacing w:line="240" w:lineRule="auto"/>
        <w:jc w:val="both"/>
        <w:rPr>
          <w:rFonts w:ascii="Segoe UI" w:hAnsi="Segoe UI" w:cs="Segoe UI"/>
        </w:rPr>
      </w:pPr>
    </w:p>
    <w:p w:rsidR="008923BE" w:rsidRPr="00F12BA2" w:rsidRDefault="008923BE" w:rsidP="00F12BA2">
      <w:pPr>
        <w:spacing w:line="240" w:lineRule="auto"/>
        <w:jc w:val="both"/>
        <w:rPr>
          <w:rFonts w:ascii="Segoe UI" w:hAnsi="Segoe UI" w:cs="Segoe UI"/>
        </w:rPr>
      </w:pPr>
    </w:p>
    <w:p w:rsidR="008923BE" w:rsidRPr="00F12BA2" w:rsidRDefault="008923BE" w:rsidP="00F12BA2">
      <w:pPr>
        <w:spacing w:line="240" w:lineRule="auto"/>
        <w:jc w:val="both"/>
        <w:rPr>
          <w:rFonts w:ascii="Segoe UI" w:hAnsi="Segoe UI" w:cs="Segoe UI"/>
        </w:rPr>
      </w:pPr>
    </w:p>
    <w:p w:rsidR="008923BE" w:rsidRPr="00F12BA2" w:rsidRDefault="008923BE" w:rsidP="00F12BA2">
      <w:pPr>
        <w:spacing w:line="240" w:lineRule="auto"/>
        <w:jc w:val="both"/>
        <w:rPr>
          <w:rFonts w:ascii="Segoe UI" w:hAnsi="Segoe UI" w:cs="Segoe UI"/>
        </w:rPr>
      </w:pPr>
    </w:p>
    <w:sectPr w:rsidR="008923BE" w:rsidRPr="00F12BA2" w:rsidSect="00871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Arial"/>
    <w:charset w:val="00"/>
    <w:family w:val="swiss"/>
    <w:pitch w:val="variable"/>
    <w:sig w:usb0="00000003" w:usb1="00000000" w:usb2="00000000" w:usb3="00000000" w:csb0="00000001" w:csb1="00000000"/>
  </w:font>
  <w:font w:name="Segoe UI">
    <w:altName w:val="Times New Roman"/>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50"/>
      </v:shape>
    </w:pict>
  </w:numPicBullet>
  <w:abstractNum w:abstractNumId="0">
    <w:nsid w:val="2C09049E"/>
    <w:multiLevelType w:val="hybridMultilevel"/>
    <w:tmpl w:val="9DF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41B4C"/>
    <w:multiLevelType w:val="hybridMultilevel"/>
    <w:tmpl w:val="F124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C189E"/>
    <w:multiLevelType w:val="hybridMultilevel"/>
    <w:tmpl w:val="E358252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B3B117F"/>
    <w:multiLevelType w:val="hybridMultilevel"/>
    <w:tmpl w:val="CBB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072D1"/>
    <w:multiLevelType w:val="hybridMultilevel"/>
    <w:tmpl w:val="2D20A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F41718"/>
    <w:multiLevelType w:val="hybridMultilevel"/>
    <w:tmpl w:val="714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C5E6E"/>
    <w:multiLevelType w:val="hybridMultilevel"/>
    <w:tmpl w:val="58AC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512FE"/>
    <w:multiLevelType w:val="hybridMultilevel"/>
    <w:tmpl w:val="ACD6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0"/>
  </w:num>
  <w:num w:numId="6">
    <w:abstractNumId w:val="3"/>
  </w:num>
  <w:num w:numId="7">
    <w:abstractNumId w:val="7"/>
  </w:num>
  <w:num w:numId="8">
    <w:abstractNumId w:val="5"/>
  </w:num>
  <w:num w:numId="9">
    <w:abstractNumId w:val="6"/>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4B98"/>
    <w:rsid w:val="00013E39"/>
    <w:rsid w:val="00087189"/>
    <w:rsid w:val="000A4FBA"/>
    <w:rsid w:val="000A5D32"/>
    <w:rsid w:val="000F20F0"/>
    <w:rsid w:val="00126C8C"/>
    <w:rsid w:val="00146D9E"/>
    <w:rsid w:val="001B1CBD"/>
    <w:rsid w:val="001B669A"/>
    <w:rsid w:val="00211F29"/>
    <w:rsid w:val="0022180B"/>
    <w:rsid w:val="00230E96"/>
    <w:rsid w:val="002440D2"/>
    <w:rsid w:val="00285318"/>
    <w:rsid w:val="002B44FD"/>
    <w:rsid w:val="003547C1"/>
    <w:rsid w:val="00386294"/>
    <w:rsid w:val="00395FC4"/>
    <w:rsid w:val="003A3B65"/>
    <w:rsid w:val="003D56F2"/>
    <w:rsid w:val="003D5D94"/>
    <w:rsid w:val="004A5790"/>
    <w:rsid w:val="004C017A"/>
    <w:rsid w:val="004C5CAF"/>
    <w:rsid w:val="00507BB6"/>
    <w:rsid w:val="00521CD9"/>
    <w:rsid w:val="005640DB"/>
    <w:rsid w:val="005B6132"/>
    <w:rsid w:val="005C71AC"/>
    <w:rsid w:val="00613FB5"/>
    <w:rsid w:val="00632396"/>
    <w:rsid w:val="00670318"/>
    <w:rsid w:val="006A0B01"/>
    <w:rsid w:val="006B0830"/>
    <w:rsid w:val="006D30D3"/>
    <w:rsid w:val="007173A2"/>
    <w:rsid w:val="007252ED"/>
    <w:rsid w:val="00735511"/>
    <w:rsid w:val="007A2CDB"/>
    <w:rsid w:val="007B3138"/>
    <w:rsid w:val="007C03C3"/>
    <w:rsid w:val="007D62AB"/>
    <w:rsid w:val="00804BD7"/>
    <w:rsid w:val="00810E3C"/>
    <w:rsid w:val="0082310B"/>
    <w:rsid w:val="0085633F"/>
    <w:rsid w:val="008718A5"/>
    <w:rsid w:val="008923BE"/>
    <w:rsid w:val="008971CD"/>
    <w:rsid w:val="00914A96"/>
    <w:rsid w:val="0097206E"/>
    <w:rsid w:val="00972660"/>
    <w:rsid w:val="009E4B98"/>
    <w:rsid w:val="00A15714"/>
    <w:rsid w:val="00AB015C"/>
    <w:rsid w:val="00B427D0"/>
    <w:rsid w:val="00B63480"/>
    <w:rsid w:val="00B86248"/>
    <w:rsid w:val="00BA72D4"/>
    <w:rsid w:val="00C723AD"/>
    <w:rsid w:val="00D978B3"/>
    <w:rsid w:val="00DA3F82"/>
    <w:rsid w:val="00DD3C9F"/>
    <w:rsid w:val="00E26ACC"/>
    <w:rsid w:val="00E61F46"/>
    <w:rsid w:val="00ED7A28"/>
    <w:rsid w:val="00EE6D83"/>
    <w:rsid w:val="00F12BA2"/>
    <w:rsid w:val="00F454A6"/>
    <w:rsid w:val="00FB0E70"/>
    <w:rsid w:val="00FB4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A5"/>
    <w:pPr>
      <w:spacing w:after="200" w:line="276" w:lineRule="auto"/>
    </w:pPr>
    <w:rPr>
      <w:sz w:val="22"/>
      <w:szCs w:val="22"/>
      <w:lang w:eastAsia="en-US"/>
    </w:rPr>
  </w:style>
  <w:style w:type="paragraph" w:styleId="Heading1">
    <w:name w:val="heading 1"/>
    <w:basedOn w:val="Normal"/>
    <w:next w:val="Normal"/>
    <w:link w:val="Heading1Char"/>
    <w:qFormat/>
    <w:rsid w:val="00F12BA2"/>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4B98"/>
    <w:rPr>
      <w:rFonts w:ascii="Tahoma" w:hAnsi="Tahoma" w:cs="Tahoma"/>
      <w:sz w:val="16"/>
      <w:szCs w:val="16"/>
    </w:rPr>
  </w:style>
  <w:style w:type="paragraph" w:customStyle="1" w:styleId="Default">
    <w:name w:val="Default"/>
    <w:rsid w:val="00FB4C7F"/>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12BA2"/>
    <w:rPr>
      <w:rFonts w:ascii="Arial" w:eastAsia="Times New Roman" w:hAnsi="Arial"/>
      <w:b/>
      <w:u w:val="single"/>
      <w:lang w:eastAsia="en-US"/>
    </w:rPr>
  </w:style>
  <w:style w:type="paragraph" w:styleId="BodyText">
    <w:name w:val="Body Text"/>
    <w:basedOn w:val="Normal"/>
    <w:link w:val="BodyTextChar"/>
    <w:rsid w:val="00F12BA2"/>
    <w:pPr>
      <w:spacing w:after="0" w:line="240" w:lineRule="auto"/>
      <w:jc w:val="center"/>
    </w:pPr>
    <w:rPr>
      <w:rFonts w:ascii="Arial" w:eastAsia="Times New Roman" w:hAnsi="Arial"/>
      <w:b/>
      <w:sz w:val="24"/>
      <w:szCs w:val="24"/>
      <w:lang w:val="en-US"/>
    </w:rPr>
  </w:style>
  <w:style w:type="character" w:customStyle="1" w:styleId="BodyTextChar">
    <w:name w:val="Body Text Char"/>
    <w:link w:val="BodyText"/>
    <w:rsid w:val="00F12BA2"/>
    <w:rPr>
      <w:rFonts w:ascii="Arial" w:eastAsia="Times New Roman" w:hAnsi="Arial" w:cs="Arial"/>
      <w:b/>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74200065">
      <w:bodyDiv w:val="1"/>
      <w:marLeft w:val="0"/>
      <w:marRight w:val="0"/>
      <w:marTop w:val="0"/>
      <w:marBottom w:val="0"/>
      <w:divBdr>
        <w:top w:val="none" w:sz="0" w:space="0" w:color="auto"/>
        <w:left w:val="none" w:sz="0" w:space="0" w:color="auto"/>
        <w:bottom w:val="none" w:sz="0" w:space="0" w:color="auto"/>
        <w:right w:val="none" w:sz="0" w:space="0" w:color="auto"/>
      </w:divBdr>
    </w:div>
    <w:div w:id="1084912560">
      <w:bodyDiv w:val="1"/>
      <w:marLeft w:val="0"/>
      <w:marRight w:val="0"/>
      <w:marTop w:val="0"/>
      <w:marBottom w:val="0"/>
      <w:divBdr>
        <w:top w:val="none" w:sz="0" w:space="0" w:color="auto"/>
        <w:left w:val="none" w:sz="0" w:space="0" w:color="auto"/>
        <w:bottom w:val="none" w:sz="0" w:space="0" w:color="auto"/>
        <w:right w:val="none" w:sz="0" w:space="0" w:color="auto"/>
      </w:divBdr>
    </w:div>
    <w:div w:id="1235386279">
      <w:bodyDiv w:val="1"/>
      <w:marLeft w:val="0"/>
      <w:marRight w:val="0"/>
      <w:marTop w:val="0"/>
      <w:marBottom w:val="0"/>
      <w:divBdr>
        <w:top w:val="none" w:sz="0" w:space="0" w:color="auto"/>
        <w:left w:val="none" w:sz="0" w:space="0" w:color="auto"/>
        <w:bottom w:val="none" w:sz="0" w:space="0" w:color="auto"/>
        <w:right w:val="none" w:sz="0" w:space="0" w:color="auto"/>
      </w:divBdr>
    </w:div>
    <w:div w:id="20070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obmh.nhs.uk\G_Data\Oxfordshire\Infection%20Control\Surveillance\cdiff\CDI%20case%20tren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CDI case trend month by month 2009-2012</a:t>
            </a:r>
          </a:p>
        </c:rich>
      </c:tx>
      <c:layout/>
    </c:title>
    <c:plotArea>
      <c:layout/>
      <c:barChart>
        <c:barDir val="col"/>
        <c:grouping val="clustered"/>
        <c:ser>
          <c:idx val="0"/>
          <c:order val="0"/>
          <c:tx>
            <c:strRef>
              <c:f>Sheet1!$B$1</c:f>
              <c:strCache>
                <c:ptCount val="1"/>
                <c:pt idx="0">
                  <c:v>2009</c:v>
                </c:pt>
              </c:strCache>
            </c:strRef>
          </c:tx>
          <c:cat>
            <c:strRef>
              <c:f>Sheet1!$A$2:$A$15</c:f>
              <c:strCache>
                <c:ptCount val="14"/>
                <c:pt idx="0">
                  <c:v>April </c:v>
                </c:pt>
                <c:pt idx="1">
                  <c:v>May</c:v>
                </c:pt>
                <c:pt idx="2">
                  <c:v>June</c:v>
                </c:pt>
                <c:pt idx="3">
                  <c:v>July</c:v>
                </c:pt>
                <c:pt idx="4">
                  <c:v>August</c:v>
                </c:pt>
                <c:pt idx="5">
                  <c:v>Sept</c:v>
                </c:pt>
                <c:pt idx="6">
                  <c:v>Oct</c:v>
                </c:pt>
                <c:pt idx="7">
                  <c:v>Nov</c:v>
                </c:pt>
                <c:pt idx="8">
                  <c:v>Dec</c:v>
                </c:pt>
                <c:pt idx="9">
                  <c:v>Jan</c:v>
                </c:pt>
                <c:pt idx="10">
                  <c:v>Feb</c:v>
                </c:pt>
                <c:pt idx="11">
                  <c:v>March </c:v>
                </c:pt>
                <c:pt idx="13">
                  <c:v> total for year</c:v>
                </c:pt>
              </c:strCache>
            </c:strRef>
          </c:cat>
          <c:val>
            <c:numRef>
              <c:f>Sheet1!$B$2:$B$15</c:f>
              <c:numCache>
                <c:formatCode>General</c:formatCode>
                <c:ptCount val="14"/>
                <c:pt idx="0">
                  <c:v>2</c:v>
                </c:pt>
                <c:pt idx="1">
                  <c:v>1</c:v>
                </c:pt>
                <c:pt idx="2">
                  <c:v>0</c:v>
                </c:pt>
                <c:pt idx="3">
                  <c:v>0</c:v>
                </c:pt>
                <c:pt idx="4">
                  <c:v>5</c:v>
                </c:pt>
                <c:pt idx="5">
                  <c:v>5</c:v>
                </c:pt>
                <c:pt idx="6">
                  <c:v>4</c:v>
                </c:pt>
                <c:pt idx="7">
                  <c:v>1</c:v>
                </c:pt>
                <c:pt idx="8">
                  <c:v>2</c:v>
                </c:pt>
                <c:pt idx="9">
                  <c:v>1</c:v>
                </c:pt>
                <c:pt idx="10">
                  <c:v>5</c:v>
                </c:pt>
                <c:pt idx="11">
                  <c:v>2</c:v>
                </c:pt>
                <c:pt idx="13">
                  <c:v>32</c:v>
                </c:pt>
              </c:numCache>
            </c:numRef>
          </c:val>
        </c:ser>
        <c:ser>
          <c:idx val="1"/>
          <c:order val="1"/>
          <c:tx>
            <c:strRef>
              <c:f>Sheet1!$C$1</c:f>
              <c:strCache>
                <c:ptCount val="1"/>
                <c:pt idx="0">
                  <c:v>2010</c:v>
                </c:pt>
              </c:strCache>
            </c:strRef>
          </c:tx>
          <c:cat>
            <c:strRef>
              <c:f>Sheet1!$A$2:$A$15</c:f>
              <c:strCache>
                <c:ptCount val="14"/>
                <c:pt idx="0">
                  <c:v>April </c:v>
                </c:pt>
                <c:pt idx="1">
                  <c:v>May</c:v>
                </c:pt>
                <c:pt idx="2">
                  <c:v>June</c:v>
                </c:pt>
                <c:pt idx="3">
                  <c:v>July</c:v>
                </c:pt>
                <c:pt idx="4">
                  <c:v>August</c:v>
                </c:pt>
                <c:pt idx="5">
                  <c:v>Sept</c:v>
                </c:pt>
                <c:pt idx="6">
                  <c:v>Oct</c:v>
                </c:pt>
                <c:pt idx="7">
                  <c:v>Nov</c:v>
                </c:pt>
                <c:pt idx="8">
                  <c:v>Dec</c:v>
                </c:pt>
                <c:pt idx="9">
                  <c:v>Jan</c:v>
                </c:pt>
                <c:pt idx="10">
                  <c:v>Feb</c:v>
                </c:pt>
                <c:pt idx="11">
                  <c:v>March </c:v>
                </c:pt>
                <c:pt idx="13">
                  <c:v> total for year</c:v>
                </c:pt>
              </c:strCache>
            </c:strRef>
          </c:cat>
          <c:val>
            <c:numRef>
              <c:f>Sheet1!$C$2:$C$15</c:f>
              <c:numCache>
                <c:formatCode>General</c:formatCode>
                <c:ptCount val="14"/>
                <c:pt idx="0">
                  <c:v>2</c:v>
                </c:pt>
                <c:pt idx="1">
                  <c:v>4</c:v>
                </c:pt>
                <c:pt idx="2">
                  <c:v>0</c:v>
                </c:pt>
                <c:pt idx="3">
                  <c:v>1</c:v>
                </c:pt>
                <c:pt idx="4">
                  <c:v>0</c:v>
                </c:pt>
                <c:pt idx="5">
                  <c:v>1</c:v>
                </c:pt>
                <c:pt idx="6">
                  <c:v>1</c:v>
                </c:pt>
                <c:pt idx="7">
                  <c:v>2</c:v>
                </c:pt>
                <c:pt idx="8">
                  <c:v>1</c:v>
                </c:pt>
                <c:pt idx="9">
                  <c:v>0</c:v>
                </c:pt>
                <c:pt idx="10">
                  <c:v>2</c:v>
                </c:pt>
                <c:pt idx="11">
                  <c:v>1</c:v>
                </c:pt>
                <c:pt idx="13">
                  <c:v>15</c:v>
                </c:pt>
              </c:numCache>
            </c:numRef>
          </c:val>
        </c:ser>
        <c:ser>
          <c:idx val="2"/>
          <c:order val="2"/>
          <c:tx>
            <c:strRef>
              <c:f>Sheet1!$D$1</c:f>
              <c:strCache>
                <c:ptCount val="1"/>
                <c:pt idx="0">
                  <c:v>2011</c:v>
                </c:pt>
              </c:strCache>
            </c:strRef>
          </c:tx>
          <c:cat>
            <c:strRef>
              <c:f>Sheet1!$A$2:$A$15</c:f>
              <c:strCache>
                <c:ptCount val="14"/>
                <c:pt idx="0">
                  <c:v>April </c:v>
                </c:pt>
                <c:pt idx="1">
                  <c:v>May</c:v>
                </c:pt>
                <c:pt idx="2">
                  <c:v>June</c:v>
                </c:pt>
                <c:pt idx="3">
                  <c:v>July</c:v>
                </c:pt>
                <c:pt idx="4">
                  <c:v>August</c:v>
                </c:pt>
                <c:pt idx="5">
                  <c:v>Sept</c:v>
                </c:pt>
                <c:pt idx="6">
                  <c:v>Oct</c:v>
                </c:pt>
                <c:pt idx="7">
                  <c:v>Nov</c:v>
                </c:pt>
                <c:pt idx="8">
                  <c:v>Dec</c:v>
                </c:pt>
                <c:pt idx="9">
                  <c:v>Jan</c:v>
                </c:pt>
                <c:pt idx="10">
                  <c:v>Feb</c:v>
                </c:pt>
                <c:pt idx="11">
                  <c:v>March </c:v>
                </c:pt>
                <c:pt idx="13">
                  <c:v> total for year</c:v>
                </c:pt>
              </c:strCache>
            </c:strRef>
          </c:cat>
          <c:val>
            <c:numRef>
              <c:f>Sheet1!$D$2:$D$15</c:f>
              <c:numCache>
                <c:formatCode>General</c:formatCode>
                <c:ptCount val="14"/>
                <c:pt idx="0">
                  <c:v>2</c:v>
                </c:pt>
                <c:pt idx="1">
                  <c:v>2</c:v>
                </c:pt>
                <c:pt idx="2">
                  <c:v>2</c:v>
                </c:pt>
                <c:pt idx="3">
                  <c:v>2</c:v>
                </c:pt>
                <c:pt idx="4">
                  <c:v>0</c:v>
                </c:pt>
                <c:pt idx="5">
                  <c:v>2</c:v>
                </c:pt>
                <c:pt idx="6">
                  <c:v>1</c:v>
                </c:pt>
                <c:pt idx="7">
                  <c:v>0</c:v>
                </c:pt>
                <c:pt idx="8">
                  <c:v>2</c:v>
                </c:pt>
                <c:pt idx="9">
                  <c:v>0</c:v>
                </c:pt>
                <c:pt idx="10">
                  <c:v>0</c:v>
                </c:pt>
                <c:pt idx="11">
                  <c:v>2</c:v>
                </c:pt>
                <c:pt idx="13">
                  <c:v>15</c:v>
                </c:pt>
              </c:numCache>
            </c:numRef>
          </c:val>
        </c:ser>
        <c:ser>
          <c:idx val="3"/>
          <c:order val="3"/>
          <c:tx>
            <c:strRef>
              <c:f>Sheet1!$E$1</c:f>
              <c:strCache>
                <c:ptCount val="1"/>
                <c:pt idx="0">
                  <c:v>2012</c:v>
                </c:pt>
              </c:strCache>
            </c:strRef>
          </c:tx>
          <c:cat>
            <c:strRef>
              <c:f>Sheet1!$A$2:$A$15</c:f>
              <c:strCache>
                <c:ptCount val="14"/>
                <c:pt idx="0">
                  <c:v>April </c:v>
                </c:pt>
                <c:pt idx="1">
                  <c:v>May</c:v>
                </c:pt>
                <c:pt idx="2">
                  <c:v>June</c:v>
                </c:pt>
                <c:pt idx="3">
                  <c:v>July</c:v>
                </c:pt>
                <c:pt idx="4">
                  <c:v>August</c:v>
                </c:pt>
                <c:pt idx="5">
                  <c:v>Sept</c:v>
                </c:pt>
                <c:pt idx="6">
                  <c:v>Oct</c:v>
                </c:pt>
                <c:pt idx="7">
                  <c:v>Nov</c:v>
                </c:pt>
                <c:pt idx="8">
                  <c:v>Dec</c:v>
                </c:pt>
                <c:pt idx="9">
                  <c:v>Jan</c:v>
                </c:pt>
                <c:pt idx="10">
                  <c:v>Feb</c:v>
                </c:pt>
                <c:pt idx="11">
                  <c:v>March </c:v>
                </c:pt>
                <c:pt idx="13">
                  <c:v> total for year</c:v>
                </c:pt>
              </c:strCache>
            </c:strRef>
          </c:cat>
          <c:val>
            <c:numRef>
              <c:f>Sheet1!$E$2:$E$15</c:f>
              <c:numCache>
                <c:formatCode>General</c:formatCode>
                <c:ptCount val="14"/>
                <c:pt idx="0">
                  <c:v>2</c:v>
                </c:pt>
                <c:pt idx="1">
                  <c:v>2</c:v>
                </c:pt>
                <c:pt idx="2">
                  <c:v>0</c:v>
                </c:pt>
              </c:numCache>
            </c:numRef>
          </c:val>
        </c:ser>
        <c:axId val="90741376"/>
        <c:axId val="90849664"/>
      </c:barChart>
      <c:catAx>
        <c:axId val="90741376"/>
        <c:scaling>
          <c:orientation val="minMax"/>
        </c:scaling>
        <c:axPos val="b"/>
        <c:numFmt formatCode="General" sourceLinked="1"/>
        <c:majorTickMark val="none"/>
        <c:tickLblPos val="nextTo"/>
        <c:crossAx val="90849664"/>
        <c:crosses val="autoZero"/>
        <c:auto val="1"/>
        <c:lblAlgn val="ctr"/>
        <c:lblOffset val="100"/>
      </c:catAx>
      <c:valAx>
        <c:axId val="90849664"/>
        <c:scaling>
          <c:orientation val="minMax"/>
          <c:max val="6"/>
          <c:min val="0"/>
        </c:scaling>
        <c:axPos val="l"/>
        <c:majorGridlines/>
        <c:title>
          <c:tx>
            <c:rich>
              <a:bodyPr/>
              <a:lstStyle/>
              <a:p>
                <a:pPr>
                  <a:defRPr/>
                </a:pPr>
                <a:r>
                  <a:rPr lang="en-US"/>
                  <a:t>number of CDI cases</a:t>
                </a:r>
              </a:p>
            </c:rich>
          </c:tx>
          <c:layout/>
        </c:title>
        <c:numFmt formatCode="General" sourceLinked="1"/>
        <c:majorTickMark val="none"/>
        <c:tickLblPos val="nextTo"/>
        <c:crossAx val="90741376"/>
        <c:crosses val="autoZero"/>
        <c:crossBetween val="between"/>
        <c:majorUnit val="1"/>
        <c:minorUnit val="0.1"/>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helen.bosley</dc:creator>
  <cp:keywords/>
  <dc:description/>
  <cp:lastModifiedBy>justinian.habner</cp:lastModifiedBy>
  <cp:revision>2</cp:revision>
  <dcterms:created xsi:type="dcterms:W3CDTF">2012-07-31T10:17:00Z</dcterms:created>
  <dcterms:modified xsi:type="dcterms:W3CDTF">2012-07-31T10:17:00Z</dcterms:modified>
</cp:coreProperties>
</file>