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5B71DA"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0E23C1">
      <w:pPr>
        <w:jc w:val="center"/>
        <w:rPr>
          <w:rFonts w:ascii="Frutiger" w:hAnsi="Frutiger"/>
        </w:rPr>
      </w:pPr>
      <w:r w:rsidRPr="000E23C1">
        <w:rPr>
          <w:noProof/>
          <w:sz w:val="20"/>
        </w:rPr>
        <w:pict>
          <v:rect id="_x0000_s1034" style="position:absolute;left:0;text-align:left;margin-left:324pt;margin-top:4.05pt;width:108pt;height:45pt;z-index:251657728">
            <v:textbox inset="0,0,0,0">
              <w:txbxContent>
                <w:p w:rsidR="00554ECC" w:rsidRDefault="00554ECC">
                  <w:pPr>
                    <w:pStyle w:val="Heading1"/>
                    <w:jc w:val="center"/>
                    <w:rPr>
                      <w:sz w:val="24"/>
                      <w:u w:val="none"/>
                    </w:rPr>
                  </w:pPr>
                  <w:r>
                    <w:rPr>
                      <w:sz w:val="24"/>
                      <w:u w:val="none"/>
                    </w:rPr>
                    <w:t>PAPER</w:t>
                  </w:r>
                </w:p>
                <w:p w:rsidR="00554ECC" w:rsidRDefault="00554ECC">
                  <w:pPr>
                    <w:pStyle w:val="BodyText"/>
                    <w:rPr>
                      <w:sz w:val="22"/>
                    </w:rPr>
                  </w:pPr>
                  <w:r>
                    <w:rPr>
                      <w:sz w:val="22"/>
                    </w:rPr>
                    <w:t xml:space="preserve">BOD </w:t>
                  </w:r>
                  <w:r w:rsidR="00596556">
                    <w:rPr>
                      <w:sz w:val="22"/>
                    </w:rPr>
                    <w:t>105</w:t>
                  </w:r>
                  <w:r>
                    <w:rPr>
                      <w:sz w:val="22"/>
                    </w:rPr>
                    <w:t>/2012</w:t>
                  </w:r>
                </w:p>
                <w:p w:rsidR="00554ECC" w:rsidRPr="00537C23" w:rsidRDefault="00554ECC">
                  <w:pPr>
                    <w:jc w:val="center"/>
                    <w:rPr>
                      <w:rFonts w:ascii="Arial" w:hAnsi="Arial" w:cs="Arial"/>
                      <w:sz w:val="20"/>
                      <w:szCs w:val="20"/>
                    </w:rPr>
                  </w:pPr>
                  <w:r>
                    <w:rPr>
                      <w:rFonts w:ascii="Arial" w:hAnsi="Arial" w:cs="Arial"/>
                      <w:sz w:val="20"/>
                      <w:szCs w:val="20"/>
                    </w:rPr>
                    <w:t xml:space="preserve">(Agenda Item: </w:t>
                  </w:r>
                  <w:r w:rsidR="00596556">
                    <w:rPr>
                      <w:rFonts w:ascii="Arial" w:hAnsi="Arial" w:cs="Arial"/>
                      <w:sz w:val="20"/>
                      <w:szCs w:val="20"/>
                    </w:rPr>
                    <w:t>12</w:t>
                  </w:r>
                  <w:r>
                    <w:rPr>
                      <w:rFonts w:ascii="Arial" w:hAnsi="Arial" w:cs="Arial"/>
                      <w:sz w:val="20"/>
                      <w:szCs w:val="20"/>
                    </w:rPr>
                    <w:t>)</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37C23" w:rsidRDefault="00537C23" w:rsidP="00537C23">
      <w:pPr>
        <w:rPr>
          <w:rFonts w:ascii="Arial" w:hAnsi="Arial" w:cs="Arial"/>
          <w:b/>
        </w:rPr>
      </w:pPr>
    </w:p>
    <w:p w:rsidR="00537C23" w:rsidRDefault="009D6F5C" w:rsidP="00537C23">
      <w:pPr>
        <w:jc w:val="center"/>
        <w:rPr>
          <w:rFonts w:ascii="Arial" w:hAnsi="Arial" w:cs="Arial"/>
          <w:b/>
        </w:rPr>
      </w:pPr>
      <w:r>
        <w:rPr>
          <w:rFonts w:ascii="Arial" w:hAnsi="Arial" w:cs="Arial"/>
          <w:b/>
        </w:rPr>
        <w:t>25 July</w:t>
      </w:r>
      <w:r w:rsidR="00537C23">
        <w:rPr>
          <w:rFonts w:ascii="Arial" w:hAnsi="Arial" w:cs="Arial"/>
          <w:b/>
        </w:rPr>
        <w:t xml:space="preserve"> 201</w:t>
      </w:r>
      <w:r w:rsidR="00CB32C4">
        <w:rPr>
          <w:rFonts w:ascii="Arial" w:hAnsi="Arial" w:cs="Arial"/>
          <w:b/>
        </w:rPr>
        <w:t>2</w:t>
      </w:r>
    </w:p>
    <w:p w:rsidR="00537C23" w:rsidRDefault="00537C23" w:rsidP="00537C23">
      <w:pPr>
        <w:jc w:val="center"/>
        <w:rPr>
          <w:rFonts w:ascii="Arial" w:hAnsi="Arial" w:cs="Arial"/>
          <w:b/>
        </w:rPr>
      </w:pPr>
    </w:p>
    <w:p w:rsidR="00537C23" w:rsidRDefault="00537C23" w:rsidP="00537C23">
      <w:pPr>
        <w:jc w:val="center"/>
        <w:rPr>
          <w:rFonts w:ascii="Arial" w:hAnsi="Arial" w:cs="Arial"/>
          <w:b/>
        </w:rPr>
      </w:pPr>
      <w:r>
        <w:rPr>
          <w:rFonts w:ascii="Arial" w:hAnsi="Arial" w:cs="Arial"/>
          <w:b/>
        </w:rPr>
        <w:t xml:space="preserve">In-Year Submission to </w:t>
      </w:r>
      <w:r w:rsidRPr="00636DFE">
        <w:rPr>
          <w:rFonts w:ascii="Arial" w:hAnsi="Arial" w:cs="Arial"/>
          <w:b/>
        </w:rPr>
        <w:t xml:space="preserve">Monitor </w:t>
      </w:r>
      <w:r>
        <w:rPr>
          <w:rFonts w:ascii="Arial" w:hAnsi="Arial" w:cs="Arial"/>
          <w:b/>
        </w:rPr>
        <w:t xml:space="preserve">– </w:t>
      </w:r>
      <w:r w:rsidRPr="00636DFE">
        <w:rPr>
          <w:rFonts w:ascii="Arial" w:hAnsi="Arial" w:cs="Arial"/>
          <w:b/>
        </w:rPr>
        <w:t xml:space="preserve">Quarter </w:t>
      </w:r>
      <w:r w:rsidR="009D6F5C">
        <w:rPr>
          <w:rFonts w:ascii="Arial" w:hAnsi="Arial" w:cs="Arial"/>
          <w:b/>
        </w:rPr>
        <w:t>1</w:t>
      </w:r>
      <w:r>
        <w:rPr>
          <w:rFonts w:ascii="Arial" w:hAnsi="Arial" w:cs="Arial"/>
          <w:b/>
        </w:rPr>
        <w:t xml:space="preserve"> 201</w:t>
      </w:r>
      <w:r w:rsidR="009D6F5C">
        <w:rPr>
          <w:rFonts w:ascii="Arial" w:hAnsi="Arial" w:cs="Arial"/>
          <w:b/>
        </w:rPr>
        <w:t>2</w:t>
      </w:r>
      <w:r>
        <w:rPr>
          <w:rFonts w:ascii="Arial" w:hAnsi="Arial" w:cs="Arial"/>
          <w:b/>
        </w:rPr>
        <w:t>/1</w:t>
      </w:r>
      <w:r w:rsidR="009D6F5C">
        <w:rPr>
          <w:rFonts w:ascii="Arial" w:hAnsi="Arial" w:cs="Arial"/>
          <w:b/>
        </w:rPr>
        <w:t>3</w:t>
      </w:r>
      <w:r>
        <w:rPr>
          <w:rFonts w:ascii="Arial" w:hAnsi="Arial" w:cs="Arial"/>
          <w:b/>
        </w:rPr>
        <w:t xml:space="preserve"> </w:t>
      </w:r>
      <w:r w:rsidRPr="00636DFE">
        <w:rPr>
          <w:rFonts w:ascii="Arial" w:hAnsi="Arial" w:cs="Arial"/>
          <w:b/>
        </w:rPr>
        <w:t>Report</w:t>
      </w:r>
      <w:r w:rsidR="007338A7">
        <w:rPr>
          <w:rFonts w:ascii="Arial" w:hAnsi="Arial" w:cs="Arial"/>
          <w:b/>
        </w:rPr>
        <w:t xml:space="preserve"> </w:t>
      </w:r>
    </w:p>
    <w:p w:rsidR="00537C23" w:rsidRDefault="00537C23" w:rsidP="00537C23">
      <w:pPr>
        <w:rPr>
          <w:rFonts w:ascii="Arial" w:hAnsi="Arial" w:cs="Arial"/>
          <w:b/>
        </w:rPr>
      </w:pPr>
    </w:p>
    <w:p w:rsidR="007338A7" w:rsidRDefault="007338A7" w:rsidP="00537C23">
      <w:pPr>
        <w:rPr>
          <w:rFonts w:ascii="Arial" w:hAnsi="Arial" w:cs="Arial"/>
          <w:b/>
        </w:rPr>
      </w:pPr>
    </w:p>
    <w:p w:rsidR="00537C23" w:rsidRPr="00226DFB" w:rsidRDefault="00537C23" w:rsidP="00537C23">
      <w:pPr>
        <w:rPr>
          <w:rFonts w:ascii="Arial" w:hAnsi="Arial" w:cs="Arial"/>
          <w:b/>
          <w:u w:val="single"/>
        </w:rPr>
      </w:pPr>
      <w:r w:rsidRPr="00226DFB">
        <w:rPr>
          <w:rFonts w:ascii="Arial" w:hAnsi="Arial" w:cs="Arial"/>
          <w:b/>
          <w:u w:val="single"/>
        </w:rPr>
        <w:t>For Approval</w:t>
      </w:r>
    </w:p>
    <w:p w:rsidR="007338A7" w:rsidRDefault="007338A7" w:rsidP="00537C23">
      <w:pPr>
        <w:rPr>
          <w:rFonts w:ascii="Arial" w:hAnsi="Arial" w:cs="Arial"/>
          <w:b/>
        </w:rPr>
      </w:pPr>
    </w:p>
    <w:p w:rsidR="000F1A75" w:rsidRDefault="000F1A75" w:rsidP="00537C23">
      <w:pPr>
        <w:rPr>
          <w:rFonts w:ascii="Arial" w:hAnsi="Arial" w:cs="Arial"/>
          <w:b/>
        </w:rPr>
      </w:pPr>
    </w:p>
    <w:p w:rsidR="00537C23" w:rsidRDefault="00537C23" w:rsidP="00537C23">
      <w:pPr>
        <w:jc w:val="both"/>
        <w:rPr>
          <w:rFonts w:ascii="Arial" w:hAnsi="Arial" w:cs="Arial"/>
          <w:b/>
        </w:rPr>
      </w:pPr>
      <w:r w:rsidRPr="00F111B9">
        <w:rPr>
          <w:rFonts w:ascii="Arial" w:hAnsi="Arial" w:cs="Arial"/>
          <w:b/>
        </w:rPr>
        <w:t>Executive Summary</w:t>
      </w:r>
    </w:p>
    <w:p w:rsidR="00537C23" w:rsidRDefault="00537C23" w:rsidP="00537C23">
      <w:pPr>
        <w:jc w:val="both"/>
        <w:rPr>
          <w:rFonts w:ascii="Arial" w:hAnsi="Arial" w:cs="Arial"/>
        </w:rPr>
      </w:pPr>
      <w:r>
        <w:rPr>
          <w:rFonts w:ascii="Arial" w:hAnsi="Arial" w:cs="Arial"/>
        </w:rPr>
        <w:t>Under the Compliance Framework</w:t>
      </w:r>
      <w:r w:rsidR="009E4327">
        <w:rPr>
          <w:rFonts w:ascii="Arial" w:hAnsi="Arial" w:cs="Arial"/>
        </w:rPr>
        <w:t xml:space="preserve"> 2012/13</w:t>
      </w:r>
      <w:r>
        <w:rPr>
          <w:rFonts w:ascii="Arial" w:hAnsi="Arial" w:cs="Arial"/>
        </w:rPr>
        <w:t>, the Trust is required to provide in-year reports on a quarterly basis.  These submissions include quarterly financials, year to date financials and self certification</w:t>
      </w:r>
      <w:r w:rsidR="00A2776E">
        <w:rPr>
          <w:rFonts w:ascii="Arial" w:hAnsi="Arial" w:cs="Arial"/>
        </w:rPr>
        <w:t xml:space="preserve"> that all targets have been met.  Exception / update reports should be provided where necessary.</w:t>
      </w:r>
      <w:r>
        <w:rPr>
          <w:rFonts w:ascii="Arial" w:hAnsi="Arial" w:cs="Arial"/>
        </w:rPr>
        <w:t xml:space="preserve"> </w:t>
      </w:r>
    </w:p>
    <w:p w:rsidR="00537C23" w:rsidRDefault="00537C23" w:rsidP="00537C23">
      <w:pPr>
        <w:jc w:val="both"/>
        <w:rPr>
          <w:rFonts w:ascii="Arial" w:hAnsi="Arial" w:cs="Arial"/>
        </w:rPr>
      </w:pPr>
    </w:p>
    <w:p w:rsidR="000F1A75" w:rsidRDefault="000F1A75" w:rsidP="00537C23">
      <w:pPr>
        <w:jc w:val="both"/>
        <w:rPr>
          <w:rFonts w:ascii="Arial" w:hAnsi="Arial" w:cs="Arial"/>
        </w:rPr>
      </w:pPr>
      <w:r>
        <w:rPr>
          <w:rFonts w:ascii="Arial" w:hAnsi="Arial" w:cs="Arial"/>
        </w:rPr>
        <w:t>Section 1 of this report set out the 2012/13 monitoring requirements for FTs, including information on the quarterly submissions</w:t>
      </w:r>
    </w:p>
    <w:p w:rsidR="000F1A75" w:rsidRDefault="000F1A75" w:rsidP="00537C23">
      <w:pPr>
        <w:jc w:val="both"/>
        <w:rPr>
          <w:rFonts w:ascii="Arial" w:hAnsi="Arial" w:cs="Arial"/>
        </w:rPr>
      </w:pPr>
    </w:p>
    <w:p w:rsidR="00537C23" w:rsidRDefault="000F1A75" w:rsidP="00537C23">
      <w:pPr>
        <w:jc w:val="both"/>
        <w:rPr>
          <w:rFonts w:ascii="Arial" w:hAnsi="Arial" w:cs="Arial"/>
        </w:rPr>
      </w:pPr>
      <w:r>
        <w:rPr>
          <w:rFonts w:ascii="Arial" w:hAnsi="Arial" w:cs="Arial"/>
        </w:rPr>
        <w:t xml:space="preserve">Section 2 of this report sets out the Trust’s proposed Q1 submission to Monitor.    </w:t>
      </w:r>
      <w:r w:rsidR="00537C23">
        <w:rPr>
          <w:rFonts w:ascii="Arial" w:hAnsi="Arial" w:cs="Arial"/>
        </w:rPr>
        <w:t xml:space="preserve">The submission date is </w:t>
      </w:r>
      <w:r w:rsidR="00A2776E">
        <w:rPr>
          <w:rFonts w:ascii="Arial" w:hAnsi="Arial" w:cs="Arial"/>
        </w:rPr>
        <w:t>31 July</w:t>
      </w:r>
      <w:r w:rsidR="00537C23">
        <w:rPr>
          <w:rFonts w:ascii="Arial" w:hAnsi="Arial" w:cs="Arial"/>
        </w:rPr>
        <w:t xml:space="preserve"> 201</w:t>
      </w:r>
      <w:r w:rsidR="00CB32C4">
        <w:rPr>
          <w:rFonts w:ascii="Arial" w:hAnsi="Arial" w:cs="Arial"/>
        </w:rPr>
        <w:t>2</w:t>
      </w:r>
      <w:r w:rsidR="00537C23">
        <w:rPr>
          <w:rFonts w:ascii="Arial" w:hAnsi="Arial" w:cs="Arial"/>
        </w:rPr>
        <w:t>.</w:t>
      </w:r>
    </w:p>
    <w:p w:rsidR="00A2776E" w:rsidRDefault="00A2776E" w:rsidP="007338A7">
      <w:pPr>
        <w:jc w:val="both"/>
        <w:rPr>
          <w:rFonts w:ascii="Arial" w:hAnsi="Arial" w:cs="Arial"/>
        </w:rPr>
      </w:pPr>
    </w:p>
    <w:p w:rsidR="000F1A75" w:rsidRDefault="000F1A75" w:rsidP="007338A7">
      <w:pPr>
        <w:jc w:val="both"/>
        <w:rPr>
          <w:rFonts w:ascii="Arial" w:hAnsi="Arial" w:cs="Arial"/>
        </w:rPr>
      </w:pPr>
    </w:p>
    <w:p w:rsidR="000F1A75" w:rsidRDefault="000F1A75" w:rsidP="007338A7">
      <w:pPr>
        <w:jc w:val="both"/>
        <w:rPr>
          <w:rFonts w:ascii="Arial" w:hAnsi="Arial" w:cs="Arial"/>
        </w:rPr>
      </w:pPr>
    </w:p>
    <w:p w:rsidR="007338A7" w:rsidRDefault="007338A7" w:rsidP="007338A7">
      <w:pPr>
        <w:jc w:val="both"/>
        <w:rPr>
          <w:rFonts w:ascii="Arial" w:hAnsi="Arial" w:cs="Arial"/>
          <w:b/>
        </w:rPr>
      </w:pPr>
      <w:r>
        <w:rPr>
          <w:rFonts w:ascii="Arial" w:hAnsi="Arial" w:cs="Arial"/>
          <w:b/>
        </w:rPr>
        <w:t>Recommendation</w:t>
      </w:r>
    </w:p>
    <w:p w:rsidR="007338A7" w:rsidRDefault="007338A7" w:rsidP="007338A7">
      <w:pPr>
        <w:jc w:val="both"/>
        <w:rPr>
          <w:rFonts w:ascii="Arial" w:hAnsi="Arial" w:cs="Arial"/>
        </w:rPr>
      </w:pPr>
      <w:r>
        <w:rPr>
          <w:rFonts w:ascii="Arial" w:hAnsi="Arial" w:cs="Arial"/>
        </w:rPr>
        <w:t xml:space="preserve">The Board is asked to note what the Trust should report to </w:t>
      </w:r>
      <w:proofErr w:type="gramStart"/>
      <w:r>
        <w:rPr>
          <w:rFonts w:ascii="Arial" w:hAnsi="Arial" w:cs="Arial"/>
        </w:rPr>
        <w:t>Monitor</w:t>
      </w:r>
      <w:proofErr w:type="gramEnd"/>
      <w:r>
        <w:rPr>
          <w:rFonts w:ascii="Arial" w:hAnsi="Arial" w:cs="Arial"/>
        </w:rPr>
        <w:t xml:space="preserve"> as part of the quarterly in-year submission.</w:t>
      </w:r>
    </w:p>
    <w:p w:rsidR="007338A7" w:rsidRDefault="007338A7" w:rsidP="007338A7">
      <w:pPr>
        <w:jc w:val="both"/>
        <w:rPr>
          <w:rFonts w:ascii="Arial" w:hAnsi="Arial" w:cs="Arial"/>
        </w:rPr>
      </w:pPr>
    </w:p>
    <w:p w:rsidR="007338A7" w:rsidRDefault="007338A7" w:rsidP="007338A7">
      <w:pPr>
        <w:jc w:val="both"/>
        <w:rPr>
          <w:rFonts w:ascii="Arial" w:hAnsi="Arial" w:cs="Arial"/>
        </w:rPr>
      </w:pPr>
      <w:r>
        <w:rPr>
          <w:rFonts w:ascii="Arial" w:hAnsi="Arial" w:cs="Arial"/>
        </w:rPr>
        <w:t xml:space="preserve">The Board is asked to comment on and approve the Quarter </w:t>
      </w:r>
      <w:r w:rsidR="00A2776E">
        <w:rPr>
          <w:rFonts w:ascii="Arial" w:hAnsi="Arial" w:cs="Arial"/>
        </w:rPr>
        <w:t>1</w:t>
      </w:r>
      <w:r w:rsidR="00780788">
        <w:rPr>
          <w:rFonts w:ascii="Arial" w:hAnsi="Arial" w:cs="Arial"/>
        </w:rPr>
        <w:t xml:space="preserve"> submission to Monitor.</w:t>
      </w:r>
    </w:p>
    <w:p w:rsidR="00780788" w:rsidRDefault="00780788" w:rsidP="007338A7">
      <w:pPr>
        <w:jc w:val="both"/>
        <w:rPr>
          <w:rFonts w:ascii="Arial" w:hAnsi="Arial" w:cs="Arial"/>
        </w:rPr>
      </w:pPr>
    </w:p>
    <w:p w:rsidR="00780788" w:rsidRDefault="00780788" w:rsidP="007338A7">
      <w:pPr>
        <w:jc w:val="both"/>
        <w:rPr>
          <w:rFonts w:ascii="Arial" w:hAnsi="Arial" w:cs="Arial"/>
        </w:rPr>
      </w:pPr>
      <w:r>
        <w:rPr>
          <w:rFonts w:ascii="Arial" w:hAnsi="Arial" w:cs="Arial"/>
        </w:rPr>
        <w:t xml:space="preserve">As part of the </w:t>
      </w:r>
      <w:r w:rsidR="000F1A75">
        <w:rPr>
          <w:rFonts w:ascii="Arial" w:hAnsi="Arial" w:cs="Arial"/>
        </w:rPr>
        <w:t xml:space="preserve">Quarter 1 </w:t>
      </w:r>
      <w:r>
        <w:rPr>
          <w:rFonts w:ascii="Arial" w:hAnsi="Arial" w:cs="Arial"/>
        </w:rPr>
        <w:t xml:space="preserve">submission, the Board is asked to </w:t>
      </w:r>
      <w:r w:rsidR="000F1A75">
        <w:rPr>
          <w:rFonts w:ascii="Arial" w:hAnsi="Arial" w:cs="Arial"/>
        </w:rPr>
        <w:t>confirm the following statements:-</w:t>
      </w:r>
    </w:p>
    <w:p w:rsidR="000F1A75" w:rsidRPr="000F1A75" w:rsidRDefault="000F1A75" w:rsidP="000F1A75">
      <w:pPr>
        <w:pStyle w:val="ListParagraph"/>
        <w:numPr>
          <w:ilvl w:val="0"/>
          <w:numId w:val="20"/>
        </w:numPr>
        <w:jc w:val="both"/>
        <w:rPr>
          <w:rFonts w:ascii="Arial" w:hAnsi="Arial" w:cs="Arial"/>
        </w:rPr>
      </w:pPr>
      <w:r>
        <w:rPr>
          <w:rFonts w:ascii="Arial" w:hAnsi="Arial" w:cs="Arial"/>
        </w:rPr>
        <w:t>The Board anticipates that the T</w:t>
      </w:r>
      <w:r w:rsidRPr="00593399">
        <w:rPr>
          <w:rFonts w:ascii="Arial" w:hAnsi="Arial" w:cs="Arial"/>
        </w:rPr>
        <w:t>rust will continue to maintain a financial risk rating of at l</w:t>
      </w:r>
      <w:r>
        <w:rPr>
          <w:rFonts w:ascii="Arial" w:hAnsi="Arial" w:cs="Arial"/>
        </w:rPr>
        <w:t>east 3 over the next 12 months.</w:t>
      </w:r>
    </w:p>
    <w:p w:rsidR="000F1A75" w:rsidRPr="00593399" w:rsidRDefault="000F1A75" w:rsidP="000F1A75">
      <w:pPr>
        <w:pStyle w:val="ListParagraph"/>
        <w:numPr>
          <w:ilvl w:val="0"/>
          <w:numId w:val="20"/>
        </w:numPr>
        <w:jc w:val="both"/>
        <w:rPr>
          <w:rFonts w:ascii="Arial" w:hAnsi="Arial" w:cs="Arial"/>
        </w:rPr>
      </w:pPr>
      <w:r>
        <w:rPr>
          <w:rFonts w:ascii="Arial" w:hAnsi="Arial" w:cs="Arial"/>
        </w:rPr>
        <w:lastRenderedPageBreak/>
        <w:t xml:space="preserve"> The Board is satisfied that plans in place are sufficient to ensure ongoing compliance with all existing targets (after the application of thresholds) and a commitment to comply with all known targets going forwards.</w:t>
      </w:r>
    </w:p>
    <w:p w:rsidR="000F1A75" w:rsidRDefault="000F1A75" w:rsidP="007338A7">
      <w:pPr>
        <w:jc w:val="both"/>
        <w:rPr>
          <w:rFonts w:ascii="Arial" w:hAnsi="Arial" w:cs="Arial"/>
        </w:rPr>
      </w:pPr>
    </w:p>
    <w:p w:rsidR="007338A7" w:rsidRDefault="007338A7" w:rsidP="007338A7">
      <w:pPr>
        <w:jc w:val="both"/>
        <w:rPr>
          <w:rFonts w:ascii="Arial" w:hAnsi="Arial" w:cs="Arial"/>
          <w:b/>
        </w:rPr>
      </w:pPr>
    </w:p>
    <w:p w:rsidR="007338A7" w:rsidRDefault="007338A7" w:rsidP="007338A7">
      <w:pPr>
        <w:jc w:val="both"/>
        <w:rPr>
          <w:rFonts w:ascii="Arial" w:hAnsi="Arial" w:cs="Arial"/>
          <w:b/>
        </w:rPr>
      </w:pPr>
    </w:p>
    <w:p w:rsidR="007338A7" w:rsidRDefault="007338A7" w:rsidP="007338A7">
      <w:pPr>
        <w:ind w:left="2835" w:hanging="2835"/>
        <w:jc w:val="both"/>
        <w:rPr>
          <w:rFonts w:ascii="Arial" w:hAnsi="Arial" w:cs="Arial"/>
        </w:rPr>
      </w:pPr>
      <w:r>
        <w:rPr>
          <w:rFonts w:ascii="Arial" w:hAnsi="Arial" w:cs="Arial"/>
          <w:b/>
        </w:rPr>
        <w:t>Author and Title:</w:t>
      </w:r>
      <w:r>
        <w:rPr>
          <w:rFonts w:ascii="Arial" w:hAnsi="Arial" w:cs="Arial"/>
        </w:rPr>
        <w:t xml:space="preserve"> </w:t>
      </w:r>
      <w:r>
        <w:rPr>
          <w:rFonts w:ascii="Arial" w:hAnsi="Arial" w:cs="Arial"/>
        </w:rPr>
        <w:tab/>
      </w:r>
      <w:r>
        <w:rPr>
          <w:rFonts w:ascii="Arial" w:hAnsi="Arial" w:cs="Arial"/>
        </w:rPr>
        <w:tab/>
        <w:t xml:space="preserve">Justinian Habner, Trust Secretary </w:t>
      </w:r>
    </w:p>
    <w:p w:rsidR="007338A7" w:rsidRPr="002712E4" w:rsidRDefault="007338A7" w:rsidP="007338A7">
      <w:pPr>
        <w:jc w:val="both"/>
        <w:rPr>
          <w:rFonts w:ascii="Arial" w:hAnsi="Arial" w:cs="Arial"/>
        </w:rPr>
      </w:pPr>
      <w:r>
        <w:rPr>
          <w:rFonts w:ascii="Arial" w:hAnsi="Arial" w:cs="Arial"/>
          <w:b/>
        </w:rPr>
        <w:t>Lead Executive Director:</w:t>
      </w:r>
      <w:r>
        <w:rPr>
          <w:rFonts w:ascii="Arial" w:hAnsi="Arial" w:cs="Arial"/>
          <w:b/>
        </w:rPr>
        <w:tab/>
      </w:r>
      <w:r>
        <w:rPr>
          <w:rFonts w:ascii="Arial" w:hAnsi="Arial" w:cs="Arial"/>
        </w:rPr>
        <w:t>Mike McEnaney, Director of Finance</w:t>
      </w:r>
    </w:p>
    <w:p w:rsidR="007338A7" w:rsidRDefault="007338A7" w:rsidP="007338A7">
      <w:pPr>
        <w:jc w:val="both"/>
        <w:rPr>
          <w:rFonts w:ascii="Arial" w:hAnsi="Arial" w:cs="Arial"/>
          <w:b/>
        </w:rPr>
      </w:pPr>
    </w:p>
    <w:p w:rsidR="007338A7" w:rsidRPr="0073522A" w:rsidRDefault="007338A7" w:rsidP="007338A7">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p w:rsidR="000F1A75" w:rsidRDefault="000F1A75">
      <w:pPr>
        <w:rPr>
          <w:rFonts w:ascii="Arial" w:hAnsi="Arial" w:cs="Arial"/>
        </w:rPr>
      </w:pPr>
      <w:r>
        <w:rPr>
          <w:rFonts w:ascii="Arial" w:hAnsi="Arial" w:cs="Arial"/>
        </w:rPr>
        <w:br w:type="page"/>
      </w:r>
    </w:p>
    <w:p w:rsidR="007338A7" w:rsidRDefault="007338A7" w:rsidP="00537C23">
      <w:pPr>
        <w:jc w:val="both"/>
        <w:rPr>
          <w:rFonts w:ascii="Arial" w:hAnsi="Arial" w:cs="Arial"/>
        </w:rPr>
      </w:pPr>
    </w:p>
    <w:p w:rsidR="00537C23" w:rsidRDefault="00537C23" w:rsidP="00537C23">
      <w:pPr>
        <w:jc w:val="both"/>
        <w:rPr>
          <w:rFonts w:ascii="Arial" w:hAnsi="Arial" w:cs="Arial"/>
        </w:rPr>
      </w:pPr>
    </w:p>
    <w:p w:rsidR="00537C23" w:rsidRPr="006557FC" w:rsidRDefault="007338A7" w:rsidP="007338A7">
      <w:pPr>
        <w:numPr>
          <w:ilvl w:val="0"/>
          <w:numId w:val="14"/>
        </w:numPr>
        <w:ind w:hanging="720"/>
        <w:jc w:val="both"/>
        <w:rPr>
          <w:rFonts w:ascii="Arial" w:hAnsi="Arial" w:cs="Arial"/>
          <w:b/>
        </w:rPr>
      </w:pPr>
      <w:r>
        <w:rPr>
          <w:rFonts w:ascii="Arial" w:hAnsi="Arial" w:cs="Arial"/>
          <w:b/>
        </w:rPr>
        <w:t>201</w:t>
      </w:r>
      <w:r w:rsidR="009E4327">
        <w:rPr>
          <w:rFonts w:ascii="Arial" w:hAnsi="Arial" w:cs="Arial"/>
          <w:b/>
        </w:rPr>
        <w:t>2</w:t>
      </w:r>
      <w:r>
        <w:rPr>
          <w:rFonts w:ascii="Arial" w:hAnsi="Arial" w:cs="Arial"/>
          <w:b/>
        </w:rPr>
        <w:t>/1</w:t>
      </w:r>
      <w:r w:rsidR="009E4327">
        <w:rPr>
          <w:rFonts w:ascii="Arial" w:hAnsi="Arial" w:cs="Arial"/>
          <w:b/>
        </w:rPr>
        <w:t>3</w:t>
      </w:r>
      <w:r w:rsidR="00537C23">
        <w:rPr>
          <w:rFonts w:ascii="Arial" w:hAnsi="Arial" w:cs="Arial"/>
          <w:b/>
        </w:rPr>
        <w:t xml:space="preserve"> Monitoring </w:t>
      </w:r>
      <w:r w:rsidR="00593399">
        <w:rPr>
          <w:rFonts w:ascii="Arial" w:hAnsi="Arial" w:cs="Arial"/>
          <w:b/>
        </w:rPr>
        <w:t>Requirements</w:t>
      </w:r>
    </w:p>
    <w:p w:rsidR="005F2E83" w:rsidRDefault="005F2E83" w:rsidP="00537C23">
      <w:pPr>
        <w:jc w:val="both"/>
        <w:rPr>
          <w:rFonts w:ascii="Arial" w:hAnsi="Arial" w:cs="Arial"/>
        </w:rPr>
      </w:pPr>
      <w:r>
        <w:rPr>
          <w:rFonts w:ascii="Arial" w:hAnsi="Arial" w:cs="Arial"/>
        </w:rPr>
        <w:t>Under the Compliance Framework 2012/13, FTs are required to make the following in-year submissions:-</w:t>
      </w:r>
    </w:p>
    <w:p w:rsidR="005F2E83" w:rsidRDefault="005F2E83" w:rsidP="005F2E83">
      <w:pPr>
        <w:pStyle w:val="ListParagraph"/>
        <w:numPr>
          <w:ilvl w:val="0"/>
          <w:numId w:val="19"/>
        </w:numPr>
        <w:jc w:val="both"/>
        <w:rPr>
          <w:rFonts w:ascii="Arial" w:hAnsi="Arial" w:cs="Arial"/>
        </w:rPr>
      </w:pPr>
      <w:r>
        <w:rPr>
          <w:rFonts w:ascii="Arial" w:hAnsi="Arial" w:cs="Arial"/>
        </w:rPr>
        <w:t>Quarterly financials</w:t>
      </w:r>
      <w:r w:rsidR="0042776F">
        <w:rPr>
          <w:rFonts w:ascii="Arial" w:hAnsi="Arial" w:cs="Arial"/>
        </w:rPr>
        <w:t>.</w:t>
      </w:r>
    </w:p>
    <w:p w:rsidR="005F2E83" w:rsidRDefault="005F2E83" w:rsidP="005F2E83">
      <w:pPr>
        <w:pStyle w:val="ListParagraph"/>
        <w:numPr>
          <w:ilvl w:val="0"/>
          <w:numId w:val="19"/>
        </w:numPr>
        <w:jc w:val="both"/>
        <w:rPr>
          <w:rFonts w:ascii="Arial" w:hAnsi="Arial" w:cs="Arial"/>
        </w:rPr>
      </w:pPr>
      <w:r>
        <w:rPr>
          <w:rFonts w:ascii="Arial" w:hAnsi="Arial" w:cs="Arial"/>
        </w:rPr>
        <w:t>Year-to-date financials</w:t>
      </w:r>
      <w:r w:rsidR="0042776F">
        <w:rPr>
          <w:rFonts w:ascii="Arial" w:hAnsi="Arial" w:cs="Arial"/>
        </w:rPr>
        <w:t>.</w:t>
      </w:r>
    </w:p>
    <w:p w:rsidR="005F2E83" w:rsidRDefault="005F2E83" w:rsidP="005F2E83">
      <w:pPr>
        <w:pStyle w:val="ListParagraph"/>
        <w:numPr>
          <w:ilvl w:val="0"/>
          <w:numId w:val="19"/>
        </w:numPr>
        <w:jc w:val="both"/>
        <w:rPr>
          <w:rFonts w:ascii="Arial" w:hAnsi="Arial" w:cs="Arial"/>
        </w:rPr>
      </w:pPr>
      <w:r>
        <w:rPr>
          <w:rFonts w:ascii="Arial" w:hAnsi="Arial" w:cs="Arial"/>
        </w:rPr>
        <w:t>Statement from the board certifying compliance with two specific board statements</w:t>
      </w:r>
      <w:r w:rsidR="0042776F">
        <w:rPr>
          <w:rFonts w:ascii="Arial" w:hAnsi="Arial" w:cs="Arial"/>
        </w:rPr>
        <w:t>.</w:t>
      </w:r>
    </w:p>
    <w:p w:rsidR="0042776F" w:rsidRDefault="0042776F" w:rsidP="005F2E83">
      <w:pPr>
        <w:pStyle w:val="ListParagraph"/>
        <w:numPr>
          <w:ilvl w:val="0"/>
          <w:numId w:val="19"/>
        </w:numPr>
        <w:jc w:val="both"/>
        <w:rPr>
          <w:rFonts w:ascii="Arial" w:hAnsi="Arial" w:cs="Arial"/>
        </w:rPr>
      </w:pPr>
      <w:r>
        <w:rPr>
          <w:rFonts w:ascii="Arial" w:hAnsi="Arial" w:cs="Arial"/>
        </w:rPr>
        <w:t xml:space="preserve">Exception reports at any time </w:t>
      </w:r>
      <w:r w:rsidR="00593399">
        <w:rPr>
          <w:rFonts w:ascii="Arial" w:hAnsi="Arial" w:cs="Arial"/>
        </w:rPr>
        <w:t>on</w:t>
      </w:r>
      <w:r>
        <w:rPr>
          <w:rFonts w:ascii="Arial" w:hAnsi="Arial" w:cs="Arial"/>
        </w:rPr>
        <w:t xml:space="preserve"> relevant issue arises.</w:t>
      </w:r>
    </w:p>
    <w:p w:rsidR="0042776F" w:rsidRDefault="0042776F" w:rsidP="0042776F">
      <w:pPr>
        <w:pStyle w:val="ListParagraph"/>
        <w:numPr>
          <w:ilvl w:val="0"/>
          <w:numId w:val="19"/>
        </w:numPr>
        <w:jc w:val="both"/>
        <w:rPr>
          <w:rFonts w:ascii="Arial" w:hAnsi="Arial" w:cs="Arial"/>
        </w:rPr>
      </w:pPr>
      <w:r>
        <w:rPr>
          <w:rFonts w:ascii="Arial" w:hAnsi="Arial" w:cs="Arial"/>
        </w:rPr>
        <w:t xml:space="preserve">Results of Governor </w:t>
      </w:r>
      <w:proofErr w:type="gramStart"/>
      <w:r>
        <w:rPr>
          <w:rFonts w:ascii="Arial" w:hAnsi="Arial" w:cs="Arial"/>
        </w:rPr>
        <w:t>elections</w:t>
      </w:r>
      <w:proofErr w:type="gramEnd"/>
      <w:r>
        <w:rPr>
          <w:rFonts w:ascii="Arial" w:hAnsi="Arial" w:cs="Arial"/>
        </w:rPr>
        <w:t>.</w:t>
      </w:r>
    </w:p>
    <w:p w:rsidR="0042776F" w:rsidRPr="0042776F" w:rsidRDefault="0042776F" w:rsidP="0042776F">
      <w:pPr>
        <w:pStyle w:val="ListParagraph"/>
        <w:numPr>
          <w:ilvl w:val="0"/>
          <w:numId w:val="19"/>
        </w:numPr>
        <w:jc w:val="both"/>
        <w:rPr>
          <w:rFonts w:ascii="Arial" w:hAnsi="Arial" w:cs="Arial"/>
        </w:rPr>
      </w:pPr>
      <w:r>
        <w:rPr>
          <w:rFonts w:ascii="Arial" w:hAnsi="Arial" w:cs="Arial"/>
        </w:rPr>
        <w:t>Reports on any changes in the Board of Directors or Members’ Council.</w:t>
      </w:r>
    </w:p>
    <w:p w:rsidR="005F2E83" w:rsidRDefault="005F2E83" w:rsidP="00537C23">
      <w:pPr>
        <w:jc w:val="both"/>
        <w:rPr>
          <w:rFonts w:ascii="Arial" w:hAnsi="Arial" w:cs="Arial"/>
        </w:rPr>
      </w:pPr>
    </w:p>
    <w:p w:rsidR="0042776F" w:rsidRDefault="0042776F" w:rsidP="00537C23">
      <w:pPr>
        <w:jc w:val="both"/>
        <w:rPr>
          <w:rFonts w:ascii="Arial" w:hAnsi="Arial" w:cs="Arial"/>
        </w:rPr>
      </w:pPr>
      <w:r>
        <w:rPr>
          <w:rFonts w:ascii="Arial" w:hAnsi="Arial" w:cs="Arial"/>
          <w:b/>
          <w:i/>
        </w:rPr>
        <w:t>Quarterly Submissions</w:t>
      </w:r>
    </w:p>
    <w:p w:rsidR="0042776F" w:rsidRDefault="0042776F" w:rsidP="00537C23">
      <w:pPr>
        <w:jc w:val="both"/>
        <w:rPr>
          <w:rFonts w:ascii="Arial" w:hAnsi="Arial" w:cs="Arial"/>
        </w:rPr>
      </w:pPr>
      <w:r>
        <w:rPr>
          <w:rFonts w:ascii="Arial" w:hAnsi="Arial" w:cs="Arial"/>
        </w:rPr>
        <w:t>On a quarterly basis, Monitor issues templates which se</w:t>
      </w:r>
      <w:r w:rsidR="00593399">
        <w:rPr>
          <w:rFonts w:ascii="Arial" w:hAnsi="Arial" w:cs="Arial"/>
        </w:rPr>
        <w:t>t out what FTs should report on, including board statements, financial information, and performance against targets and indicators.</w:t>
      </w:r>
    </w:p>
    <w:p w:rsidR="0042776F" w:rsidRDefault="0042776F" w:rsidP="00537C23">
      <w:pPr>
        <w:jc w:val="both"/>
        <w:rPr>
          <w:rFonts w:ascii="Arial" w:hAnsi="Arial" w:cs="Arial"/>
        </w:rPr>
      </w:pPr>
    </w:p>
    <w:p w:rsidR="00593399" w:rsidRPr="00780788" w:rsidRDefault="00593399" w:rsidP="00780788">
      <w:pPr>
        <w:pStyle w:val="ListParagraph"/>
        <w:numPr>
          <w:ilvl w:val="0"/>
          <w:numId w:val="26"/>
        </w:numPr>
        <w:jc w:val="both"/>
        <w:rPr>
          <w:rFonts w:ascii="Arial" w:hAnsi="Arial" w:cs="Arial"/>
        </w:rPr>
      </w:pPr>
      <w:r w:rsidRPr="00780788">
        <w:rPr>
          <w:rFonts w:ascii="Arial" w:hAnsi="Arial" w:cs="Arial"/>
          <w:i/>
        </w:rPr>
        <w:t>Board statements:</w:t>
      </w:r>
    </w:p>
    <w:p w:rsidR="00593399" w:rsidRDefault="00593399" w:rsidP="00537C23">
      <w:pPr>
        <w:jc w:val="both"/>
        <w:rPr>
          <w:rFonts w:ascii="Arial" w:hAnsi="Arial" w:cs="Arial"/>
        </w:rPr>
      </w:pPr>
      <w:r>
        <w:rPr>
          <w:rFonts w:ascii="Arial" w:hAnsi="Arial" w:cs="Arial"/>
        </w:rPr>
        <w:t>FTs are required to confirm the following board statements (no supporting details are required unless compliance cannot be confirmed).</w:t>
      </w:r>
    </w:p>
    <w:p w:rsidR="00593399" w:rsidRDefault="00593399" w:rsidP="00537C23">
      <w:pPr>
        <w:jc w:val="both"/>
        <w:rPr>
          <w:rFonts w:ascii="Arial" w:hAnsi="Arial" w:cs="Arial"/>
        </w:rPr>
      </w:pPr>
    </w:p>
    <w:p w:rsidR="00593399" w:rsidRDefault="00593399" w:rsidP="00593399">
      <w:pPr>
        <w:pStyle w:val="ListParagraph"/>
        <w:numPr>
          <w:ilvl w:val="0"/>
          <w:numId w:val="20"/>
        </w:numPr>
        <w:jc w:val="both"/>
        <w:rPr>
          <w:rFonts w:ascii="Arial" w:hAnsi="Arial" w:cs="Arial"/>
        </w:rPr>
      </w:pPr>
      <w:r w:rsidRPr="00593399">
        <w:rPr>
          <w:rFonts w:ascii="Arial" w:hAnsi="Arial" w:cs="Arial"/>
        </w:rPr>
        <w:t>For finance that: “The board anticipates that the trust will continue to maintain a financial risk rating of at least 3 over the next 12 months.”</w:t>
      </w:r>
    </w:p>
    <w:p w:rsidR="00593399" w:rsidRDefault="00593399" w:rsidP="00593399">
      <w:pPr>
        <w:jc w:val="both"/>
        <w:rPr>
          <w:rFonts w:ascii="Arial" w:hAnsi="Arial" w:cs="Arial"/>
        </w:rPr>
      </w:pPr>
    </w:p>
    <w:p w:rsidR="00593399" w:rsidRPr="00593399" w:rsidRDefault="00593399" w:rsidP="00593399">
      <w:pPr>
        <w:pStyle w:val="ListParagraph"/>
        <w:numPr>
          <w:ilvl w:val="0"/>
          <w:numId w:val="20"/>
        </w:numPr>
        <w:jc w:val="both"/>
        <w:rPr>
          <w:rFonts w:ascii="Arial" w:hAnsi="Arial" w:cs="Arial"/>
        </w:rPr>
      </w:pPr>
      <w:r>
        <w:rPr>
          <w:rFonts w:ascii="Arial" w:hAnsi="Arial" w:cs="Arial"/>
        </w:rPr>
        <w:t>For governance that: “The board is satisfied that plans in place are sufficient to ensure ongoing compliance with all existing targets (after the application of thresholds) and a commitment to comply with all known targets going forwards.”</w:t>
      </w:r>
    </w:p>
    <w:p w:rsidR="00593399" w:rsidRPr="009C058B" w:rsidRDefault="00593399" w:rsidP="009C058B">
      <w:pPr>
        <w:jc w:val="both"/>
        <w:rPr>
          <w:rFonts w:ascii="Arial" w:hAnsi="Arial" w:cs="Arial"/>
        </w:rPr>
      </w:pPr>
    </w:p>
    <w:p w:rsidR="00582ACF" w:rsidRPr="009C058B" w:rsidRDefault="00582ACF" w:rsidP="00780788">
      <w:pPr>
        <w:pStyle w:val="Default"/>
        <w:numPr>
          <w:ilvl w:val="0"/>
          <w:numId w:val="26"/>
        </w:numPr>
        <w:jc w:val="both"/>
        <w:rPr>
          <w:i/>
        </w:rPr>
      </w:pPr>
      <w:r w:rsidRPr="009C058B">
        <w:rPr>
          <w:bCs/>
          <w:i/>
        </w:rPr>
        <w:t>Non-exhaustive list of item</w:t>
      </w:r>
      <w:r w:rsidR="00780788">
        <w:rPr>
          <w:bCs/>
          <w:i/>
        </w:rPr>
        <w:t>s requiring exception reporting:</w:t>
      </w:r>
    </w:p>
    <w:p w:rsidR="00582ACF" w:rsidRPr="009C058B" w:rsidRDefault="009C058B" w:rsidP="00780788">
      <w:pPr>
        <w:pStyle w:val="Default"/>
        <w:jc w:val="both"/>
      </w:pPr>
      <w:r>
        <w:t>FTs</w:t>
      </w:r>
      <w:r w:rsidR="00582ACF" w:rsidRPr="009C058B">
        <w:t xml:space="preserve"> must provide reports for risks to compliance with the Authorisation (including in relation to all the items on the following non-exhaustive list). These reports are required only by exception</w:t>
      </w:r>
      <w:r>
        <w:t>.</w:t>
      </w:r>
    </w:p>
    <w:p w:rsidR="009C058B" w:rsidRDefault="009C058B" w:rsidP="00780788">
      <w:pPr>
        <w:pStyle w:val="Default"/>
        <w:jc w:val="both"/>
        <w:rPr>
          <w:i/>
          <w:iCs/>
        </w:rPr>
      </w:pPr>
    </w:p>
    <w:p w:rsidR="00582ACF" w:rsidRPr="00780788" w:rsidRDefault="00582ACF" w:rsidP="00780788">
      <w:pPr>
        <w:pStyle w:val="Default"/>
        <w:jc w:val="both"/>
      </w:pPr>
      <w:r w:rsidRPr="00780788">
        <w:rPr>
          <w:iCs/>
        </w:rPr>
        <w:t xml:space="preserve">Finance </w:t>
      </w:r>
    </w:p>
    <w:p w:rsidR="00582ACF" w:rsidRPr="009C058B" w:rsidRDefault="00582ACF" w:rsidP="00780788">
      <w:pPr>
        <w:pStyle w:val="Default"/>
        <w:numPr>
          <w:ilvl w:val="0"/>
          <w:numId w:val="21"/>
        </w:numPr>
        <w:jc w:val="both"/>
      </w:pPr>
      <w:r w:rsidRPr="009C058B">
        <w:t>Unplanned significant reduction(s) in income or si</w:t>
      </w:r>
      <w:r w:rsidR="009C058B">
        <w:t>gnificant increase(s) in costs.</w:t>
      </w:r>
    </w:p>
    <w:p w:rsidR="009C058B" w:rsidRDefault="00582ACF" w:rsidP="00780788">
      <w:pPr>
        <w:pStyle w:val="Default"/>
        <w:numPr>
          <w:ilvl w:val="0"/>
          <w:numId w:val="21"/>
        </w:numPr>
        <w:jc w:val="both"/>
      </w:pPr>
      <w:r w:rsidRPr="009C058B">
        <w:t>Requirement for working capital in breach</w:t>
      </w:r>
      <w:r w:rsidR="009C058B">
        <w:t xml:space="preserve"> of Prudential Borrowing Limits.</w:t>
      </w:r>
    </w:p>
    <w:p w:rsidR="009C058B" w:rsidRDefault="009C058B" w:rsidP="00780788">
      <w:pPr>
        <w:pStyle w:val="Default"/>
        <w:numPr>
          <w:ilvl w:val="0"/>
          <w:numId w:val="21"/>
        </w:numPr>
        <w:jc w:val="both"/>
      </w:pPr>
      <w:r>
        <w:t>F</w:t>
      </w:r>
      <w:r w:rsidR="00582ACF" w:rsidRPr="009C058B">
        <w:t xml:space="preserve">ailure to comply with the </w:t>
      </w:r>
      <w:r w:rsidR="00582ACF" w:rsidRPr="009C058B">
        <w:rPr>
          <w:i/>
          <w:iCs/>
        </w:rPr>
        <w:t>NHS Foundation Trust Annual Reporting Manual</w:t>
      </w:r>
      <w:r>
        <w:t>.</w:t>
      </w:r>
    </w:p>
    <w:p w:rsidR="00582ACF" w:rsidRPr="009C058B" w:rsidRDefault="00582ACF" w:rsidP="00780788">
      <w:pPr>
        <w:pStyle w:val="Default"/>
        <w:numPr>
          <w:ilvl w:val="0"/>
          <w:numId w:val="21"/>
        </w:numPr>
        <w:jc w:val="both"/>
      </w:pPr>
      <w:r w:rsidRPr="009C058B">
        <w:t xml:space="preserve">Discussions with external auditors which may lead to a qualified audit report. </w:t>
      </w:r>
    </w:p>
    <w:p w:rsidR="009C058B" w:rsidRDefault="009C058B" w:rsidP="00780788">
      <w:pPr>
        <w:pStyle w:val="Default"/>
        <w:jc w:val="both"/>
        <w:rPr>
          <w:iCs/>
        </w:rPr>
      </w:pPr>
    </w:p>
    <w:p w:rsidR="000F1A75" w:rsidRDefault="000F1A75" w:rsidP="00780788">
      <w:pPr>
        <w:pStyle w:val="Default"/>
        <w:jc w:val="both"/>
        <w:rPr>
          <w:iCs/>
        </w:rPr>
      </w:pPr>
    </w:p>
    <w:p w:rsidR="000F1A75" w:rsidRPr="00780788" w:rsidRDefault="000F1A75" w:rsidP="00780788">
      <w:pPr>
        <w:pStyle w:val="Default"/>
        <w:jc w:val="both"/>
        <w:rPr>
          <w:iCs/>
        </w:rPr>
      </w:pPr>
    </w:p>
    <w:p w:rsidR="009C058B" w:rsidRPr="00780788" w:rsidRDefault="00582ACF" w:rsidP="00780788">
      <w:pPr>
        <w:pStyle w:val="Default"/>
        <w:jc w:val="both"/>
      </w:pPr>
      <w:r w:rsidRPr="00780788">
        <w:rPr>
          <w:iCs/>
        </w:rPr>
        <w:lastRenderedPageBreak/>
        <w:t xml:space="preserve">Governance </w:t>
      </w:r>
    </w:p>
    <w:p w:rsidR="00582ACF" w:rsidRPr="009C058B" w:rsidRDefault="00582ACF" w:rsidP="00780788">
      <w:pPr>
        <w:pStyle w:val="Default"/>
        <w:numPr>
          <w:ilvl w:val="0"/>
          <w:numId w:val="22"/>
        </w:numPr>
        <w:jc w:val="both"/>
      </w:pPr>
      <w:r w:rsidRPr="009C058B">
        <w:t xml:space="preserve">Events suggesting material issues with governance processes and structures, e.g.: </w:t>
      </w:r>
    </w:p>
    <w:p w:rsidR="00582ACF" w:rsidRPr="009C058B" w:rsidRDefault="00582ACF" w:rsidP="00780788">
      <w:pPr>
        <w:pStyle w:val="Default"/>
        <w:numPr>
          <w:ilvl w:val="1"/>
          <w:numId w:val="22"/>
        </w:numPr>
        <w:jc w:val="both"/>
      </w:pPr>
      <w:r w:rsidRPr="009C058B">
        <w:t>Removal of d</w:t>
      </w:r>
      <w:r w:rsidR="00780788">
        <w:t>irector(s) for abuse of office.</w:t>
      </w:r>
    </w:p>
    <w:p w:rsidR="00582ACF" w:rsidRPr="009C058B" w:rsidRDefault="00582ACF" w:rsidP="00780788">
      <w:pPr>
        <w:pStyle w:val="Default"/>
        <w:numPr>
          <w:ilvl w:val="1"/>
          <w:numId w:val="22"/>
        </w:numPr>
        <w:jc w:val="both"/>
      </w:pPr>
      <w:r w:rsidRPr="009C058B">
        <w:t>Significant non-contractu</w:t>
      </w:r>
      <w:r w:rsidR="00780788">
        <w:t>al dispute with an NHS body.</w:t>
      </w:r>
      <w:r w:rsidRPr="009C058B">
        <w:t xml:space="preserve"> </w:t>
      </w:r>
    </w:p>
    <w:p w:rsidR="00582ACF" w:rsidRPr="009C058B" w:rsidRDefault="00582ACF" w:rsidP="00780788">
      <w:pPr>
        <w:pStyle w:val="Default"/>
        <w:numPr>
          <w:ilvl w:val="1"/>
          <w:numId w:val="22"/>
        </w:numPr>
        <w:jc w:val="both"/>
      </w:pPr>
      <w:r w:rsidRPr="009C058B">
        <w:t xml:space="preserve">Relevant third party investigations e.g. fraud, any relevant </w:t>
      </w:r>
      <w:r w:rsidR="00780788">
        <w:t>CQC</w:t>
      </w:r>
      <w:r w:rsidRPr="009C058B">
        <w:t xml:space="preserve"> reviews, investigations or studies. </w:t>
      </w:r>
    </w:p>
    <w:p w:rsidR="00582ACF" w:rsidRPr="009C058B" w:rsidRDefault="00582ACF" w:rsidP="00780788">
      <w:pPr>
        <w:pStyle w:val="Default"/>
        <w:numPr>
          <w:ilvl w:val="0"/>
          <w:numId w:val="22"/>
        </w:numPr>
        <w:jc w:val="both"/>
      </w:pPr>
      <w:r w:rsidRPr="009C058B">
        <w:t>Risk of failure to maintain plans to ensure o</w:t>
      </w:r>
      <w:r w:rsidR="00780788">
        <w:t xml:space="preserve">ngoing compliance with the CQC’s </w:t>
      </w:r>
      <w:r w:rsidRPr="009C058B">
        <w:t xml:space="preserve">registration requirements. </w:t>
      </w:r>
    </w:p>
    <w:p w:rsidR="00582ACF" w:rsidRPr="009C058B" w:rsidRDefault="00582ACF" w:rsidP="00780788">
      <w:pPr>
        <w:pStyle w:val="Default"/>
        <w:jc w:val="both"/>
      </w:pPr>
    </w:p>
    <w:p w:rsidR="00780788" w:rsidRPr="00780788" w:rsidRDefault="00582ACF" w:rsidP="00780788">
      <w:pPr>
        <w:pStyle w:val="Default"/>
        <w:jc w:val="both"/>
      </w:pPr>
      <w:r w:rsidRPr="00780788">
        <w:rPr>
          <w:iCs/>
        </w:rPr>
        <w:t xml:space="preserve">Mandatory services </w:t>
      </w:r>
    </w:p>
    <w:p w:rsidR="00780788" w:rsidRDefault="00582ACF" w:rsidP="00780788">
      <w:pPr>
        <w:pStyle w:val="Default"/>
        <w:numPr>
          <w:ilvl w:val="0"/>
          <w:numId w:val="24"/>
        </w:numPr>
        <w:jc w:val="both"/>
      </w:pPr>
      <w:r w:rsidRPr="009C058B">
        <w:t>Proposals to vary mandatory service provision or dispose of assets</w:t>
      </w:r>
      <w:r w:rsidR="00780788">
        <w:t>.</w:t>
      </w:r>
    </w:p>
    <w:p w:rsidR="00582ACF" w:rsidRPr="009C058B" w:rsidRDefault="00582ACF" w:rsidP="00780788">
      <w:pPr>
        <w:pStyle w:val="Default"/>
        <w:numPr>
          <w:ilvl w:val="0"/>
          <w:numId w:val="24"/>
        </w:numPr>
        <w:jc w:val="both"/>
      </w:pPr>
      <w:r w:rsidRPr="009C058B">
        <w:t xml:space="preserve">Loss of accreditation of a mandatory service. </w:t>
      </w:r>
    </w:p>
    <w:p w:rsidR="00582ACF" w:rsidRPr="009C058B" w:rsidRDefault="00582ACF" w:rsidP="00780788">
      <w:pPr>
        <w:pStyle w:val="Default"/>
        <w:jc w:val="both"/>
      </w:pPr>
    </w:p>
    <w:p w:rsidR="00582ACF" w:rsidRPr="00780788" w:rsidRDefault="00582ACF" w:rsidP="00780788">
      <w:pPr>
        <w:pStyle w:val="Default"/>
        <w:jc w:val="both"/>
      </w:pPr>
      <w:r w:rsidRPr="00780788">
        <w:rPr>
          <w:iCs/>
        </w:rPr>
        <w:t xml:space="preserve">In addition </w:t>
      </w:r>
    </w:p>
    <w:p w:rsidR="00582ACF" w:rsidRPr="009C058B" w:rsidRDefault="00582ACF" w:rsidP="00780788">
      <w:pPr>
        <w:pStyle w:val="Default"/>
        <w:numPr>
          <w:ilvl w:val="0"/>
          <w:numId w:val="25"/>
        </w:numPr>
        <w:jc w:val="both"/>
      </w:pPr>
      <w:r w:rsidRPr="009C058B">
        <w:t>Explanations for qualified or missing certification</w:t>
      </w:r>
      <w:r w:rsidR="00780788">
        <w:t>s for any item from list above.</w:t>
      </w:r>
    </w:p>
    <w:p w:rsidR="00582ACF" w:rsidRPr="009C058B" w:rsidRDefault="00582ACF" w:rsidP="00780788">
      <w:pPr>
        <w:pStyle w:val="Default"/>
        <w:numPr>
          <w:ilvl w:val="0"/>
          <w:numId w:val="25"/>
        </w:numPr>
        <w:jc w:val="both"/>
      </w:pPr>
      <w:r w:rsidRPr="009C058B">
        <w:t xml:space="preserve">Breach of any Authorisation requirement. </w:t>
      </w:r>
    </w:p>
    <w:p w:rsidR="00537C23" w:rsidRDefault="00537C23" w:rsidP="00537C23">
      <w:pPr>
        <w:jc w:val="both"/>
        <w:rPr>
          <w:rFonts w:ascii="Arial" w:hAnsi="Arial" w:cs="Arial"/>
        </w:rPr>
      </w:pPr>
    </w:p>
    <w:p w:rsidR="00780788" w:rsidRPr="00780788" w:rsidRDefault="00780788" w:rsidP="00780788">
      <w:pPr>
        <w:pStyle w:val="ListParagraph"/>
        <w:numPr>
          <w:ilvl w:val="0"/>
          <w:numId w:val="26"/>
        </w:numPr>
        <w:jc w:val="both"/>
        <w:rPr>
          <w:rFonts w:ascii="Arial" w:hAnsi="Arial" w:cs="Arial"/>
          <w:i/>
        </w:rPr>
      </w:pPr>
      <w:r w:rsidRPr="00780788">
        <w:rPr>
          <w:rFonts w:ascii="Arial" w:hAnsi="Arial" w:cs="Arial"/>
          <w:i/>
        </w:rPr>
        <w:t>Targets and Indictors</w:t>
      </w:r>
      <w:r>
        <w:rPr>
          <w:rFonts w:ascii="Arial" w:hAnsi="Arial" w:cs="Arial"/>
          <w:i/>
        </w:rPr>
        <w:t>:</w:t>
      </w:r>
    </w:p>
    <w:p w:rsidR="00537C23" w:rsidRDefault="00780788" w:rsidP="00537C23">
      <w:pPr>
        <w:jc w:val="both"/>
        <w:rPr>
          <w:rFonts w:ascii="Arial" w:hAnsi="Arial" w:cs="Arial"/>
        </w:rPr>
      </w:pPr>
      <w:r>
        <w:rPr>
          <w:rFonts w:ascii="Arial" w:hAnsi="Arial" w:cs="Arial"/>
        </w:rPr>
        <w:t>FTs (which provide mental health / community health) must</w:t>
      </w:r>
      <w:r w:rsidR="00537C23">
        <w:rPr>
          <w:rFonts w:ascii="Arial" w:hAnsi="Arial" w:cs="Arial"/>
        </w:rPr>
        <w:t xml:space="preserve"> self-certify that following targets have been met:</w:t>
      </w:r>
    </w:p>
    <w:p w:rsidR="009E4327" w:rsidRDefault="009E4327" w:rsidP="00537C23">
      <w:pPr>
        <w:jc w:val="both"/>
        <w:rPr>
          <w:rFonts w:ascii="Arial" w:hAnsi="Arial" w:cs="Arial"/>
        </w:rPr>
      </w:pPr>
    </w:p>
    <w:tbl>
      <w:tblPr>
        <w:tblW w:w="8647" w:type="dxa"/>
        <w:tblInd w:w="108" w:type="dxa"/>
        <w:tblBorders>
          <w:top w:val="nil"/>
          <w:left w:val="nil"/>
          <w:bottom w:val="nil"/>
          <w:right w:val="nil"/>
        </w:tblBorders>
        <w:tblLayout w:type="fixed"/>
        <w:tblLook w:val="0000"/>
      </w:tblPr>
      <w:tblGrid>
        <w:gridCol w:w="8647"/>
      </w:tblGrid>
      <w:tr w:rsidR="009E4327" w:rsidRPr="00B928E2" w:rsidTr="00780788">
        <w:trPr>
          <w:trHeight w:val="106"/>
        </w:trPr>
        <w:tc>
          <w:tcPr>
            <w:tcW w:w="8647" w:type="dxa"/>
          </w:tcPr>
          <w:p w:rsidR="009E4327" w:rsidRPr="009E4327" w:rsidRDefault="009E4327" w:rsidP="009E4327">
            <w:pPr>
              <w:pStyle w:val="Default"/>
              <w:numPr>
                <w:ilvl w:val="0"/>
                <w:numId w:val="15"/>
              </w:numPr>
              <w:rPr>
                <w:b/>
                <w:sz w:val="20"/>
                <w:szCs w:val="20"/>
              </w:rPr>
            </w:pPr>
            <w:r w:rsidRPr="009E4327">
              <w:rPr>
                <w:sz w:val="20"/>
                <w:szCs w:val="20"/>
              </w:rPr>
              <w:t xml:space="preserve">Clostridium (C.) </w:t>
            </w:r>
            <w:proofErr w:type="spellStart"/>
            <w:r w:rsidRPr="009E4327">
              <w:rPr>
                <w:sz w:val="20"/>
                <w:szCs w:val="20"/>
              </w:rPr>
              <w:t>difficile</w:t>
            </w:r>
            <w:proofErr w:type="spellEnd"/>
            <w:r w:rsidRPr="009E4327">
              <w:rPr>
                <w:sz w:val="20"/>
                <w:szCs w:val="20"/>
              </w:rPr>
              <w:t xml:space="preserve"> – meeting the C. </w:t>
            </w:r>
            <w:proofErr w:type="spellStart"/>
            <w:r w:rsidRPr="009E4327">
              <w:rPr>
                <w:sz w:val="20"/>
                <w:szCs w:val="20"/>
              </w:rPr>
              <w:t>difficile</w:t>
            </w:r>
            <w:proofErr w:type="spellEnd"/>
            <w:r w:rsidRPr="009E4327">
              <w:rPr>
                <w:sz w:val="20"/>
                <w:szCs w:val="20"/>
              </w:rPr>
              <w:t xml:space="preserve"> objective </w:t>
            </w:r>
          </w:p>
        </w:tc>
      </w:tr>
      <w:tr w:rsidR="009E4327" w:rsidRPr="001D5B24" w:rsidTr="00780788">
        <w:trPr>
          <w:trHeight w:val="179"/>
        </w:trPr>
        <w:tc>
          <w:tcPr>
            <w:tcW w:w="8647" w:type="dxa"/>
          </w:tcPr>
          <w:p w:rsidR="009E4327" w:rsidRPr="009E4327" w:rsidRDefault="009E4327" w:rsidP="009E4327">
            <w:pPr>
              <w:pStyle w:val="Default"/>
              <w:numPr>
                <w:ilvl w:val="0"/>
                <w:numId w:val="15"/>
              </w:numPr>
              <w:rPr>
                <w:sz w:val="20"/>
                <w:szCs w:val="20"/>
              </w:rPr>
            </w:pPr>
            <w:proofErr w:type="spellStart"/>
            <w:r w:rsidRPr="009E4327">
              <w:rPr>
                <w:sz w:val="20"/>
                <w:szCs w:val="20"/>
              </w:rPr>
              <w:t>Methicillin</w:t>
            </w:r>
            <w:proofErr w:type="spellEnd"/>
            <w:r w:rsidRPr="009E4327">
              <w:rPr>
                <w:sz w:val="20"/>
                <w:szCs w:val="20"/>
              </w:rPr>
              <w:t xml:space="preserve">-resistant Staphylococcus </w:t>
            </w:r>
            <w:proofErr w:type="spellStart"/>
            <w:r w:rsidRPr="009E4327">
              <w:rPr>
                <w:sz w:val="20"/>
                <w:szCs w:val="20"/>
              </w:rPr>
              <w:t>aureus</w:t>
            </w:r>
            <w:proofErr w:type="spellEnd"/>
            <w:r w:rsidRPr="009E4327">
              <w:rPr>
                <w:sz w:val="20"/>
                <w:szCs w:val="20"/>
              </w:rPr>
              <w:t xml:space="preserve"> (MRSA) bacteraemia – meeting the MRSA objective </w:t>
            </w:r>
          </w:p>
        </w:tc>
      </w:tr>
      <w:tr w:rsidR="009E4327" w:rsidRPr="001D5B24" w:rsidTr="00780788">
        <w:trPr>
          <w:trHeight w:val="181"/>
        </w:trPr>
        <w:tc>
          <w:tcPr>
            <w:tcW w:w="8647" w:type="dxa"/>
          </w:tcPr>
          <w:p w:rsidR="009E4327" w:rsidRPr="009E4327" w:rsidRDefault="009E4327" w:rsidP="009E4327">
            <w:pPr>
              <w:pStyle w:val="Default"/>
              <w:numPr>
                <w:ilvl w:val="0"/>
                <w:numId w:val="15"/>
              </w:numPr>
              <w:rPr>
                <w:sz w:val="20"/>
                <w:szCs w:val="20"/>
              </w:rPr>
            </w:pPr>
            <w:r w:rsidRPr="009E4327">
              <w:rPr>
                <w:sz w:val="20"/>
                <w:szCs w:val="20"/>
              </w:rPr>
              <w:t>Maximum time of 18 weeks from point of referral to treatment in aggregate – admitted patients</w:t>
            </w:r>
          </w:p>
        </w:tc>
      </w:tr>
      <w:tr w:rsidR="009E4327" w:rsidRPr="001D5B24" w:rsidTr="00780788">
        <w:trPr>
          <w:trHeight w:val="181"/>
        </w:trPr>
        <w:tc>
          <w:tcPr>
            <w:tcW w:w="8647" w:type="dxa"/>
          </w:tcPr>
          <w:p w:rsidR="009E4327" w:rsidRPr="009E4327" w:rsidRDefault="009E4327" w:rsidP="009E4327">
            <w:pPr>
              <w:pStyle w:val="Default"/>
              <w:numPr>
                <w:ilvl w:val="0"/>
                <w:numId w:val="15"/>
              </w:numPr>
              <w:rPr>
                <w:sz w:val="20"/>
                <w:szCs w:val="20"/>
              </w:rPr>
            </w:pPr>
            <w:r w:rsidRPr="009E4327">
              <w:rPr>
                <w:sz w:val="20"/>
                <w:szCs w:val="20"/>
              </w:rPr>
              <w:t>Maximum time of 18 weeks from point of referral to treatment in aggregate – non-admitted patients</w:t>
            </w:r>
          </w:p>
        </w:tc>
      </w:tr>
      <w:tr w:rsidR="009E4327" w:rsidRPr="001D5B24" w:rsidTr="00780788">
        <w:trPr>
          <w:trHeight w:val="194"/>
        </w:trPr>
        <w:tc>
          <w:tcPr>
            <w:tcW w:w="8647" w:type="dxa"/>
          </w:tcPr>
          <w:p w:rsidR="009E4327" w:rsidRPr="009E4327" w:rsidRDefault="009E4327" w:rsidP="009E4327">
            <w:pPr>
              <w:pStyle w:val="Default"/>
              <w:numPr>
                <w:ilvl w:val="0"/>
                <w:numId w:val="15"/>
              </w:numPr>
              <w:rPr>
                <w:sz w:val="20"/>
                <w:szCs w:val="20"/>
              </w:rPr>
            </w:pPr>
            <w:r w:rsidRPr="009E4327">
              <w:rPr>
                <w:sz w:val="20"/>
                <w:szCs w:val="20"/>
              </w:rPr>
              <w:t xml:space="preserve">Maximum time of 18 weeks from point of referral to treatment in aggregate – patients on an incomplete pathway </w:t>
            </w:r>
          </w:p>
        </w:tc>
      </w:tr>
      <w:tr w:rsidR="009E4327" w:rsidRPr="001D5B24" w:rsidTr="00780788">
        <w:trPr>
          <w:trHeight w:val="239"/>
        </w:trPr>
        <w:tc>
          <w:tcPr>
            <w:tcW w:w="8647" w:type="dxa"/>
          </w:tcPr>
          <w:p w:rsidR="009E4327" w:rsidRPr="009E4327" w:rsidRDefault="009E4327" w:rsidP="009E4327">
            <w:pPr>
              <w:pStyle w:val="Default"/>
              <w:numPr>
                <w:ilvl w:val="0"/>
                <w:numId w:val="15"/>
              </w:numPr>
              <w:rPr>
                <w:sz w:val="20"/>
                <w:szCs w:val="20"/>
              </w:rPr>
            </w:pPr>
            <w:r w:rsidRPr="009E4327">
              <w:rPr>
                <w:sz w:val="20"/>
                <w:szCs w:val="20"/>
              </w:rPr>
              <w:t xml:space="preserve">A&amp;E: maximum waiting time of 4 hours from arrival to admission/transfer/discharge </w:t>
            </w:r>
          </w:p>
        </w:tc>
      </w:tr>
      <w:tr w:rsidR="009E4327" w:rsidRPr="001D5B24" w:rsidTr="00780788">
        <w:trPr>
          <w:trHeight w:val="1052"/>
        </w:trPr>
        <w:tc>
          <w:tcPr>
            <w:tcW w:w="8647" w:type="dxa"/>
          </w:tcPr>
          <w:p w:rsidR="009E4327" w:rsidRPr="009E4327" w:rsidRDefault="009E4327" w:rsidP="009E4327">
            <w:pPr>
              <w:pStyle w:val="Default"/>
              <w:numPr>
                <w:ilvl w:val="0"/>
                <w:numId w:val="15"/>
              </w:numPr>
              <w:rPr>
                <w:sz w:val="20"/>
                <w:szCs w:val="20"/>
              </w:rPr>
            </w:pPr>
            <w:r w:rsidRPr="009E4327">
              <w:rPr>
                <w:sz w:val="20"/>
                <w:szCs w:val="20"/>
              </w:rPr>
              <w:t xml:space="preserve">Data completeness: community services, comprising: </w:t>
            </w:r>
          </w:p>
          <w:p w:rsidR="009E4327" w:rsidRPr="009E4327" w:rsidRDefault="009E4327" w:rsidP="009E4327">
            <w:pPr>
              <w:pStyle w:val="Default"/>
              <w:numPr>
                <w:ilvl w:val="1"/>
                <w:numId w:val="15"/>
              </w:numPr>
              <w:rPr>
                <w:sz w:val="20"/>
                <w:szCs w:val="20"/>
              </w:rPr>
            </w:pPr>
            <w:r w:rsidRPr="009E4327">
              <w:rPr>
                <w:sz w:val="20"/>
                <w:szCs w:val="20"/>
              </w:rPr>
              <w:t xml:space="preserve">Referral to treatment information </w:t>
            </w:r>
          </w:p>
          <w:p w:rsidR="009E4327" w:rsidRPr="009E4327" w:rsidRDefault="009E4327" w:rsidP="009E4327">
            <w:pPr>
              <w:pStyle w:val="Default"/>
              <w:numPr>
                <w:ilvl w:val="1"/>
                <w:numId w:val="15"/>
              </w:numPr>
              <w:rPr>
                <w:sz w:val="20"/>
                <w:szCs w:val="20"/>
              </w:rPr>
            </w:pPr>
            <w:r w:rsidRPr="009E4327">
              <w:rPr>
                <w:sz w:val="20"/>
                <w:szCs w:val="20"/>
              </w:rPr>
              <w:t xml:space="preserve">Referral information </w:t>
            </w:r>
          </w:p>
          <w:p w:rsidR="009E4327" w:rsidRPr="009E4327" w:rsidRDefault="009E4327" w:rsidP="009E4327">
            <w:pPr>
              <w:pStyle w:val="Default"/>
              <w:numPr>
                <w:ilvl w:val="1"/>
                <w:numId w:val="15"/>
              </w:numPr>
              <w:rPr>
                <w:sz w:val="20"/>
                <w:szCs w:val="20"/>
              </w:rPr>
            </w:pPr>
            <w:r w:rsidRPr="009E4327">
              <w:rPr>
                <w:sz w:val="20"/>
                <w:szCs w:val="20"/>
              </w:rPr>
              <w:t xml:space="preserve">Treatment activity information </w:t>
            </w:r>
          </w:p>
          <w:p w:rsidR="009E4327" w:rsidRPr="009E4327" w:rsidRDefault="009E4327" w:rsidP="009E4327">
            <w:pPr>
              <w:pStyle w:val="Default"/>
              <w:rPr>
                <w:i/>
                <w:iCs/>
                <w:sz w:val="20"/>
                <w:szCs w:val="20"/>
              </w:rPr>
            </w:pPr>
          </w:p>
          <w:p w:rsidR="009E4327" w:rsidRPr="009E4327" w:rsidRDefault="009E4327" w:rsidP="009E4327">
            <w:pPr>
              <w:pStyle w:val="Default"/>
              <w:rPr>
                <w:sz w:val="20"/>
                <w:szCs w:val="20"/>
              </w:rPr>
            </w:pPr>
            <w:r>
              <w:rPr>
                <w:i/>
                <w:iCs/>
                <w:sz w:val="20"/>
                <w:szCs w:val="20"/>
              </w:rPr>
              <w:t xml:space="preserve">NB - </w:t>
            </w:r>
            <w:r w:rsidRPr="009E4327">
              <w:rPr>
                <w:i/>
                <w:iCs/>
                <w:sz w:val="20"/>
                <w:szCs w:val="20"/>
              </w:rPr>
              <w:t xml:space="preserve">The inclusion of further data items may be introduced later in 2012/13, comprising: </w:t>
            </w:r>
          </w:p>
          <w:p w:rsidR="009E4327" w:rsidRPr="009E4327" w:rsidRDefault="009E4327" w:rsidP="009E4327">
            <w:pPr>
              <w:pStyle w:val="Default"/>
              <w:numPr>
                <w:ilvl w:val="0"/>
                <w:numId w:val="17"/>
              </w:numPr>
              <w:rPr>
                <w:sz w:val="20"/>
                <w:szCs w:val="20"/>
              </w:rPr>
            </w:pPr>
            <w:r w:rsidRPr="009E4327">
              <w:rPr>
                <w:i/>
                <w:iCs/>
                <w:sz w:val="20"/>
                <w:szCs w:val="20"/>
              </w:rPr>
              <w:t xml:space="preserve">Patient identifier information </w:t>
            </w:r>
          </w:p>
          <w:p w:rsidR="009E4327" w:rsidRPr="009E4327" w:rsidRDefault="009E4327" w:rsidP="009E4327">
            <w:pPr>
              <w:pStyle w:val="Default"/>
              <w:numPr>
                <w:ilvl w:val="0"/>
                <w:numId w:val="17"/>
              </w:numPr>
              <w:rPr>
                <w:sz w:val="20"/>
                <w:szCs w:val="20"/>
              </w:rPr>
            </w:pPr>
            <w:r>
              <w:rPr>
                <w:i/>
                <w:iCs/>
                <w:sz w:val="20"/>
                <w:szCs w:val="20"/>
              </w:rPr>
              <w:t>End of life patients deaths at home information completeness</w:t>
            </w:r>
            <w:r w:rsidRPr="009E4327">
              <w:rPr>
                <w:i/>
                <w:iCs/>
                <w:sz w:val="20"/>
                <w:szCs w:val="20"/>
              </w:rPr>
              <w:t xml:space="preserve"> </w:t>
            </w:r>
          </w:p>
        </w:tc>
      </w:tr>
      <w:tr w:rsidR="009E4327" w:rsidRPr="001D5B24" w:rsidTr="00780788">
        <w:trPr>
          <w:trHeight w:val="750"/>
        </w:trPr>
        <w:tc>
          <w:tcPr>
            <w:tcW w:w="8647" w:type="dxa"/>
          </w:tcPr>
          <w:p w:rsidR="009E4327" w:rsidRPr="009E4327" w:rsidRDefault="009E4327" w:rsidP="009E4327">
            <w:pPr>
              <w:pStyle w:val="Default"/>
              <w:numPr>
                <w:ilvl w:val="0"/>
                <w:numId w:val="16"/>
              </w:numPr>
              <w:rPr>
                <w:sz w:val="20"/>
                <w:szCs w:val="20"/>
              </w:rPr>
            </w:pPr>
            <w:r w:rsidRPr="009E4327">
              <w:rPr>
                <w:sz w:val="20"/>
                <w:szCs w:val="20"/>
              </w:rPr>
              <w:t xml:space="preserve">Care Programme Approach (CPA) patients, comprising: </w:t>
            </w:r>
          </w:p>
          <w:tbl>
            <w:tblPr>
              <w:tblW w:w="7616" w:type="dxa"/>
              <w:tblBorders>
                <w:top w:val="nil"/>
                <w:left w:val="nil"/>
                <w:bottom w:val="nil"/>
                <w:right w:val="nil"/>
              </w:tblBorders>
              <w:tblLayout w:type="fixed"/>
              <w:tblLook w:val="0000"/>
            </w:tblPr>
            <w:tblGrid>
              <w:gridCol w:w="7616"/>
            </w:tblGrid>
            <w:tr w:rsidR="009E4327" w:rsidRPr="009E4327" w:rsidTr="009E4327">
              <w:trPr>
                <w:trHeight w:val="75"/>
              </w:trPr>
              <w:tc>
                <w:tcPr>
                  <w:tcW w:w="5211" w:type="dxa"/>
                </w:tcPr>
                <w:p w:rsidR="009E4327" w:rsidRPr="009E4327" w:rsidRDefault="009E4327" w:rsidP="009E4327">
                  <w:pPr>
                    <w:pStyle w:val="Default"/>
                    <w:numPr>
                      <w:ilvl w:val="1"/>
                      <w:numId w:val="16"/>
                    </w:numPr>
                    <w:rPr>
                      <w:sz w:val="20"/>
                      <w:szCs w:val="20"/>
                    </w:rPr>
                  </w:pPr>
                  <w:r w:rsidRPr="009E4327">
                    <w:rPr>
                      <w:sz w:val="20"/>
                      <w:szCs w:val="20"/>
                    </w:rPr>
                    <w:t xml:space="preserve">receiving follow-up contact within seven days of discharge </w:t>
                  </w:r>
                </w:p>
              </w:tc>
            </w:tr>
            <w:tr w:rsidR="009E4327" w:rsidRPr="009E4327" w:rsidTr="009E4327">
              <w:trPr>
                <w:trHeight w:val="80"/>
              </w:trPr>
              <w:tc>
                <w:tcPr>
                  <w:tcW w:w="5211" w:type="dxa"/>
                </w:tcPr>
                <w:p w:rsidR="009E4327" w:rsidRPr="009E4327" w:rsidRDefault="009E4327" w:rsidP="009E4327">
                  <w:pPr>
                    <w:pStyle w:val="Default"/>
                    <w:numPr>
                      <w:ilvl w:val="1"/>
                      <w:numId w:val="16"/>
                    </w:numPr>
                    <w:rPr>
                      <w:sz w:val="20"/>
                      <w:szCs w:val="20"/>
                    </w:rPr>
                  </w:pPr>
                  <w:r w:rsidRPr="009E4327">
                    <w:rPr>
                      <w:sz w:val="20"/>
                      <w:szCs w:val="20"/>
                    </w:rPr>
                    <w:t xml:space="preserve">having formal review within 12 months </w:t>
                  </w:r>
                </w:p>
              </w:tc>
            </w:tr>
          </w:tbl>
          <w:p w:rsidR="009E4327" w:rsidRPr="009E4327" w:rsidRDefault="009E4327" w:rsidP="009E4327">
            <w:pPr>
              <w:pStyle w:val="Default"/>
              <w:rPr>
                <w:sz w:val="20"/>
                <w:szCs w:val="20"/>
              </w:rPr>
            </w:pPr>
          </w:p>
        </w:tc>
      </w:tr>
      <w:tr w:rsidR="009E4327" w:rsidRPr="001D5B24" w:rsidTr="00780788">
        <w:trPr>
          <w:trHeight w:val="106"/>
        </w:trPr>
        <w:tc>
          <w:tcPr>
            <w:tcW w:w="8647" w:type="dxa"/>
          </w:tcPr>
          <w:p w:rsidR="009E4327" w:rsidRPr="009E4327" w:rsidRDefault="009E4327" w:rsidP="009E4327">
            <w:pPr>
              <w:pStyle w:val="Default"/>
              <w:numPr>
                <w:ilvl w:val="0"/>
                <w:numId w:val="16"/>
              </w:numPr>
              <w:rPr>
                <w:sz w:val="20"/>
                <w:szCs w:val="20"/>
              </w:rPr>
            </w:pPr>
            <w:r w:rsidRPr="009E4327">
              <w:rPr>
                <w:sz w:val="20"/>
                <w:szCs w:val="20"/>
              </w:rPr>
              <w:t xml:space="preserve">Minimising mental health delayed transfers of care </w:t>
            </w:r>
          </w:p>
        </w:tc>
      </w:tr>
      <w:tr w:rsidR="009E4327" w:rsidRPr="001D5B24" w:rsidTr="00780788">
        <w:trPr>
          <w:trHeight w:val="179"/>
        </w:trPr>
        <w:tc>
          <w:tcPr>
            <w:tcW w:w="8647" w:type="dxa"/>
          </w:tcPr>
          <w:p w:rsidR="009E4327" w:rsidRPr="009E4327" w:rsidRDefault="009E4327" w:rsidP="009E4327">
            <w:pPr>
              <w:pStyle w:val="Default"/>
              <w:numPr>
                <w:ilvl w:val="0"/>
                <w:numId w:val="16"/>
              </w:numPr>
              <w:rPr>
                <w:sz w:val="20"/>
                <w:szCs w:val="20"/>
              </w:rPr>
            </w:pPr>
            <w:r w:rsidRPr="009E4327">
              <w:rPr>
                <w:sz w:val="20"/>
                <w:szCs w:val="20"/>
              </w:rPr>
              <w:t xml:space="preserve">Admissions to inpatients services had access to Crisis Resolution/Home Treatment teams </w:t>
            </w:r>
          </w:p>
        </w:tc>
      </w:tr>
      <w:tr w:rsidR="009E4327" w:rsidRPr="001D5B24" w:rsidTr="00780788">
        <w:trPr>
          <w:trHeight w:val="179"/>
        </w:trPr>
        <w:tc>
          <w:tcPr>
            <w:tcW w:w="8647" w:type="dxa"/>
          </w:tcPr>
          <w:p w:rsidR="009E4327" w:rsidRPr="009E4327" w:rsidRDefault="009E4327" w:rsidP="009E4327">
            <w:pPr>
              <w:pStyle w:val="Default"/>
              <w:numPr>
                <w:ilvl w:val="0"/>
                <w:numId w:val="16"/>
              </w:numPr>
              <w:rPr>
                <w:sz w:val="20"/>
                <w:szCs w:val="20"/>
              </w:rPr>
            </w:pPr>
            <w:r w:rsidRPr="009E4327">
              <w:rPr>
                <w:sz w:val="20"/>
                <w:szCs w:val="20"/>
              </w:rPr>
              <w:t>Meeting commitment to serve new psychosis cases by early intervention teams</w:t>
            </w:r>
          </w:p>
        </w:tc>
      </w:tr>
      <w:tr w:rsidR="009E4327" w:rsidRPr="001D5B24" w:rsidTr="00780788">
        <w:trPr>
          <w:trHeight w:val="106"/>
        </w:trPr>
        <w:tc>
          <w:tcPr>
            <w:tcW w:w="8647" w:type="dxa"/>
          </w:tcPr>
          <w:p w:rsidR="009E4327" w:rsidRPr="009E4327" w:rsidRDefault="009E4327" w:rsidP="009E4327">
            <w:pPr>
              <w:pStyle w:val="Default"/>
              <w:numPr>
                <w:ilvl w:val="0"/>
                <w:numId w:val="16"/>
              </w:numPr>
              <w:rPr>
                <w:sz w:val="20"/>
                <w:szCs w:val="20"/>
              </w:rPr>
            </w:pPr>
            <w:r w:rsidRPr="009E4327">
              <w:rPr>
                <w:sz w:val="20"/>
                <w:szCs w:val="20"/>
              </w:rPr>
              <w:t>Data completeness</w:t>
            </w:r>
            <w:r>
              <w:rPr>
                <w:sz w:val="20"/>
                <w:szCs w:val="20"/>
              </w:rPr>
              <w:t>, MH</w:t>
            </w:r>
            <w:r w:rsidRPr="009E4327">
              <w:rPr>
                <w:sz w:val="20"/>
                <w:szCs w:val="20"/>
              </w:rPr>
              <w:t xml:space="preserve">: identifiers </w:t>
            </w:r>
          </w:p>
        </w:tc>
      </w:tr>
      <w:tr w:rsidR="009E4327" w:rsidRPr="001D5B24" w:rsidTr="00780788">
        <w:trPr>
          <w:trHeight w:val="106"/>
        </w:trPr>
        <w:tc>
          <w:tcPr>
            <w:tcW w:w="8647" w:type="dxa"/>
          </w:tcPr>
          <w:p w:rsidR="009E4327" w:rsidRPr="009E4327" w:rsidRDefault="009E4327" w:rsidP="009E4327">
            <w:pPr>
              <w:pStyle w:val="Default"/>
              <w:numPr>
                <w:ilvl w:val="0"/>
                <w:numId w:val="16"/>
              </w:numPr>
              <w:rPr>
                <w:sz w:val="20"/>
                <w:szCs w:val="20"/>
              </w:rPr>
            </w:pPr>
            <w:r w:rsidRPr="009E4327">
              <w:rPr>
                <w:sz w:val="20"/>
                <w:szCs w:val="20"/>
              </w:rPr>
              <w:t>Data completeness</w:t>
            </w:r>
            <w:r>
              <w:rPr>
                <w:sz w:val="20"/>
                <w:szCs w:val="20"/>
              </w:rPr>
              <w:t>, MH</w:t>
            </w:r>
            <w:r w:rsidRPr="009E4327">
              <w:rPr>
                <w:sz w:val="20"/>
                <w:szCs w:val="20"/>
              </w:rPr>
              <w:t xml:space="preserve">: outcomes for patients on CPA </w:t>
            </w:r>
          </w:p>
        </w:tc>
      </w:tr>
    </w:tbl>
    <w:p w:rsidR="00537C23" w:rsidRPr="009E4327" w:rsidRDefault="00537C23" w:rsidP="009E4327">
      <w:pPr>
        <w:autoSpaceDE w:val="0"/>
        <w:autoSpaceDN w:val="0"/>
        <w:adjustRightInd w:val="0"/>
        <w:rPr>
          <w:rFonts w:ascii="HelveticaNeue-Medium" w:hAnsi="HelveticaNeue-Medium" w:cs="HelveticaNeue-Medium"/>
          <w:color w:val="000000"/>
          <w:sz w:val="20"/>
          <w:szCs w:val="20"/>
          <w:lang w:val="en-GB" w:eastAsia="en-GB"/>
        </w:rPr>
      </w:pPr>
      <w:r>
        <w:rPr>
          <w:rFonts w:ascii="HelveticaNeue-Light" w:hAnsi="HelveticaNeue-Light" w:cs="HelveticaNeue-Light"/>
          <w:color w:val="000000"/>
          <w:sz w:val="18"/>
          <w:szCs w:val="18"/>
          <w:lang w:val="en-GB" w:eastAsia="en-GB"/>
        </w:rPr>
        <w:lastRenderedPageBreak/>
        <w:tab/>
      </w:r>
    </w:p>
    <w:p w:rsidR="002712E4" w:rsidRDefault="001C14A1" w:rsidP="00537C23">
      <w:pPr>
        <w:jc w:val="both"/>
        <w:rPr>
          <w:rFonts w:ascii="Arial" w:hAnsi="Arial" w:cs="Arial"/>
        </w:rPr>
      </w:pPr>
      <w:r>
        <w:rPr>
          <w:rFonts w:ascii="Arial" w:hAnsi="Arial" w:cs="Arial"/>
        </w:rPr>
        <w:t>Declarations:</w:t>
      </w:r>
    </w:p>
    <w:tbl>
      <w:tblPr>
        <w:tblW w:w="8647" w:type="dxa"/>
        <w:tblInd w:w="108" w:type="dxa"/>
        <w:tblLook w:val="04A0"/>
      </w:tblPr>
      <w:tblGrid>
        <w:gridCol w:w="8647"/>
      </w:tblGrid>
      <w:tr w:rsidR="001C14A1" w:rsidRPr="001C14A1" w:rsidTr="00780788">
        <w:trPr>
          <w:trHeight w:val="20"/>
        </w:trPr>
        <w:tc>
          <w:tcPr>
            <w:tcW w:w="8647" w:type="dxa"/>
            <w:tcBorders>
              <w:top w:val="nil"/>
              <w:left w:val="nil"/>
            </w:tcBorders>
            <w:shd w:val="clear" w:color="auto" w:fill="auto"/>
            <w:noWrap/>
            <w:vAlign w:val="center"/>
            <w:hideMark/>
          </w:tcPr>
          <w:p w:rsidR="001C14A1" w:rsidRPr="001C14A1" w:rsidRDefault="001C14A1" w:rsidP="001C14A1">
            <w:pPr>
              <w:pStyle w:val="ListParagraph"/>
              <w:numPr>
                <w:ilvl w:val="0"/>
                <w:numId w:val="18"/>
              </w:numPr>
              <w:rPr>
                <w:rFonts w:ascii="Arial" w:hAnsi="Arial" w:cs="Arial"/>
                <w:sz w:val="20"/>
                <w:szCs w:val="20"/>
                <w:lang w:val="en-GB" w:eastAsia="en-GB"/>
              </w:rPr>
            </w:pPr>
            <w:r w:rsidRPr="001C14A1">
              <w:rPr>
                <w:rFonts w:ascii="Arial" w:hAnsi="Arial" w:cs="Arial"/>
                <w:sz w:val="20"/>
                <w:szCs w:val="20"/>
                <w:lang w:val="en-GB" w:eastAsia="en-GB"/>
              </w:rPr>
              <w:t>Compliance with requirements regarding access to healthcare for people with a learning disability</w:t>
            </w:r>
          </w:p>
        </w:tc>
      </w:tr>
      <w:tr w:rsidR="001C14A1" w:rsidRPr="001C14A1" w:rsidTr="00780788">
        <w:trPr>
          <w:trHeight w:val="20"/>
        </w:trPr>
        <w:tc>
          <w:tcPr>
            <w:tcW w:w="8647" w:type="dxa"/>
            <w:tcBorders>
              <w:left w:val="nil"/>
            </w:tcBorders>
            <w:shd w:val="clear" w:color="auto" w:fill="auto"/>
            <w:noWrap/>
            <w:vAlign w:val="center"/>
            <w:hideMark/>
          </w:tcPr>
          <w:p w:rsidR="001C14A1" w:rsidRPr="001C14A1" w:rsidRDefault="001C14A1" w:rsidP="001C14A1">
            <w:pPr>
              <w:pStyle w:val="ListParagraph"/>
              <w:numPr>
                <w:ilvl w:val="0"/>
                <w:numId w:val="18"/>
              </w:numPr>
              <w:rPr>
                <w:rFonts w:ascii="Arial" w:hAnsi="Arial" w:cs="Arial"/>
                <w:sz w:val="20"/>
                <w:szCs w:val="20"/>
                <w:lang w:val="en-GB" w:eastAsia="en-GB"/>
              </w:rPr>
            </w:pPr>
            <w:r w:rsidRPr="001C14A1">
              <w:rPr>
                <w:rFonts w:ascii="Arial" w:hAnsi="Arial" w:cs="Arial"/>
                <w:sz w:val="20"/>
                <w:szCs w:val="20"/>
                <w:lang w:val="en-GB" w:eastAsia="en-GB"/>
              </w:rPr>
              <w:t>Risk of, or actual, failure to deliver mandatory services</w:t>
            </w:r>
          </w:p>
        </w:tc>
      </w:tr>
      <w:tr w:rsidR="001C14A1" w:rsidRPr="001C14A1" w:rsidTr="00780788">
        <w:trPr>
          <w:trHeight w:val="20"/>
        </w:trPr>
        <w:tc>
          <w:tcPr>
            <w:tcW w:w="8647" w:type="dxa"/>
            <w:tcBorders>
              <w:left w:val="nil"/>
            </w:tcBorders>
            <w:shd w:val="clear" w:color="auto" w:fill="auto"/>
            <w:noWrap/>
            <w:vAlign w:val="center"/>
            <w:hideMark/>
          </w:tcPr>
          <w:p w:rsidR="001C14A1" w:rsidRPr="001C14A1" w:rsidRDefault="001C14A1" w:rsidP="001C14A1">
            <w:pPr>
              <w:pStyle w:val="ListParagraph"/>
              <w:numPr>
                <w:ilvl w:val="0"/>
                <w:numId w:val="18"/>
              </w:numPr>
              <w:rPr>
                <w:rFonts w:ascii="Arial" w:hAnsi="Arial" w:cs="Arial"/>
                <w:sz w:val="20"/>
                <w:szCs w:val="20"/>
                <w:lang w:val="en-GB" w:eastAsia="en-GB"/>
              </w:rPr>
            </w:pPr>
            <w:r w:rsidRPr="001C14A1">
              <w:rPr>
                <w:rFonts w:ascii="Arial" w:hAnsi="Arial" w:cs="Arial"/>
                <w:sz w:val="20"/>
                <w:szCs w:val="20"/>
                <w:lang w:val="en-GB" w:eastAsia="en-GB"/>
              </w:rPr>
              <w:t>CQC compliance action outstanding (as at 30 Jun 2012)</w:t>
            </w:r>
          </w:p>
        </w:tc>
      </w:tr>
      <w:tr w:rsidR="001C14A1" w:rsidRPr="001C14A1" w:rsidTr="00780788">
        <w:trPr>
          <w:trHeight w:val="20"/>
        </w:trPr>
        <w:tc>
          <w:tcPr>
            <w:tcW w:w="8647" w:type="dxa"/>
            <w:tcBorders>
              <w:left w:val="nil"/>
            </w:tcBorders>
            <w:shd w:val="clear" w:color="auto" w:fill="auto"/>
            <w:noWrap/>
            <w:vAlign w:val="center"/>
            <w:hideMark/>
          </w:tcPr>
          <w:p w:rsidR="001C14A1" w:rsidRPr="001C14A1" w:rsidRDefault="001C14A1" w:rsidP="001C14A1">
            <w:pPr>
              <w:pStyle w:val="ListParagraph"/>
              <w:numPr>
                <w:ilvl w:val="0"/>
                <w:numId w:val="18"/>
              </w:numPr>
              <w:rPr>
                <w:rFonts w:ascii="Arial" w:hAnsi="Arial" w:cs="Arial"/>
                <w:sz w:val="20"/>
                <w:szCs w:val="20"/>
                <w:lang w:val="en-GB" w:eastAsia="en-GB"/>
              </w:rPr>
            </w:pPr>
            <w:r w:rsidRPr="001C14A1">
              <w:rPr>
                <w:rFonts w:ascii="Arial" w:hAnsi="Arial" w:cs="Arial"/>
                <w:sz w:val="20"/>
                <w:szCs w:val="20"/>
                <w:lang w:val="en-GB" w:eastAsia="en-GB"/>
              </w:rPr>
              <w:t>CQC enforcement action within last 12 months (up to 30 Jun 2012)</w:t>
            </w:r>
          </w:p>
        </w:tc>
      </w:tr>
      <w:tr w:rsidR="001C14A1" w:rsidRPr="001C14A1" w:rsidTr="00780788">
        <w:trPr>
          <w:trHeight w:val="20"/>
        </w:trPr>
        <w:tc>
          <w:tcPr>
            <w:tcW w:w="8647" w:type="dxa"/>
            <w:tcBorders>
              <w:left w:val="nil"/>
            </w:tcBorders>
            <w:shd w:val="clear" w:color="auto" w:fill="auto"/>
            <w:noWrap/>
            <w:vAlign w:val="center"/>
            <w:hideMark/>
          </w:tcPr>
          <w:p w:rsidR="001C14A1" w:rsidRPr="001C14A1" w:rsidRDefault="001C14A1" w:rsidP="001C14A1">
            <w:pPr>
              <w:pStyle w:val="ListParagraph"/>
              <w:numPr>
                <w:ilvl w:val="0"/>
                <w:numId w:val="18"/>
              </w:numPr>
              <w:rPr>
                <w:rFonts w:ascii="Arial" w:hAnsi="Arial" w:cs="Arial"/>
                <w:sz w:val="20"/>
                <w:szCs w:val="20"/>
                <w:lang w:val="en-GB" w:eastAsia="en-GB"/>
              </w:rPr>
            </w:pPr>
            <w:r w:rsidRPr="001C14A1">
              <w:rPr>
                <w:rFonts w:ascii="Arial" w:hAnsi="Arial" w:cs="Arial"/>
                <w:sz w:val="20"/>
                <w:szCs w:val="20"/>
                <w:lang w:val="en-GB" w:eastAsia="en-GB"/>
              </w:rPr>
              <w:t>CQC enforcement notice currently in effect (as at 30 Jun 2012)</w:t>
            </w:r>
          </w:p>
        </w:tc>
      </w:tr>
      <w:tr w:rsidR="001C14A1" w:rsidRPr="001C14A1" w:rsidTr="00780788">
        <w:trPr>
          <w:trHeight w:val="20"/>
        </w:trPr>
        <w:tc>
          <w:tcPr>
            <w:tcW w:w="8647" w:type="dxa"/>
            <w:tcBorders>
              <w:left w:val="nil"/>
            </w:tcBorders>
            <w:shd w:val="clear" w:color="auto" w:fill="auto"/>
            <w:noWrap/>
            <w:vAlign w:val="center"/>
            <w:hideMark/>
          </w:tcPr>
          <w:p w:rsidR="001C14A1" w:rsidRPr="001C14A1" w:rsidRDefault="001C14A1" w:rsidP="001C14A1">
            <w:pPr>
              <w:pStyle w:val="ListParagraph"/>
              <w:numPr>
                <w:ilvl w:val="0"/>
                <w:numId w:val="18"/>
              </w:numPr>
              <w:rPr>
                <w:rFonts w:ascii="Arial" w:hAnsi="Arial" w:cs="Arial"/>
                <w:sz w:val="20"/>
                <w:szCs w:val="20"/>
                <w:lang w:val="en-GB" w:eastAsia="en-GB"/>
              </w:rPr>
            </w:pPr>
            <w:r w:rsidRPr="001C14A1">
              <w:rPr>
                <w:rFonts w:ascii="Arial" w:hAnsi="Arial" w:cs="Arial"/>
                <w:sz w:val="20"/>
                <w:szCs w:val="20"/>
                <w:lang w:val="en-GB" w:eastAsia="en-GB"/>
              </w:rPr>
              <w:t>Minor CQC concerns or impacts regarding the safety of healthcare provision (as at 30 Jun 2012)</w:t>
            </w:r>
          </w:p>
        </w:tc>
      </w:tr>
      <w:tr w:rsidR="001C14A1" w:rsidRPr="001C14A1" w:rsidTr="00780788">
        <w:trPr>
          <w:trHeight w:val="20"/>
        </w:trPr>
        <w:tc>
          <w:tcPr>
            <w:tcW w:w="8647" w:type="dxa"/>
            <w:tcBorders>
              <w:left w:val="nil"/>
            </w:tcBorders>
            <w:shd w:val="clear" w:color="auto" w:fill="auto"/>
            <w:noWrap/>
            <w:vAlign w:val="center"/>
            <w:hideMark/>
          </w:tcPr>
          <w:p w:rsidR="001C14A1" w:rsidRPr="001C14A1" w:rsidRDefault="001C14A1" w:rsidP="001C14A1">
            <w:pPr>
              <w:pStyle w:val="ListParagraph"/>
              <w:numPr>
                <w:ilvl w:val="0"/>
                <w:numId w:val="18"/>
              </w:numPr>
              <w:rPr>
                <w:rFonts w:ascii="Arial" w:hAnsi="Arial" w:cs="Arial"/>
                <w:sz w:val="20"/>
                <w:szCs w:val="20"/>
                <w:lang w:val="en-GB" w:eastAsia="en-GB"/>
              </w:rPr>
            </w:pPr>
            <w:r w:rsidRPr="001C14A1">
              <w:rPr>
                <w:rFonts w:ascii="Arial" w:hAnsi="Arial" w:cs="Arial"/>
                <w:sz w:val="20"/>
                <w:szCs w:val="20"/>
                <w:lang w:val="en-GB" w:eastAsia="en-GB"/>
              </w:rPr>
              <w:t>Moderate CQC concerns or impacts regarding the safety of healthcare provision (as at 30 Jun 2012)</w:t>
            </w:r>
          </w:p>
        </w:tc>
      </w:tr>
      <w:tr w:rsidR="001C14A1" w:rsidRPr="001C14A1" w:rsidTr="00780788">
        <w:trPr>
          <w:trHeight w:val="20"/>
        </w:trPr>
        <w:tc>
          <w:tcPr>
            <w:tcW w:w="8647" w:type="dxa"/>
            <w:tcBorders>
              <w:left w:val="nil"/>
            </w:tcBorders>
            <w:shd w:val="clear" w:color="auto" w:fill="auto"/>
            <w:vAlign w:val="center"/>
            <w:hideMark/>
          </w:tcPr>
          <w:p w:rsidR="001C14A1" w:rsidRPr="001C14A1" w:rsidRDefault="001C14A1" w:rsidP="001C14A1">
            <w:pPr>
              <w:pStyle w:val="ListParagraph"/>
              <w:numPr>
                <w:ilvl w:val="0"/>
                <w:numId w:val="18"/>
              </w:numPr>
              <w:rPr>
                <w:rFonts w:ascii="Arial" w:hAnsi="Arial" w:cs="Arial"/>
                <w:sz w:val="20"/>
                <w:szCs w:val="20"/>
                <w:lang w:val="en-GB" w:eastAsia="en-GB"/>
              </w:rPr>
            </w:pPr>
            <w:r w:rsidRPr="001C14A1">
              <w:rPr>
                <w:rFonts w:ascii="Arial" w:hAnsi="Arial" w:cs="Arial"/>
                <w:sz w:val="20"/>
                <w:szCs w:val="20"/>
                <w:lang w:val="en-GB" w:eastAsia="en-GB"/>
              </w:rPr>
              <w:t>Unable to maintain, or certify, a minimum published CNST level of 1.0 or have in place appropriate alternative arrangements</w:t>
            </w:r>
          </w:p>
        </w:tc>
      </w:tr>
      <w:tr w:rsidR="001C14A1" w:rsidRPr="001C14A1" w:rsidTr="00780788">
        <w:trPr>
          <w:trHeight w:val="20"/>
        </w:trPr>
        <w:tc>
          <w:tcPr>
            <w:tcW w:w="8647" w:type="dxa"/>
            <w:tcBorders>
              <w:left w:val="nil"/>
            </w:tcBorders>
            <w:shd w:val="clear" w:color="auto" w:fill="auto"/>
            <w:noWrap/>
            <w:vAlign w:val="center"/>
            <w:hideMark/>
          </w:tcPr>
          <w:p w:rsidR="001C14A1" w:rsidRPr="001C14A1" w:rsidRDefault="001C14A1" w:rsidP="001C14A1">
            <w:pPr>
              <w:pStyle w:val="ListParagraph"/>
              <w:numPr>
                <w:ilvl w:val="0"/>
                <w:numId w:val="18"/>
              </w:numPr>
              <w:rPr>
                <w:rFonts w:ascii="Arial" w:hAnsi="Arial" w:cs="Arial"/>
                <w:sz w:val="20"/>
                <w:szCs w:val="20"/>
                <w:lang w:val="en-GB" w:eastAsia="en-GB"/>
              </w:rPr>
            </w:pPr>
            <w:r w:rsidRPr="001C14A1">
              <w:rPr>
                <w:rFonts w:ascii="Arial" w:hAnsi="Arial" w:cs="Arial"/>
                <w:sz w:val="20"/>
                <w:szCs w:val="20"/>
                <w:lang w:val="en-GB" w:eastAsia="en-GB"/>
              </w:rPr>
              <w:t>Trust unable to declare ongoing compliance with minimum standards of CQC registration</w:t>
            </w:r>
          </w:p>
        </w:tc>
      </w:tr>
      <w:tr w:rsidR="001C14A1" w:rsidRPr="001C14A1" w:rsidTr="00780788">
        <w:trPr>
          <w:trHeight w:val="20"/>
        </w:trPr>
        <w:tc>
          <w:tcPr>
            <w:tcW w:w="8647" w:type="dxa"/>
            <w:tcBorders>
              <w:left w:val="nil"/>
            </w:tcBorders>
            <w:shd w:val="clear" w:color="auto" w:fill="auto"/>
            <w:noWrap/>
            <w:vAlign w:val="center"/>
            <w:hideMark/>
          </w:tcPr>
          <w:p w:rsidR="001C14A1" w:rsidRPr="001C14A1" w:rsidRDefault="001C14A1" w:rsidP="001C14A1">
            <w:pPr>
              <w:pStyle w:val="ListParagraph"/>
              <w:numPr>
                <w:ilvl w:val="0"/>
                <w:numId w:val="18"/>
              </w:numPr>
              <w:rPr>
                <w:rFonts w:ascii="Arial" w:hAnsi="Arial" w:cs="Arial"/>
                <w:sz w:val="20"/>
                <w:szCs w:val="20"/>
                <w:lang w:val="en-GB" w:eastAsia="en-GB"/>
              </w:rPr>
            </w:pPr>
            <w:r w:rsidRPr="001C14A1">
              <w:rPr>
                <w:rFonts w:ascii="Arial" w:hAnsi="Arial" w:cs="Arial"/>
                <w:sz w:val="20"/>
                <w:szCs w:val="20"/>
                <w:lang w:val="en-GB" w:eastAsia="en-GB"/>
              </w:rPr>
              <w:t>Has the Trust has been inspected by CQC (in the quarter ending 30 Jun 2012)</w:t>
            </w:r>
          </w:p>
        </w:tc>
      </w:tr>
      <w:tr w:rsidR="001C14A1" w:rsidRPr="001C14A1" w:rsidTr="00780788">
        <w:trPr>
          <w:trHeight w:val="20"/>
        </w:trPr>
        <w:tc>
          <w:tcPr>
            <w:tcW w:w="8647" w:type="dxa"/>
            <w:tcBorders>
              <w:left w:val="nil"/>
            </w:tcBorders>
            <w:shd w:val="clear" w:color="auto" w:fill="auto"/>
            <w:noWrap/>
            <w:vAlign w:val="center"/>
            <w:hideMark/>
          </w:tcPr>
          <w:p w:rsidR="001C14A1" w:rsidRPr="001C14A1" w:rsidRDefault="001C14A1" w:rsidP="001C14A1">
            <w:pPr>
              <w:pStyle w:val="ListParagraph"/>
              <w:numPr>
                <w:ilvl w:val="0"/>
                <w:numId w:val="18"/>
              </w:numPr>
              <w:rPr>
                <w:rFonts w:ascii="Arial" w:hAnsi="Arial" w:cs="Arial"/>
                <w:sz w:val="20"/>
                <w:szCs w:val="20"/>
                <w:lang w:val="en-GB" w:eastAsia="en-GB"/>
              </w:rPr>
            </w:pPr>
            <w:r w:rsidRPr="001C14A1">
              <w:rPr>
                <w:rFonts w:ascii="Arial" w:hAnsi="Arial" w:cs="Arial"/>
                <w:sz w:val="20"/>
                <w:szCs w:val="20"/>
                <w:lang w:val="en-GB" w:eastAsia="en-GB"/>
              </w:rPr>
              <w:t>If so, did the CQC inspection find non compliance with 1 or more essential standards</w:t>
            </w:r>
          </w:p>
        </w:tc>
      </w:tr>
    </w:tbl>
    <w:p w:rsidR="001C14A1" w:rsidRDefault="001C14A1" w:rsidP="00537C23">
      <w:pPr>
        <w:jc w:val="both"/>
        <w:rPr>
          <w:rFonts w:ascii="Arial" w:hAnsi="Arial" w:cs="Arial"/>
        </w:rPr>
      </w:pPr>
    </w:p>
    <w:p w:rsidR="00780788" w:rsidRDefault="00780788" w:rsidP="00780788">
      <w:pPr>
        <w:jc w:val="both"/>
        <w:rPr>
          <w:rFonts w:ascii="Arial" w:hAnsi="Arial" w:cs="Arial"/>
        </w:rPr>
      </w:pPr>
      <w:r>
        <w:rPr>
          <w:rFonts w:ascii="Arial" w:hAnsi="Arial" w:cs="Arial"/>
        </w:rPr>
        <w:t>Please consult the Compliance Framework 2012/13 published by Monitor on 30 March 2012 for more detail on required submissions.</w:t>
      </w:r>
    </w:p>
    <w:p w:rsidR="00780788" w:rsidRPr="0042776F" w:rsidRDefault="00780788" w:rsidP="00780788">
      <w:pPr>
        <w:jc w:val="both"/>
        <w:rPr>
          <w:rFonts w:ascii="Arial" w:hAnsi="Arial" w:cs="Arial"/>
        </w:rPr>
      </w:pPr>
    </w:p>
    <w:p w:rsidR="002712E4" w:rsidRDefault="002712E4" w:rsidP="00537C23">
      <w:pPr>
        <w:jc w:val="both"/>
        <w:rPr>
          <w:rFonts w:ascii="Arial" w:hAnsi="Arial" w:cs="Arial"/>
          <w:b/>
        </w:rPr>
      </w:pPr>
    </w:p>
    <w:p w:rsidR="00537C23" w:rsidRDefault="00780788" w:rsidP="007338A7">
      <w:pPr>
        <w:numPr>
          <w:ilvl w:val="0"/>
          <w:numId w:val="14"/>
        </w:numPr>
        <w:ind w:hanging="720"/>
        <w:jc w:val="both"/>
        <w:rPr>
          <w:rFonts w:ascii="Arial" w:hAnsi="Arial" w:cs="Arial"/>
          <w:b/>
        </w:rPr>
      </w:pPr>
      <w:r>
        <w:rPr>
          <w:rFonts w:ascii="Arial" w:hAnsi="Arial" w:cs="Arial"/>
          <w:b/>
        </w:rPr>
        <w:t xml:space="preserve">Proposed </w:t>
      </w:r>
      <w:r w:rsidR="00537C23">
        <w:rPr>
          <w:rFonts w:ascii="Arial" w:hAnsi="Arial" w:cs="Arial"/>
          <w:b/>
        </w:rPr>
        <w:t xml:space="preserve">Submissions for Quarter </w:t>
      </w:r>
      <w:r w:rsidR="001C14A1">
        <w:rPr>
          <w:rFonts w:ascii="Arial" w:hAnsi="Arial" w:cs="Arial"/>
          <w:b/>
        </w:rPr>
        <w:t>1</w:t>
      </w:r>
    </w:p>
    <w:p w:rsidR="000F1A75" w:rsidRDefault="000F1A75" w:rsidP="0038018C">
      <w:pPr>
        <w:jc w:val="both"/>
        <w:rPr>
          <w:rFonts w:ascii="Arial" w:hAnsi="Arial" w:cs="Arial"/>
        </w:rPr>
      </w:pPr>
      <w:r>
        <w:rPr>
          <w:rFonts w:ascii="Arial" w:hAnsi="Arial" w:cs="Arial"/>
        </w:rPr>
        <w:t xml:space="preserve">On 10 July 2012, </w:t>
      </w:r>
      <w:r w:rsidR="00537C23">
        <w:rPr>
          <w:rFonts w:ascii="Arial" w:hAnsi="Arial" w:cs="Arial"/>
        </w:rPr>
        <w:t xml:space="preserve">Monitor issued to the Trust the template to be completed </w:t>
      </w:r>
      <w:r w:rsidR="006C4992">
        <w:rPr>
          <w:rFonts w:ascii="Arial" w:hAnsi="Arial" w:cs="Arial"/>
        </w:rPr>
        <w:t>for the Q1 in-year report</w:t>
      </w:r>
      <w:r w:rsidR="00537C23">
        <w:rPr>
          <w:rFonts w:ascii="Arial" w:hAnsi="Arial" w:cs="Arial"/>
        </w:rPr>
        <w:t>.</w:t>
      </w:r>
      <w:r w:rsidR="008663FA">
        <w:rPr>
          <w:rFonts w:ascii="Arial" w:hAnsi="Arial" w:cs="Arial"/>
        </w:rPr>
        <w:t xml:space="preserve">  The Extended Executive Board discussed the proposed submission at its meeting on 17 July 2012.</w:t>
      </w:r>
    </w:p>
    <w:p w:rsidR="000F1A75" w:rsidRDefault="000F1A75" w:rsidP="0038018C">
      <w:pPr>
        <w:jc w:val="both"/>
        <w:rPr>
          <w:rFonts w:ascii="Arial" w:hAnsi="Arial" w:cs="Arial"/>
        </w:rPr>
      </w:pPr>
    </w:p>
    <w:p w:rsidR="008663FA" w:rsidRDefault="008663FA" w:rsidP="0038018C">
      <w:pPr>
        <w:jc w:val="both"/>
        <w:rPr>
          <w:rFonts w:ascii="Arial" w:hAnsi="Arial" w:cs="Arial"/>
        </w:rPr>
      </w:pPr>
      <w:r>
        <w:rPr>
          <w:rFonts w:ascii="Arial" w:hAnsi="Arial" w:cs="Arial"/>
        </w:rPr>
        <w:t>On the Board statements, it is proposed that the response for Q1 is as follows:-</w:t>
      </w:r>
    </w:p>
    <w:p w:rsidR="008663FA" w:rsidRDefault="008663FA" w:rsidP="008663FA">
      <w:pPr>
        <w:pStyle w:val="ListParagraph"/>
        <w:numPr>
          <w:ilvl w:val="0"/>
          <w:numId w:val="20"/>
        </w:numPr>
        <w:jc w:val="both"/>
        <w:rPr>
          <w:rFonts w:ascii="Arial" w:hAnsi="Arial" w:cs="Arial"/>
        </w:rPr>
      </w:pPr>
      <w:r>
        <w:rPr>
          <w:rFonts w:ascii="Arial" w:hAnsi="Arial" w:cs="Arial"/>
        </w:rPr>
        <w:t>The Board anticipates that the T</w:t>
      </w:r>
      <w:r w:rsidRPr="00593399">
        <w:rPr>
          <w:rFonts w:ascii="Arial" w:hAnsi="Arial" w:cs="Arial"/>
        </w:rPr>
        <w:t>rust will continue to maintain a financial risk rating of at l</w:t>
      </w:r>
      <w:r>
        <w:rPr>
          <w:rFonts w:ascii="Arial" w:hAnsi="Arial" w:cs="Arial"/>
        </w:rPr>
        <w:t xml:space="preserve">east 3 over the next 12 months – </w:t>
      </w:r>
      <w:r w:rsidRPr="008663FA">
        <w:rPr>
          <w:rFonts w:ascii="Arial" w:hAnsi="Arial" w:cs="Arial"/>
          <w:u w:val="single"/>
        </w:rPr>
        <w:t xml:space="preserve">CONFIRMED </w:t>
      </w:r>
    </w:p>
    <w:p w:rsidR="008663FA" w:rsidRPr="000F1A75" w:rsidRDefault="008663FA" w:rsidP="008663FA">
      <w:pPr>
        <w:pStyle w:val="ListParagraph"/>
        <w:jc w:val="both"/>
        <w:rPr>
          <w:rFonts w:ascii="Arial" w:hAnsi="Arial" w:cs="Arial"/>
        </w:rPr>
      </w:pPr>
    </w:p>
    <w:p w:rsidR="008663FA" w:rsidRPr="00593399" w:rsidRDefault="008663FA" w:rsidP="008663FA">
      <w:pPr>
        <w:pStyle w:val="ListParagraph"/>
        <w:numPr>
          <w:ilvl w:val="0"/>
          <w:numId w:val="20"/>
        </w:numPr>
        <w:jc w:val="both"/>
        <w:rPr>
          <w:rFonts w:ascii="Arial" w:hAnsi="Arial" w:cs="Arial"/>
        </w:rPr>
      </w:pPr>
      <w:r>
        <w:rPr>
          <w:rFonts w:ascii="Arial" w:hAnsi="Arial" w:cs="Arial"/>
        </w:rPr>
        <w:t xml:space="preserve"> The Board is satisfied that plans in place are sufficient to ensure ongoing compliance with all existing targets (after the application of thresholds) and a commitment to comply with all known targets going forwards – </w:t>
      </w:r>
      <w:r w:rsidRPr="008663FA">
        <w:rPr>
          <w:rFonts w:ascii="Arial" w:hAnsi="Arial" w:cs="Arial"/>
          <w:u w:val="single"/>
        </w:rPr>
        <w:t>CONFIRMED</w:t>
      </w:r>
    </w:p>
    <w:p w:rsidR="006C4992" w:rsidRDefault="006C4992" w:rsidP="0038018C">
      <w:pPr>
        <w:jc w:val="both"/>
        <w:rPr>
          <w:rFonts w:ascii="Arial" w:hAnsi="Arial" w:cs="Arial"/>
        </w:rPr>
      </w:pPr>
    </w:p>
    <w:p w:rsidR="008663FA" w:rsidRDefault="008663FA" w:rsidP="0038018C">
      <w:pPr>
        <w:jc w:val="both"/>
        <w:rPr>
          <w:rFonts w:ascii="Arial" w:hAnsi="Arial" w:cs="Arial"/>
        </w:rPr>
      </w:pPr>
    </w:p>
    <w:p w:rsidR="006C4992" w:rsidRDefault="006C4992" w:rsidP="0038018C">
      <w:pPr>
        <w:jc w:val="both"/>
        <w:rPr>
          <w:rFonts w:ascii="Arial" w:hAnsi="Arial" w:cs="Arial"/>
        </w:rPr>
      </w:pPr>
      <w:r>
        <w:rPr>
          <w:rFonts w:ascii="Arial" w:hAnsi="Arial" w:cs="Arial"/>
          <w:i/>
        </w:rPr>
        <w:t xml:space="preserve">Financial </w:t>
      </w:r>
      <w:r w:rsidR="008663FA">
        <w:rPr>
          <w:rFonts w:ascii="Arial" w:hAnsi="Arial" w:cs="Arial"/>
          <w:i/>
        </w:rPr>
        <w:t>Risk Rating</w:t>
      </w:r>
      <w:r>
        <w:rPr>
          <w:rFonts w:ascii="Arial" w:hAnsi="Arial" w:cs="Arial"/>
          <w:i/>
        </w:rPr>
        <w:t>:</w:t>
      </w:r>
    </w:p>
    <w:p w:rsidR="006C4992" w:rsidRDefault="008663FA" w:rsidP="0038018C">
      <w:pPr>
        <w:jc w:val="both"/>
        <w:rPr>
          <w:rFonts w:ascii="Arial" w:hAnsi="Arial" w:cs="Arial"/>
        </w:rPr>
      </w:pPr>
      <w:r>
        <w:rPr>
          <w:rFonts w:ascii="Arial" w:hAnsi="Arial" w:cs="Arial"/>
        </w:rPr>
        <w:t xml:space="preserve">The information to support this statement is set out in the Finance Report presented to each Board meeting.  The Director of Finance will provide an overview on this item at the Board meeting and will explain what financial matters will be reported to </w:t>
      </w:r>
      <w:proofErr w:type="gramStart"/>
      <w:r>
        <w:rPr>
          <w:rFonts w:ascii="Arial" w:hAnsi="Arial" w:cs="Arial"/>
        </w:rPr>
        <w:t>Monitor</w:t>
      </w:r>
      <w:proofErr w:type="gramEnd"/>
      <w:r>
        <w:rPr>
          <w:rFonts w:ascii="Arial" w:hAnsi="Arial" w:cs="Arial"/>
        </w:rPr>
        <w:t xml:space="preserve"> in Q1.</w:t>
      </w:r>
    </w:p>
    <w:p w:rsidR="008663FA" w:rsidRDefault="008663FA" w:rsidP="0038018C">
      <w:pPr>
        <w:jc w:val="both"/>
        <w:rPr>
          <w:rFonts w:ascii="Arial" w:hAnsi="Arial" w:cs="Arial"/>
        </w:rPr>
      </w:pPr>
    </w:p>
    <w:p w:rsidR="008663FA" w:rsidRPr="008663FA" w:rsidRDefault="008663FA" w:rsidP="0038018C">
      <w:pPr>
        <w:jc w:val="both"/>
        <w:rPr>
          <w:rFonts w:ascii="Arial" w:hAnsi="Arial" w:cs="Arial"/>
        </w:rPr>
      </w:pPr>
      <w:r>
        <w:rPr>
          <w:rFonts w:ascii="Arial" w:hAnsi="Arial" w:cs="Arial"/>
          <w:i/>
        </w:rPr>
        <w:t>Targets and Indicators:</w:t>
      </w:r>
    </w:p>
    <w:p w:rsidR="008663FA" w:rsidRDefault="008663FA" w:rsidP="0038018C">
      <w:pPr>
        <w:jc w:val="both"/>
        <w:rPr>
          <w:rFonts w:ascii="Arial" w:hAnsi="Arial" w:cs="Arial"/>
        </w:rPr>
      </w:pPr>
      <w:r>
        <w:rPr>
          <w:rFonts w:ascii="Arial" w:hAnsi="Arial" w:cs="Arial"/>
        </w:rPr>
        <w:t xml:space="preserve">The information to support this statement is set out in the Quality and Performance Report, and Quality and Safety Report presented to each Board meeting.  The Director of Finance, and Director of Nursing and Clinical Standards will provide an overview on this item at the Board meeting.  </w:t>
      </w:r>
    </w:p>
    <w:p w:rsidR="008663FA" w:rsidRDefault="008663FA" w:rsidP="0038018C">
      <w:pPr>
        <w:jc w:val="both"/>
        <w:rPr>
          <w:rFonts w:ascii="Arial" w:hAnsi="Arial" w:cs="Arial"/>
        </w:rPr>
      </w:pPr>
    </w:p>
    <w:p w:rsidR="008663FA" w:rsidRDefault="008663FA" w:rsidP="0038018C">
      <w:pPr>
        <w:jc w:val="both"/>
        <w:rPr>
          <w:rFonts w:ascii="Arial" w:hAnsi="Arial" w:cs="Arial"/>
        </w:rPr>
      </w:pPr>
      <w:r>
        <w:rPr>
          <w:rFonts w:ascii="Arial" w:hAnsi="Arial" w:cs="Arial"/>
        </w:rPr>
        <w:t>Currently, all targets and indicators have been met.</w:t>
      </w:r>
    </w:p>
    <w:p w:rsidR="0038018C" w:rsidRDefault="0038018C" w:rsidP="0038018C">
      <w:pPr>
        <w:jc w:val="both"/>
        <w:rPr>
          <w:rFonts w:ascii="Arial" w:hAnsi="Arial" w:cs="Arial"/>
        </w:rPr>
      </w:pPr>
    </w:p>
    <w:p w:rsidR="0038018C" w:rsidRPr="00AF3193" w:rsidRDefault="002712E4" w:rsidP="00E21E88">
      <w:pPr>
        <w:jc w:val="both"/>
        <w:rPr>
          <w:rFonts w:ascii="Arial" w:hAnsi="Arial" w:cs="Arial"/>
        </w:rPr>
      </w:pPr>
      <w:r w:rsidRPr="0033327E">
        <w:rPr>
          <w:rFonts w:ascii="Arial" w:hAnsi="Arial" w:cs="Arial"/>
        </w:rPr>
        <w:t xml:space="preserve">In terms of </w:t>
      </w:r>
      <w:r w:rsidR="00554ECC">
        <w:rPr>
          <w:rFonts w:ascii="Arial" w:hAnsi="Arial" w:cs="Arial"/>
        </w:rPr>
        <w:t>the target</w:t>
      </w:r>
      <w:r w:rsidR="00E21E88" w:rsidRPr="0033327E">
        <w:rPr>
          <w:rFonts w:ascii="Arial" w:hAnsi="Arial" w:cs="Arial"/>
        </w:rPr>
        <w:t xml:space="preserve"> </w:t>
      </w:r>
      <w:r w:rsidR="008663FA">
        <w:rPr>
          <w:rFonts w:ascii="Arial" w:hAnsi="Arial" w:cs="Arial"/>
        </w:rPr>
        <w:t xml:space="preserve">relating to </w:t>
      </w:r>
      <w:proofErr w:type="spellStart"/>
      <w:r w:rsidR="008663FA">
        <w:rPr>
          <w:rFonts w:ascii="Arial" w:hAnsi="Arial" w:cs="Arial"/>
          <w:i/>
        </w:rPr>
        <w:t>C.diff</w:t>
      </w:r>
      <w:proofErr w:type="spellEnd"/>
      <w:r w:rsidR="008663FA">
        <w:rPr>
          <w:rFonts w:ascii="Arial" w:hAnsi="Arial" w:cs="Arial"/>
        </w:rPr>
        <w:t xml:space="preserve">, </w:t>
      </w:r>
      <w:r w:rsidR="00554ECC">
        <w:rPr>
          <w:rFonts w:ascii="Arial" w:hAnsi="Arial" w:cs="Arial"/>
        </w:rPr>
        <w:t xml:space="preserve">the Trust has been advised by Monitor to declare that it has met this target for Q1 but provide further information on the current issues.  At a meeting held on 3 July 2012 attended by the Chief Executive, Director of Finance, Director of Nursing and Clinical Standards, Trust Secretary, Interim Deputy Director of Finance, and the Trust’s Relationship Manager at Monitor, the regulator was informed of the Trust’s current position against this target.  In addition, the issues with the commissioner set target were explained as well as the steps the Trust was taking to tackle </w:t>
      </w:r>
      <w:proofErr w:type="spellStart"/>
      <w:r w:rsidR="00554ECC">
        <w:rPr>
          <w:rFonts w:ascii="Arial" w:hAnsi="Arial" w:cs="Arial"/>
          <w:i/>
        </w:rPr>
        <w:t>C.diff</w:t>
      </w:r>
      <w:proofErr w:type="spellEnd"/>
      <w:r w:rsidR="00554ECC">
        <w:rPr>
          <w:rFonts w:ascii="Arial" w:hAnsi="Arial" w:cs="Arial"/>
        </w:rPr>
        <w:t>.  Importantly, Monitor was informed of the growing body of evidence considered by the Trust’s Executive Board which</w:t>
      </w:r>
      <w:r w:rsidR="00AF3193">
        <w:rPr>
          <w:rFonts w:ascii="Arial" w:hAnsi="Arial" w:cs="Arial"/>
        </w:rPr>
        <w:t xml:space="preserve"> suggested that not all instances of </w:t>
      </w:r>
      <w:proofErr w:type="spellStart"/>
      <w:r w:rsidR="00AF3193">
        <w:rPr>
          <w:rFonts w:ascii="Arial" w:hAnsi="Arial" w:cs="Arial"/>
          <w:i/>
        </w:rPr>
        <w:t>C.diff</w:t>
      </w:r>
      <w:proofErr w:type="spellEnd"/>
      <w:r w:rsidR="00AF3193">
        <w:rPr>
          <w:rFonts w:ascii="Arial" w:hAnsi="Arial" w:cs="Arial"/>
        </w:rPr>
        <w:t xml:space="preserve"> could be attributed to hospitals.   </w:t>
      </w:r>
      <w:r w:rsidR="005A1195">
        <w:rPr>
          <w:rFonts w:ascii="Arial" w:hAnsi="Arial" w:cs="Arial"/>
        </w:rPr>
        <w:t>Monitor explained that the target should be declared as not being met if the year-end target was missed.</w:t>
      </w:r>
    </w:p>
    <w:p w:rsidR="00B928E2" w:rsidRDefault="00B928E2" w:rsidP="00537C23">
      <w:pPr>
        <w:jc w:val="both"/>
        <w:rPr>
          <w:rFonts w:ascii="Arial" w:hAnsi="Arial" w:cs="Arial"/>
          <w:color w:val="FFFFFF"/>
          <w:lang w:val="en-GB" w:eastAsia="en-GB"/>
        </w:rPr>
      </w:pPr>
    </w:p>
    <w:p w:rsidR="00AF3193" w:rsidRDefault="00AF3193" w:rsidP="00537C23">
      <w:pPr>
        <w:jc w:val="both"/>
        <w:rPr>
          <w:rFonts w:ascii="Arial" w:hAnsi="Arial" w:cs="Arial"/>
          <w:color w:val="FFFFFF"/>
          <w:lang w:val="en-GB" w:eastAsia="en-GB"/>
        </w:rPr>
      </w:pPr>
    </w:p>
    <w:p w:rsidR="000F1A75" w:rsidRPr="00AF3193" w:rsidRDefault="000F1A75" w:rsidP="00AF3193">
      <w:pPr>
        <w:pStyle w:val="ListParagraph"/>
        <w:numPr>
          <w:ilvl w:val="0"/>
          <w:numId w:val="14"/>
        </w:numPr>
        <w:ind w:hanging="720"/>
        <w:jc w:val="both"/>
        <w:rPr>
          <w:rFonts w:ascii="Arial" w:hAnsi="Arial" w:cs="Arial"/>
          <w:b/>
        </w:rPr>
      </w:pPr>
      <w:r w:rsidRPr="00AF3193">
        <w:rPr>
          <w:rFonts w:ascii="Arial" w:hAnsi="Arial" w:cs="Arial"/>
          <w:b/>
        </w:rPr>
        <w:t>Recommendation</w:t>
      </w:r>
    </w:p>
    <w:p w:rsidR="000F1A75" w:rsidRDefault="000F1A75" w:rsidP="000F1A75">
      <w:pPr>
        <w:jc w:val="both"/>
        <w:rPr>
          <w:rFonts w:ascii="Arial" w:hAnsi="Arial" w:cs="Arial"/>
        </w:rPr>
      </w:pPr>
      <w:r>
        <w:rPr>
          <w:rFonts w:ascii="Arial" w:hAnsi="Arial" w:cs="Arial"/>
        </w:rPr>
        <w:t xml:space="preserve">The Board is asked to note what the Trust should report to </w:t>
      </w:r>
      <w:proofErr w:type="gramStart"/>
      <w:r>
        <w:rPr>
          <w:rFonts w:ascii="Arial" w:hAnsi="Arial" w:cs="Arial"/>
        </w:rPr>
        <w:t>Monitor</w:t>
      </w:r>
      <w:proofErr w:type="gramEnd"/>
      <w:r>
        <w:rPr>
          <w:rFonts w:ascii="Arial" w:hAnsi="Arial" w:cs="Arial"/>
        </w:rPr>
        <w:t xml:space="preserve"> as part of the quarterly in-year submission.</w:t>
      </w:r>
    </w:p>
    <w:p w:rsidR="000F1A75" w:rsidRDefault="000F1A75" w:rsidP="000F1A75">
      <w:pPr>
        <w:jc w:val="both"/>
        <w:rPr>
          <w:rFonts w:ascii="Arial" w:hAnsi="Arial" w:cs="Arial"/>
        </w:rPr>
      </w:pPr>
    </w:p>
    <w:p w:rsidR="000F1A75" w:rsidRDefault="000F1A75" w:rsidP="000F1A75">
      <w:pPr>
        <w:jc w:val="both"/>
        <w:rPr>
          <w:rFonts w:ascii="Arial" w:hAnsi="Arial" w:cs="Arial"/>
        </w:rPr>
      </w:pPr>
      <w:r>
        <w:rPr>
          <w:rFonts w:ascii="Arial" w:hAnsi="Arial" w:cs="Arial"/>
        </w:rPr>
        <w:t>The Board is asked to comment on and approve the Quarter 1 submission to Monitor.</w:t>
      </w:r>
    </w:p>
    <w:p w:rsidR="000F1A75" w:rsidRDefault="000F1A75" w:rsidP="000F1A75">
      <w:pPr>
        <w:jc w:val="both"/>
        <w:rPr>
          <w:rFonts w:ascii="Arial" w:hAnsi="Arial" w:cs="Arial"/>
        </w:rPr>
      </w:pPr>
    </w:p>
    <w:p w:rsidR="000F1A75" w:rsidRDefault="000F1A75" w:rsidP="000F1A75">
      <w:pPr>
        <w:jc w:val="both"/>
        <w:rPr>
          <w:rFonts w:ascii="Arial" w:hAnsi="Arial" w:cs="Arial"/>
        </w:rPr>
      </w:pPr>
      <w:r>
        <w:rPr>
          <w:rFonts w:ascii="Arial" w:hAnsi="Arial" w:cs="Arial"/>
        </w:rPr>
        <w:t>As part of the Quarter 1 submission, the Board is asked to confirm the following statements:-</w:t>
      </w:r>
    </w:p>
    <w:p w:rsidR="000F1A75" w:rsidRPr="000F1A75" w:rsidRDefault="000F1A75" w:rsidP="000F1A75">
      <w:pPr>
        <w:pStyle w:val="ListParagraph"/>
        <w:numPr>
          <w:ilvl w:val="0"/>
          <w:numId w:val="20"/>
        </w:numPr>
        <w:jc w:val="both"/>
        <w:rPr>
          <w:rFonts w:ascii="Arial" w:hAnsi="Arial" w:cs="Arial"/>
        </w:rPr>
      </w:pPr>
      <w:r>
        <w:rPr>
          <w:rFonts w:ascii="Arial" w:hAnsi="Arial" w:cs="Arial"/>
        </w:rPr>
        <w:t>The Board anticipates that the T</w:t>
      </w:r>
      <w:r w:rsidRPr="00593399">
        <w:rPr>
          <w:rFonts w:ascii="Arial" w:hAnsi="Arial" w:cs="Arial"/>
        </w:rPr>
        <w:t>rust will continue to maintain a financial risk rating of at l</w:t>
      </w:r>
      <w:r>
        <w:rPr>
          <w:rFonts w:ascii="Arial" w:hAnsi="Arial" w:cs="Arial"/>
        </w:rPr>
        <w:t>east 3 over the next 12 months.</w:t>
      </w:r>
    </w:p>
    <w:p w:rsidR="000F1A75" w:rsidRPr="00593399" w:rsidRDefault="000F1A75" w:rsidP="000F1A75">
      <w:pPr>
        <w:pStyle w:val="ListParagraph"/>
        <w:numPr>
          <w:ilvl w:val="0"/>
          <w:numId w:val="20"/>
        </w:numPr>
        <w:jc w:val="both"/>
        <w:rPr>
          <w:rFonts w:ascii="Arial" w:hAnsi="Arial" w:cs="Arial"/>
        </w:rPr>
      </w:pPr>
      <w:r>
        <w:rPr>
          <w:rFonts w:ascii="Arial" w:hAnsi="Arial" w:cs="Arial"/>
        </w:rPr>
        <w:t xml:space="preserve"> The Board is satisfied that plans in place are sufficient to ensure ongoing compliance with all existing targets (after the application of thresholds) and a commitment to comply with all known targets going forwards.</w:t>
      </w:r>
    </w:p>
    <w:p w:rsidR="005D3499" w:rsidRDefault="005D3499">
      <w:pPr>
        <w:jc w:val="both"/>
        <w:rPr>
          <w:rFonts w:ascii="Arial" w:hAnsi="Arial" w:cs="Arial"/>
          <w:b/>
        </w:rPr>
      </w:pPr>
    </w:p>
    <w:p w:rsidR="00AF0562" w:rsidRPr="0073522A" w:rsidRDefault="00AF0562" w:rsidP="00AF0562">
      <w:pPr>
        <w:ind w:left="720"/>
        <w:jc w:val="both"/>
        <w:rPr>
          <w:rFonts w:ascii="Arial" w:hAnsi="Arial" w:cs="Arial"/>
          <w:sz w:val="20"/>
          <w:szCs w:val="20"/>
        </w:rPr>
      </w:pPr>
    </w:p>
    <w:sectPr w:rsidR="00AF0562" w:rsidRPr="0073522A" w:rsidSect="00DE6B28">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ECC" w:rsidRDefault="00554ECC" w:rsidP="005B3E3C">
      <w:r>
        <w:separator/>
      </w:r>
    </w:p>
  </w:endnote>
  <w:endnote w:type="continuationSeparator" w:id="0">
    <w:p w:rsidR="00554ECC" w:rsidRDefault="00554ECC"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Arial"/>
    <w:charset w:val="00"/>
    <w:family w:val="swiss"/>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CC" w:rsidRDefault="000E23C1">
    <w:pPr>
      <w:pStyle w:val="Footer"/>
      <w:jc w:val="center"/>
    </w:pPr>
    <w:fldSimple w:instr=" PAGE   \* MERGEFORMAT ">
      <w:r w:rsidR="00CE20D7">
        <w:rPr>
          <w:noProof/>
        </w:rPr>
        <w:t>1</w:t>
      </w:r>
    </w:fldSimple>
  </w:p>
  <w:p w:rsidR="00554ECC" w:rsidRDefault="00554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ECC" w:rsidRDefault="00554ECC" w:rsidP="005B3E3C">
      <w:r>
        <w:separator/>
      </w:r>
    </w:p>
  </w:footnote>
  <w:footnote w:type="continuationSeparator" w:id="0">
    <w:p w:rsidR="00554ECC" w:rsidRDefault="00554ECC"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CC" w:rsidRPr="005B3E3C" w:rsidRDefault="00554ECC" w:rsidP="005B3E3C">
    <w:pPr>
      <w:pStyle w:val="Header"/>
      <w:jc w:val="center"/>
      <w:rPr>
        <w:rFonts w:ascii="Arial" w:hAnsi="Arial" w:cs="Arial"/>
      </w:rPr>
    </w:pPr>
    <w:r>
      <w:rPr>
        <w:rFonts w:ascii="Arial" w:hAnsi="Arial" w:cs="Arial"/>
        <w:b/>
        <w:i/>
      </w:rPr>
      <w:t>PUBLIC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8C8"/>
    <w:multiLevelType w:val="hybridMultilevel"/>
    <w:tmpl w:val="8764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50E49"/>
    <w:multiLevelType w:val="hybridMultilevel"/>
    <w:tmpl w:val="FC32A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B6305"/>
    <w:multiLevelType w:val="hybridMultilevel"/>
    <w:tmpl w:val="7D48BDC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B">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046A7F"/>
    <w:multiLevelType w:val="hybridMultilevel"/>
    <w:tmpl w:val="B41A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0C4FDB"/>
    <w:multiLevelType w:val="hybridMultilevel"/>
    <w:tmpl w:val="9FC266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B41333"/>
    <w:multiLevelType w:val="hybridMultilevel"/>
    <w:tmpl w:val="9DC03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AE10EB"/>
    <w:multiLevelType w:val="hybridMultilevel"/>
    <w:tmpl w:val="4C62C552"/>
    <w:lvl w:ilvl="0" w:tplc="4DFACB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9E72A4"/>
    <w:multiLevelType w:val="hybridMultilevel"/>
    <w:tmpl w:val="FAC28BF4"/>
    <w:lvl w:ilvl="0" w:tplc="1694808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A41950"/>
    <w:multiLevelType w:val="hybridMultilevel"/>
    <w:tmpl w:val="4BF2E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493204"/>
    <w:multiLevelType w:val="hybridMultilevel"/>
    <w:tmpl w:val="2382AE4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BAB5A28"/>
    <w:multiLevelType w:val="hybridMultilevel"/>
    <w:tmpl w:val="6C7E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B1EBD"/>
    <w:multiLevelType w:val="hybridMultilevel"/>
    <w:tmpl w:val="F6A6F31C"/>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5B6DF9"/>
    <w:multiLevelType w:val="hybridMultilevel"/>
    <w:tmpl w:val="13F2A8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B6079F"/>
    <w:multiLevelType w:val="hybridMultilevel"/>
    <w:tmpl w:val="3C70FF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E7604C"/>
    <w:multiLevelType w:val="hybridMultilevel"/>
    <w:tmpl w:val="A30A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DA2954"/>
    <w:multiLevelType w:val="hybridMultilevel"/>
    <w:tmpl w:val="D29E9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A338B8"/>
    <w:multiLevelType w:val="hybridMultilevel"/>
    <w:tmpl w:val="3BC0AB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4D6884"/>
    <w:multiLevelType w:val="hybridMultilevel"/>
    <w:tmpl w:val="B00A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BF0964"/>
    <w:multiLevelType w:val="hybridMultilevel"/>
    <w:tmpl w:val="CEFC14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AA1018"/>
    <w:multiLevelType w:val="hybridMultilevel"/>
    <w:tmpl w:val="B3101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957050"/>
    <w:multiLevelType w:val="hybridMultilevel"/>
    <w:tmpl w:val="075C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6D1DCA"/>
    <w:multiLevelType w:val="hybridMultilevel"/>
    <w:tmpl w:val="1D36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EE3808"/>
    <w:multiLevelType w:val="hybridMultilevel"/>
    <w:tmpl w:val="0A0AA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F2A4D44"/>
    <w:multiLevelType w:val="hybridMultilevel"/>
    <w:tmpl w:val="BA4E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3"/>
  </w:num>
  <w:num w:numId="4">
    <w:abstractNumId w:val="2"/>
  </w:num>
  <w:num w:numId="5">
    <w:abstractNumId w:val="9"/>
  </w:num>
  <w:num w:numId="6">
    <w:abstractNumId w:val="4"/>
  </w:num>
  <w:num w:numId="7">
    <w:abstractNumId w:val="12"/>
  </w:num>
  <w:num w:numId="8">
    <w:abstractNumId w:val="24"/>
  </w:num>
  <w:num w:numId="9">
    <w:abstractNumId w:val="8"/>
  </w:num>
  <w:num w:numId="10">
    <w:abstractNumId w:val="11"/>
  </w:num>
  <w:num w:numId="11">
    <w:abstractNumId w:val="3"/>
  </w:num>
  <w:num w:numId="12">
    <w:abstractNumId w:val="21"/>
  </w:num>
  <w:num w:numId="13">
    <w:abstractNumId w:val="6"/>
  </w:num>
  <w:num w:numId="14">
    <w:abstractNumId w:val="5"/>
  </w:num>
  <w:num w:numId="15">
    <w:abstractNumId w:val="20"/>
  </w:num>
  <w:num w:numId="16">
    <w:abstractNumId w:val="1"/>
  </w:num>
  <w:num w:numId="17">
    <w:abstractNumId w:val="17"/>
  </w:num>
  <w:num w:numId="18">
    <w:abstractNumId w:val="18"/>
  </w:num>
  <w:num w:numId="19">
    <w:abstractNumId w:val="0"/>
  </w:num>
  <w:num w:numId="20">
    <w:abstractNumId w:val="10"/>
  </w:num>
  <w:num w:numId="21">
    <w:abstractNumId w:val="14"/>
  </w:num>
  <w:num w:numId="22">
    <w:abstractNumId w:val="16"/>
  </w:num>
  <w:num w:numId="23">
    <w:abstractNumId w:val="19"/>
  </w:num>
  <w:num w:numId="24">
    <w:abstractNumId w:val="25"/>
  </w:num>
  <w:num w:numId="25">
    <w:abstractNumId w:val="22"/>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hdrShapeDefaults>
    <o:shapedefaults v:ext="edit" spidmax="20481"/>
  </w:hdrShapeDefaults>
  <w:footnotePr>
    <w:footnote w:id="-1"/>
    <w:footnote w:id="0"/>
  </w:footnotePr>
  <w:endnotePr>
    <w:endnote w:id="-1"/>
    <w:endnote w:id="0"/>
  </w:endnotePr>
  <w:compat/>
  <w:rsids>
    <w:rsidRoot w:val="002A73E8"/>
    <w:rsid w:val="000C58B3"/>
    <w:rsid w:val="000E23C1"/>
    <w:rsid w:val="000F1A75"/>
    <w:rsid w:val="00182E47"/>
    <w:rsid w:val="001A5E95"/>
    <w:rsid w:val="001C14A1"/>
    <w:rsid w:val="001D5B24"/>
    <w:rsid w:val="001F76ED"/>
    <w:rsid w:val="00220EAE"/>
    <w:rsid w:val="00224FA8"/>
    <w:rsid w:val="00227FCE"/>
    <w:rsid w:val="00237CB4"/>
    <w:rsid w:val="002619EF"/>
    <w:rsid w:val="002712E4"/>
    <w:rsid w:val="00275246"/>
    <w:rsid w:val="002821F8"/>
    <w:rsid w:val="00292613"/>
    <w:rsid w:val="002A73E8"/>
    <w:rsid w:val="002C2F97"/>
    <w:rsid w:val="002E59FA"/>
    <w:rsid w:val="002E6FC6"/>
    <w:rsid w:val="002F150E"/>
    <w:rsid w:val="0033327E"/>
    <w:rsid w:val="0038018C"/>
    <w:rsid w:val="003971F6"/>
    <w:rsid w:val="0042776F"/>
    <w:rsid w:val="004326BB"/>
    <w:rsid w:val="004F196D"/>
    <w:rsid w:val="004F4BBA"/>
    <w:rsid w:val="005233AA"/>
    <w:rsid w:val="00537C23"/>
    <w:rsid w:val="00551B0F"/>
    <w:rsid w:val="00554ECC"/>
    <w:rsid w:val="005659FB"/>
    <w:rsid w:val="00582ACF"/>
    <w:rsid w:val="00593399"/>
    <w:rsid w:val="00596556"/>
    <w:rsid w:val="005A1195"/>
    <w:rsid w:val="005B3E3C"/>
    <w:rsid w:val="005B71DA"/>
    <w:rsid w:val="005C3FC1"/>
    <w:rsid w:val="005D3499"/>
    <w:rsid w:val="005E2583"/>
    <w:rsid w:val="005E72B7"/>
    <w:rsid w:val="005F2E83"/>
    <w:rsid w:val="0061684E"/>
    <w:rsid w:val="00625264"/>
    <w:rsid w:val="006B4ABF"/>
    <w:rsid w:val="006C4992"/>
    <w:rsid w:val="007338A7"/>
    <w:rsid w:val="0073522A"/>
    <w:rsid w:val="007769CD"/>
    <w:rsid w:val="0078032B"/>
    <w:rsid w:val="00780788"/>
    <w:rsid w:val="007976E7"/>
    <w:rsid w:val="007F5749"/>
    <w:rsid w:val="008038A2"/>
    <w:rsid w:val="00811FE8"/>
    <w:rsid w:val="0086436B"/>
    <w:rsid w:val="008663FA"/>
    <w:rsid w:val="00894B97"/>
    <w:rsid w:val="008D72C9"/>
    <w:rsid w:val="008E7E7E"/>
    <w:rsid w:val="00907E70"/>
    <w:rsid w:val="00946E6E"/>
    <w:rsid w:val="009C058B"/>
    <w:rsid w:val="009D6F5C"/>
    <w:rsid w:val="009E4327"/>
    <w:rsid w:val="00A1210D"/>
    <w:rsid w:val="00A2776E"/>
    <w:rsid w:val="00A85311"/>
    <w:rsid w:val="00AC3814"/>
    <w:rsid w:val="00AF0562"/>
    <w:rsid w:val="00AF3193"/>
    <w:rsid w:val="00B26E1A"/>
    <w:rsid w:val="00B403C8"/>
    <w:rsid w:val="00B46BD5"/>
    <w:rsid w:val="00B50D5E"/>
    <w:rsid w:val="00B6269D"/>
    <w:rsid w:val="00B928E2"/>
    <w:rsid w:val="00BA3B3E"/>
    <w:rsid w:val="00BF5367"/>
    <w:rsid w:val="00C07817"/>
    <w:rsid w:val="00C11AA2"/>
    <w:rsid w:val="00CB32C4"/>
    <w:rsid w:val="00CE20D7"/>
    <w:rsid w:val="00D07064"/>
    <w:rsid w:val="00D279FC"/>
    <w:rsid w:val="00D55ADD"/>
    <w:rsid w:val="00D8544F"/>
    <w:rsid w:val="00DA0FA6"/>
    <w:rsid w:val="00DB4A51"/>
    <w:rsid w:val="00DD33DF"/>
    <w:rsid w:val="00DD7856"/>
    <w:rsid w:val="00DE1293"/>
    <w:rsid w:val="00DE6B28"/>
    <w:rsid w:val="00DF590D"/>
    <w:rsid w:val="00E21E88"/>
    <w:rsid w:val="00E71A88"/>
    <w:rsid w:val="00E827C5"/>
    <w:rsid w:val="00ED2939"/>
    <w:rsid w:val="00F4113A"/>
    <w:rsid w:val="00F57119"/>
    <w:rsid w:val="00F703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B28"/>
    <w:rPr>
      <w:sz w:val="24"/>
      <w:szCs w:val="24"/>
      <w:lang w:val="en-US" w:eastAsia="en-US"/>
    </w:rPr>
  </w:style>
  <w:style w:type="paragraph" w:styleId="Heading1">
    <w:name w:val="heading 1"/>
    <w:basedOn w:val="Normal"/>
    <w:next w:val="Normal"/>
    <w:qFormat/>
    <w:rsid w:val="00DE6B28"/>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B28"/>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customStyle="1" w:styleId="Default">
    <w:name w:val="Default"/>
    <w:rsid w:val="00237CB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D6F5C"/>
    <w:rPr>
      <w:rFonts w:ascii="Tahoma" w:hAnsi="Tahoma" w:cs="Tahoma"/>
      <w:sz w:val="16"/>
      <w:szCs w:val="16"/>
    </w:rPr>
  </w:style>
  <w:style w:type="character" w:customStyle="1" w:styleId="BalloonTextChar">
    <w:name w:val="Balloon Text Char"/>
    <w:basedOn w:val="DefaultParagraphFont"/>
    <w:link w:val="BalloonText"/>
    <w:rsid w:val="009D6F5C"/>
    <w:rPr>
      <w:rFonts w:ascii="Tahoma" w:hAnsi="Tahoma" w:cs="Tahoma"/>
      <w:sz w:val="16"/>
      <w:szCs w:val="16"/>
      <w:lang w:val="en-US" w:eastAsia="en-US"/>
    </w:rPr>
  </w:style>
  <w:style w:type="paragraph" w:styleId="ListParagraph">
    <w:name w:val="List Paragraph"/>
    <w:basedOn w:val="Normal"/>
    <w:uiPriority w:val="34"/>
    <w:qFormat/>
    <w:rsid w:val="001C14A1"/>
    <w:pPr>
      <w:ind w:left="720"/>
      <w:contextualSpacing/>
    </w:pPr>
  </w:style>
</w:styles>
</file>

<file path=word/webSettings.xml><?xml version="1.0" encoding="utf-8"?>
<w:webSettings xmlns:r="http://schemas.openxmlformats.org/officeDocument/2006/relationships" xmlns:w="http://schemas.openxmlformats.org/wordprocessingml/2006/main">
  <w:divs>
    <w:div w:id="5769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8766E-1AC9-4402-95EF-52139269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8068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2012-04-18T09:26:00Z</cp:lastPrinted>
  <dcterms:created xsi:type="dcterms:W3CDTF">2012-07-31T10:20:00Z</dcterms:created>
  <dcterms:modified xsi:type="dcterms:W3CDTF">2012-07-31T10:20:00Z</dcterms:modified>
</cp:coreProperties>
</file>