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37658D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131F17">
      <w:pPr>
        <w:jc w:val="center"/>
        <w:rPr>
          <w:rFonts w:ascii="Frutiger" w:hAnsi="Frutiger"/>
        </w:rPr>
      </w:pPr>
      <w:r w:rsidRPr="00131F17">
        <w:rPr>
          <w:noProof/>
          <w:sz w:val="20"/>
          <w:lang w:val="en-GB" w:eastAsia="en-GB"/>
        </w:rPr>
        <w:pict>
          <v:rect id="Rectangle 10" o:spid="_x0000_s1026" style="position:absolute;left:0;text-align:left;margin-left:324pt;margin-top:4.05pt;width:108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<v:textbox inset="0,0,0,0">
              <w:txbxContent>
                <w:p w:rsidR="00A91221" w:rsidRDefault="00A91221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A91221" w:rsidRDefault="003754DB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92/2012</w:t>
                  </w:r>
                </w:p>
                <w:p w:rsidR="00A91221" w:rsidRPr="003754DB" w:rsidRDefault="003754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(Agenda Item: 14)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343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June 2012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857C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Appraisal and Implementation of Revalidation</w:t>
      </w:r>
    </w:p>
    <w:p w:rsidR="00857CCD" w:rsidRDefault="00857CCD">
      <w:pPr>
        <w:jc w:val="center"/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3438DA">
        <w:rPr>
          <w:rFonts w:ascii="Arial" w:hAnsi="Arial" w:cs="Arial"/>
          <w:b/>
          <w:u w:val="single"/>
        </w:rPr>
        <w:t xml:space="preserve"> </w:t>
      </w:r>
      <w:r w:rsidR="00857CCD">
        <w:rPr>
          <w:rFonts w:ascii="Arial" w:hAnsi="Arial" w:cs="Arial"/>
          <w:b/>
          <w:u w:val="single"/>
        </w:rPr>
        <w:t>Information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A91221" w:rsidRPr="00DE3822" w:rsidRDefault="00A91221" w:rsidP="004212B5">
      <w:pPr>
        <w:jc w:val="both"/>
        <w:rPr>
          <w:rFonts w:ascii="Arial" w:hAnsi="Arial" w:cs="Arial"/>
        </w:rPr>
      </w:pPr>
      <w:r w:rsidRPr="00DE3822">
        <w:rPr>
          <w:rFonts w:ascii="Arial" w:hAnsi="Arial" w:cs="Arial"/>
        </w:rPr>
        <w:t xml:space="preserve">The purpose of this report is to </w:t>
      </w:r>
      <w:r>
        <w:rPr>
          <w:rFonts w:ascii="Arial" w:hAnsi="Arial" w:cs="Arial"/>
        </w:rPr>
        <w:t>update</w:t>
      </w:r>
      <w:r w:rsidRPr="00DE3822">
        <w:rPr>
          <w:rFonts w:ascii="Arial" w:hAnsi="Arial" w:cs="Arial"/>
        </w:rPr>
        <w:t xml:space="preserve"> the Board of Directors </w:t>
      </w:r>
      <w:r w:rsidR="004212B5">
        <w:rPr>
          <w:rFonts w:ascii="Arial" w:hAnsi="Arial" w:cs="Arial"/>
        </w:rPr>
        <w:t>on medical r</w:t>
      </w:r>
      <w:r w:rsidRPr="00DE3822">
        <w:rPr>
          <w:rFonts w:ascii="Arial" w:hAnsi="Arial" w:cs="Arial"/>
        </w:rPr>
        <w:t>evalidation</w:t>
      </w:r>
      <w:r w:rsidR="004212B5">
        <w:rPr>
          <w:rFonts w:ascii="Arial" w:hAnsi="Arial" w:cs="Arial"/>
        </w:rPr>
        <w:t>, and the progress made regarding this in the Trust,</w:t>
      </w:r>
      <w:r w:rsidRPr="00DE3822">
        <w:rPr>
          <w:rFonts w:ascii="Arial" w:hAnsi="Arial" w:cs="Arial"/>
        </w:rPr>
        <w:t xml:space="preserve"> in advance of the introduction of </w:t>
      </w:r>
      <w:r w:rsidR="004212B5">
        <w:rPr>
          <w:rFonts w:ascii="Arial" w:hAnsi="Arial" w:cs="Arial"/>
        </w:rPr>
        <w:t xml:space="preserve">national </w:t>
      </w:r>
      <w:r w:rsidRPr="00DE3822">
        <w:rPr>
          <w:rFonts w:ascii="Arial" w:hAnsi="Arial" w:cs="Arial"/>
        </w:rPr>
        <w:t>regulations in December 2012</w:t>
      </w:r>
      <w:r>
        <w:rPr>
          <w:rFonts w:ascii="Arial" w:hAnsi="Arial" w:cs="Arial"/>
        </w:rPr>
        <w:t xml:space="preserve">. It </w:t>
      </w:r>
      <w:r w:rsidRPr="00DE3822">
        <w:rPr>
          <w:rFonts w:ascii="Arial" w:hAnsi="Arial" w:cs="Arial"/>
        </w:rPr>
        <w:t>outline</w:t>
      </w:r>
      <w:r w:rsidR="004212B5">
        <w:rPr>
          <w:rFonts w:ascii="Arial" w:hAnsi="Arial" w:cs="Arial"/>
        </w:rPr>
        <w:t>s the link between medical appraisal and r</w:t>
      </w:r>
      <w:r w:rsidRPr="00DE3822">
        <w:rPr>
          <w:rFonts w:ascii="Arial" w:hAnsi="Arial" w:cs="Arial"/>
        </w:rPr>
        <w:t>evalidation and</w:t>
      </w:r>
      <w:r>
        <w:rPr>
          <w:rFonts w:ascii="Arial" w:hAnsi="Arial" w:cs="Arial"/>
        </w:rPr>
        <w:t xml:space="preserve"> demonstrate</w:t>
      </w:r>
      <w:r w:rsidR="004212B5">
        <w:rPr>
          <w:rFonts w:ascii="Arial" w:hAnsi="Arial" w:cs="Arial"/>
        </w:rPr>
        <w:t>s</w:t>
      </w:r>
      <w:r w:rsidRPr="00DE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the change in legislation </w:t>
      </w:r>
      <w:r w:rsidR="004212B5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improve quality and give reassurance that doctors are fit to practice. </w:t>
      </w:r>
    </w:p>
    <w:p w:rsidR="00A91221" w:rsidRPr="00DE3822" w:rsidRDefault="00A91221" w:rsidP="004212B5">
      <w:pPr>
        <w:jc w:val="both"/>
        <w:rPr>
          <w:rFonts w:ascii="Arial" w:hAnsi="Arial" w:cs="Arial"/>
          <w:b/>
        </w:rPr>
      </w:pPr>
    </w:p>
    <w:p w:rsidR="00A91221" w:rsidRDefault="00A91221" w:rsidP="003438DA">
      <w:pPr>
        <w:jc w:val="both"/>
        <w:rPr>
          <w:rFonts w:ascii="Segoe UI" w:eastAsia="Calibri" w:hAnsi="Segoe UI" w:cs="Segoe UI"/>
          <w:color w:val="000000"/>
          <w:sz w:val="22"/>
          <w:szCs w:val="22"/>
          <w:lang w:val="en-GB" w:eastAsia="en-GB"/>
        </w:rPr>
      </w:pPr>
      <w:r w:rsidRPr="00DE3822">
        <w:rPr>
          <w:rFonts w:ascii="Arial" w:hAnsi="Arial" w:cs="Arial"/>
        </w:rPr>
        <w:t>This report provide</w:t>
      </w:r>
      <w:r w:rsidR="004212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</w:t>
      </w:r>
      <w:r w:rsidRPr="00DE3822">
        <w:rPr>
          <w:rFonts w:ascii="Arial" w:hAnsi="Arial" w:cs="Arial"/>
        </w:rPr>
        <w:t xml:space="preserve"> update </w:t>
      </w:r>
      <w:r>
        <w:rPr>
          <w:rFonts w:ascii="Arial" w:hAnsi="Arial" w:cs="Arial"/>
        </w:rPr>
        <w:t xml:space="preserve">on The Trust’s progress made in the previous year monitored nationally by the </w:t>
      </w:r>
      <w:proofErr w:type="spellStart"/>
      <w:r>
        <w:rPr>
          <w:rFonts w:ascii="Arial" w:hAnsi="Arial" w:cs="Arial"/>
        </w:rPr>
        <w:t>Organisational</w:t>
      </w:r>
      <w:proofErr w:type="spellEnd"/>
      <w:r>
        <w:rPr>
          <w:rFonts w:ascii="Arial" w:hAnsi="Arial" w:cs="Arial"/>
        </w:rPr>
        <w:t xml:space="preserve"> Readiness Self Assessment (ORSA). It </w:t>
      </w:r>
      <w:r w:rsidR="004212B5">
        <w:rPr>
          <w:rFonts w:ascii="Arial" w:hAnsi="Arial" w:cs="Arial"/>
        </w:rPr>
        <w:t>d</w:t>
      </w:r>
      <w:r>
        <w:rPr>
          <w:rFonts w:ascii="Arial" w:hAnsi="Arial" w:cs="Arial"/>
        </w:rPr>
        <w:t>etail</w:t>
      </w:r>
      <w:r w:rsidR="004212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work streams that are ongoing to ensure that </w:t>
      </w:r>
      <w:proofErr w:type="spellStart"/>
      <w:r>
        <w:rPr>
          <w:rFonts w:ascii="Arial" w:hAnsi="Arial" w:cs="Arial"/>
        </w:rPr>
        <w:t>organisational</w:t>
      </w:r>
      <w:proofErr w:type="spellEnd"/>
      <w:r>
        <w:rPr>
          <w:rFonts w:ascii="Arial" w:hAnsi="Arial" w:cs="Arial"/>
        </w:rPr>
        <w:t xml:space="preserve"> readiness is achieved and </w:t>
      </w:r>
      <w:r w:rsidR="004212B5">
        <w:rPr>
          <w:rFonts w:ascii="Arial" w:hAnsi="Arial" w:cs="Arial"/>
        </w:rPr>
        <w:t>offers reassurance that r</w:t>
      </w:r>
      <w:r>
        <w:rPr>
          <w:rFonts w:ascii="Arial" w:hAnsi="Arial" w:cs="Arial"/>
        </w:rPr>
        <w:t>evalidation will be successfully implemented in The Trust</w:t>
      </w:r>
      <w:r w:rsidR="004212B5">
        <w:rPr>
          <w:rFonts w:ascii="Arial" w:hAnsi="Arial" w:cs="Arial"/>
        </w:rPr>
        <w:t>.</w:t>
      </w: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A91221" w:rsidRPr="008656D8" w:rsidRDefault="00A91221" w:rsidP="00A91221">
      <w:pPr>
        <w:jc w:val="both"/>
        <w:rPr>
          <w:rFonts w:ascii="Arial" w:hAnsi="Arial" w:cs="Arial"/>
          <w:b/>
          <w:u w:val="single"/>
        </w:rPr>
      </w:pPr>
      <w:r w:rsidRPr="008656D8">
        <w:rPr>
          <w:rFonts w:ascii="Arial" w:hAnsi="Arial" w:cs="Arial"/>
          <w:b/>
          <w:u w:val="single"/>
        </w:rPr>
        <w:t>Recommendation</w:t>
      </w:r>
    </w:p>
    <w:p w:rsidR="00A91221" w:rsidRPr="00DE3822" w:rsidRDefault="00A91221" w:rsidP="00A91221">
      <w:pPr>
        <w:rPr>
          <w:rFonts w:ascii="Arial" w:hAnsi="Arial" w:cs="Arial"/>
        </w:rPr>
      </w:pPr>
    </w:p>
    <w:p w:rsidR="00A91221" w:rsidRDefault="00A91221" w:rsidP="00A91221">
      <w:pPr>
        <w:rPr>
          <w:rFonts w:ascii="Arial" w:hAnsi="Arial" w:cs="Arial"/>
        </w:rPr>
      </w:pPr>
      <w:r>
        <w:rPr>
          <w:rFonts w:ascii="Arial" w:hAnsi="Arial" w:cs="Arial"/>
        </w:rPr>
        <w:t>The Board is asked to note the information presented as an update on the Trust’s progress made towards the implementation of revalidation.</w:t>
      </w:r>
    </w:p>
    <w:p w:rsidR="00A91221" w:rsidRDefault="00A91221" w:rsidP="00A91221">
      <w:pPr>
        <w:ind w:left="1440" w:hanging="1440"/>
        <w:jc w:val="both"/>
        <w:rPr>
          <w:rFonts w:ascii="Arial" w:hAnsi="Arial" w:cs="Arial"/>
          <w:b/>
        </w:rPr>
      </w:pPr>
    </w:p>
    <w:p w:rsidR="00A91221" w:rsidRDefault="00A91221" w:rsidP="00A91221">
      <w:pPr>
        <w:ind w:left="1440" w:hanging="1440"/>
        <w:jc w:val="both"/>
        <w:rPr>
          <w:rFonts w:ascii="Arial" w:hAnsi="Arial" w:cs="Arial"/>
          <w:b/>
        </w:rPr>
      </w:pPr>
    </w:p>
    <w:p w:rsidR="00A91221" w:rsidRPr="00DE3822" w:rsidRDefault="00A91221" w:rsidP="00A91221">
      <w:pPr>
        <w:ind w:left="1440" w:hanging="1440"/>
        <w:jc w:val="both"/>
        <w:rPr>
          <w:rFonts w:ascii="Arial" w:hAnsi="Arial" w:cs="Arial"/>
        </w:rPr>
      </w:pPr>
      <w:r w:rsidRPr="00DE3822">
        <w:rPr>
          <w:rFonts w:ascii="Arial" w:hAnsi="Arial" w:cs="Arial"/>
          <w:b/>
        </w:rPr>
        <w:t>Author and Title:</w:t>
      </w:r>
      <w:r w:rsidRPr="00DE3822">
        <w:rPr>
          <w:rFonts w:ascii="Arial" w:hAnsi="Arial" w:cs="Arial"/>
        </w:rPr>
        <w:t xml:space="preserve"> </w:t>
      </w:r>
      <w:r w:rsidRPr="00DE3822">
        <w:rPr>
          <w:rFonts w:ascii="Arial" w:hAnsi="Arial" w:cs="Arial"/>
        </w:rPr>
        <w:tab/>
      </w:r>
      <w:r>
        <w:rPr>
          <w:rFonts w:ascii="Arial" w:hAnsi="Arial" w:cs="Arial"/>
        </w:rPr>
        <w:t>Sarah Roberts, Appraisal &amp; Revalidation Manager</w:t>
      </w:r>
    </w:p>
    <w:p w:rsidR="0073522A" w:rsidRDefault="00A91221" w:rsidP="00A91221">
      <w:pPr>
        <w:jc w:val="both"/>
        <w:rPr>
          <w:rFonts w:ascii="Arial" w:hAnsi="Arial" w:cs="Arial"/>
        </w:rPr>
      </w:pPr>
      <w:r w:rsidRPr="00DE3822">
        <w:rPr>
          <w:rFonts w:ascii="Arial" w:hAnsi="Arial" w:cs="Arial"/>
          <w:b/>
        </w:rPr>
        <w:t>Lead Executive Director:</w:t>
      </w:r>
      <w:r w:rsidRPr="00DE3822">
        <w:rPr>
          <w:rFonts w:ascii="Arial" w:hAnsi="Arial" w:cs="Arial"/>
          <w:b/>
        </w:rPr>
        <w:tab/>
      </w:r>
      <w:r w:rsidRPr="000B3FCF">
        <w:rPr>
          <w:rFonts w:ascii="Arial" w:hAnsi="Arial" w:cs="Arial"/>
        </w:rPr>
        <w:t>Dr Clive Meux</w:t>
      </w:r>
      <w:r w:rsidR="00F10989">
        <w:rPr>
          <w:rFonts w:ascii="Arial" w:hAnsi="Arial" w:cs="Arial"/>
        </w:rPr>
        <w:t>, Medical Director</w:t>
      </w:r>
    </w:p>
    <w:p w:rsidR="00A91221" w:rsidRDefault="00A91221" w:rsidP="00A91221">
      <w:pPr>
        <w:jc w:val="both"/>
        <w:rPr>
          <w:rFonts w:ascii="Arial" w:hAnsi="Arial" w:cs="Arial"/>
          <w:b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781566" w:rsidRDefault="00781566" w:rsidP="00781566">
      <w:pPr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257B2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F7" w:rsidRDefault="004152F7" w:rsidP="005B3E3C">
      <w:r>
        <w:separator/>
      </w:r>
    </w:p>
  </w:endnote>
  <w:endnote w:type="continuationSeparator" w:id="0">
    <w:p w:rsidR="004152F7" w:rsidRDefault="004152F7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F7" w:rsidRDefault="004152F7" w:rsidP="005B3E3C">
      <w:r>
        <w:separator/>
      </w:r>
    </w:p>
  </w:footnote>
  <w:footnote w:type="continuationSeparator" w:id="0">
    <w:p w:rsidR="004152F7" w:rsidRDefault="004152F7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21" w:rsidRPr="005B3E3C" w:rsidRDefault="00A91221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11639"/>
    <w:multiLevelType w:val="hybridMultilevel"/>
    <w:tmpl w:val="95EE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A73E8"/>
    <w:rsid w:val="00131F17"/>
    <w:rsid w:val="001F76ED"/>
    <w:rsid w:val="00227FCE"/>
    <w:rsid w:val="00257B2F"/>
    <w:rsid w:val="002619EF"/>
    <w:rsid w:val="002821F8"/>
    <w:rsid w:val="00292613"/>
    <w:rsid w:val="002A73E8"/>
    <w:rsid w:val="002C2F97"/>
    <w:rsid w:val="002E6FC6"/>
    <w:rsid w:val="003438DA"/>
    <w:rsid w:val="003754DB"/>
    <w:rsid w:val="0037658D"/>
    <w:rsid w:val="003971F6"/>
    <w:rsid w:val="004152F7"/>
    <w:rsid w:val="004212B5"/>
    <w:rsid w:val="004326BB"/>
    <w:rsid w:val="00485A0F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73522A"/>
    <w:rsid w:val="007769CD"/>
    <w:rsid w:val="0078032B"/>
    <w:rsid w:val="00781566"/>
    <w:rsid w:val="007976E7"/>
    <w:rsid w:val="00802701"/>
    <w:rsid w:val="008038A2"/>
    <w:rsid w:val="00811FE8"/>
    <w:rsid w:val="00857CCD"/>
    <w:rsid w:val="0086436B"/>
    <w:rsid w:val="00890475"/>
    <w:rsid w:val="00894B97"/>
    <w:rsid w:val="00900DF2"/>
    <w:rsid w:val="00946E6E"/>
    <w:rsid w:val="00A85311"/>
    <w:rsid w:val="00A86408"/>
    <w:rsid w:val="00A91221"/>
    <w:rsid w:val="00AA0C3F"/>
    <w:rsid w:val="00AC3814"/>
    <w:rsid w:val="00AF0562"/>
    <w:rsid w:val="00B26E1A"/>
    <w:rsid w:val="00B50D5E"/>
    <w:rsid w:val="00BA3B3E"/>
    <w:rsid w:val="00BF5367"/>
    <w:rsid w:val="00C07817"/>
    <w:rsid w:val="00C11AA2"/>
    <w:rsid w:val="00CF2FF2"/>
    <w:rsid w:val="00D07064"/>
    <w:rsid w:val="00D279FC"/>
    <w:rsid w:val="00D55ADD"/>
    <w:rsid w:val="00D8544F"/>
    <w:rsid w:val="00DA0FA6"/>
    <w:rsid w:val="00DD33DF"/>
    <w:rsid w:val="00DD7F69"/>
    <w:rsid w:val="00DE1293"/>
    <w:rsid w:val="00E827C5"/>
    <w:rsid w:val="00E87F3C"/>
    <w:rsid w:val="00F10989"/>
    <w:rsid w:val="00F455B3"/>
    <w:rsid w:val="00F5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B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7B2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7B2F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character" w:styleId="FootnoteReference">
    <w:name w:val="footnote reference"/>
    <w:uiPriority w:val="99"/>
    <w:unhideWhenUsed/>
    <w:rsid w:val="003438DA"/>
    <w:rPr>
      <w:vertAlign w:val="superscript"/>
    </w:rPr>
  </w:style>
  <w:style w:type="paragraph" w:customStyle="1" w:styleId="Default">
    <w:name w:val="Default"/>
    <w:rsid w:val="003438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D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F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character" w:styleId="FootnoteReference">
    <w:name w:val="footnote reference"/>
    <w:uiPriority w:val="99"/>
    <w:unhideWhenUsed/>
    <w:rsid w:val="003438DA"/>
    <w:rPr>
      <w:vertAlign w:val="superscript"/>
    </w:rPr>
  </w:style>
  <w:style w:type="paragraph" w:customStyle="1" w:styleId="Default">
    <w:name w:val="Default"/>
    <w:rsid w:val="003438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2005-05-11T11:48:00Z</cp:lastPrinted>
  <dcterms:created xsi:type="dcterms:W3CDTF">2012-07-31T10:14:00Z</dcterms:created>
  <dcterms:modified xsi:type="dcterms:W3CDTF">2012-07-31T10:14:00Z</dcterms:modified>
</cp:coreProperties>
</file>