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947" w:rsidRPr="00BE2EFA" w:rsidRDefault="000B2947" w:rsidP="000B2947">
      <w:pPr>
        <w:jc w:val="center"/>
        <w:rPr>
          <w:rFonts w:ascii="Arial" w:hAnsi="Arial" w:cs="Arial"/>
          <w:b/>
          <w:i/>
          <w:color w:val="FF0000"/>
          <w:sz w:val="28"/>
          <w:szCs w:val="28"/>
        </w:rPr>
      </w:pPr>
      <w:r w:rsidRPr="000D759B">
        <w:rPr>
          <w:rFonts w:ascii="Arial" w:hAnsi="Arial" w:cs="Arial"/>
          <w:b/>
          <w:sz w:val="28"/>
          <w:szCs w:val="28"/>
        </w:rPr>
        <w:t xml:space="preserve">Summary of </w:t>
      </w:r>
      <w:r w:rsidRPr="00BE2EFA">
        <w:rPr>
          <w:rFonts w:ascii="Arial" w:hAnsi="Arial" w:cs="Arial"/>
          <w:b/>
          <w:sz w:val="28"/>
          <w:szCs w:val="28"/>
        </w:rPr>
        <w:t xml:space="preserve">Actions from Board </w:t>
      </w:r>
      <w:r w:rsidR="000B69CF" w:rsidRPr="00BE2EFA">
        <w:rPr>
          <w:rFonts w:ascii="Arial" w:hAnsi="Arial" w:cs="Arial"/>
          <w:b/>
          <w:sz w:val="28"/>
          <w:szCs w:val="28"/>
        </w:rPr>
        <w:t>meeting</w:t>
      </w:r>
      <w:r w:rsidRPr="00BE2EFA">
        <w:rPr>
          <w:rFonts w:ascii="Arial" w:hAnsi="Arial" w:cs="Arial"/>
          <w:b/>
          <w:sz w:val="28"/>
          <w:szCs w:val="28"/>
        </w:rPr>
        <w:t xml:space="preserve"> </w:t>
      </w:r>
      <w:r w:rsidR="008757DA">
        <w:rPr>
          <w:rFonts w:ascii="Arial" w:hAnsi="Arial" w:cs="Arial"/>
          <w:b/>
          <w:sz w:val="28"/>
          <w:szCs w:val="28"/>
        </w:rPr>
        <w:t xml:space="preserve">Wednesday, </w:t>
      </w:r>
      <w:r w:rsidR="00087272">
        <w:rPr>
          <w:rFonts w:ascii="Arial" w:hAnsi="Arial" w:cs="Arial"/>
          <w:b/>
          <w:sz w:val="28"/>
          <w:szCs w:val="28"/>
        </w:rPr>
        <w:t xml:space="preserve">25 September </w:t>
      </w:r>
      <w:r w:rsidR="00BE2EFA" w:rsidRPr="00BE2EFA">
        <w:rPr>
          <w:rFonts w:ascii="Arial" w:hAnsi="Arial" w:cs="Arial"/>
          <w:b/>
          <w:sz w:val="28"/>
          <w:szCs w:val="28"/>
        </w:rPr>
        <w:t>2013</w:t>
      </w:r>
    </w:p>
    <w:p w:rsidR="000B2947" w:rsidRDefault="000B2947" w:rsidP="000B2947"/>
    <w:p w:rsidR="000B2947" w:rsidRDefault="000B2947" w:rsidP="000B2947"/>
    <w:tbl>
      <w:tblPr>
        <w:tblpPr w:leftFromText="180" w:rightFromText="180" w:vertAnchor="page" w:horzAnchor="margin" w:tblpXSpec="center" w:tblpY="2442"/>
        <w:tblW w:w="12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8351"/>
        <w:gridCol w:w="2286"/>
      </w:tblGrid>
      <w:tr w:rsidR="000B2947" w:rsidRPr="00D3669C" w:rsidTr="00D8125D">
        <w:trPr>
          <w:trHeight w:val="439"/>
        </w:trPr>
        <w:tc>
          <w:tcPr>
            <w:tcW w:w="2197" w:type="dxa"/>
            <w:vAlign w:val="center"/>
          </w:tcPr>
          <w:p w:rsidR="000B2947" w:rsidRPr="009D2F5A" w:rsidRDefault="000B2947" w:rsidP="00E21DA2">
            <w:pPr>
              <w:jc w:val="center"/>
              <w:rPr>
                <w:rFonts w:ascii="Arial" w:hAnsi="Arial" w:cs="Arial"/>
                <w:b/>
                <w:sz w:val="24"/>
                <w:szCs w:val="24"/>
              </w:rPr>
            </w:pPr>
            <w:r w:rsidRPr="009D2F5A">
              <w:rPr>
                <w:rFonts w:ascii="Arial" w:hAnsi="Arial" w:cs="Arial"/>
                <w:b/>
                <w:sz w:val="24"/>
                <w:szCs w:val="24"/>
              </w:rPr>
              <w:t>Relevant Item</w:t>
            </w:r>
          </w:p>
        </w:tc>
        <w:tc>
          <w:tcPr>
            <w:tcW w:w="8351" w:type="dxa"/>
            <w:vAlign w:val="center"/>
          </w:tcPr>
          <w:p w:rsidR="000B2947" w:rsidRPr="009D2F5A" w:rsidRDefault="000B2947" w:rsidP="00E21DA2">
            <w:pPr>
              <w:jc w:val="center"/>
              <w:rPr>
                <w:rFonts w:ascii="Arial" w:hAnsi="Arial" w:cs="Arial"/>
                <w:b/>
                <w:sz w:val="24"/>
                <w:szCs w:val="24"/>
              </w:rPr>
            </w:pPr>
            <w:r w:rsidRPr="009D2F5A">
              <w:rPr>
                <w:rFonts w:ascii="Arial" w:hAnsi="Arial" w:cs="Arial"/>
                <w:b/>
                <w:sz w:val="24"/>
                <w:szCs w:val="24"/>
              </w:rPr>
              <w:t>Action</w:t>
            </w:r>
          </w:p>
        </w:tc>
        <w:tc>
          <w:tcPr>
            <w:tcW w:w="2286" w:type="dxa"/>
            <w:vAlign w:val="center"/>
          </w:tcPr>
          <w:p w:rsidR="000B2947" w:rsidRPr="009D2F5A" w:rsidRDefault="000B2947" w:rsidP="00E21DA2">
            <w:pPr>
              <w:jc w:val="center"/>
              <w:rPr>
                <w:rFonts w:ascii="Arial" w:hAnsi="Arial" w:cs="Arial"/>
                <w:b/>
                <w:sz w:val="24"/>
                <w:szCs w:val="24"/>
              </w:rPr>
            </w:pPr>
            <w:r w:rsidRPr="009D2F5A">
              <w:rPr>
                <w:rFonts w:ascii="Arial" w:hAnsi="Arial" w:cs="Arial"/>
                <w:b/>
                <w:sz w:val="24"/>
                <w:szCs w:val="24"/>
              </w:rPr>
              <w:t>Responsibility</w:t>
            </w:r>
          </w:p>
        </w:tc>
      </w:tr>
      <w:tr w:rsidR="000B2947" w:rsidRPr="00E367B7" w:rsidTr="00D8125D">
        <w:trPr>
          <w:trHeight w:val="1340"/>
        </w:trPr>
        <w:tc>
          <w:tcPr>
            <w:tcW w:w="2197" w:type="dxa"/>
            <w:shd w:val="clear" w:color="auto" w:fill="auto"/>
          </w:tcPr>
          <w:p w:rsidR="000B2947" w:rsidRPr="009D2F5A" w:rsidRDefault="000B2947" w:rsidP="00AC76AD">
            <w:pPr>
              <w:keepNext/>
              <w:keepLines/>
              <w:jc w:val="center"/>
              <w:rPr>
                <w:rFonts w:ascii="Arial" w:hAnsi="Arial" w:cs="Arial"/>
                <w:sz w:val="24"/>
                <w:szCs w:val="24"/>
              </w:rPr>
            </w:pPr>
          </w:p>
          <w:p w:rsidR="000B2947" w:rsidRPr="009D2F5A" w:rsidRDefault="000B2947" w:rsidP="00AC76AD">
            <w:pPr>
              <w:keepNext/>
              <w:keepLines/>
              <w:jc w:val="center"/>
              <w:rPr>
                <w:rFonts w:ascii="Arial" w:hAnsi="Arial" w:cs="Arial"/>
                <w:sz w:val="24"/>
                <w:szCs w:val="24"/>
              </w:rPr>
            </w:pPr>
            <w:r w:rsidRPr="009D2F5A">
              <w:rPr>
                <w:rFonts w:ascii="Arial" w:hAnsi="Arial" w:cs="Arial"/>
                <w:sz w:val="24"/>
                <w:szCs w:val="24"/>
              </w:rPr>
              <w:t xml:space="preserve">BOD </w:t>
            </w:r>
            <w:r w:rsidR="00087272">
              <w:rPr>
                <w:rFonts w:ascii="Arial" w:hAnsi="Arial" w:cs="Arial"/>
                <w:sz w:val="24"/>
                <w:szCs w:val="24"/>
              </w:rPr>
              <w:t>117</w:t>
            </w:r>
            <w:r w:rsidR="00105FDB" w:rsidRPr="009D2F5A">
              <w:rPr>
                <w:rFonts w:ascii="Arial" w:hAnsi="Arial" w:cs="Arial"/>
                <w:sz w:val="24"/>
                <w:szCs w:val="24"/>
              </w:rPr>
              <w:t>/13</w:t>
            </w:r>
            <w:r w:rsidRPr="009D2F5A">
              <w:rPr>
                <w:rFonts w:ascii="Arial" w:hAnsi="Arial" w:cs="Arial"/>
                <w:sz w:val="24"/>
                <w:szCs w:val="24"/>
              </w:rPr>
              <w:t xml:space="preserve"> (</w:t>
            </w:r>
            <w:r w:rsidR="00087272">
              <w:rPr>
                <w:rFonts w:ascii="Arial" w:hAnsi="Arial" w:cs="Arial"/>
                <w:sz w:val="24"/>
                <w:szCs w:val="24"/>
              </w:rPr>
              <w:t>c</w:t>
            </w:r>
            <w:r w:rsidRPr="009D2F5A">
              <w:rPr>
                <w:rFonts w:ascii="Arial" w:hAnsi="Arial" w:cs="Arial"/>
                <w:sz w:val="24"/>
                <w:szCs w:val="24"/>
              </w:rPr>
              <w:t>)</w:t>
            </w:r>
          </w:p>
          <w:p w:rsidR="000B2947" w:rsidRPr="009D2F5A" w:rsidRDefault="000B2947" w:rsidP="00AC76AD">
            <w:pPr>
              <w:jc w:val="center"/>
              <w:rPr>
                <w:rFonts w:ascii="Arial" w:hAnsi="Arial" w:cs="Arial"/>
                <w:sz w:val="24"/>
                <w:szCs w:val="24"/>
              </w:rPr>
            </w:pPr>
          </w:p>
        </w:tc>
        <w:tc>
          <w:tcPr>
            <w:tcW w:w="8351" w:type="dxa"/>
          </w:tcPr>
          <w:p w:rsidR="003515C3" w:rsidRDefault="00087272" w:rsidP="004D7E50">
            <w:pPr>
              <w:jc w:val="both"/>
              <w:rPr>
                <w:rFonts w:ascii="Arial" w:hAnsi="Arial" w:cs="Arial"/>
                <w:b/>
                <w:bCs/>
                <w:sz w:val="24"/>
                <w:szCs w:val="24"/>
              </w:rPr>
            </w:pPr>
            <w:r>
              <w:rPr>
                <w:rFonts w:ascii="Arial" w:hAnsi="Arial" w:cs="Arial"/>
                <w:b/>
                <w:bCs/>
                <w:sz w:val="24"/>
                <w:szCs w:val="24"/>
              </w:rPr>
              <w:t>Dignity in Care event</w:t>
            </w:r>
          </w:p>
          <w:p w:rsidR="000B2947" w:rsidRPr="009D2F5A" w:rsidRDefault="00087272" w:rsidP="004D7E50">
            <w:pPr>
              <w:jc w:val="both"/>
              <w:rPr>
                <w:rFonts w:ascii="Arial" w:hAnsi="Arial" w:cs="Arial"/>
                <w:bCs/>
                <w:sz w:val="24"/>
                <w:szCs w:val="24"/>
              </w:rPr>
            </w:pPr>
            <w:r>
              <w:rPr>
                <w:rFonts w:ascii="Arial" w:hAnsi="Arial" w:cs="Arial"/>
                <w:bCs/>
                <w:sz w:val="24"/>
                <w:szCs w:val="24"/>
              </w:rPr>
              <w:t xml:space="preserve">Discuss proposal for whole system event on Dignity in Care with </w:t>
            </w:r>
            <w:r w:rsidRPr="00087272">
              <w:rPr>
                <w:rFonts w:ascii="Arial" w:hAnsi="Arial" w:cs="Arial"/>
                <w:bCs/>
                <w:sz w:val="24"/>
                <w:szCs w:val="24"/>
              </w:rPr>
              <w:t>the Director of Quality and Innovation at the Oxfordshire Clinical Commissioning Group</w:t>
            </w:r>
            <w:r>
              <w:rPr>
                <w:rFonts w:ascii="Arial" w:hAnsi="Arial" w:cs="Arial"/>
                <w:bCs/>
                <w:sz w:val="24"/>
                <w:szCs w:val="24"/>
              </w:rPr>
              <w:t xml:space="preserve">.  </w:t>
            </w:r>
          </w:p>
        </w:tc>
        <w:tc>
          <w:tcPr>
            <w:tcW w:w="2286" w:type="dxa"/>
            <w:shd w:val="clear" w:color="auto" w:fill="auto"/>
          </w:tcPr>
          <w:p w:rsidR="000B2947" w:rsidRPr="009D2F5A" w:rsidRDefault="000B2947" w:rsidP="000B2947">
            <w:pPr>
              <w:keepNext/>
              <w:keepLines/>
              <w:jc w:val="center"/>
              <w:rPr>
                <w:rFonts w:ascii="Arial" w:hAnsi="Arial" w:cs="Arial"/>
                <w:sz w:val="24"/>
                <w:szCs w:val="24"/>
              </w:rPr>
            </w:pPr>
          </w:p>
          <w:p w:rsidR="000B2947" w:rsidRPr="009D2F5A" w:rsidRDefault="002D6A88" w:rsidP="000B2947">
            <w:pPr>
              <w:keepNext/>
              <w:keepLines/>
              <w:jc w:val="center"/>
              <w:rPr>
                <w:rFonts w:ascii="Arial" w:hAnsi="Arial" w:cs="Arial"/>
                <w:sz w:val="24"/>
                <w:szCs w:val="24"/>
              </w:rPr>
            </w:pPr>
            <w:r>
              <w:rPr>
                <w:rFonts w:ascii="Arial" w:hAnsi="Arial" w:cs="Arial"/>
                <w:sz w:val="24"/>
                <w:szCs w:val="24"/>
              </w:rPr>
              <w:t>RA</w:t>
            </w:r>
          </w:p>
          <w:p w:rsidR="000B2947" w:rsidRPr="009D2F5A" w:rsidRDefault="000B2947" w:rsidP="000B2947">
            <w:pPr>
              <w:keepNext/>
              <w:keepLines/>
              <w:jc w:val="center"/>
              <w:rPr>
                <w:rFonts w:ascii="Arial" w:hAnsi="Arial" w:cs="Arial"/>
                <w:sz w:val="24"/>
                <w:szCs w:val="24"/>
              </w:rPr>
            </w:pPr>
          </w:p>
        </w:tc>
      </w:tr>
      <w:tr w:rsidR="00087272" w:rsidRPr="00E367B7" w:rsidTr="00D8125D">
        <w:trPr>
          <w:trHeight w:val="1340"/>
        </w:trPr>
        <w:tc>
          <w:tcPr>
            <w:tcW w:w="2197" w:type="dxa"/>
            <w:shd w:val="clear" w:color="auto" w:fill="auto"/>
          </w:tcPr>
          <w:p w:rsidR="00087272" w:rsidRDefault="00087272" w:rsidP="00AC76AD">
            <w:pPr>
              <w:keepNext/>
              <w:keepLines/>
              <w:jc w:val="center"/>
              <w:rPr>
                <w:rFonts w:ascii="Arial" w:hAnsi="Arial" w:cs="Arial"/>
                <w:sz w:val="24"/>
                <w:szCs w:val="24"/>
              </w:rPr>
            </w:pPr>
          </w:p>
          <w:p w:rsidR="0073197C" w:rsidRPr="009D2F5A" w:rsidRDefault="0073197C" w:rsidP="00AC76AD">
            <w:pPr>
              <w:keepNext/>
              <w:keepLines/>
              <w:jc w:val="center"/>
              <w:rPr>
                <w:rFonts w:ascii="Arial" w:hAnsi="Arial" w:cs="Arial"/>
                <w:sz w:val="24"/>
                <w:szCs w:val="24"/>
              </w:rPr>
            </w:pPr>
            <w:r>
              <w:rPr>
                <w:rFonts w:ascii="Arial" w:hAnsi="Arial" w:cs="Arial"/>
                <w:sz w:val="24"/>
                <w:szCs w:val="24"/>
              </w:rPr>
              <w:t>BOD 117/13 (d)</w:t>
            </w:r>
          </w:p>
        </w:tc>
        <w:tc>
          <w:tcPr>
            <w:tcW w:w="8351" w:type="dxa"/>
          </w:tcPr>
          <w:p w:rsidR="00087272" w:rsidRDefault="009D23DA" w:rsidP="004D7E50">
            <w:pPr>
              <w:jc w:val="both"/>
              <w:rPr>
                <w:rFonts w:ascii="Arial" w:hAnsi="Arial" w:cs="Arial"/>
                <w:bCs/>
                <w:sz w:val="24"/>
                <w:szCs w:val="24"/>
              </w:rPr>
            </w:pPr>
            <w:r>
              <w:rPr>
                <w:rFonts w:ascii="Arial" w:hAnsi="Arial" w:cs="Arial"/>
                <w:b/>
                <w:bCs/>
                <w:sz w:val="24"/>
                <w:szCs w:val="24"/>
              </w:rPr>
              <w:t>Care Programme Approach (CPA)</w:t>
            </w:r>
          </w:p>
          <w:p w:rsidR="009D23DA" w:rsidRPr="009D23DA" w:rsidRDefault="009D23DA" w:rsidP="004D7E50">
            <w:pPr>
              <w:jc w:val="both"/>
              <w:rPr>
                <w:rFonts w:ascii="Arial" w:hAnsi="Arial" w:cs="Arial"/>
                <w:bCs/>
                <w:sz w:val="24"/>
                <w:szCs w:val="24"/>
              </w:rPr>
            </w:pPr>
            <w:r>
              <w:rPr>
                <w:rFonts w:ascii="Arial" w:hAnsi="Arial" w:cs="Arial"/>
                <w:bCs/>
                <w:sz w:val="24"/>
                <w:szCs w:val="24"/>
              </w:rPr>
              <w:t xml:space="preserve">For future Quality &amp; Safety reports, include assurance that the system to record CPA results is operating effectively and meaningfully and that CPA being achieved to meet targets for patients. </w:t>
            </w:r>
          </w:p>
        </w:tc>
        <w:tc>
          <w:tcPr>
            <w:tcW w:w="2286" w:type="dxa"/>
            <w:shd w:val="clear" w:color="auto" w:fill="auto"/>
          </w:tcPr>
          <w:p w:rsidR="00087272" w:rsidRDefault="00087272" w:rsidP="000B2947">
            <w:pPr>
              <w:keepNext/>
              <w:keepLines/>
              <w:jc w:val="center"/>
              <w:rPr>
                <w:rFonts w:ascii="Arial" w:hAnsi="Arial" w:cs="Arial"/>
                <w:sz w:val="24"/>
                <w:szCs w:val="24"/>
              </w:rPr>
            </w:pPr>
          </w:p>
          <w:p w:rsidR="009D23DA" w:rsidRPr="009D2F5A" w:rsidRDefault="009D23DA" w:rsidP="000B2947">
            <w:pPr>
              <w:keepNext/>
              <w:keepLines/>
              <w:jc w:val="center"/>
              <w:rPr>
                <w:rFonts w:ascii="Arial" w:hAnsi="Arial" w:cs="Arial"/>
                <w:sz w:val="24"/>
                <w:szCs w:val="24"/>
              </w:rPr>
            </w:pPr>
            <w:r>
              <w:rPr>
                <w:rFonts w:ascii="Arial" w:hAnsi="Arial" w:cs="Arial"/>
                <w:sz w:val="24"/>
                <w:szCs w:val="24"/>
              </w:rPr>
              <w:t>RA</w:t>
            </w:r>
          </w:p>
        </w:tc>
      </w:tr>
      <w:tr w:rsidR="00087272" w:rsidRPr="00E367B7" w:rsidTr="00D8125D">
        <w:trPr>
          <w:trHeight w:val="1340"/>
        </w:trPr>
        <w:tc>
          <w:tcPr>
            <w:tcW w:w="2197" w:type="dxa"/>
            <w:shd w:val="clear" w:color="auto" w:fill="auto"/>
          </w:tcPr>
          <w:p w:rsidR="00087272" w:rsidRDefault="00087272" w:rsidP="00AC76AD">
            <w:pPr>
              <w:keepNext/>
              <w:keepLines/>
              <w:jc w:val="center"/>
              <w:rPr>
                <w:rFonts w:ascii="Arial" w:hAnsi="Arial" w:cs="Arial"/>
                <w:sz w:val="24"/>
                <w:szCs w:val="24"/>
              </w:rPr>
            </w:pPr>
          </w:p>
          <w:p w:rsidR="00774CB7" w:rsidRPr="009D2F5A" w:rsidRDefault="00774CB7" w:rsidP="00AC76AD">
            <w:pPr>
              <w:keepNext/>
              <w:keepLines/>
              <w:jc w:val="center"/>
              <w:rPr>
                <w:rFonts w:ascii="Arial" w:hAnsi="Arial" w:cs="Arial"/>
                <w:sz w:val="24"/>
                <w:szCs w:val="24"/>
              </w:rPr>
            </w:pPr>
            <w:r>
              <w:rPr>
                <w:rFonts w:ascii="Arial" w:hAnsi="Arial" w:cs="Arial"/>
                <w:sz w:val="24"/>
                <w:szCs w:val="24"/>
              </w:rPr>
              <w:t>BOD 118/13 (c)</w:t>
            </w:r>
          </w:p>
        </w:tc>
        <w:tc>
          <w:tcPr>
            <w:tcW w:w="8351" w:type="dxa"/>
          </w:tcPr>
          <w:p w:rsidR="00087272" w:rsidRDefault="00774CB7" w:rsidP="004D7E50">
            <w:pPr>
              <w:jc w:val="both"/>
              <w:rPr>
                <w:rFonts w:ascii="Arial" w:hAnsi="Arial" w:cs="Arial"/>
                <w:bCs/>
                <w:sz w:val="24"/>
                <w:szCs w:val="24"/>
              </w:rPr>
            </w:pPr>
            <w:r>
              <w:rPr>
                <w:rFonts w:ascii="Arial" w:hAnsi="Arial" w:cs="Arial"/>
                <w:b/>
                <w:bCs/>
                <w:sz w:val="24"/>
                <w:szCs w:val="24"/>
              </w:rPr>
              <w:t xml:space="preserve">Berwick recommendations </w:t>
            </w:r>
            <w:r w:rsidR="005F3233">
              <w:rPr>
                <w:rFonts w:ascii="Arial" w:hAnsi="Arial" w:cs="Arial"/>
                <w:b/>
                <w:bCs/>
                <w:sz w:val="24"/>
                <w:szCs w:val="24"/>
              </w:rPr>
              <w:t>– Board agendas and Seminar programme</w:t>
            </w:r>
          </w:p>
          <w:p w:rsidR="00774CB7" w:rsidRPr="00774CB7" w:rsidRDefault="00774CB7" w:rsidP="004D7E50">
            <w:pPr>
              <w:jc w:val="both"/>
              <w:rPr>
                <w:rFonts w:ascii="Arial" w:hAnsi="Arial" w:cs="Arial"/>
                <w:bCs/>
                <w:sz w:val="24"/>
                <w:szCs w:val="24"/>
              </w:rPr>
            </w:pPr>
            <w:r>
              <w:rPr>
                <w:rFonts w:ascii="Arial" w:hAnsi="Arial" w:cs="Arial"/>
                <w:bCs/>
                <w:sz w:val="24"/>
                <w:szCs w:val="24"/>
              </w:rPr>
              <w:t xml:space="preserve">Board agendas and, in particular, the Board Seminar programme to use Berwick categories or headings as a framework. </w:t>
            </w:r>
          </w:p>
        </w:tc>
        <w:tc>
          <w:tcPr>
            <w:tcW w:w="2286" w:type="dxa"/>
            <w:shd w:val="clear" w:color="auto" w:fill="auto"/>
          </w:tcPr>
          <w:p w:rsidR="00087272" w:rsidRDefault="00087272" w:rsidP="000B2947">
            <w:pPr>
              <w:keepNext/>
              <w:keepLines/>
              <w:jc w:val="center"/>
              <w:rPr>
                <w:rFonts w:ascii="Arial" w:hAnsi="Arial" w:cs="Arial"/>
                <w:sz w:val="24"/>
                <w:szCs w:val="24"/>
              </w:rPr>
            </w:pPr>
          </w:p>
          <w:p w:rsidR="00774CB7" w:rsidRPr="009D2F5A" w:rsidRDefault="00774CB7" w:rsidP="000B2947">
            <w:pPr>
              <w:keepNext/>
              <w:keepLines/>
              <w:jc w:val="center"/>
              <w:rPr>
                <w:rFonts w:ascii="Arial" w:hAnsi="Arial" w:cs="Arial"/>
                <w:sz w:val="24"/>
                <w:szCs w:val="24"/>
              </w:rPr>
            </w:pPr>
            <w:r>
              <w:rPr>
                <w:rFonts w:ascii="Arial" w:hAnsi="Arial" w:cs="Arial"/>
                <w:sz w:val="24"/>
                <w:szCs w:val="24"/>
              </w:rPr>
              <w:t>SB/JCH</w:t>
            </w:r>
          </w:p>
        </w:tc>
      </w:tr>
      <w:tr w:rsidR="00087272" w:rsidRPr="00E367B7" w:rsidTr="00D8125D">
        <w:trPr>
          <w:trHeight w:val="1340"/>
        </w:trPr>
        <w:tc>
          <w:tcPr>
            <w:tcW w:w="2197" w:type="dxa"/>
            <w:shd w:val="clear" w:color="auto" w:fill="auto"/>
          </w:tcPr>
          <w:p w:rsidR="00087272" w:rsidRDefault="00087272" w:rsidP="00AC76AD">
            <w:pPr>
              <w:keepNext/>
              <w:keepLines/>
              <w:jc w:val="center"/>
              <w:rPr>
                <w:rFonts w:ascii="Arial" w:hAnsi="Arial" w:cs="Arial"/>
                <w:sz w:val="24"/>
                <w:szCs w:val="24"/>
              </w:rPr>
            </w:pPr>
          </w:p>
          <w:p w:rsidR="00774CB7" w:rsidRPr="009D2F5A" w:rsidRDefault="00774CB7" w:rsidP="00AC76AD">
            <w:pPr>
              <w:keepNext/>
              <w:keepLines/>
              <w:jc w:val="center"/>
              <w:rPr>
                <w:rFonts w:ascii="Arial" w:hAnsi="Arial" w:cs="Arial"/>
                <w:sz w:val="24"/>
                <w:szCs w:val="24"/>
              </w:rPr>
            </w:pPr>
            <w:r>
              <w:rPr>
                <w:rFonts w:ascii="Arial" w:hAnsi="Arial" w:cs="Arial"/>
                <w:sz w:val="24"/>
                <w:szCs w:val="24"/>
              </w:rPr>
              <w:t>BOD 118/13 (e)</w:t>
            </w:r>
          </w:p>
        </w:tc>
        <w:tc>
          <w:tcPr>
            <w:tcW w:w="8351" w:type="dxa"/>
          </w:tcPr>
          <w:p w:rsidR="00087272" w:rsidRDefault="00774CB7" w:rsidP="004D7E50">
            <w:pPr>
              <w:jc w:val="both"/>
              <w:rPr>
                <w:rFonts w:ascii="Arial" w:hAnsi="Arial" w:cs="Arial"/>
                <w:bCs/>
                <w:sz w:val="24"/>
                <w:szCs w:val="24"/>
              </w:rPr>
            </w:pPr>
            <w:r>
              <w:rPr>
                <w:rFonts w:ascii="Arial" w:hAnsi="Arial" w:cs="Arial"/>
                <w:b/>
                <w:bCs/>
                <w:sz w:val="24"/>
                <w:szCs w:val="24"/>
              </w:rPr>
              <w:t>Staff Development Strategy</w:t>
            </w:r>
          </w:p>
          <w:p w:rsidR="00774CB7" w:rsidRPr="00774CB7" w:rsidRDefault="00774CB7" w:rsidP="004D7E50">
            <w:pPr>
              <w:jc w:val="both"/>
              <w:rPr>
                <w:rFonts w:ascii="Arial" w:hAnsi="Arial" w:cs="Arial"/>
                <w:bCs/>
                <w:sz w:val="24"/>
                <w:szCs w:val="24"/>
              </w:rPr>
            </w:pPr>
            <w:r>
              <w:rPr>
                <w:rFonts w:ascii="Arial" w:hAnsi="Arial" w:cs="Arial"/>
                <w:bCs/>
                <w:sz w:val="24"/>
                <w:szCs w:val="24"/>
              </w:rPr>
              <w:t>Update Board on progress on the Staff Development Strategy in 2-3 months, potentially through a Board seminar.</w:t>
            </w:r>
          </w:p>
        </w:tc>
        <w:tc>
          <w:tcPr>
            <w:tcW w:w="2286" w:type="dxa"/>
            <w:shd w:val="clear" w:color="auto" w:fill="auto"/>
          </w:tcPr>
          <w:p w:rsidR="00087272" w:rsidRDefault="00087272" w:rsidP="000B2947">
            <w:pPr>
              <w:keepNext/>
              <w:keepLines/>
              <w:jc w:val="center"/>
              <w:rPr>
                <w:rFonts w:ascii="Arial" w:hAnsi="Arial" w:cs="Arial"/>
                <w:sz w:val="24"/>
                <w:szCs w:val="24"/>
              </w:rPr>
            </w:pPr>
          </w:p>
          <w:p w:rsidR="00774CB7" w:rsidRPr="009D2F5A" w:rsidRDefault="00774CB7" w:rsidP="000B2947">
            <w:pPr>
              <w:keepNext/>
              <w:keepLines/>
              <w:jc w:val="center"/>
              <w:rPr>
                <w:rFonts w:ascii="Arial" w:hAnsi="Arial" w:cs="Arial"/>
                <w:sz w:val="24"/>
                <w:szCs w:val="24"/>
              </w:rPr>
            </w:pPr>
            <w:r>
              <w:rPr>
                <w:rFonts w:ascii="Arial" w:hAnsi="Arial" w:cs="Arial"/>
                <w:sz w:val="24"/>
                <w:szCs w:val="24"/>
              </w:rPr>
              <w:t>YT</w:t>
            </w:r>
          </w:p>
        </w:tc>
      </w:tr>
      <w:tr w:rsidR="00087272" w:rsidRPr="00E367B7" w:rsidTr="00D8125D">
        <w:trPr>
          <w:trHeight w:val="1340"/>
        </w:trPr>
        <w:tc>
          <w:tcPr>
            <w:tcW w:w="2197" w:type="dxa"/>
            <w:shd w:val="clear" w:color="auto" w:fill="auto"/>
          </w:tcPr>
          <w:p w:rsidR="00087272" w:rsidRDefault="00087272" w:rsidP="00AC76AD">
            <w:pPr>
              <w:keepNext/>
              <w:keepLines/>
              <w:jc w:val="center"/>
              <w:rPr>
                <w:rFonts w:ascii="Arial" w:hAnsi="Arial" w:cs="Arial"/>
                <w:sz w:val="24"/>
                <w:szCs w:val="24"/>
              </w:rPr>
            </w:pPr>
          </w:p>
          <w:p w:rsidR="00774CB7" w:rsidRPr="009D2F5A" w:rsidRDefault="00774CB7" w:rsidP="00AC76AD">
            <w:pPr>
              <w:keepNext/>
              <w:keepLines/>
              <w:jc w:val="center"/>
              <w:rPr>
                <w:rFonts w:ascii="Arial" w:hAnsi="Arial" w:cs="Arial"/>
                <w:sz w:val="24"/>
                <w:szCs w:val="24"/>
              </w:rPr>
            </w:pPr>
            <w:r>
              <w:rPr>
                <w:rFonts w:ascii="Arial" w:hAnsi="Arial" w:cs="Arial"/>
                <w:sz w:val="24"/>
                <w:szCs w:val="24"/>
              </w:rPr>
              <w:t>BOD 119/13 (c)</w:t>
            </w:r>
          </w:p>
        </w:tc>
        <w:tc>
          <w:tcPr>
            <w:tcW w:w="8351" w:type="dxa"/>
          </w:tcPr>
          <w:p w:rsidR="00087272" w:rsidRDefault="00774CB7" w:rsidP="004D7E50">
            <w:pPr>
              <w:jc w:val="both"/>
              <w:rPr>
                <w:rFonts w:ascii="Arial" w:hAnsi="Arial" w:cs="Arial"/>
                <w:bCs/>
                <w:sz w:val="24"/>
                <w:szCs w:val="24"/>
              </w:rPr>
            </w:pPr>
            <w:r>
              <w:rPr>
                <w:rFonts w:ascii="Arial" w:hAnsi="Arial" w:cs="Arial"/>
                <w:b/>
                <w:bCs/>
                <w:sz w:val="24"/>
                <w:szCs w:val="24"/>
              </w:rPr>
              <w:t>National rankings for NHS Trust participating in CQC Community Mental Health Service User Survey 2012</w:t>
            </w:r>
          </w:p>
          <w:p w:rsidR="00774CB7" w:rsidRPr="00774CB7" w:rsidRDefault="00774CB7" w:rsidP="004D7E50">
            <w:pPr>
              <w:jc w:val="both"/>
              <w:rPr>
                <w:rFonts w:ascii="Arial" w:hAnsi="Arial" w:cs="Arial"/>
                <w:bCs/>
                <w:sz w:val="24"/>
                <w:szCs w:val="24"/>
              </w:rPr>
            </w:pPr>
            <w:r>
              <w:rPr>
                <w:rFonts w:ascii="Arial" w:hAnsi="Arial" w:cs="Arial"/>
                <w:bCs/>
                <w:sz w:val="24"/>
                <w:szCs w:val="24"/>
              </w:rPr>
              <w:t xml:space="preserve">Investigate and circulate any available figures on national rankings for NHS Trusts participating in the survey. </w:t>
            </w:r>
          </w:p>
        </w:tc>
        <w:tc>
          <w:tcPr>
            <w:tcW w:w="2286" w:type="dxa"/>
            <w:shd w:val="clear" w:color="auto" w:fill="auto"/>
          </w:tcPr>
          <w:p w:rsidR="00087272" w:rsidRDefault="00087272" w:rsidP="000B2947">
            <w:pPr>
              <w:keepNext/>
              <w:keepLines/>
              <w:jc w:val="center"/>
              <w:rPr>
                <w:rFonts w:ascii="Arial" w:hAnsi="Arial" w:cs="Arial"/>
                <w:sz w:val="24"/>
                <w:szCs w:val="24"/>
              </w:rPr>
            </w:pPr>
          </w:p>
          <w:p w:rsidR="00774CB7" w:rsidRPr="009D2F5A" w:rsidRDefault="00774CB7" w:rsidP="000B2947">
            <w:pPr>
              <w:keepNext/>
              <w:keepLines/>
              <w:jc w:val="center"/>
              <w:rPr>
                <w:rFonts w:ascii="Arial" w:hAnsi="Arial" w:cs="Arial"/>
                <w:sz w:val="24"/>
                <w:szCs w:val="24"/>
              </w:rPr>
            </w:pPr>
            <w:r>
              <w:rPr>
                <w:rFonts w:ascii="Arial" w:hAnsi="Arial" w:cs="Arial"/>
                <w:sz w:val="24"/>
                <w:szCs w:val="24"/>
              </w:rPr>
              <w:t>RA</w:t>
            </w:r>
          </w:p>
        </w:tc>
      </w:tr>
      <w:tr w:rsidR="00087272" w:rsidRPr="00E367B7" w:rsidTr="00D8125D">
        <w:trPr>
          <w:trHeight w:val="1340"/>
        </w:trPr>
        <w:tc>
          <w:tcPr>
            <w:tcW w:w="2197" w:type="dxa"/>
            <w:shd w:val="clear" w:color="auto" w:fill="auto"/>
          </w:tcPr>
          <w:p w:rsidR="00087272" w:rsidRDefault="00087272" w:rsidP="00AC76AD">
            <w:pPr>
              <w:keepNext/>
              <w:keepLines/>
              <w:jc w:val="center"/>
              <w:rPr>
                <w:rFonts w:ascii="Arial" w:hAnsi="Arial" w:cs="Arial"/>
                <w:sz w:val="24"/>
                <w:szCs w:val="24"/>
              </w:rPr>
            </w:pPr>
          </w:p>
          <w:p w:rsidR="00774CB7" w:rsidRPr="009D2F5A" w:rsidRDefault="00774CB7" w:rsidP="00AC76AD">
            <w:pPr>
              <w:keepNext/>
              <w:keepLines/>
              <w:jc w:val="center"/>
              <w:rPr>
                <w:rFonts w:ascii="Arial" w:hAnsi="Arial" w:cs="Arial"/>
                <w:sz w:val="24"/>
                <w:szCs w:val="24"/>
              </w:rPr>
            </w:pPr>
            <w:r>
              <w:rPr>
                <w:rFonts w:ascii="Arial" w:hAnsi="Arial" w:cs="Arial"/>
                <w:sz w:val="24"/>
                <w:szCs w:val="24"/>
              </w:rPr>
              <w:t>BOD 119/13 (f)</w:t>
            </w:r>
          </w:p>
        </w:tc>
        <w:tc>
          <w:tcPr>
            <w:tcW w:w="8351" w:type="dxa"/>
          </w:tcPr>
          <w:p w:rsidR="00087272" w:rsidRDefault="00774CB7" w:rsidP="004D7E50">
            <w:pPr>
              <w:jc w:val="both"/>
              <w:rPr>
                <w:rFonts w:ascii="Arial" w:hAnsi="Arial" w:cs="Arial"/>
                <w:bCs/>
                <w:sz w:val="24"/>
                <w:szCs w:val="24"/>
              </w:rPr>
            </w:pPr>
            <w:r>
              <w:rPr>
                <w:rFonts w:ascii="Arial" w:hAnsi="Arial" w:cs="Arial"/>
                <w:b/>
                <w:bCs/>
                <w:sz w:val="24"/>
                <w:szCs w:val="24"/>
              </w:rPr>
              <w:t>Friends and Family Test – Net Promoter Scores</w:t>
            </w:r>
          </w:p>
          <w:p w:rsidR="00774CB7" w:rsidRPr="00774CB7" w:rsidRDefault="00774CB7" w:rsidP="004D7E50">
            <w:pPr>
              <w:jc w:val="both"/>
              <w:rPr>
                <w:rFonts w:ascii="Arial" w:hAnsi="Arial" w:cs="Arial"/>
                <w:bCs/>
                <w:sz w:val="24"/>
                <w:szCs w:val="24"/>
              </w:rPr>
            </w:pPr>
            <w:r>
              <w:rPr>
                <w:rFonts w:ascii="Arial" w:hAnsi="Arial" w:cs="Arial"/>
                <w:bCs/>
                <w:sz w:val="24"/>
                <w:szCs w:val="24"/>
              </w:rPr>
              <w:t xml:space="preserve">Confirm why Minor Injury Units’ Net Promoter Scores had decreased from 80 in May 2013 to 49 in June and July 2013. </w:t>
            </w:r>
          </w:p>
        </w:tc>
        <w:tc>
          <w:tcPr>
            <w:tcW w:w="2286" w:type="dxa"/>
            <w:shd w:val="clear" w:color="auto" w:fill="auto"/>
          </w:tcPr>
          <w:p w:rsidR="00087272" w:rsidRDefault="00087272" w:rsidP="000B2947">
            <w:pPr>
              <w:keepNext/>
              <w:keepLines/>
              <w:jc w:val="center"/>
              <w:rPr>
                <w:rFonts w:ascii="Arial" w:hAnsi="Arial" w:cs="Arial"/>
                <w:sz w:val="24"/>
                <w:szCs w:val="24"/>
              </w:rPr>
            </w:pPr>
          </w:p>
          <w:p w:rsidR="00774CB7" w:rsidRPr="009D2F5A" w:rsidRDefault="00774CB7" w:rsidP="000B2947">
            <w:pPr>
              <w:keepNext/>
              <w:keepLines/>
              <w:jc w:val="center"/>
              <w:rPr>
                <w:rFonts w:ascii="Arial" w:hAnsi="Arial" w:cs="Arial"/>
                <w:sz w:val="24"/>
                <w:szCs w:val="24"/>
              </w:rPr>
            </w:pPr>
            <w:r>
              <w:rPr>
                <w:rFonts w:ascii="Arial" w:hAnsi="Arial" w:cs="Arial"/>
                <w:sz w:val="24"/>
                <w:szCs w:val="24"/>
              </w:rPr>
              <w:t>RA</w:t>
            </w:r>
          </w:p>
        </w:tc>
      </w:tr>
      <w:tr w:rsidR="00087272" w:rsidRPr="00E367B7" w:rsidTr="00D8125D">
        <w:trPr>
          <w:trHeight w:val="1340"/>
        </w:trPr>
        <w:tc>
          <w:tcPr>
            <w:tcW w:w="2197" w:type="dxa"/>
            <w:shd w:val="clear" w:color="auto" w:fill="auto"/>
          </w:tcPr>
          <w:p w:rsidR="00087272" w:rsidRDefault="00087272" w:rsidP="00AC76AD">
            <w:pPr>
              <w:keepNext/>
              <w:keepLines/>
              <w:jc w:val="center"/>
              <w:rPr>
                <w:rFonts w:ascii="Arial" w:hAnsi="Arial" w:cs="Arial"/>
                <w:sz w:val="24"/>
                <w:szCs w:val="24"/>
              </w:rPr>
            </w:pPr>
          </w:p>
          <w:p w:rsidR="0059202C" w:rsidRPr="009D2F5A" w:rsidRDefault="0059202C" w:rsidP="00AC76AD">
            <w:pPr>
              <w:keepNext/>
              <w:keepLines/>
              <w:jc w:val="center"/>
              <w:rPr>
                <w:rFonts w:ascii="Arial" w:hAnsi="Arial" w:cs="Arial"/>
                <w:sz w:val="24"/>
                <w:szCs w:val="24"/>
              </w:rPr>
            </w:pPr>
            <w:r>
              <w:rPr>
                <w:rFonts w:ascii="Arial" w:hAnsi="Arial" w:cs="Arial"/>
                <w:sz w:val="24"/>
                <w:szCs w:val="24"/>
              </w:rPr>
              <w:t>BOD 119/13 (</w:t>
            </w:r>
            <w:proofErr w:type="spellStart"/>
            <w:r>
              <w:rPr>
                <w:rFonts w:ascii="Arial" w:hAnsi="Arial" w:cs="Arial"/>
                <w:sz w:val="24"/>
                <w:szCs w:val="24"/>
              </w:rPr>
              <w:t>i</w:t>
            </w:r>
            <w:proofErr w:type="spellEnd"/>
            <w:r>
              <w:rPr>
                <w:rFonts w:ascii="Arial" w:hAnsi="Arial" w:cs="Arial"/>
                <w:sz w:val="24"/>
                <w:szCs w:val="24"/>
              </w:rPr>
              <w:t>)</w:t>
            </w:r>
          </w:p>
        </w:tc>
        <w:tc>
          <w:tcPr>
            <w:tcW w:w="8351" w:type="dxa"/>
          </w:tcPr>
          <w:p w:rsidR="00087272" w:rsidRDefault="0059202C" w:rsidP="004D7E50">
            <w:pPr>
              <w:jc w:val="both"/>
              <w:rPr>
                <w:rFonts w:ascii="Arial" w:hAnsi="Arial" w:cs="Arial"/>
                <w:bCs/>
                <w:sz w:val="24"/>
                <w:szCs w:val="24"/>
              </w:rPr>
            </w:pPr>
            <w:r>
              <w:rPr>
                <w:rFonts w:ascii="Arial" w:hAnsi="Arial" w:cs="Arial"/>
                <w:b/>
                <w:bCs/>
                <w:sz w:val="24"/>
                <w:szCs w:val="24"/>
              </w:rPr>
              <w:t>Complaints in the category of insufficient care in the community</w:t>
            </w:r>
          </w:p>
          <w:p w:rsidR="0059202C" w:rsidRPr="0059202C" w:rsidRDefault="0059202C" w:rsidP="004D7E50">
            <w:pPr>
              <w:jc w:val="both"/>
              <w:rPr>
                <w:rFonts w:ascii="Arial" w:hAnsi="Arial" w:cs="Arial"/>
                <w:bCs/>
                <w:sz w:val="24"/>
                <w:szCs w:val="24"/>
              </w:rPr>
            </w:pPr>
            <w:r>
              <w:rPr>
                <w:rFonts w:ascii="Arial" w:hAnsi="Arial" w:cs="Arial"/>
                <w:bCs/>
                <w:sz w:val="24"/>
                <w:szCs w:val="24"/>
              </w:rPr>
              <w:t>Circulate detail on the individual complaints within this category out-of-session.</w:t>
            </w:r>
          </w:p>
        </w:tc>
        <w:tc>
          <w:tcPr>
            <w:tcW w:w="2286" w:type="dxa"/>
            <w:shd w:val="clear" w:color="auto" w:fill="auto"/>
          </w:tcPr>
          <w:p w:rsidR="00087272" w:rsidRDefault="00087272" w:rsidP="000B2947">
            <w:pPr>
              <w:keepNext/>
              <w:keepLines/>
              <w:jc w:val="center"/>
              <w:rPr>
                <w:rFonts w:ascii="Arial" w:hAnsi="Arial" w:cs="Arial"/>
                <w:sz w:val="24"/>
                <w:szCs w:val="24"/>
              </w:rPr>
            </w:pPr>
          </w:p>
          <w:p w:rsidR="0059202C" w:rsidRPr="009D2F5A" w:rsidRDefault="0059202C" w:rsidP="000B2947">
            <w:pPr>
              <w:keepNext/>
              <w:keepLines/>
              <w:jc w:val="center"/>
              <w:rPr>
                <w:rFonts w:ascii="Arial" w:hAnsi="Arial" w:cs="Arial"/>
                <w:sz w:val="24"/>
                <w:szCs w:val="24"/>
              </w:rPr>
            </w:pPr>
            <w:r>
              <w:rPr>
                <w:rFonts w:ascii="Arial" w:hAnsi="Arial" w:cs="Arial"/>
                <w:sz w:val="24"/>
                <w:szCs w:val="24"/>
              </w:rPr>
              <w:t>RA</w:t>
            </w:r>
          </w:p>
        </w:tc>
      </w:tr>
      <w:tr w:rsidR="00087272" w:rsidRPr="00E367B7" w:rsidTr="00D8125D">
        <w:trPr>
          <w:trHeight w:val="1340"/>
        </w:trPr>
        <w:tc>
          <w:tcPr>
            <w:tcW w:w="2197" w:type="dxa"/>
            <w:shd w:val="clear" w:color="auto" w:fill="auto"/>
          </w:tcPr>
          <w:p w:rsidR="00087272" w:rsidRDefault="00087272" w:rsidP="00AC76AD">
            <w:pPr>
              <w:keepNext/>
              <w:keepLines/>
              <w:jc w:val="center"/>
              <w:rPr>
                <w:rFonts w:ascii="Arial" w:hAnsi="Arial" w:cs="Arial"/>
                <w:sz w:val="24"/>
                <w:szCs w:val="24"/>
              </w:rPr>
            </w:pPr>
          </w:p>
          <w:p w:rsidR="00E55CDA" w:rsidRPr="009D2F5A" w:rsidRDefault="00E55CDA" w:rsidP="00AC76AD">
            <w:pPr>
              <w:keepNext/>
              <w:keepLines/>
              <w:jc w:val="center"/>
              <w:rPr>
                <w:rFonts w:ascii="Arial" w:hAnsi="Arial" w:cs="Arial"/>
                <w:sz w:val="24"/>
                <w:szCs w:val="24"/>
              </w:rPr>
            </w:pPr>
            <w:r>
              <w:rPr>
                <w:rFonts w:ascii="Arial" w:hAnsi="Arial" w:cs="Arial"/>
                <w:sz w:val="24"/>
                <w:szCs w:val="24"/>
              </w:rPr>
              <w:t>BOD 119/13 (m)</w:t>
            </w:r>
          </w:p>
        </w:tc>
        <w:tc>
          <w:tcPr>
            <w:tcW w:w="8351" w:type="dxa"/>
          </w:tcPr>
          <w:p w:rsidR="00087272" w:rsidRDefault="00E55CDA" w:rsidP="004D7E50">
            <w:pPr>
              <w:jc w:val="both"/>
              <w:rPr>
                <w:rFonts w:ascii="Arial" w:hAnsi="Arial" w:cs="Arial"/>
                <w:bCs/>
                <w:sz w:val="24"/>
                <w:szCs w:val="24"/>
              </w:rPr>
            </w:pPr>
            <w:r>
              <w:rPr>
                <w:rFonts w:ascii="Arial" w:hAnsi="Arial" w:cs="Arial"/>
                <w:b/>
                <w:bCs/>
                <w:sz w:val="24"/>
                <w:szCs w:val="24"/>
              </w:rPr>
              <w:t xml:space="preserve">Patient experience driving change </w:t>
            </w:r>
          </w:p>
          <w:p w:rsidR="00E55CDA" w:rsidRPr="00E55CDA" w:rsidRDefault="00E55CDA" w:rsidP="004D7E50">
            <w:pPr>
              <w:jc w:val="both"/>
              <w:rPr>
                <w:rFonts w:ascii="Arial" w:hAnsi="Arial" w:cs="Arial"/>
                <w:bCs/>
                <w:sz w:val="24"/>
                <w:szCs w:val="24"/>
              </w:rPr>
            </w:pPr>
            <w:r>
              <w:rPr>
                <w:rFonts w:ascii="Arial" w:hAnsi="Arial" w:cs="Arial"/>
                <w:bCs/>
                <w:sz w:val="24"/>
                <w:szCs w:val="24"/>
              </w:rPr>
              <w:t xml:space="preserve">Future reporting to include examples of system change in response to patient experience feedback. </w:t>
            </w:r>
          </w:p>
        </w:tc>
        <w:tc>
          <w:tcPr>
            <w:tcW w:w="2286" w:type="dxa"/>
            <w:shd w:val="clear" w:color="auto" w:fill="auto"/>
          </w:tcPr>
          <w:p w:rsidR="00087272" w:rsidRDefault="00087272" w:rsidP="000B2947">
            <w:pPr>
              <w:keepNext/>
              <w:keepLines/>
              <w:jc w:val="center"/>
              <w:rPr>
                <w:rFonts w:ascii="Arial" w:hAnsi="Arial" w:cs="Arial"/>
                <w:sz w:val="24"/>
                <w:szCs w:val="24"/>
              </w:rPr>
            </w:pPr>
          </w:p>
          <w:p w:rsidR="00E55CDA" w:rsidRPr="009D2F5A" w:rsidRDefault="00E55CDA" w:rsidP="000B2947">
            <w:pPr>
              <w:keepNext/>
              <w:keepLines/>
              <w:jc w:val="center"/>
              <w:rPr>
                <w:rFonts w:ascii="Arial" w:hAnsi="Arial" w:cs="Arial"/>
                <w:sz w:val="24"/>
                <w:szCs w:val="24"/>
              </w:rPr>
            </w:pPr>
            <w:r>
              <w:rPr>
                <w:rFonts w:ascii="Arial" w:hAnsi="Arial" w:cs="Arial"/>
                <w:sz w:val="24"/>
                <w:szCs w:val="24"/>
              </w:rPr>
              <w:t>RA</w:t>
            </w:r>
          </w:p>
        </w:tc>
      </w:tr>
      <w:tr w:rsidR="00E55CDA" w:rsidRPr="00E367B7" w:rsidTr="00D8125D">
        <w:trPr>
          <w:trHeight w:val="1340"/>
        </w:trPr>
        <w:tc>
          <w:tcPr>
            <w:tcW w:w="2197" w:type="dxa"/>
            <w:shd w:val="clear" w:color="auto" w:fill="auto"/>
          </w:tcPr>
          <w:p w:rsidR="00E55CDA" w:rsidRDefault="00E55CDA" w:rsidP="00AC76AD">
            <w:pPr>
              <w:keepNext/>
              <w:keepLines/>
              <w:jc w:val="center"/>
              <w:rPr>
                <w:rFonts w:ascii="Arial" w:hAnsi="Arial" w:cs="Arial"/>
                <w:sz w:val="24"/>
                <w:szCs w:val="24"/>
              </w:rPr>
            </w:pPr>
          </w:p>
          <w:p w:rsidR="00E55CDA" w:rsidRPr="009D2F5A" w:rsidRDefault="00E55CDA" w:rsidP="00AC76AD">
            <w:pPr>
              <w:keepNext/>
              <w:keepLines/>
              <w:jc w:val="center"/>
              <w:rPr>
                <w:rFonts w:ascii="Arial" w:hAnsi="Arial" w:cs="Arial"/>
                <w:sz w:val="24"/>
                <w:szCs w:val="24"/>
              </w:rPr>
            </w:pPr>
            <w:r>
              <w:rPr>
                <w:rFonts w:ascii="Arial" w:hAnsi="Arial" w:cs="Arial"/>
                <w:sz w:val="24"/>
                <w:szCs w:val="24"/>
              </w:rPr>
              <w:t>BOD 119/13 (n</w:t>
            </w:r>
            <w:r>
              <w:rPr>
                <w:rFonts w:ascii="Arial" w:hAnsi="Arial" w:cs="Arial"/>
                <w:sz w:val="24"/>
                <w:szCs w:val="24"/>
              </w:rPr>
              <w:t>)</w:t>
            </w:r>
          </w:p>
        </w:tc>
        <w:tc>
          <w:tcPr>
            <w:tcW w:w="8351" w:type="dxa"/>
          </w:tcPr>
          <w:p w:rsidR="00E55CDA" w:rsidRDefault="00E55CDA" w:rsidP="004D7E50">
            <w:pPr>
              <w:jc w:val="both"/>
              <w:rPr>
                <w:rFonts w:ascii="Arial" w:hAnsi="Arial" w:cs="Arial"/>
                <w:bCs/>
                <w:sz w:val="24"/>
                <w:szCs w:val="24"/>
              </w:rPr>
            </w:pPr>
            <w:r>
              <w:rPr>
                <w:rFonts w:ascii="Arial" w:hAnsi="Arial" w:cs="Arial"/>
                <w:b/>
                <w:bCs/>
                <w:sz w:val="24"/>
                <w:szCs w:val="24"/>
              </w:rPr>
              <w:t>Patient Experience Strategy</w:t>
            </w:r>
          </w:p>
          <w:p w:rsidR="00E55CDA" w:rsidRPr="00E55CDA" w:rsidRDefault="00E55CDA" w:rsidP="004D7E50">
            <w:pPr>
              <w:jc w:val="both"/>
              <w:rPr>
                <w:rFonts w:ascii="Arial" w:hAnsi="Arial" w:cs="Arial"/>
                <w:bCs/>
                <w:sz w:val="24"/>
                <w:szCs w:val="24"/>
              </w:rPr>
            </w:pPr>
            <w:r>
              <w:rPr>
                <w:rFonts w:ascii="Arial" w:hAnsi="Arial" w:cs="Arial"/>
                <w:bCs/>
                <w:sz w:val="24"/>
                <w:szCs w:val="24"/>
              </w:rPr>
              <w:t xml:space="preserve">Update the strategy to clarify the </w:t>
            </w:r>
            <w:r w:rsidRPr="00E55CDA">
              <w:rPr>
                <w:rFonts w:ascii="Arial" w:hAnsi="Arial" w:cs="Arial"/>
                <w:bCs/>
                <w:sz w:val="24"/>
                <w:szCs w:val="24"/>
              </w:rPr>
              <w:t xml:space="preserve">general framework and parameters the strategy operated within, potentially within the section on the implementation of the strategy.  </w:t>
            </w:r>
          </w:p>
        </w:tc>
        <w:tc>
          <w:tcPr>
            <w:tcW w:w="2286" w:type="dxa"/>
            <w:shd w:val="clear" w:color="auto" w:fill="auto"/>
          </w:tcPr>
          <w:p w:rsidR="00E55CDA" w:rsidRDefault="00E55CDA" w:rsidP="000B2947">
            <w:pPr>
              <w:keepNext/>
              <w:keepLines/>
              <w:jc w:val="center"/>
              <w:rPr>
                <w:rFonts w:ascii="Arial" w:hAnsi="Arial" w:cs="Arial"/>
                <w:sz w:val="24"/>
                <w:szCs w:val="24"/>
              </w:rPr>
            </w:pPr>
          </w:p>
          <w:p w:rsidR="00E55CDA" w:rsidRPr="009D2F5A" w:rsidRDefault="00E55CDA" w:rsidP="000B2947">
            <w:pPr>
              <w:keepNext/>
              <w:keepLines/>
              <w:jc w:val="center"/>
              <w:rPr>
                <w:rFonts w:ascii="Arial" w:hAnsi="Arial" w:cs="Arial"/>
                <w:sz w:val="24"/>
                <w:szCs w:val="24"/>
              </w:rPr>
            </w:pPr>
            <w:r>
              <w:rPr>
                <w:rFonts w:ascii="Arial" w:hAnsi="Arial" w:cs="Arial"/>
                <w:sz w:val="24"/>
                <w:szCs w:val="24"/>
              </w:rPr>
              <w:t>RA</w:t>
            </w:r>
          </w:p>
        </w:tc>
      </w:tr>
      <w:tr w:rsidR="00E55CDA" w:rsidRPr="00E367B7" w:rsidTr="00D8125D">
        <w:trPr>
          <w:trHeight w:val="1340"/>
        </w:trPr>
        <w:tc>
          <w:tcPr>
            <w:tcW w:w="2197" w:type="dxa"/>
            <w:shd w:val="clear" w:color="auto" w:fill="auto"/>
          </w:tcPr>
          <w:p w:rsidR="00E55CDA" w:rsidRDefault="00E55CDA" w:rsidP="00AC76AD">
            <w:pPr>
              <w:keepNext/>
              <w:keepLines/>
              <w:jc w:val="center"/>
              <w:rPr>
                <w:rFonts w:ascii="Arial" w:hAnsi="Arial" w:cs="Arial"/>
                <w:sz w:val="24"/>
                <w:szCs w:val="24"/>
              </w:rPr>
            </w:pPr>
          </w:p>
          <w:p w:rsidR="00E55CDA" w:rsidRPr="009D2F5A" w:rsidRDefault="00E55CDA" w:rsidP="00AC76AD">
            <w:pPr>
              <w:keepNext/>
              <w:keepLines/>
              <w:jc w:val="center"/>
              <w:rPr>
                <w:rFonts w:ascii="Arial" w:hAnsi="Arial" w:cs="Arial"/>
                <w:sz w:val="24"/>
                <w:szCs w:val="24"/>
              </w:rPr>
            </w:pPr>
            <w:r>
              <w:rPr>
                <w:rFonts w:ascii="Arial" w:hAnsi="Arial" w:cs="Arial"/>
                <w:sz w:val="24"/>
                <w:szCs w:val="24"/>
              </w:rPr>
              <w:t>BOD 120/13 (a)</w:t>
            </w:r>
          </w:p>
        </w:tc>
        <w:tc>
          <w:tcPr>
            <w:tcW w:w="8351" w:type="dxa"/>
          </w:tcPr>
          <w:p w:rsidR="00E55CDA" w:rsidRDefault="00E55CDA" w:rsidP="004D7E50">
            <w:pPr>
              <w:jc w:val="both"/>
              <w:rPr>
                <w:rFonts w:ascii="Arial" w:hAnsi="Arial" w:cs="Arial"/>
                <w:bCs/>
                <w:sz w:val="24"/>
                <w:szCs w:val="24"/>
              </w:rPr>
            </w:pPr>
            <w:r>
              <w:rPr>
                <w:rFonts w:ascii="Arial" w:hAnsi="Arial" w:cs="Arial"/>
                <w:b/>
                <w:bCs/>
                <w:sz w:val="24"/>
                <w:szCs w:val="24"/>
              </w:rPr>
              <w:t xml:space="preserve">Monitor year-end </w:t>
            </w:r>
            <w:proofErr w:type="spellStart"/>
            <w:r>
              <w:rPr>
                <w:rFonts w:ascii="Arial" w:hAnsi="Arial" w:cs="Arial"/>
                <w:b/>
                <w:bCs/>
                <w:i/>
                <w:sz w:val="24"/>
                <w:szCs w:val="24"/>
              </w:rPr>
              <w:t>CDiff</w:t>
            </w:r>
            <w:proofErr w:type="spellEnd"/>
            <w:r>
              <w:rPr>
                <w:rFonts w:ascii="Arial" w:hAnsi="Arial" w:cs="Arial"/>
                <w:b/>
                <w:bCs/>
                <w:i/>
                <w:sz w:val="24"/>
                <w:szCs w:val="24"/>
              </w:rPr>
              <w:t xml:space="preserve"> </w:t>
            </w:r>
            <w:r>
              <w:rPr>
                <w:rFonts w:ascii="Arial" w:hAnsi="Arial" w:cs="Arial"/>
                <w:b/>
                <w:bCs/>
                <w:sz w:val="24"/>
                <w:szCs w:val="24"/>
              </w:rPr>
              <w:t>target</w:t>
            </w:r>
          </w:p>
          <w:p w:rsidR="00E55CDA" w:rsidRPr="00E55CDA" w:rsidRDefault="00E55CDA" w:rsidP="004D7E50">
            <w:pPr>
              <w:jc w:val="both"/>
              <w:rPr>
                <w:rFonts w:ascii="Arial" w:hAnsi="Arial" w:cs="Arial"/>
                <w:bCs/>
                <w:sz w:val="24"/>
                <w:szCs w:val="24"/>
              </w:rPr>
            </w:pPr>
            <w:r>
              <w:rPr>
                <w:rFonts w:ascii="Arial" w:hAnsi="Arial" w:cs="Arial"/>
                <w:bCs/>
                <w:sz w:val="24"/>
                <w:szCs w:val="24"/>
              </w:rPr>
              <w:t xml:space="preserve">Confirm with Monitor whether a failure to meet target is to be reported if the year-end target has not yet been reached. </w:t>
            </w:r>
          </w:p>
        </w:tc>
        <w:tc>
          <w:tcPr>
            <w:tcW w:w="2286" w:type="dxa"/>
            <w:shd w:val="clear" w:color="auto" w:fill="auto"/>
          </w:tcPr>
          <w:p w:rsidR="00E55CDA" w:rsidRDefault="00E55CDA" w:rsidP="000B2947">
            <w:pPr>
              <w:keepNext/>
              <w:keepLines/>
              <w:jc w:val="center"/>
              <w:rPr>
                <w:rFonts w:ascii="Arial" w:hAnsi="Arial" w:cs="Arial"/>
                <w:sz w:val="24"/>
                <w:szCs w:val="24"/>
              </w:rPr>
            </w:pPr>
          </w:p>
          <w:p w:rsidR="00E55CDA" w:rsidRPr="009D2F5A" w:rsidRDefault="00E55CDA" w:rsidP="000B2947">
            <w:pPr>
              <w:keepNext/>
              <w:keepLines/>
              <w:jc w:val="center"/>
              <w:rPr>
                <w:rFonts w:ascii="Arial" w:hAnsi="Arial" w:cs="Arial"/>
                <w:sz w:val="24"/>
                <w:szCs w:val="24"/>
              </w:rPr>
            </w:pPr>
            <w:r>
              <w:rPr>
                <w:rFonts w:ascii="Arial" w:hAnsi="Arial" w:cs="Arial"/>
                <w:sz w:val="24"/>
                <w:szCs w:val="24"/>
              </w:rPr>
              <w:t>MME</w:t>
            </w:r>
          </w:p>
        </w:tc>
      </w:tr>
      <w:tr w:rsidR="00E55CDA" w:rsidRPr="00E367B7" w:rsidTr="00D8125D">
        <w:trPr>
          <w:trHeight w:val="1340"/>
        </w:trPr>
        <w:tc>
          <w:tcPr>
            <w:tcW w:w="2197" w:type="dxa"/>
            <w:shd w:val="clear" w:color="auto" w:fill="auto"/>
          </w:tcPr>
          <w:p w:rsidR="00E55CDA" w:rsidRDefault="00E55CDA" w:rsidP="00AC76AD">
            <w:pPr>
              <w:keepNext/>
              <w:keepLines/>
              <w:jc w:val="center"/>
              <w:rPr>
                <w:rFonts w:ascii="Arial" w:hAnsi="Arial" w:cs="Arial"/>
                <w:sz w:val="24"/>
                <w:szCs w:val="24"/>
              </w:rPr>
            </w:pPr>
          </w:p>
          <w:p w:rsidR="00E22C7A" w:rsidRPr="009D2F5A" w:rsidRDefault="00E22C7A" w:rsidP="00AC76AD">
            <w:pPr>
              <w:keepNext/>
              <w:keepLines/>
              <w:jc w:val="center"/>
              <w:rPr>
                <w:rFonts w:ascii="Arial" w:hAnsi="Arial" w:cs="Arial"/>
                <w:sz w:val="24"/>
                <w:szCs w:val="24"/>
              </w:rPr>
            </w:pPr>
            <w:r>
              <w:rPr>
                <w:rFonts w:ascii="Arial" w:hAnsi="Arial" w:cs="Arial"/>
                <w:sz w:val="24"/>
                <w:szCs w:val="24"/>
              </w:rPr>
              <w:t>BOD 120/13 (c)</w:t>
            </w:r>
          </w:p>
        </w:tc>
        <w:tc>
          <w:tcPr>
            <w:tcW w:w="8351" w:type="dxa"/>
          </w:tcPr>
          <w:p w:rsidR="00E55CDA" w:rsidRDefault="00E22C7A" w:rsidP="004D7E50">
            <w:pPr>
              <w:jc w:val="both"/>
              <w:rPr>
                <w:rFonts w:ascii="Arial" w:hAnsi="Arial" w:cs="Arial"/>
                <w:bCs/>
                <w:sz w:val="24"/>
                <w:szCs w:val="24"/>
              </w:rPr>
            </w:pPr>
            <w:r>
              <w:rPr>
                <w:rFonts w:ascii="Arial" w:hAnsi="Arial" w:cs="Arial"/>
                <w:b/>
                <w:bCs/>
                <w:sz w:val="24"/>
                <w:szCs w:val="24"/>
              </w:rPr>
              <w:t>CQUIN target relating to the NHS Safety Thermometer</w:t>
            </w:r>
          </w:p>
          <w:p w:rsidR="00E22C7A" w:rsidRPr="00E22C7A" w:rsidRDefault="00E22C7A" w:rsidP="004D7E50">
            <w:pPr>
              <w:jc w:val="both"/>
              <w:rPr>
                <w:rFonts w:ascii="Arial" w:hAnsi="Arial" w:cs="Arial"/>
                <w:bCs/>
                <w:sz w:val="24"/>
                <w:szCs w:val="24"/>
              </w:rPr>
            </w:pPr>
            <w:r>
              <w:rPr>
                <w:rFonts w:ascii="Arial" w:hAnsi="Arial" w:cs="Arial"/>
                <w:bCs/>
                <w:sz w:val="24"/>
                <w:szCs w:val="24"/>
              </w:rPr>
              <w:t xml:space="preserve">Discuss with NHS Foundation Trust Network the issue of treating patients with pressure ulcers which had not been caused whilst in Trust care and this activity counting against CQUIN targets.  Penalties should not be applied for providing treatment. </w:t>
            </w:r>
          </w:p>
        </w:tc>
        <w:tc>
          <w:tcPr>
            <w:tcW w:w="2286" w:type="dxa"/>
            <w:shd w:val="clear" w:color="auto" w:fill="auto"/>
          </w:tcPr>
          <w:p w:rsidR="00E55CDA" w:rsidRDefault="00E55CDA" w:rsidP="000B2947">
            <w:pPr>
              <w:keepNext/>
              <w:keepLines/>
              <w:jc w:val="center"/>
              <w:rPr>
                <w:rFonts w:ascii="Arial" w:hAnsi="Arial" w:cs="Arial"/>
                <w:sz w:val="24"/>
                <w:szCs w:val="24"/>
              </w:rPr>
            </w:pPr>
          </w:p>
          <w:p w:rsidR="00E22C7A" w:rsidRPr="009D2F5A" w:rsidRDefault="00E22C7A" w:rsidP="000B2947">
            <w:pPr>
              <w:keepNext/>
              <w:keepLines/>
              <w:jc w:val="center"/>
              <w:rPr>
                <w:rFonts w:ascii="Arial" w:hAnsi="Arial" w:cs="Arial"/>
                <w:sz w:val="24"/>
                <w:szCs w:val="24"/>
              </w:rPr>
            </w:pPr>
            <w:r>
              <w:rPr>
                <w:rFonts w:ascii="Arial" w:hAnsi="Arial" w:cs="Arial"/>
                <w:sz w:val="24"/>
                <w:szCs w:val="24"/>
              </w:rPr>
              <w:t>MH/SB</w:t>
            </w:r>
          </w:p>
        </w:tc>
      </w:tr>
      <w:tr w:rsidR="00E55CDA" w:rsidRPr="00E367B7" w:rsidTr="00D8125D">
        <w:trPr>
          <w:trHeight w:val="1340"/>
        </w:trPr>
        <w:tc>
          <w:tcPr>
            <w:tcW w:w="2197" w:type="dxa"/>
            <w:shd w:val="clear" w:color="auto" w:fill="auto"/>
          </w:tcPr>
          <w:p w:rsidR="00E55CDA" w:rsidRDefault="00E55CDA" w:rsidP="00AC76AD">
            <w:pPr>
              <w:keepNext/>
              <w:keepLines/>
              <w:jc w:val="center"/>
              <w:rPr>
                <w:rFonts w:ascii="Arial" w:hAnsi="Arial" w:cs="Arial"/>
                <w:sz w:val="24"/>
                <w:szCs w:val="24"/>
              </w:rPr>
            </w:pPr>
          </w:p>
          <w:p w:rsidR="00E22C7A" w:rsidRPr="009D2F5A" w:rsidRDefault="00E22C7A" w:rsidP="00AC76AD">
            <w:pPr>
              <w:keepNext/>
              <w:keepLines/>
              <w:jc w:val="center"/>
              <w:rPr>
                <w:rFonts w:ascii="Arial" w:hAnsi="Arial" w:cs="Arial"/>
                <w:sz w:val="24"/>
                <w:szCs w:val="24"/>
              </w:rPr>
            </w:pPr>
            <w:r>
              <w:rPr>
                <w:rFonts w:ascii="Arial" w:hAnsi="Arial" w:cs="Arial"/>
                <w:sz w:val="24"/>
                <w:szCs w:val="24"/>
              </w:rPr>
              <w:t>BOD 121/13 (c)</w:t>
            </w:r>
          </w:p>
        </w:tc>
        <w:tc>
          <w:tcPr>
            <w:tcW w:w="8351" w:type="dxa"/>
          </w:tcPr>
          <w:p w:rsidR="00E55CDA" w:rsidRDefault="00E22C7A" w:rsidP="004D7E50">
            <w:pPr>
              <w:jc w:val="both"/>
              <w:rPr>
                <w:rFonts w:ascii="Arial" w:hAnsi="Arial" w:cs="Arial"/>
                <w:bCs/>
                <w:sz w:val="24"/>
                <w:szCs w:val="24"/>
              </w:rPr>
            </w:pPr>
            <w:r>
              <w:rPr>
                <w:rFonts w:ascii="Arial" w:hAnsi="Arial" w:cs="Arial"/>
                <w:b/>
                <w:bCs/>
                <w:sz w:val="24"/>
                <w:szCs w:val="24"/>
              </w:rPr>
              <w:t>TUPE transfer to private provider</w:t>
            </w:r>
          </w:p>
          <w:p w:rsidR="00E22C7A" w:rsidRPr="00E22C7A" w:rsidRDefault="00E22C7A" w:rsidP="004D7E50">
            <w:pPr>
              <w:jc w:val="both"/>
              <w:rPr>
                <w:rFonts w:ascii="Arial" w:hAnsi="Arial" w:cs="Arial"/>
                <w:bCs/>
                <w:sz w:val="24"/>
                <w:szCs w:val="24"/>
              </w:rPr>
            </w:pPr>
            <w:r>
              <w:rPr>
                <w:rFonts w:ascii="Arial" w:hAnsi="Arial" w:cs="Arial"/>
                <w:bCs/>
                <w:sz w:val="24"/>
                <w:szCs w:val="24"/>
              </w:rPr>
              <w:t>Raise issue with commissioners</w:t>
            </w:r>
            <w:r w:rsidR="00EB5869">
              <w:rPr>
                <w:rFonts w:ascii="Arial" w:hAnsi="Arial" w:cs="Arial"/>
                <w:bCs/>
                <w:sz w:val="24"/>
                <w:szCs w:val="24"/>
              </w:rPr>
              <w:t xml:space="preserve"> of staff and Trust experience of TUPE transfer to private provider. </w:t>
            </w:r>
          </w:p>
        </w:tc>
        <w:tc>
          <w:tcPr>
            <w:tcW w:w="2286" w:type="dxa"/>
            <w:shd w:val="clear" w:color="auto" w:fill="auto"/>
          </w:tcPr>
          <w:p w:rsidR="00E55CDA" w:rsidRDefault="00E55CDA" w:rsidP="000B2947">
            <w:pPr>
              <w:keepNext/>
              <w:keepLines/>
              <w:jc w:val="center"/>
              <w:rPr>
                <w:rFonts w:ascii="Arial" w:hAnsi="Arial" w:cs="Arial"/>
                <w:sz w:val="24"/>
                <w:szCs w:val="24"/>
              </w:rPr>
            </w:pPr>
          </w:p>
          <w:p w:rsidR="00EB5869" w:rsidRPr="009D2F5A" w:rsidRDefault="00EB5869" w:rsidP="000B2947">
            <w:pPr>
              <w:keepNext/>
              <w:keepLines/>
              <w:jc w:val="center"/>
              <w:rPr>
                <w:rFonts w:ascii="Arial" w:hAnsi="Arial" w:cs="Arial"/>
                <w:sz w:val="24"/>
                <w:szCs w:val="24"/>
              </w:rPr>
            </w:pPr>
            <w:r>
              <w:rPr>
                <w:rFonts w:ascii="Arial" w:hAnsi="Arial" w:cs="Arial"/>
                <w:sz w:val="24"/>
                <w:szCs w:val="24"/>
              </w:rPr>
              <w:t>YT/MME</w:t>
            </w:r>
          </w:p>
        </w:tc>
      </w:tr>
      <w:tr w:rsidR="006716E3" w:rsidRPr="00E367B7" w:rsidTr="00D8125D">
        <w:trPr>
          <w:trHeight w:val="1340"/>
        </w:trPr>
        <w:tc>
          <w:tcPr>
            <w:tcW w:w="2197" w:type="dxa"/>
            <w:shd w:val="clear" w:color="auto" w:fill="auto"/>
          </w:tcPr>
          <w:p w:rsidR="006716E3" w:rsidRDefault="006716E3" w:rsidP="00AC76AD">
            <w:pPr>
              <w:keepNext/>
              <w:keepLines/>
              <w:jc w:val="center"/>
              <w:rPr>
                <w:rFonts w:ascii="Arial" w:hAnsi="Arial" w:cs="Arial"/>
                <w:sz w:val="24"/>
                <w:szCs w:val="24"/>
              </w:rPr>
            </w:pPr>
          </w:p>
          <w:p w:rsidR="006716E3" w:rsidRDefault="006716E3" w:rsidP="00AC76AD">
            <w:pPr>
              <w:keepNext/>
              <w:keepLines/>
              <w:jc w:val="center"/>
              <w:rPr>
                <w:rFonts w:ascii="Arial" w:hAnsi="Arial" w:cs="Arial"/>
                <w:sz w:val="24"/>
                <w:szCs w:val="24"/>
              </w:rPr>
            </w:pPr>
            <w:r>
              <w:rPr>
                <w:rFonts w:ascii="Arial" w:hAnsi="Arial" w:cs="Arial"/>
                <w:sz w:val="24"/>
                <w:szCs w:val="24"/>
              </w:rPr>
              <w:t>BOD 122/13 (b)</w:t>
            </w:r>
          </w:p>
        </w:tc>
        <w:tc>
          <w:tcPr>
            <w:tcW w:w="8351" w:type="dxa"/>
          </w:tcPr>
          <w:p w:rsidR="006716E3" w:rsidRDefault="006716E3" w:rsidP="004D7E50">
            <w:pPr>
              <w:jc w:val="both"/>
              <w:rPr>
                <w:rFonts w:ascii="Arial" w:hAnsi="Arial" w:cs="Arial"/>
                <w:bCs/>
                <w:sz w:val="24"/>
                <w:szCs w:val="24"/>
              </w:rPr>
            </w:pPr>
            <w:r>
              <w:rPr>
                <w:rFonts w:ascii="Arial" w:hAnsi="Arial" w:cs="Arial"/>
                <w:b/>
                <w:bCs/>
                <w:sz w:val="24"/>
                <w:szCs w:val="24"/>
              </w:rPr>
              <w:t>Shared senior manager on-call function between Trust and OUH</w:t>
            </w:r>
          </w:p>
          <w:p w:rsidR="006716E3" w:rsidRPr="006716E3" w:rsidRDefault="006716E3" w:rsidP="004D7E50">
            <w:pPr>
              <w:jc w:val="both"/>
              <w:rPr>
                <w:rFonts w:ascii="Arial" w:hAnsi="Arial" w:cs="Arial"/>
                <w:bCs/>
                <w:sz w:val="24"/>
                <w:szCs w:val="24"/>
              </w:rPr>
            </w:pPr>
            <w:r>
              <w:rPr>
                <w:rFonts w:ascii="Arial" w:hAnsi="Arial" w:cs="Arial"/>
                <w:bCs/>
                <w:sz w:val="24"/>
                <w:szCs w:val="24"/>
              </w:rPr>
              <w:t xml:space="preserve">Put in place formal legal indemnity to underpin arrangements.  </w:t>
            </w:r>
          </w:p>
        </w:tc>
        <w:tc>
          <w:tcPr>
            <w:tcW w:w="2286" w:type="dxa"/>
            <w:shd w:val="clear" w:color="auto" w:fill="auto"/>
          </w:tcPr>
          <w:p w:rsidR="006716E3" w:rsidRDefault="006716E3" w:rsidP="000B2947">
            <w:pPr>
              <w:keepNext/>
              <w:keepLines/>
              <w:jc w:val="center"/>
              <w:rPr>
                <w:rFonts w:ascii="Arial" w:hAnsi="Arial" w:cs="Arial"/>
                <w:sz w:val="24"/>
                <w:szCs w:val="24"/>
              </w:rPr>
            </w:pPr>
          </w:p>
          <w:p w:rsidR="00D42D1A" w:rsidRDefault="00D42D1A" w:rsidP="000B2947">
            <w:pPr>
              <w:keepNext/>
              <w:keepLines/>
              <w:jc w:val="center"/>
              <w:rPr>
                <w:rFonts w:ascii="Arial" w:hAnsi="Arial" w:cs="Arial"/>
                <w:sz w:val="24"/>
                <w:szCs w:val="24"/>
              </w:rPr>
            </w:pPr>
            <w:r>
              <w:rPr>
                <w:rFonts w:ascii="Arial" w:hAnsi="Arial" w:cs="Arial"/>
                <w:sz w:val="24"/>
                <w:szCs w:val="24"/>
              </w:rPr>
              <w:t>SB/YT</w:t>
            </w:r>
          </w:p>
        </w:tc>
      </w:tr>
      <w:tr w:rsidR="00E55CDA" w:rsidRPr="00E367B7" w:rsidTr="00D8125D">
        <w:trPr>
          <w:trHeight w:val="1340"/>
        </w:trPr>
        <w:tc>
          <w:tcPr>
            <w:tcW w:w="2197" w:type="dxa"/>
            <w:shd w:val="clear" w:color="auto" w:fill="auto"/>
          </w:tcPr>
          <w:p w:rsidR="00E55CDA" w:rsidRDefault="00E55CDA" w:rsidP="00AC76AD">
            <w:pPr>
              <w:keepNext/>
              <w:keepLines/>
              <w:jc w:val="center"/>
              <w:rPr>
                <w:rFonts w:ascii="Arial" w:hAnsi="Arial" w:cs="Arial"/>
                <w:sz w:val="24"/>
                <w:szCs w:val="24"/>
              </w:rPr>
            </w:pPr>
          </w:p>
          <w:p w:rsidR="00EB5869" w:rsidRPr="009D2F5A" w:rsidRDefault="00EB5869" w:rsidP="00AC76AD">
            <w:pPr>
              <w:keepNext/>
              <w:keepLines/>
              <w:jc w:val="center"/>
              <w:rPr>
                <w:rFonts w:ascii="Arial" w:hAnsi="Arial" w:cs="Arial"/>
                <w:sz w:val="24"/>
                <w:szCs w:val="24"/>
              </w:rPr>
            </w:pPr>
            <w:r>
              <w:rPr>
                <w:rFonts w:ascii="Arial" w:hAnsi="Arial" w:cs="Arial"/>
                <w:sz w:val="24"/>
                <w:szCs w:val="24"/>
              </w:rPr>
              <w:t>BOD 122/13 (</w:t>
            </w:r>
            <w:r w:rsidR="006716E3">
              <w:rPr>
                <w:rFonts w:ascii="Arial" w:hAnsi="Arial" w:cs="Arial"/>
                <w:sz w:val="24"/>
                <w:szCs w:val="24"/>
              </w:rPr>
              <w:t>c</w:t>
            </w:r>
            <w:r>
              <w:rPr>
                <w:rFonts w:ascii="Arial" w:hAnsi="Arial" w:cs="Arial"/>
                <w:sz w:val="24"/>
                <w:szCs w:val="24"/>
              </w:rPr>
              <w:t>)</w:t>
            </w:r>
          </w:p>
        </w:tc>
        <w:tc>
          <w:tcPr>
            <w:tcW w:w="8351" w:type="dxa"/>
          </w:tcPr>
          <w:p w:rsidR="00E55CDA" w:rsidRDefault="00EB5869" w:rsidP="004D7E50">
            <w:pPr>
              <w:jc w:val="both"/>
              <w:rPr>
                <w:rFonts w:ascii="Arial" w:hAnsi="Arial" w:cs="Arial"/>
                <w:bCs/>
                <w:sz w:val="24"/>
                <w:szCs w:val="24"/>
              </w:rPr>
            </w:pPr>
            <w:r>
              <w:rPr>
                <w:rFonts w:ascii="Arial" w:hAnsi="Arial" w:cs="Arial"/>
                <w:b/>
                <w:bCs/>
                <w:sz w:val="24"/>
                <w:szCs w:val="24"/>
              </w:rPr>
              <w:t>DTOCs – audit of Oxfordshire Discharge pathway</w:t>
            </w:r>
          </w:p>
          <w:p w:rsidR="00EB5869" w:rsidRPr="00EB5869" w:rsidRDefault="00EB5869" w:rsidP="004D7E50">
            <w:pPr>
              <w:jc w:val="both"/>
              <w:rPr>
                <w:rFonts w:ascii="Arial" w:hAnsi="Arial" w:cs="Arial"/>
                <w:bCs/>
                <w:sz w:val="24"/>
                <w:szCs w:val="24"/>
              </w:rPr>
            </w:pPr>
            <w:r>
              <w:rPr>
                <w:rFonts w:ascii="Arial" w:hAnsi="Arial" w:cs="Arial"/>
                <w:bCs/>
                <w:sz w:val="24"/>
                <w:szCs w:val="24"/>
              </w:rPr>
              <w:t xml:space="preserve">Report to next meeting outcome of audit and actions proposed. </w:t>
            </w:r>
          </w:p>
        </w:tc>
        <w:tc>
          <w:tcPr>
            <w:tcW w:w="2286" w:type="dxa"/>
            <w:shd w:val="clear" w:color="auto" w:fill="auto"/>
          </w:tcPr>
          <w:p w:rsidR="00E55CDA" w:rsidRDefault="00E55CDA" w:rsidP="000B2947">
            <w:pPr>
              <w:keepNext/>
              <w:keepLines/>
              <w:jc w:val="center"/>
              <w:rPr>
                <w:rFonts w:ascii="Arial" w:hAnsi="Arial" w:cs="Arial"/>
                <w:sz w:val="24"/>
                <w:szCs w:val="24"/>
              </w:rPr>
            </w:pPr>
          </w:p>
          <w:p w:rsidR="00EB5869" w:rsidRPr="009D2F5A" w:rsidRDefault="00EB5869" w:rsidP="000B2947">
            <w:pPr>
              <w:keepNext/>
              <w:keepLines/>
              <w:jc w:val="center"/>
              <w:rPr>
                <w:rFonts w:ascii="Arial" w:hAnsi="Arial" w:cs="Arial"/>
                <w:sz w:val="24"/>
                <w:szCs w:val="24"/>
              </w:rPr>
            </w:pPr>
            <w:r>
              <w:rPr>
                <w:rFonts w:ascii="Arial" w:hAnsi="Arial" w:cs="Arial"/>
                <w:sz w:val="24"/>
                <w:szCs w:val="24"/>
              </w:rPr>
              <w:t>YT</w:t>
            </w:r>
          </w:p>
        </w:tc>
      </w:tr>
      <w:tr w:rsidR="00EB5869" w:rsidRPr="00E367B7" w:rsidTr="00D8125D">
        <w:trPr>
          <w:trHeight w:val="1340"/>
        </w:trPr>
        <w:tc>
          <w:tcPr>
            <w:tcW w:w="2197" w:type="dxa"/>
            <w:shd w:val="clear" w:color="auto" w:fill="auto"/>
          </w:tcPr>
          <w:p w:rsidR="00EB5869" w:rsidRDefault="00EB5869" w:rsidP="00AC76AD">
            <w:pPr>
              <w:keepNext/>
              <w:keepLines/>
              <w:jc w:val="center"/>
              <w:rPr>
                <w:rFonts w:ascii="Arial" w:hAnsi="Arial" w:cs="Arial"/>
                <w:sz w:val="24"/>
                <w:szCs w:val="24"/>
              </w:rPr>
            </w:pPr>
          </w:p>
          <w:p w:rsidR="00D42D1A" w:rsidRPr="009D2F5A" w:rsidRDefault="00D42D1A" w:rsidP="00AC76AD">
            <w:pPr>
              <w:keepNext/>
              <w:keepLines/>
              <w:jc w:val="center"/>
              <w:rPr>
                <w:rFonts w:ascii="Arial" w:hAnsi="Arial" w:cs="Arial"/>
                <w:sz w:val="24"/>
                <w:szCs w:val="24"/>
              </w:rPr>
            </w:pPr>
            <w:r>
              <w:rPr>
                <w:rFonts w:ascii="Arial" w:hAnsi="Arial" w:cs="Arial"/>
                <w:sz w:val="24"/>
                <w:szCs w:val="24"/>
              </w:rPr>
              <w:t>BOD 124/13 (b)</w:t>
            </w:r>
          </w:p>
        </w:tc>
        <w:tc>
          <w:tcPr>
            <w:tcW w:w="8351" w:type="dxa"/>
          </w:tcPr>
          <w:p w:rsidR="00EB5869" w:rsidRDefault="00D42D1A" w:rsidP="004D7E50">
            <w:pPr>
              <w:jc w:val="both"/>
              <w:rPr>
                <w:rFonts w:ascii="Arial" w:hAnsi="Arial" w:cs="Arial"/>
                <w:bCs/>
                <w:sz w:val="24"/>
                <w:szCs w:val="24"/>
              </w:rPr>
            </w:pPr>
            <w:r>
              <w:rPr>
                <w:rFonts w:ascii="Arial" w:hAnsi="Arial" w:cs="Arial"/>
                <w:b/>
                <w:bCs/>
                <w:sz w:val="24"/>
                <w:szCs w:val="24"/>
              </w:rPr>
              <w:t>Excellence awards for staff</w:t>
            </w:r>
          </w:p>
          <w:p w:rsidR="00D42D1A" w:rsidRPr="00D42D1A" w:rsidRDefault="00D42D1A" w:rsidP="004D7E50">
            <w:pPr>
              <w:jc w:val="both"/>
              <w:rPr>
                <w:rFonts w:ascii="Arial" w:hAnsi="Arial" w:cs="Arial"/>
                <w:bCs/>
                <w:sz w:val="24"/>
                <w:szCs w:val="24"/>
              </w:rPr>
            </w:pPr>
            <w:r>
              <w:rPr>
                <w:rFonts w:ascii="Arial" w:hAnsi="Arial" w:cs="Arial"/>
                <w:bCs/>
                <w:sz w:val="24"/>
                <w:szCs w:val="24"/>
              </w:rPr>
              <w:t xml:space="preserve">Consider excellence awards for staff across the local health economy through the </w:t>
            </w:r>
            <w:r w:rsidRPr="00D42D1A">
              <w:rPr>
                <w:rFonts w:ascii="Arial" w:hAnsi="Arial" w:cs="Arial"/>
                <w:bCs/>
                <w:sz w:val="24"/>
                <w:szCs w:val="24"/>
              </w:rPr>
              <w:t>Oxford Academic Health Science Centre</w:t>
            </w:r>
            <w:r>
              <w:rPr>
                <w:rFonts w:ascii="Arial" w:hAnsi="Arial" w:cs="Arial"/>
                <w:bCs/>
                <w:sz w:val="24"/>
                <w:szCs w:val="24"/>
              </w:rPr>
              <w:t xml:space="preserve">. </w:t>
            </w:r>
          </w:p>
        </w:tc>
        <w:tc>
          <w:tcPr>
            <w:tcW w:w="2286" w:type="dxa"/>
            <w:shd w:val="clear" w:color="auto" w:fill="auto"/>
          </w:tcPr>
          <w:p w:rsidR="00EB5869" w:rsidRDefault="00EB5869" w:rsidP="000B2947">
            <w:pPr>
              <w:keepNext/>
              <w:keepLines/>
              <w:jc w:val="center"/>
              <w:rPr>
                <w:rFonts w:ascii="Arial" w:hAnsi="Arial" w:cs="Arial"/>
                <w:sz w:val="24"/>
                <w:szCs w:val="24"/>
              </w:rPr>
            </w:pPr>
          </w:p>
          <w:p w:rsidR="00D42D1A" w:rsidRPr="009D2F5A" w:rsidRDefault="00D42D1A" w:rsidP="000B2947">
            <w:pPr>
              <w:keepNext/>
              <w:keepLines/>
              <w:jc w:val="center"/>
              <w:rPr>
                <w:rFonts w:ascii="Arial" w:hAnsi="Arial" w:cs="Arial"/>
                <w:sz w:val="24"/>
                <w:szCs w:val="24"/>
              </w:rPr>
            </w:pPr>
            <w:r>
              <w:rPr>
                <w:rFonts w:ascii="Arial" w:hAnsi="Arial" w:cs="Arial"/>
                <w:sz w:val="24"/>
                <w:szCs w:val="24"/>
              </w:rPr>
              <w:t>SB</w:t>
            </w:r>
          </w:p>
        </w:tc>
      </w:tr>
      <w:tr w:rsidR="00EB5869" w:rsidRPr="00E367B7" w:rsidTr="00D8125D">
        <w:trPr>
          <w:trHeight w:val="1340"/>
        </w:trPr>
        <w:tc>
          <w:tcPr>
            <w:tcW w:w="2197" w:type="dxa"/>
            <w:shd w:val="clear" w:color="auto" w:fill="auto"/>
          </w:tcPr>
          <w:p w:rsidR="00EB5869" w:rsidRDefault="00EB5869" w:rsidP="00AC76AD">
            <w:pPr>
              <w:keepNext/>
              <w:keepLines/>
              <w:jc w:val="center"/>
              <w:rPr>
                <w:rFonts w:ascii="Arial" w:hAnsi="Arial" w:cs="Arial"/>
                <w:sz w:val="24"/>
                <w:szCs w:val="24"/>
              </w:rPr>
            </w:pPr>
          </w:p>
          <w:p w:rsidR="00C95A17" w:rsidRPr="009D2F5A" w:rsidRDefault="00C95A17" w:rsidP="00AC76AD">
            <w:pPr>
              <w:keepNext/>
              <w:keepLines/>
              <w:jc w:val="center"/>
              <w:rPr>
                <w:rFonts w:ascii="Arial" w:hAnsi="Arial" w:cs="Arial"/>
                <w:sz w:val="24"/>
                <w:szCs w:val="24"/>
              </w:rPr>
            </w:pPr>
            <w:r>
              <w:rPr>
                <w:rFonts w:ascii="Arial" w:hAnsi="Arial" w:cs="Arial"/>
                <w:sz w:val="24"/>
                <w:szCs w:val="24"/>
              </w:rPr>
              <w:t>BOD 126/13 (a)</w:t>
            </w:r>
            <w:r w:rsidR="005F3233">
              <w:rPr>
                <w:rFonts w:ascii="Arial" w:hAnsi="Arial" w:cs="Arial"/>
                <w:sz w:val="24"/>
                <w:szCs w:val="24"/>
              </w:rPr>
              <w:t>-(b)</w:t>
            </w:r>
          </w:p>
        </w:tc>
        <w:tc>
          <w:tcPr>
            <w:tcW w:w="8351" w:type="dxa"/>
          </w:tcPr>
          <w:p w:rsidR="00EB5869" w:rsidRDefault="00F31E37" w:rsidP="004D7E50">
            <w:pPr>
              <w:jc w:val="both"/>
              <w:rPr>
                <w:rFonts w:ascii="Arial" w:hAnsi="Arial" w:cs="Arial"/>
                <w:bCs/>
                <w:sz w:val="24"/>
                <w:szCs w:val="24"/>
              </w:rPr>
            </w:pPr>
            <w:r>
              <w:rPr>
                <w:rFonts w:ascii="Arial" w:hAnsi="Arial" w:cs="Arial"/>
                <w:b/>
                <w:bCs/>
                <w:sz w:val="24"/>
                <w:szCs w:val="24"/>
              </w:rPr>
              <w:t>Board seminar on safeguarding training</w:t>
            </w:r>
          </w:p>
          <w:p w:rsidR="00F31E37" w:rsidRPr="00F31E37" w:rsidRDefault="00F31E37" w:rsidP="00F31E37">
            <w:pPr>
              <w:jc w:val="both"/>
              <w:rPr>
                <w:rFonts w:ascii="Arial" w:hAnsi="Arial" w:cs="Arial"/>
                <w:bCs/>
                <w:sz w:val="24"/>
                <w:szCs w:val="24"/>
              </w:rPr>
            </w:pPr>
            <w:r>
              <w:rPr>
                <w:rFonts w:ascii="Arial" w:hAnsi="Arial" w:cs="Arial"/>
                <w:bCs/>
                <w:sz w:val="24"/>
                <w:szCs w:val="24"/>
              </w:rPr>
              <w:t xml:space="preserve">A future Board Seminar to include an update on safeguarding training from the Safeguarding Team.  Discussion to cover work taking place to </w:t>
            </w:r>
            <w:r w:rsidRPr="00F31E37">
              <w:rPr>
                <w:rFonts w:ascii="Arial" w:hAnsi="Arial" w:cs="Arial"/>
                <w:bCs/>
                <w:sz w:val="24"/>
                <w:szCs w:val="24"/>
              </w:rPr>
              <w:t>promote information sharing between agencies, early-warning systems or pro-active identification of potentially</w:t>
            </w:r>
            <w:r>
              <w:rPr>
                <w:rFonts w:ascii="Arial" w:hAnsi="Arial" w:cs="Arial"/>
                <w:bCs/>
                <w:sz w:val="24"/>
                <w:szCs w:val="24"/>
              </w:rPr>
              <w:t xml:space="preserve"> high risk care settings.</w:t>
            </w:r>
          </w:p>
        </w:tc>
        <w:tc>
          <w:tcPr>
            <w:tcW w:w="2286" w:type="dxa"/>
            <w:shd w:val="clear" w:color="auto" w:fill="auto"/>
          </w:tcPr>
          <w:p w:rsidR="00EB5869" w:rsidRDefault="00EB5869" w:rsidP="000B2947">
            <w:pPr>
              <w:keepNext/>
              <w:keepLines/>
              <w:jc w:val="center"/>
              <w:rPr>
                <w:rFonts w:ascii="Arial" w:hAnsi="Arial" w:cs="Arial"/>
                <w:sz w:val="24"/>
                <w:szCs w:val="24"/>
              </w:rPr>
            </w:pPr>
          </w:p>
          <w:p w:rsidR="00F31E37" w:rsidRPr="009D2F5A" w:rsidRDefault="00F31E37" w:rsidP="000B2947">
            <w:pPr>
              <w:keepNext/>
              <w:keepLines/>
              <w:jc w:val="center"/>
              <w:rPr>
                <w:rFonts w:ascii="Arial" w:hAnsi="Arial" w:cs="Arial"/>
                <w:sz w:val="24"/>
                <w:szCs w:val="24"/>
              </w:rPr>
            </w:pPr>
            <w:r>
              <w:rPr>
                <w:rFonts w:ascii="Arial" w:hAnsi="Arial" w:cs="Arial"/>
                <w:sz w:val="24"/>
                <w:szCs w:val="24"/>
              </w:rPr>
              <w:t>RA/JCH</w:t>
            </w:r>
          </w:p>
        </w:tc>
      </w:tr>
      <w:tr w:rsidR="00EB5869" w:rsidRPr="00E367B7" w:rsidTr="00D8125D">
        <w:trPr>
          <w:trHeight w:val="1340"/>
        </w:trPr>
        <w:tc>
          <w:tcPr>
            <w:tcW w:w="2197" w:type="dxa"/>
            <w:shd w:val="clear" w:color="auto" w:fill="auto"/>
          </w:tcPr>
          <w:p w:rsidR="00EB5869" w:rsidRDefault="00EB5869" w:rsidP="00AC76AD">
            <w:pPr>
              <w:keepNext/>
              <w:keepLines/>
              <w:jc w:val="center"/>
              <w:rPr>
                <w:rFonts w:ascii="Arial" w:hAnsi="Arial" w:cs="Arial"/>
                <w:sz w:val="24"/>
                <w:szCs w:val="24"/>
              </w:rPr>
            </w:pPr>
          </w:p>
          <w:p w:rsidR="005F3233" w:rsidRPr="009D2F5A" w:rsidRDefault="005F3233" w:rsidP="00AC76AD">
            <w:pPr>
              <w:keepNext/>
              <w:keepLines/>
              <w:jc w:val="center"/>
              <w:rPr>
                <w:rFonts w:ascii="Arial" w:hAnsi="Arial" w:cs="Arial"/>
                <w:sz w:val="24"/>
                <w:szCs w:val="24"/>
              </w:rPr>
            </w:pPr>
            <w:r>
              <w:rPr>
                <w:rFonts w:ascii="Arial" w:hAnsi="Arial" w:cs="Arial"/>
                <w:sz w:val="24"/>
                <w:szCs w:val="24"/>
              </w:rPr>
              <w:t>BOD 129/13 (d)</w:t>
            </w:r>
          </w:p>
        </w:tc>
        <w:tc>
          <w:tcPr>
            <w:tcW w:w="8351" w:type="dxa"/>
          </w:tcPr>
          <w:p w:rsidR="00EB5869" w:rsidRDefault="005F3233" w:rsidP="004D7E50">
            <w:pPr>
              <w:jc w:val="both"/>
              <w:rPr>
                <w:rFonts w:ascii="Arial" w:hAnsi="Arial" w:cs="Arial"/>
                <w:bCs/>
                <w:sz w:val="24"/>
                <w:szCs w:val="24"/>
              </w:rPr>
            </w:pPr>
            <w:r>
              <w:rPr>
                <w:rFonts w:ascii="Arial" w:hAnsi="Arial" w:cs="Arial"/>
                <w:b/>
                <w:bCs/>
                <w:sz w:val="24"/>
                <w:szCs w:val="24"/>
              </w:rPr>
              <w:t>Board seminar on Leagues of Friends</w:t>
            </w:r>
          </w:p>
          <w:p w:rsidR="005F3233" w:rsidRPr="005F3233" w:rsidRDefault="005F3233" w:rsidP="004D7E50">
            <w:pPr>
              <w:jc w:val="both"/>
              <w:rPr>
                <w:rFonts w:ascii="Arial" w:hAnsi="Arial" w:cs="Arial"/>
                <w:bCs/>
                <w:sz w:val="24"/>
                <w:szCs w:val="24"/>
              </w:rPr>
            </w:pPr>
            <w:r>
              <w:rPr>
                <w:rFonts w:ascii="Arial" w:hAnsi="Arial" w:cs="Arial"/>
                <w:bCs/>
                <w:sz w:val="24"/>
                <w:szCs w:val="24"/>
              </w:rPr>
              <w:t xml:space="preserve">A future Board Seminar to discuss </w:t>
            </w:r>
            <w:r>
              <w:t xml:space="preserve"> </w:t>
            </w:r>
            <w:r w:rsidRPr="005F3233">
              <w:rPr>
                <w:rFonts w:ascii="Arial" w:hAnsi="Arial" w:cs="Arial"/>
                <w:bCs/>
                <w:sz w:val="24"/>
                <w:szCs w:val="24"/>
              </w:rPr>
              <w:t xml:space="preserve">Leagues of Friends and their fundraising activities, access to charitable funds, common themes to unite various Leagues and their potential to grow the membership of the Trust.  </w:t>
            </w:r>
          </w:p>
        </w:tc>
        <w:tc>
          <w:tcPr>
            <w:tcW w:w="2286" w:type="dxa"/>
            <w:shd w:val="clear" w:color="auto" w:fill="auto"/>
          </w:tcPr>
          <w:p w:rsidR="00EB5869" w:rsidRDefault="00EB5869" w:rsidP="000B2947">
            <w:pPr>
              <w:keepNext/>
              <w:keepLines/>
              <w:jc w:val="center"/>
              <w:rPr>
                <w:rFonts w:ascii="Arial" w:hAnsi="Arial" w:cs="Arial"/>
                <w:sz w:val="24"/>
                <w:szCs w:val="24"/>
              </w:rPr>
            </w:pPr>
          </w:p>
          <w:p w:rsidR="005F3233" w:rsidRPr="009D2F5A" w:rsidRDefault="005F3233" w:rsidP="000B2947">
            <w:pPr>
              <w:keepNext/>
              <w:keepLines/>
              <w:jc w:val="center"/>
              <w:rPr>
                <w:rFonts w:ascii="Arial" w:hAnsi="Arial" w:cs="Arial"/>
                <w:sz w:val="24"/>
                <w:szCs w:val="24"/>
              </w:rPr>
            </w:pPr>
            <w:r>
              <w:rPr>
                <w:rFonts w:ascii="Arial" w:hAnsi="Arial" w:cs="Arial"/>
                <w:sz w:val="24"/>
                <w:szCs w:val="24"/>
              </w:rPr>
              <w:t>MH/JCH</w:t>
            </w:r>
          </w:p>
        </w:tc>
      </w:tr>
    </w:tbl>
    <w:p w:rsidR="00633554" w:rsidRPr="00E367B7" w:rsidRDefault="00633554">
      <w:pPr>
        <w:rPr>
          <w:rFonts w:ascii="Arial" w:hAnsi="Arial" w:cs="Arial"/>
          <w:sz w:val="24"/>
          <w:szCs w:val="24"/>
        </w:rPr>
      </w:pPr>
      <w:bookmarkStart w:id="0" w:name="_GoBack"/>
      <w:bookmarkEnd w:id="0"/>
    </w:p>
    <w:sectPr w:rsidR="00633554" w:rsidRPr="00E367B7" w:rsidSect="000B2947">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958" w:rsidRDefault="00B40958" w:rsidP="000B2947">
      <w:pPr>
        <w:spacing w:after="0" w:line="240" w:lineRule="auto"/>
      </w:pPr>
      <w:r>
        <w:separator/>
      </w:r>
    </w:p>
  </w:endnote>
  <w:endnote w:type="continuationSeparator" w:id="0">
    <w:p w:rsidR="00B40958" w:rsidRDefault="00B40958" w:rsidP="000B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58" w:rsidRDefault="00253C8F">
    <w:pPr>
      <w:pStyle w:val="Footer"/>
      <w:jc w:val="center"/>
    </w:pPr>
    <w:r>
      <w:fldChar w:fldCharType="begin"/>
    </w:r>
    <w:r>
      <w:instrText xml:space="preserve"> PAGE   \* MERGEFORMAT </w:instrText>
    </w:r>
    <w:r>
      <w:fldChar w:fldCharType="separate"/>
    </w:r>
    <w:r>
      <w:rPr>
        <w:noProof/>
      </w:rPr>
      <w:t>1</w:t>
    </w:r>
    <w:r>
      <w:rPr>
        <w:noProof/>
      </w:rPr>
      <w:fldChar w:fldCharType="end"/>
    </w:r>
  </w:p>
  <w:p w:rsidR="00B40958" w:rsidRDefault="00B40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958" w:rsidRDefault="00B40958" w:rsidP="000B2947">
      <w:pPr>
        <w:spacing w:after="0" w:line="240" w:lineRule="auto"/>
      </w:pPr>
      <w:r>
        <w:separator/>
      </w:r>
    </w:p>
  </w:footnote>
  <w:footnote w:type="continuationSeparator" w:id="0">
    <w:p w:rsidR="00B40958" w:rsidRDefault="00B40958" w:rsidP="000B2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58" w:rsidRPr="007D06DC" w:rsidRDefault="00B40958" w:rsidP="000B2947">
    <w:pPr>
      <w:pStyle w:val="Header"/>
      <w:jc w:val="center"/>
    </w:pPr>
    <w:r>
      <w:rPr>
        <w:i/>
      </w:rPr>
      <w:t>PUBLIC</w:t>
    </w:r>
  </w:p>
  <w:p w:rsidR="00B40958" w:rsidRPr="000B2947" w:rsidRDefault="00B40958">
    <w:pPr>
      <w:pStyle w:val="Header"/>
      <w:rPr>
        <w:b/>
      </w:rPr>
    </w:pPr>
  </w:p>
  <w:p w:rsidR="00B40958" w:rsidRDefault="00B409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482"/>
    <w:multiLevelType w:val="hybridMultilevel"/>
    <w:tmpl w:val="79EA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BA7F32"/>
    <w:multiLevelType w:val="hybridMultilevel"/>
    <w:tmpl w:val="060C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2947"/>
    <w:rsid w:val="00015015"/>
    <w:rsid w:val="00024DA4"/>
    <w:rsid w:val="00032E57"/>
    <w:rsid w:val="0004460B"/>
    <w:rsid w:val="000765F3"/>
    <w:rsid w:val="00087272"/>
    <w:rsid w:val="000B2947"/>
    <w:rsid w:val="000B69CF"/>
    <w:rsid w:val="000D7875"/>
    <w:rsid w:val="00105FDB"/>
    <w:rsid w:val="001219E0"/>
    <w:rsid w:val="00131067"/>
    <w:rsid w:val="001431EB"/>
    <w:rsid w:val="0020722B"/>
    <w:rsid w:val="002258F6"/>
    <w:rsid w:val="00237F6F"/>
    <w:rsid w:val="00240701"/>
    <w:rsid w:val="00241AA6"/>
    <w:rsid w:val="00244F70"/>
    <w:rsid w:val="0025228D"/>
    <w:rsid w:val="00253C8F"/>
    <w:rsid w:val="00261E54"/>
    <w:rsid w:val="00282647"/>
    <w:rsid w:val="002C0F68"/>
    <w:rsid w:val="002C6990"/>
    <w:rsid w:val="002D6A88"/>
    <w:rsid w:val="002F2524"/>
    <w:rsid w:val="002F6393"/>
    <w:rsid w:val="00314CE7"/>
    <w:rsid w:val="003305FC"/>
    <w:rsid w:val="0033178B"/>
    <w:rsid w:val="0033274C"/>
    <w:rsid w:val="003515C3"/>
    <w:rsid w:val="003759F1"/>
    <w:rsid w:val="00376489"/>
    <w:rsid w:val="00384B7A"/>
    <w:rsid w:val="00390FD5"/>
    <w:rsid w:val="00393728"/>
    <w:rsid w:val="00397575"/>
    <w:rsid w:val="003B304C"/>
    <w:rsid w:val="003D05D4"/>
    <w:rsid w:val="003E28C6"/>
    <w:rsid w:val="00425229"/>
    <w:rsid w:val="00452F7C"/>
    <w:rsid w:val="00465CD1"/>
    <w:rsid w:val="00466230"/>
    <w:rsid w:val="004938A0"/>
    <w:rsid w:val="004D7E50"/>
    <w:rsid w:val="00505351"/>
    <w:rsid w:val="00511324"/>
    <w:rsid w:val="00522131"/>
    <w:rsid w:val="00537F66"/>
    <w:rsid w:val="00543314"/>
    <w:rsid w:val="00581E04"/>
    <w:rsid w:val="005823B6"/>
    <w:rsid w:val="0059202C"/>
    <w:rsid w:val="00593FA0"/>
    <w:rsid w:val="00594955"/>
    <w:rsid w:val="005D72E8"/>
    <w:rsid w:val="005F3233"/>
    <w:rsid w:val="00633554"/>
    <w:rsid w:val="006439B2"/>
    <w:rsid w:val="006454AE"/>
    <w:rsid w:val="00652FAF"/>
    <w:rsid w:val="006716E3"/>
    <w:rsid w:val="00674699"/>
    <w:rsid w:val="0067651E"/>
    <w:rsid w:val="006946E2"/>
    <w:rsid w:val="00696E9F"/>
    <w:rsid w:val="00697032"/>
    <w:rsid w:val="006B1EB2"/>
    <w:rsid w:val="006D6992"/>
    <w:rsid w:val="00700062"/>
    <w:rsid w:val="0072245F"/>
    <w:rsid w:val="0073197C"/>
    <w:rsid w:val="007336A4"/>
    <w:rsid w:val="00763A8F"/>
    <w:rsid w:val="0076462F"/>
    <w:rsid w:val="00766A85"/>
    <w:rsid w:val="00767605"/>
    <w:rsid w:val="00774CB7"/>
    <w:rsid w:val="00793558"/>
    <w:rsid w:val="007B21CE"/>
    <w:rsid w:val="007C3131"/>
    <w:rsid w:val="007C4C3A"/>
    <w:rsid w:val="008006A3"/>
    <w:rsid w:val="008340D7"/>
    <w:rsid w:val="00834277"/>
    <w:rsid w:val="008734E5"/>
    <w:rsid w:val="008756CF"/>
    <w:rsid w:val="008757DA"/>
    <w:rsid w:val="0088270F"/>
    <w:rsid w:val="00891EB1"/>
    <w:rsid w:val="008A7296"/>
    <w:rsid w:val="008F4C6C"/>
    <w:rsid w:val="00907DE9"/>
    <w:rsid w:val="0092378F"/>
    <w:rsid w:val="00926388"/>
    <w:rsid w:val="00942C34"/>
    <w:rsid w:val="009D23DA"/>
    <w:rsid w:val="009D2F5A"/>
    <w:rsid w:val="009E38B1"/>
    <w:rsid w:val="00A22825"/>
    <w:rsid w:val="00A24484"/>
    <w:rsid w:val="00A43C8E"/>
    <w:rsid w:val="00A44C56"/>
    <w:rsid w:val="00A5526F"/>
    <w:rsid w:val="00AC76AD"/>
    <w:rsid w:val="00B31870"/>
    <w:rsid w:val="00B33194"/>
    <w:rsid w:val="00B40958"/>
    <w:rsid w:val="00B658D5"/>
    <w:rsid w:val="00B724D9"/>
    <w:rsid w:val="00BB62AB"/>
    <w:rsid w:val="00BC04F8"/>
    <w:rsid w:val="00BE2EFA"/>
    <w:rsid w:val="00BE3D89"/>
    <w:rsid w:val="00BE7491"/>
    <w:rsid w:val="00C4763E"/>
    <w:rsid w:val="00C74867"/>
    <w:rsid w:val="00C95A17"/>
    <w:rsid w:val="00CD2283"/>
    <w:rsid w:val="00CE2874"/>
    <w:rsid w:val="00D3669C"/>
    <w:rsid w:val="00D36BC0"/>
    <w:rsid w:val="00D42D1A"/>
    <w:rsid w:val="00D8125D"/>
    <w:rsid w:val="00D9768A"/>
    <w:rsid w:val="00DC54A2"/>
    <w:rsid w:val="00DF07E3"/>
    <w:rsid w:val="00E00003"/>
    <w:rsid w:val="00E11EFB"/>
    <w:rsid w:val="00E21DA2"/>
    <w:rsid w:val="00E22C7A"/>
    <w:rsid w:val="00E34729"/>
    <w:rsid w:val="00E367B7"/>
    <w:rsid w:val="00E520A9"/>
    <w:rsid w:val="00E55CDA"/>
    <w:rsid w:val="00E60C6D"/>
    <w:rsid w:val="00E7308C"/>
    <w:rsid w:val="00E76646"/>
    <w:rsid w:val="00E95111"/>
    <w:rsid w:val="00EB5869"/>
    <w:rsid w:val="00EC11E7"/>
    <w:rsid w:val="00ED08CB"/>
    <w:rsid w:val="00EF72CB"/>
    <w:rsid w:val="00F019EB"/>
    <w:rsid w:val="00F16822"/>
    <w:rsid w:val="00F25643"/>
    <w:rsid w:val="00F31E37"/>
    <w:rsid w:val="00F36B10"/>
    <w:rsid w:val="00F77BBC"/>
    <w:rsid w:val="00F87CBE"/>
    <w:rsid w:val="00F907A0"/>
    <w:rsid w:val="00FC07BA"/>
    <w:rsid w:val="00FC7547"/>
    <w:rsid w:val="00FD4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5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2947"/>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semiHidden/>
    <w:rsid w:val="000B294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B2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47"/>
  </w:style>
  <w:style w:type="paragraph" w:styleId="BalloonText">
    <w:name w:val="Balloon Text"/>
    <w:basedOn w:val="Normal"/>
    <w:link w:val="BalloonTextChar"/>
    <w:uiPriority w:val="99"/>
    <w:semiHidden/>
    <w:unhideWhenUsed/>
    <w:rsid w:val="009E3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B1"/>
    <w:rPr>
      <w:rFonts w:ascii="Tahoma" w:hAnsi="Tahoma" w:cs="Tahoma"/>
      <w:sz w:val="16"/>
      <w:szCs w:val="16"/>
    </w:rPr>
  </w:style>
  <w:style w:type="paragraph" w:styleId="ListParagraph">
    <w:name w:val="List Paragraph"/>
    <w:basedOn w:val="Normal"/>
    <w:uiPriority w:val="34"/>
    <w:qFormat/>
    <w:rsid w:val="006454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5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2947"/>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semiHidden/>
    <w:rsid w:val="000B294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B2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47"/>
  </w:style>
  <w:style w:type="paragraph" w:styleId="BalloonText">
    <w:name w:val="Balloon Text"/>
    <w:basedOn w:val="Normal"/>
    <w:link w:val="BalloonTextChar"/>
    <w:uiPriority w:val="99"/>
    <w:semiHidden/>
    <w:unhideWhenUsed/>
    <w:rsid w:val="009E3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B1"/>
    <w:rPr>
      <w:rFonts w:ascii="Tahoma" w:hAnsi="Tahoma" w:cs="Tahoma"/>
      <w:sz w:val="16"/>
      <w:szCs w:val="16"/>
    </w:rPr>
  </w:style>
  <w:style w:type="paragraph" w:styleId="ListParagraph">
    <w:name w:val="List Paragraph"/>
    <w:basedOn w:val="Normal"/>
    <w:uiPriority w:val="34"/>
    <w:qFormat/>
    <w:rsid w:val="00645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9339">
      <w:bodyDiv w:val="1"/>
      <w:marLeft w:val="0"/>
      <w:marRight w:val="0"/>
      <w:marTop w:val="0"/>
      <w:marBottom w:val="0"/>
      <w:divBdr>
        <w:top w:val="none" w:sz="0" w:space="0" w:color="auto"/>
        <w:left w:val="none" w:sz="0" w:space="0" w:color="auto"/>
        <w:bottom w:val="none" w:sz="0" w:space="0" w:color="auto"/>
        <w:right w:val="none" w:sz="0" w:space="0" w:color="auto"/>
      </w:divBdr>
    </w:div>
    <w:div w:id="360474410">
      <w:bodyDiv w:val="1"/>
      <w:marLeft w:val="0"/>
      <w:marRight w:val="0"/>
      <w:marTop w:val="0"/>
      <w:marBottom w:val="0"/>
      <w:divBdr>
        <w:top w:val="none" w:sz="0" w:space="0" w:color="auto"/>
        <w:left w:val="none" w:sz="0" w:space="0" w:color="auto"/>
        <w:bottom w:val="none" w:sz="0" w:space="0" w:color="auto"/>
        <w:right w:val="none" w:sz="0" w:space="0" w:color="auto"/>
      </w:divBdr>
    </w:div>
    <w:div w:id="372191950">
      <w:bodyDiv w:val="1"/>
      <w:marLeft w:val="0"/>
      <w:marRight w:val="0"/>
      <w:marTop w:val="0"/>
      <w:marBottom w:val="0"/>
      <w:divBdr>
        <w:top w:val="none" w:sz="0" w:space="0" w:color="auto"/>
        <w:left w:val="none" w:sz="0" w:space="0" w:color="auto"/>
        <w:bottom w:val="none" w:sz="0" w:space="0" w:color="auto"/>
        <w:right w:val="none" w:sz="0" w:space="0" w:color="auto"/>
      </w:divBdr>
    </w:div>
    <w:div w:id="506485854">
      <w:bodyDiv w:val="1"/>
      <w:marLeft w:val="0"/>
      <w:marRight w:val="0"/>
      <w:marTop w:val="0"/>
      <w:marBottom w:val="0"/>
      <w:divBdr>
        <w:top w:val="none" w:sz="0" w:space="0" w:color="auto"/>
        <w:left w:val="none" w:sz="0" w:space="0" w:color="auto"/>
        <w:bottom w:val="none" w:sz="0" w:space="0" w:color="auto"/>
        <w:right w:val="none" w:sz="0" w:space="0" w:color="auto"/>
      </w:divBdr>
    </w:div>
    <w:div w:id="543834884">
      <w:bodyDiv w:val="1"/>
      <w:marLeft w:val="0"/>
      <w:marRight w:val="0"/>
      <w:marTop w:val="0"/>
      <w:marBottom w:val="0"/>
      <w:divBdr>
        <w:top w:val="none" w:sz="0" w:space="0" w:color="auto"/>
        <w:left w:val="none" w:sz="0" w:space="0" w:color="auto"/>
        <w:bottom w:val="none" w:sz="0" w:space="0" w:color="auto"/>
        <w:right w:val="none" w:sz="0" w:space="0" w:color="auto"/>
      </w:divBdr>
    </w:div>
    <w:div w:id="709036261">
      <w:bodyDiv w:val="1"/>
      <w:marLeft w:val="0"/>
      <w:marRight w:val="0"/>
      <w:marTop w:val="0"/>
      <w:marBottom w:val="0"/>
      <w:divBdr>
        <w:top w:val="none" w:sz="0" w:space="0" w:color="auto"/>
        <w:left w:val="none" w:sz="0" w:space="0" w:color="auto"/>
        <w:bottom w:val="none" w:sz="0" w:space="0" w:color="auto"/>
        <w:right w:val="none" w:sz="0" w:space="0" w:color="auto"/>
      </w:divBdr>
    </w:div>
    <w:div w:id="1116556392">
      <w:bodyDiv w:val="1"/>
      <w:marLeft w:val="0"/>
      <w:marRight w:val="0"/>
      <w:marTop w:val="0"/>
      <w:marBottom w:val="0"/>
      <w:divBdr>
        <w:top w:val="none" w:sz="0" w:space="0" w:color="auto"/>
        <w:left w:val="none" w:sz="0" w:space="0" w:color="auto"/>
        <w:bottom w:val="none" w:sz="0" w:space="0" w:color="auto"/>
        <w:right w:val="none" w:sz="0" w:space="0" w:color="auto"/>
      </w:divBdr>
    </w:div>
    <w:div w:id="1267080114">
      <w:bodyDiv w:val="1"/>
      <w:marLeft w:val="0"/>
      <w:marRight w:val="0"/>
      <w:marTop w:val="0"/>
      <w:marBottom w:val="0"/>
      <w:divBdr>
        <w:top w:val="none" w:sz="0" w:space="0" w:color="auto"/>
        <w:left w:val="none" w:sz="0" w:space="0" w:color="auto"/>
        <w:bottom w:val="none" w:sz="0" w:space="0" w:color="auto"/>
        <w:right w:val="none" w:sz="0" w:space="0" w:color="auto"/>
      </w:divBdr>
    </w:div>
    <w:div w:id="1292980017">
      <w:bodyDiv w:val="1"/>
      <w:marLeft w:val="0"/>
      <w:marRight w:val="0"/>
      <w:marTop w:val="0"/>
      <w:marBottom w:val="0"/>
      <w:divBdr>
        <w:top w:val="none" w:sz="0" w:space="0" w:color="auto"/>
        <w:left w:val="none" w:sz="0" w:space="0" w:color="auto"/>
        <w:bottom w:val="none" w:sz="0" w:space="0" w:color="auto"/>
        <w:right w:val="none" w:sz="0" w:space="0" w:color="auto"/>
      </w:divBdr>
    </w:div>
    <w:div w:id="1460220759">
      <w:bodyDiv w:val="1"/>
      <w:marLeft w:val="0"/>
      <w:marRight w:val="0"/>
      <w:marTop w:val="0"/>
      <w:marBottom w:val="0"/>
      <w:divBdr>
        <w:top w:val="none" w:sz="0" w:space="0" w:color="auto"/>
        <w:left w:val="none" w:sz="0" w:space="0" w:color="auto"/>
        <w:bottom w:val="none" w:sz="0" w:space="0" w:color="auto"/>
        <w:right w:val="none" w:sz="0" w:space="0" w:color="auto"/>
      </w:divBdr>
    </w:div>
    <w:div w:id="1525750737">
      <w:bodyDiv w:val="1"/>
      <w:marLeft w:val="0"/>
      <w:marRight w:val="0"/>
      <w:marTop w:val="0"/>
      <w:marBottom w:val="0"/>
      <w:divBdr>
        <w:top w:val="none" w:sz="0" w:space="0" w:color="auto"/>
        <w:left w:val="none" w:sz="0" w:space="0" w:color="auto"/>
        <w:bottom w:val="none" w:sz="0" w:space="0" w:color="auto"/>
        <w:right w:val="none" w:sz="0" w:space="0" w:color="auto"/>
      </w:divBdr>
    </w:div>
    <w:div w:id="1579051201">
      <w:bodyDiv w:val="1"/>
      <w:marLeft w:val="0"/>
      <w:marRight w:val="0"/>
      <w:marTop w:val="0"/>
      <w:marBottom w:val="0"/>
      <w:divBdr>
        <w:top w:val="none" w:sz="0" w:space="0" w:color="auto"/>
        <w:left w:val="none" w:sz="0" w:space="0" w:color="auto"/>
        <w:bottom w:val="none" w:sz="0" w:space="0" w:color="auto"/>
        <w:right w:val="none" w:sz="0" w:space="0" w:color="auto"/>
      </w:divBdr>
    </w:div>
    <w:div w:id="1720745259">
      <w:bodyDiv w:val="1"/>
      <w:marLeft w:val="0"/>
      <w:marRight w:val="0"/>
      <w:marTop w:val="0"/>
      <w:marBottom w:val="0"/>
      <w:divBdr>
        <w:top w:val="none" w:sz="0" w:space="0" w:color="auto"/>
        <w:left w:val="none" w:sz="0" w:space="0" w:color="auto"/>
        <w:bottom w:val="none" w:sz="0" w:space="0" w:color="auto"/>
        <w:right w:val="none" w:sz="0" w:space="0" w:color="auto"/>
      </w:divBdr>
    </w:div>
    <w:div w:id="1770390434">
      <w:bodyDiv w:val="1"/>
      <w:marLeft w:val="0"/>
      <w:marRight w:val="0"/>
      <w:marTop w:val="0"/>
      <w:marBottom w:val="0"/>
      <w:divBdr>
        <w:top w:val="none" w:sz="0" w:space="0" w:color="auto"/>
        <w:left w:val="none" w:sz="0" w:space="0" w:color="auto"/>
        <w:bottom w:val="none" w:sz="0" w:space="0" w:color="auto"/>
        <w:right w:val="none" w:sz="0" w:space="0" w:color="auto"/>
      </w:divBdr>
    </w:div>
    <w:div w:id="1928268228">
      <w:bodyDiv w:val="1"/>
      <w:marLeft w:val="0"/>
      <w:marRight w:val="0"/>
      <w:marTop w:val="0"/>
      <w:marBottom w:val="0"/>
      <w:divBdr>
        <w:top w:val="none" w:sz="0" w:space="0" w:color="auto"/>
        <w:left w:val="none" w:sz="0" w:space="0" w:color="auto"/>
        <w:bottom w:val="none" w:sz="0" w:space="0" w:color="auto"/>
        <w:right w:val="none" w:sz="0" w:space="0" w:color="auto"/>
      </w:divBdr>
    </w:div>
    <w:div w:id="212719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chine.anyaegbu</dc:creator>
  <cp:lastModifiedBy>Smith Hannah (RNU) Oxford Health</cp:lastModifiedBy>
  <cp:revision>18</cp:revision>
  <cp:lastPrinted>2012-08-22T12:25:00Z</cp:lastPrinted>
  <dcterms:created xsi:type="dcterms:W3CDTF">2013-10-07T17:25:00Z</dcterms:created>
  <dcterms:modified xsi:type="dcterms:W3CDTF">2013-10-07T17:53:00Z</dcterms:modified>
</cp:coreProperties>
</file>