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B331E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EF2CBE">
      <w:pPr>
        <w:jc w:val="center"/>
        <w:rPr>
          <w:rFonts w:ascii="Frutiger" w:hAnsi="Frutiger"/>
        </w:rPr>
      </w:pPr>
      <w:r w:rsidRPr="00EF2CBE">
        <w:rPr>
          <w:noProof/>
          <w:sz w:val="20"/>
          <w:lang w:val="en-GB" w:eastAsia="en-GB"/>
        </w:rPr>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FE511B" w:rsidRDefault="00FE511B">
                  <w:pPr>
                    <w:pStyle w:val="Heading1"/>
                    <w:jc w:val="center"/>
                    <w:rPr>
                      <w:sz w:val="24"/>
                      <w:u w:val="none"/>
                    </w:rPr>
                  </w:pPr>
                  <w:r>
                    <w:rPr>
                      <w:sz w:val="24"/>
                      <w:u w:val="none"/>
                    </w:rPr>
                    <w:t>PAPER</w:t>
                  </w:r>
                </w:p>
                <w:p w:rsidR="00FE511B" w:rsidRDefault="00724DA2">
                  <w:pPr>
                    <w:pStyle w:val="BodyText"/>
                    <w:rPr>
                      <w:sz w:val="22"/>
                    </w:rPr>
                  </w:pPr>
                  <w:r>
                    <w:rPr>
                      <w:sz w:val="22"/>
                    </w:rPr>
                    <w:t>BOD 129/2013</w:t>
                  </w:r>
                </w:p>
                <w:p w:rsidR="00FE511B" w:rsidRPr="00724DA2" w:rsidRDefault="00724DA2">
                  <w:pPr>
                    <w:jc w:val="center"/>
                    <w:rPr>
                      <w:rFonts w:ascii="Arial" w:hAnsi="Arial" w:cs="Arial"/>
                      <w:sz w:val="20"/>
                      <w:szCs w:val="20"/>
                    </w:rPr>
                  </w:pPr>
                  <w:r>
                    <w:rPr>
                      <w:rFonts w:ascii="Arial" w:hAnsi="Arial" w:cs="Arial"/>
                      <w:sz w:val="20"/>
                      <w:szCs w:val="20"/>
                    </w:rPr>
                    <w:t>(Agenda Item: 9)</w:t>
                  </w:r>
                </w:p>
              </w:txbxContent>
            </v:textbox>
          </v:rect>
        </w:pic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B178EA" w:rsidRDefault="00B178EA">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724DA2">
      <w:pPr>
        <w:jc w:val="center"/>
        <w:rPr>
          <w:rFonts w:ascii="Arial" w:hAnsi="Arial" w:cs="Arial"/>
          <w:b/>
        </w:rPr>
      </w:pPr>
      <w:r>
        <w:rPr>
          <w:rFonts w:ascii="Arial" w:hAnsi="Arial" w:cs="Arial"/>
          <w:b/>
        </w:rPr>
        <w:t>27</w:t>
      </w:r>
      <w:r w:rsidR="00A7688B">
        <w:rPr>
          <w:rFonts w:ascii="Arial" w:hAnsi="Arial" w:cs="Arial"/>
          <w:b/>
        </w:rPr>
        <w:t xml:space="preserve"> </w:t>
      </w:r>
      <w:r w:rsidR="00773D40">
        <w:rPr>
          <w:rFonts w:ascii="Arial" w:hAnsi="Arial" w:cs="Arial"/>
          <w:b/>
        </w:rPr>
        <w:t>November</w:t>
      </w:r>
      <w:r w:rsidR="007E6A78">
        <w:rPr>
          <w:rFonts w:ascii="Arial" w:hAnsi="Arial" w:cs="Arial"/>
          <w:b/>
        </w:rPr>
        <w:t xml:space="preserve"> 2013</w:t>
      </w:r>
    </w:p>
    <w:p w:rsidR="005D3499" w:rsidRDefault="005D3499">
      <w:pPr>
        <w:jc w:val="center"/>
        <w:rPr>
          <w:rFonts w:ascii="Arial" w:hAnsi="Arial" w:cs="Arial"/>
          <w:b/>
        </w:rPr>
      </w:pPr>
    </w:p>
    <w:p w:rsidR="005D3499" w:rsidRDefault="00B331E7">
      <w:pPr>
        <w:jc w:val="center"/>
        <w:rPr>
          <w:rFonts w:ascii="Arial" w:hAnsi="Arial" w:cs="Arial"/>
          <w:b/>
        </w:rPr>
      </w:pPr>
      <w:r>
        <w:rPr>
          <w:rFonts w:ascii="Arial" w:hAnsi="Arial" w:cs="Arial"/>
          <w:b/>
        </w:rPr>
        <w:t xml:space="preserve">Workforce Performance Report – </w:t>
      </w:r>
      <w:r w:rsidR="00773D40">
        <w:rPr>
          <w:rFonts w:ascii="Arial" w:hAnsi="Arial" w:cs="Arial"/>
          <w:b/>
        </w:rPr>
        <w:t>October</w:t>
      </w:r>
      <w:r w:rsidR="0079400B">
        <w:rPr>
          <w:rFonts w:ascii="Arial" w:hAnsi="Arial" w:cs="Arial"/>
          <w:b/>
        </w:rPr>
        <w:t xml:space="preserve"> 2013</w:t>
      </w:r>
    </w:p>
    <w:p w:rsidR="005D3499" w:rsidRDefault="005D3499">
      <w:pPr>
        <w:rPr>
          <w:rFonts w:ascii="Arial" w:hAnsi="Arial" w:cs="Arial"/>
          <w:b/>
        </w:rPr>
      </w:pPr>
    </w:p>
    <w:p w:rsidR="005D3499" w:rsidRDefault="005D3499">
      <w:pPr>
        <w:rPr>
          <w:rFonts w:ascii="Arial" w:hAnsi="Arial" w:cs="Arial"/>
          <w:b/>
        </w:rPr>
      </w:pPr>
    </w:p>
    <w:p w:rsidR="00292613" w:rsidRPr="00292613" w:rsidRDefault="00292613" w:rsidP="00292613">
      <w:pPr>
        <w:rPr>
          <w:rFonts w:ascii="Arial" w:hAnsi="Arial" w:cs="Arial"/>
          <w:b/>
          <w:u w:val="single"/>
        </w:rPr>
      </w:pPr>
      <w:r w:rsidRPr="00292613">
        <w:rPr>
          <w:rFonts w:ascii="Arial" w:hAnsi="Arial" w:cs="Arial"/>
          <w:b/>
          <w:u w:val="single"/>
        </w:rPr>
        <w:t>For</w:t>
      </w:r>
      <w:r>
        <w:rPr>
          <w:rFonts w:ascii="Arial" w:hAnsi="Arial" w:cs="Arial"/>
          <w:b/>
          <w:u w:val="single"/>
        </w:rPr>
        <w:t>:</w:t>
      </w:r>
      <w:r w:rsidR="00B331E7">
        <w:rPr>
          <w:rFonts w:ascii="Arial" w:hAnsi="Arial" w:cs="Arial"/>
          <w:b/>
          <w:u w:val="single"/>
        </w:rPr>
        <w:t xml:space="preserve"> </w:t>
      </w:r>
      <w:r w:rsidRPr="00292613">
        <w:rPr>
          <w:rFonts w:ascii="Arial" w:hAnsi="Arial" w:cs="Arial"/>
          <w:b/>
          <w:u w:val="single"/>
        </w:rPr>
        <w:t>Information</w:t>
      </w:r>
      <w:r>
        <w:rPr>
          <w:rFonts w:ascii="Arial" w:hAnsi="Arial" w:cs="Arial"/>
        </w:rPr>
        <w:t xml:space="preserve"> </w:t>
      </w:r>
    </w:p>
    <w:p w:rsidR="00292613" w:rsidRDefault="00292613">
      <w:pPr>
        <w:rPr>
          <w:rFonts w:ascii="Arial" w:hAnsi="Arial" w:cs="Arial"/>
          <w:b/>
        </w:rPr>
      </w:pPr>
    </w:p>
    <w:p w:rsidR="0086348C" w:rsidRDefault="00C0085C" w:rsidP="00B331E7">
      <w:pPr>
        <w:jc w:val="both"/>
        <w:rPr>
          <w:rFonts w:ascii="Arial" w:hAnsi="Arial" w:cs="Arial"/>
        </w:rPr>
      </w:pPr>
      <w:r>
        <w:rPr>
          <w:rFonts w:ascii="Arial" w:hAnsi="Arial" w:cs="Arial"/>
        </w:rPr>
        <w:t xml:space="preserve">The attached report shows the position on the workforce performance indicators as at the end of </w:t>
      </w:r>
      <w:r w:rsidR="00773D40">
        <w:rPr>
          <w:rFonts w:ascii="Arial" w:hAnsi="Arial" w:cs="Arial"/>
        </w:rPr>
        <w:t>October</w:t>
      </w:r>
      <w:r w:rsidR="0086348C">
        <w:rPr>
          <w:rFonts w:ascii="Arial" w:hAnsi="Arial" w:cs="Arial"/>
        </w:rPr>
        <w:t xml:space="preserve"> 2013 (</w:t>
      </w:r>
      <w:r w:rsidR="00773D40">
        <w:rPr>
          <w:rFonts w:ascii="Arial" w:hAnsi="Arial" w:cs="Arial"/>
        </w:rPr>
        <w:t>September</w:t>
      </w:r>
      <w:r w:rsidR="0086348C">
        <w:rPr>
          <w:rFonts w:ascii="Arial" w:hAnsi="Arial" w:cs="Arial"/>
        </w:rPr>
        <w:t xml:space="preserve"> sickness).</w:t>
      </w:r>
      <w:r>
        <w:rPr>
          <w:rFonts w:ascii="Arial" w:hAnsi="Arial" w:cs="Arial"/>
        </w:rPr>
        <w:t xml:space="preserve"> </w:t>
      </w:r>
    </w:p>
    <w:p w:rsidR="0086348C" w:rsidRDefault="0086348C" w:rsidP="00B331E7">
      <w:pPr>
        <w:jc w:val="both"/>
        <w:rPr>
          <w:rFonts w:ascii="Arial" w:hAnsi="Arial" w:cs="Arial"/>
        </w:rPr>
      </w:pPr>
    </w:p>
    <w:p w:rsidR="00E7072F" w:rsidRDefault="00262FEA" w:rsidP="00B331E7">
      <w:pPr>
        <w:jc w:val="both"/>
        <w:rPr>
          <w:rFonts w:ascii="Arial" w:hAnsi="Arial" w:cs="Arial"/>
        </w:rPr>
      </w:pPr>
      <w:r>
        <w:rPr>
          <w:rFonts w:ascii="Arial" w:hAnsi="Arial" w:cs="Arial"/>
        </w:rPr>
        <w:t>Turnover</w:t>
      </w:r>
      <w:r w:rsidR="00E7072F">
        <w:rPr>
          <w:rFonts w:ascii="Arial" w:hAnsi="Arial" w:cs="Arial"/>
        </w:rPr>
        <w:t xml:space="preserve"> and sickness absence figures have improved on last month</w:t>
      </w:r>
      <w:r w:rsidR="00FE511B">
        <w:rPr>
          <w:rFonts w:ascii="Arial" w:hAnsi="Arial" w:cs="Arial"/>
        </w:rPr>
        <w:t xml:space="preserve">; </w:t>
      </w:r>
      <w:r w:rsidR="00E7072F">
        <w:rPr>
          <w:rFonts w:ascii="Arial" w:hAnsi="Arial" w:cs="Arial"/>
        </w:rPr>
        <w:t xml:space="preserve">Bank and Agency usage fell but </w:t>
      </w:r>
      <w:proofErr w:type="spellStart"/>
      <w:r w:rsidR="00E7072F">
        <w:rPr>
          <w:rFonts w:ascii="Arial" w:hAnsi="Arial" w:cs="Arial"/>
        </w:rPr>
        <w:t>sessional</w:t>
      </w:r>
      <w:proofErr w:type="spellEnd"/>
      <w:r w:rsidR="00E7072F">
        <w:rPr>
          <w:rFonts w:ascii="Arial" w:hAnsi="Arial" w:cs="Arial"/>
        </w:rPr>
        <w:t xml:space="preserve"> use increased slightly.  All divisions are below target in bank and agency usage using less costly means of filling flexible staffing requirements.</w:t>
      </w:r>
    </w:p>
    <w:p w:rsidR="00E7072F" w:rsidRDefault="00E7072F" w:rsidP="00B331E7">
      <w:pPr>
        <w:jc w:val="both"/>
        <w:rPr>
          <w:rFonts w:ascii="Arial" w:hAnsi="Arial" w:cs="Arial"/>
        </w:rPr>
      </w:pPr>
    </w:p>
    <w:p w:rsidR="00E7072F" w:rsidRDefault="00FE511B" w:rsidP="00B331E7">
      <w:pPr>
        <w:jc w:val="both"/>
        <w:rPr>
          <w:rFonts w:ascii="Arial" w:hAnsi="Arial" w:cs="Arial"/>
        </w:rPr>
      </w:pPr>
      <w:r>
        <w:rPr>
          <w:rFonts w:ascii="Arial" w:hAnsi="Arial" w:cs="Arial"/>
        </w:rPr>
        <w:t>Intensive management of sickness absence cases has lead to a decrease in long-term sickness with a number of people returning to work or leaving the Trust.</w:t>
      </w:r>
    </w:p>
    <w:p w:rsidR="00FE511B" w:rsidRDefault="00FE511B" w:rsidP="00B331E7">
      <w:pPr>
        <w:jc w:val="both"/>
        <w:rPr>
          <w:rFonts w:ascii="Arial" w:hAnsi="Arial" w:cs="Arial"/>
        </w:rPr>
      </w:pPr>
    </w:p>
    <w:p w:rsidR="00593FDC" w:rsidRDefault="00FE511B" w:rsidP="00B331E7">
      <w:pPr>
        <w:jc w:val="both"/>
        <w:rPr>
          <w:rFonts w:ascii="Arial" w:hAnsi="Arial" w:cs="Arial"/>
        </w:rPr>
      </w:pPr>
      <w:r>
        <w:rPr>
          <w:rFonts w:ascii="Arial" w:hAnsi="Arial" w:cs="Arial"/>
        </w:rPr>
        <w:t xml:space="preserve">In line with a high number of leavers last month vacancies have increased and recruitment activity is high.  Vacancy control and MARS are having little impact on the vacancy rate; although the vacancy rate is at its highest for some time this is likely to be more related to the level of leavers and the difficulty in recruiting to some areas. </w:t>
      </w:r>
    </w:p>
    <w:p w:rsidR="00593FDC" w:rsidRDefault="00593FDC" w:rsidP="00B331E7">
      <w:pPr>
        <w:jc w:val="both"/>
        <w:rPr>
          <w:rFonts w:ascii="Arial" w:hAnsi="Arial" w:cs="Arial"/>
        </w:rPr>
      </w:pPr>
    </w:p>
    <w:p w:rsidR="00FE511B" w:rsidRDefault="00FE511B" w:rsidP="00B331E7">
      <w:pPr>
        <w:jc w:val="both"/>
        <w:rPr>
          <w:rFonts w:ascii="Arial" w:hAnsi="Arial" w:cs="Arial"/>
        </w:rPr>
      </w:pPr>
      <w:r>
        <w:rPr>
          <w:rFonts w:ascii="Arial" w:hAnsi="Arial" w:cs="Arial"/>
        </w:rPr>
        <w:t>The HR team is working proactively in a number of areas – producing guidelines for managers, looking at alternative</w:t>
      </w:r>
      <w:r w:rsidR="00593FDC">
        <w:rPr>
          <w:rFonts w:ascii="Arial" w:hAnsi="Arial" w:cs="Arial"/>
        </w:rPr>
        <w:t xml:space="preserve"> recruitment campaigns facilit</w:t>
      </w:r>
      <w:r>
        <w:rPr>
          <w:rFonts w:ascii="Arial" w:hAnsi="Arial" w:cs="Arial"/>
        </w:rPr>
        <w:t>ating managers</w:t>
      </w:r>
      <w:r w:rsidR="00593FDC">
        <w:rPr>
          <w:rFonts w:ascii="Arial" w:hAnsi="Arial" w:cs="Arial"/>
        </w:rPr>
        <w:t xml:space="preserve"> by producing more streamlined processes – for example the manager web portal as a response to its analysis of this data and requests from managers.</w:t>
      </w:r>
    </w:p>
    <w:p w:rsidR="00262FEA" w:rsidRDefault="00262FEA" w:rsidP="00B331E7">
      <w:pPr>
        <w:jc w:val="both"/>
        <w:rPr>
          <w:rFonts w:ascii="Arial" w:hAnsi="Arial" w:cs="Arial"/>
        </w:rPr>
      </w:pPr>
    </w:p>
    <w:p w:rsidR="00262FEA" w:rsidRDefault="00262FEA" w:rsidP="00B331E7">
      <w:pPr>
        <w:jc w:val="both"/>
        <w:rPr>
          <w:rFonts w:ascii="Arial" w:hAnsi="Arial" w:cs="Arial"/>
        </w:rPr>
      </w:pPr>
      <w:r>
        <w:rPr>
          <w:rFonts w:ascii="Arial" w:hAnsi="Arial" w:cs="Arial"/>
        </w:rPr>
        <w:t xml:space="preserve"> </w:t>
      </w:r>
    </w:p>
    <w:p w:rsidR="00DF55CC" w:rsidRPr="00C1757F" w:rsidRDefault="00DF55CC" w:rsidP="0073522A">
      <w:pPr>
        <w:jc w:val="both"/>
        <w:rPr>
          <w:rFonts w:ascii="Arial" w:hAnsi="Arial" w:cs="Arial"/>
          <w:b/>
        </w:rPr>
      </w:pPr>
    </w:p>
    <w:p w:rsidR="0073522A" w:rsidRDefault="0073522A" w:rsidP="0073522A">
      <w:pPr>
        <w:jc w:val="both"/>
        <w:rPr>
          <w:rFonts w:ascii="Arial" w:hAnsi="Arial" w:cs="Arial"/>
          <w:b/>
        </w:rPr>
      </w:pPr>
      <w:r>
        <w:rPr>
          <w:rFonts w:ascii="Arial" w:hAnsi="Arial" w:cs="Arial"/>
          <w:b/>
        </w:rPr>
        <w:lastRenderedPageBreak/>
        <w:t>Recommendation</w:t>
      </w:r>
    </w:p>
    <w:p w:rsidR="0073522A" w:rsidRDefault="0073522A" w:rsidP="0073522A">
      <w:pPr>
        <w:jc w:val="both"/>
        <w:rPr>
          <w:rFonts w:ascii="Arial" w:hAnsi="Arial" w:cs="Arial"/>
        </w:rPr>
      </w:pPr>
    </w:p>
    <w:p w:rsidR="0073522A" w:rsidRDefault="00B331E7" w:rsidP="0073522A">
      <w:pPr>
        <w:jc w:val="both"/>
        <w:rPr>
          <w:rFonts w:ascii="Arial" w:hAnsi="Arial" w:cs="Arial"/>
        </w:rPr>
      </w:pPr>
      <w:r>
        <w:rPr>
          <w:rFonts w:ascii="Arial" w:hAnsi="Arial" w:cs="Arial"/>
        </w:rPr>
        <w:t>The Board is asked to note the report for information.</w:t>
      </w:r>
    </w:p>
    <w:p w:rsidR="005D3499" w:rsidRDefault="005D3499">
      <w:pPr>
        <w:jc w:val="both"/>
        <w:rPr>
          <w:rFonts w:ascii="Arial" w:hAnsi="Arial" w:cs="Arial"/>
          <w:b/>
        </w:rPr>
      </w:pPr>
    </w:p>
    <w:p w:rsidR="0073522A" w:rsidRPr="00B331E7" w:rsidRDefault="002619EF" w:rsidP="008B26CD">
      <w:pPr>
        <w:ind w:left="2160" w:hanging="2160"/>
        <w:jc w:val="both"/>
        <w:rPr>
          <w:rFonts w:ascii="Arial" w:hAnsi="Arial" w:cs="Arial"/>
          <w:b/>
        </w:rPr>
      </w:pPr>
      <w:r>
        <w:rPr>
          <w:rFonts w:ascii="Arial" w:hAnsi="Arial" w:cs="Arial"/>
          <w:b/>
        </w:rPr>
        <w:t>Author and T</w:t>
      </w:r>
      <w:r w:rsidR="0073522A">
        <w:rPr>
          <w:rFonts w:ascii="Arial" w:hAnsi="Arial" w:cs="Arial"/>
          <w:b/>
        </w:rPr>
        <w:t>itle:</w:t>
      </w:r>
      <w:r w:rsidR="0073522A">
        <w:rPr>
          <w:rFonts w:ascii="Arial" w:hAnsi="Arial" w:cs="Arial"/>
        </w:rPr>
        <w:t xml:space="preserve"> </w:t>
      </w:r>
      <w:r w:rsidR="0073522A">
        <w:rPr>
          <w:rFonts w:ascii="Arial" w:hAnsi="Arial" w:cs="Arial"/>
        </w:rPr>
        <w:tab/>
      </w:r>
      <w:r w:rsidR="004D2E50">
        <w:rPr>
          <w:rFonts w:ascii="Arial" w:hAnsi="Arial" w:cs="Arial"/>
          <w:b/>
        </w:rPr>
        <w:t>Jayne Halford, Deputy Director of HR</w:t>
      </w:r>
      <w:r w:rsidR="008B26CD" w:rsidRPr="008B26CD">
        <w:rPr>
          <w:rFonts w:ascii="Arial" w:hAnsi="Arial" w:cs="Arial"/>
          <w:b/>
        </w:rPr>
        <w:t xml:space="preserve"> </w:t>
      </w:r>
    </w:p>
    <w:p w:rsidR="008B26CD" w:rsidRDefault="008B26CD" w:rsidP="00B331E7">
      <w:pPr>
        <w:ind w:left="1440" w:hanging="1440"/>
        <w:jc w:val="both"/>
        <w:rPr>
          <w:rFonts w:ascii="Arial" w:hAnsi="Arial" w:cs="Arial"/>
          <w:b/>
        </w:rPr>
      </w:pPr>
    </w:p>
    <w:p w:rsidR="00B331E7" w:rsidRPr="00B331E7" w:rsidRDefault="0073522A" w:rsidP="008B26CD">
      <w:pPr>
        <w:ind w:left="2880" w:hanging="2880"/>
        <w:jc w:val="both"/>
        <w:rPr>
          <w:rFonts w:ascii="Arial" w:hAnsi="Arial" w:cs="Arial"/>
          <w:b/>
        </w:rPr>
      </w:pPr>
      <w:r>
        <w:rPr>
          <w:rFonts w:ascii="Arial" w:hAnsi="Arial" w:cs="Arial"/>
          <w:b/>
        </w:rPr>
        <w:t>Lead Executive Director:</w:t>
      </w:r>
      <w:r>
        <w:rPr>
          <w:rFonts w:ascii="Arial" w:hAnsi="Arial" w:cs="Arial"/>
          <w:b/>
        </w:rPr>
        <w:tab/>
      </w:r>
      <w:r w:rsidR="002E5759">
        <w:rPr>
          <w:rFonts w:ascii="Arial" w:hAnsi="Arial" w:cs="Arial"/>
          <w:b/>
        </w:rPr>
        <w:t xml:space="preserve">Mike </w:t>
      </w:r>
      <w:r w:rsidR="008B26CD">
        <w:rPr>
          <w:rFonts w:ascii="Arial" w:hAnsi="Arial" w:cs="Arial"/>
          <w:b/>
        </w:rPr>
        <w:t>McEnaney, Director of Finance and Ros Alstead, Director of Nursing</w:t>
      </w:r>
    </w:p>
    <w:p w:rsidR="0073522A" w:rsidRDefault="0073522A" w:rsidP="0073522A">
      <w:pPr>
        <w:jc w:val="both"/>
        <w:rPr>
          <w:rFonts w:ascii="Arial" w:hAnsi="Arial" w:cs="Arial"/>
          <w:b/>
        </w:rPr>
      </w:pPr>
    </w:p>
    <w:p w:rsidR="0073522A" w:rsidRDefault="0073522A">
      <w:pPr>
        <w:jc w:val="both"/>
        <w:rPr>
          <w:rFonts w:ascii="Arial" w:hAnsi="Arial" w:cs="Arial"/>
          <w:b/>
        </w:rPr>
      </w:pPr>
    </w:p>
    <w:p w:rsidR="004F4BBA" w:rsidRPr="00894B97" w:rsidRDefault="002E5759">
      <w:pPr>
        <w:jc w:val="both"/>
        <w:rPr>
          <w:rFonts w:ascii="Arial" w:hAnsi="Arial" w:cs="Arial"/>
        </w:rPr>
      </w:pPr>
      <w:r>
        <w:rPr>
          <w:rFonts w:ascii="Arial" w:hAnsi="Arial" w:cs="Arial"/>
        </w:rPr>
        <w:t>[</w:t>
      </w:r>
      <w:r w:rsidR="0073522A">
        <w:rPr>
          <w:rFonts w:ascii="Arial" w:hAnsi="Arial" w:cs="Arial"/>
        </w:rPr>
        <w:t>Drafting Note: The</w:t>
      </w:r>
      <w:r w:rsidR="004F4BBA" w:rsidRPr="004F4BBA">
        <w:rPr>
          <w:rFonts w:ascii="Arial" w:hAnsi="Arial" w:cs="Arial"/>
        </w:rPr>
        <w:t xml:space="preserve"> </w:t>
      </w:r>
      <w:r w:rsidR="004F4BBA">
        <w:rPr>
          <w:rFonts w:ascii="Arial" w:hAnsi="Arial" w:cs="Arial"/>
        </w:rPr>
        <w:t>following statements m</w:t>
      </w:r>
      <w:r>
        <w:rPr>
          <w:rFonts w:ascii="Arial" w:hAnsi="Arial" w:cs="Arial"/>
        </w:rPr>
        <w:t>ust be attached to every report</w:t>
      </w:r>
      <w:r w:rsidR="00B26E1A">
        <w:rPr>
          <w:rFonts w:ascii="Arial" w:hAnsi="Arial" w:cs="Arial"/>
        </w:rPr>
        <w:t>]</w:t>
      </w:r>
    </w:p>
    <w:p w:rsidR="004F4BBA" w:rsidRDefault="004F4BBA" w:rsidP="004F4BBA">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sidR="0073522A">
        <w:rPr>
          <w:rFonts w:ascii="Arial" w:hAnsi="Arial" w:cs="Arial"/>
          <w:i/>
          <w:sz w:val="20"/>
          <w:szCs w:val="20"/>
        </w:rPr>
        <w:t>eferred to the Trust Solicitors.</w:t>
      </w:r>
    </w:p>
    <w:p w:rsidR="00AA0C3F" w:rsidRDefault="00AA0C3F" w:rsidP="00AA0C3F">
      <w:pPr>
        <w:jc w:val="both"/>
        <w:rPr>
          <w:rFonts w:ascii="Arial" w:hAnsi="Arial" w:cs="Arial"/>
          <w:i/>
          <w:sz w:val="20"/>
          <w:szCs w:val="20"/>
        </w:rPr>
      </w:pPr>
    </w:p>
    <w:p w:rsidR="00AA0C3F" w:rsidRDefault="00781566" w:rsidP="004F4BBA">
      <w:pPr>
        <w:numPr>
          <w:ilvl w:val="0"/>
          <w:numId w:val="2"/>
        </w:numPr>
        <w:jc w:val="both"/>
        <w:rPr>
          <w:rFonts w:ascii="Arial" w:hAnsi="Arial" w:cs="Arial"/>
          <w:i/>
          <w:sz w:val="20"/>
          <w:szCs w:val="20"/>
        </w:rPr>
      </w:pPr>
      <w:r>
        <w:rPr>
          <w:rFonts w:ascii="Arial" w:hAnsi="Arial" w:cs="Arial"/>
          <w:i/>
          <w:sz w:val="20"/>
          <w:szCs w:val="20"/>
        </w:rPr>
        <w:t>This paper (including all appendices) has been assessed against the Freedom of Information Act and the following applies: [</w:t>
      </w:r>
      <w:r w:rsidRPr="00781566">
        <w:rPr>
          <w:rFonts w:ascii="Arial" w:hAnsi="Arial" w:cs="Arial"/>
          <w:i/>
          <w:sz w:val="20"/>
          <w:szCs w:val="20"/>
          <w:u w:val="single"/>
        </w:rPr>
        <w:t>delete as appropriate</w:t>
      </w:r>
      <w:r>
        <w:rPr>
          <w:rFonts w:ascii="Arial" w:hAnsi="Arial" w:cs="Arial"/>
          <w:i/>
          <w:sz w:val="20"/>
          <w:szCs w:val="20"/>
        </w:rPr>
        <w:t>]</w:t>
      </w:r>
    </w:p>
    <w:p w:rsidR="00781566" w:rsidRDefault="00781566" w:rsidP="00781566">
      <w:pPr>
        <w:numPr>
          <w:ilvl w:val="0"/>
          <w:numId w:val="3"/>
        </w:numPr>
        <w:jc w:val="both"/>
        <w:rPr>
          <w:rFonts w:ascii="Arial" w:hAnsi="Arial" w:cs="Arial"/>
          <w:i/>
          <w:sz w:val="20"/>
          <w:szCs w:val="20"/>
        </w:rPr>
      </w:pPr>
      <w:r>
        <w:rPr>
          <w:rFonts w:ascii="Arial" w:hAnsi="Arial" w:cs="Arial"/>
          <w:i/>
          <w:sz w:val="20"/>
          <w:szCs w:val="20"/>
        </w:rPr>
        <w:t>THIS PAPER MAY BE PUBLISHED UNDER FOI</w:t>
      </w:r>
    </w:p>
    <w:p w:rsidR="00781566" w:rsidRDefault="00781566" w:rsidP="002E5759">
      <w:pPr>
        <w:jc w:val="both"/>
        <w:rPr>
          <w:rFonts w:ascii="Arial" w:hAnsi="Arial" w:cs="Arial"/>
          <w:i/>
          <w:sz w:val="20"/>
          <w:szCs w:val="20"/>
        </w:rPr>
      </w:pPr>
    </w:p>
    <w:p w:rsidR="00AA0C3F" w:rsidRPr="0073522A" w:rsidRDefault="00AA0C3F" w:rsidP="00AA0C3F">
      <w:pPr>
        <w:jc w:val="both"/>
        <w:rPr>
          <w:rFonts w:ascii="Arial" w:hAnsi="Arial" w:cs="Arial"/>
          <w:i/>
          <w:sz w:val="20"/>
          <w:szCs w:val="20"/>
        </w:rPr>
      </w:pPr>
    </w:p>
    <w:p w:rsidR="005D3499" w:rsidRPr="00AF0562" w:rsidRDefault="004F4BBA">
      <w:pPr>
        <w:numPr>
          <w:ilvl w:val="0"/>
          <w:numId w:val="2"/>
        </w:numPr>
        <w:jc w:val="both"/>
        <w:rPr>
          <w:rFonts w:ascii="Arial" w:hAnsi="Arial" w:cs="Arial"/>
          <w:sz w:val="20"/>
          <w:szCs w:val="20"/>
        </w:rPr>
      </w:pPr>
      <w:r w:rsidRPr="0073522A">
        <w:rPr>
          <w:rFonts w:ascii="Arial" w:hAnsi="Arial" w:cs="Arial"/>
          <w:i/>
          <w:sz w:val="20"/>
          <w:szCs w:val="20"/>
        </w:rPr>
        <w:t>This paper provides assurance and evidence against the</w:t>
      </w:r>
      <w:r w:rsidR="00946E6E">
        <w:rPr>
          <w:rFonts w:ascii="Arial" w:hAnsi="Arial" w:cs="Arial"/>
          <w:i/>
          <w:sz w:val="20"/>
          <w:szCs w:val="20"/>
        </w:rPr>
        <w:t xml:space="preserve"> Care Quality Commission Outcome: </w:t>
      </w:r>
      <w:r w:rsidRPr="0073522A">
        <w:rPr>
          <w:rFonts w:ascii="Arial" w:hAnsi="Arial" w:cs="Arial"/>
          <w:i/>
          <w:sz w:val="20"/>
          <w:szCs w:val="20"/>
        </w:rPr>
        <w:t xml:space="preserve"> </w:t>
      </w:r>
      <w:r w:rsidR="0073522A" w:rsidRPr="0073522A">
        <w:rPr>
          <w:rFonts w:ascii="Arial" w:hAnsi="Arial" w:cs="Arial"/>
          <w:i/>
          <w:sz w:val="20"/>
          <w:szCs w:val="20"/>
        </w:rPr>
        <w:t xml:space="preserve">[Input </w:t>
      </w:r>
      <w:r w:rsidR="00946E6E">
        <w:rPr>
          <w:rFonts w:ascii="Arial" w:hAnsi="Arial" w:cs="Arial"/>
          <w:i/>
          <w:sz w:val="20"/>
          <w:szCs w:val="20"/>
        </w:rPr>
        <w:t xml:space="preserve">Outcome number – </w:t>
      </w:r>
      <w:r w:rsidR="002E5759">
        <w:rPr>
          <w:rFonts w:ascii="Arial" w:hAnsi="Arial" w:cs="Arial"/>
          <w:i/>
          <w:sz w:val="20"/>
          <w:szCs w:val="20"/>
        </w:rPr>
        <w:t xml:space="preserve"> </w:t>
      </w:r>
      <w:proofErr w:type="spellStart"/>
      <w:r w:rsidR="002E5759">
        <w:rPr>
          <w:rFonts w:ascii="Arial" w:hAnsi="Arial" w:cs="Arial"/>
          <w:i/>
          <w:sz w:val="20"/>
          <w:szCs w:val="20"/>
        </w:rPr>
        <w:t>ie</w:t>
      </w:r>
      <w:proofErr w:type="spellEnd"/>
      <w:r w:rsidR="002E5759">
        <w:rPr>
          <w:rFonts w:ascii="Arial" w:hAnsi="Arial" w:cs="Arial"/>
          <w:i/>
          <w:sz w:val="20"/>
          <w:szCs w:val="20"/>
        </w:rPr>
        <w:t xml:space="preserve"> 12,13,14</w:t>
      </w:r>
      <w:r w:rsidR="0073522A" w:rsidRPr="0073522A">
        <w:rPr>
          <w:rFonts w:ascii="Arial" w:hAnsi="Arial" w:cs="Arial"/>
          <w:i/>
          <w:sz w:val="20"/>
          <w:szCs w:val="20"/>
        </w:rPr>
        <w:t>]</w:t>
      </w:r>
    </w:p>
    <w:p w:rsidR="00AF0562" w:rsidRPr="0073522A" w:rsidRDefault="00AF0562" w:rsidP="00AF0562">
      <w:pPr>
        <w:ind w:left="720"/>
        <w:jc w:val="both"/>
        <w:rPr>
          <w:rFonts w:ascii="Arial" w:hAnsi="Arial" w:cs="Arial"/>
          <w:sz w:val="20"/>
          <w:szCs w:val="20"/>
        </w:rPr>
      </w:pPr>
      <w:bookmarkStart w:id="0" w:name="_GoBack"/>
      <w:bookmarkEnd w:id="0"/>
    </w:p>
    <w:sectPr w:rsidR="00AF0562" w:rsidRPr="0073522A" w:rsidSect="00FE113A">
      <w:head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11B" w:rsidRDefault="00FE511B" w:rsidP="005B3E3C">
      <w:r>
        <w:separator/>
      </w:r>
    </w:p>
  </w:endnote>
  <w:endnote w:type="continuationSeparator" w:id="0">
    <w:p w:rsidR="00FE511B" w:rsidRDefault="00FE511B" w:rsidP="005B3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11B" w:rsidRDefault="00FE511B" w:rsidP="005B3E3C">
      <w:r>
        <w:separator/>
      </w:r>
    </w:p>
  </w:footnote>
  <w:footnote w:type="continuationSeparator" w:id="0">
    <w:p w:rsidR="00FE511B" w:rsidRDefault="00FE511B" w:rsidP="005B3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11B" w:rsidRPr="005B3E3C" w:rsidRDefault="00FE511B" w:rsidP="005B3E3C">
    <w:pPr>
      <w:pStyle w:val="Header"/>
      <w:jc w:val="center"/>
      <w:rPr>
        <w:rFonts w:ascii="Arial" w:hAnsi="Arial" w:cs="Arial"/>
      </w:rPr>
    </w:pPr>
    <w:r>
      <w:rPr>
        <w:rFonts w:ascii="Arial" w:hAnsi="Arial" w:cs="Arial"/>
        <w:b/>
        <w:i/>
      </w:rPr>
      <w:t>PUBLIC</w:t>
    </w:r>
    <w:r>
      <w:rPr>
        <w:rFonts w:ascii="Arial" w:hAnsi="Arial" w:cs="Arial"/>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hdrShapeDefaults>
    <o:shapedefaults v:ext="edit" spidmax="18433"/>
  </w:hdrShapeDefaults>
  <w:footnotePr>
    <w:footnote w:id="-1"/>
    <w:footnote w:id="0"/>
  </w:footnotePr>
  <w:endnotePr>
    <w:endnote w:id="-1"/>
    <w:endnote w:id="0"/>
  </w:endnotePr>
  <w:compat/>
  <w:rsids>
    <w:rsidRoot w:val="002A73E8"/>
    <w:rsid w:val="0007701B"/>
    <w:rsid w:val="00096400"/>
    <w:rsid w:val="00141B27"/>
    <w:rsid w:val="00177FF2"/>
    <w:rsid w:val="001A0E8A"/>
    <w:rsid w:val="001D56ED"/>
    <w:rsid w:val="001F2110"/>
    <w:rsid w:val="001F2B88"/>
    <w:rsid w:val="001F76ED"/>
    <w:rsid w:val="00227FCE"/>
    <w:rsid w:val="0025677D"/>
    <w:rsid w:val="002619EF"/>
    <w:rsid w:val="00262FEA"/>
    <w:rsid w:val="00276223"/>
    <w:rsid w:val="002821F8"/>
    <w:rsid w:val="00292613"/>
    <w:rsid w:val="002A73E8"/>
    <w:rsid w:val="002C2F97"/>
    <w:rsid w:val="002E5759"/>
    <w:rsid w:val="002E6FC6"/>
    <w:rsid w:val="003971F6"/>
    <w:rsid w:val="003C0664"/>
    <w:rsid w:val="003C1994"/>
    <w:rsid w:val="00400EBF"/>
    <w:rsid w:val="0043226F"/>
    <w:rsid w:val="004326BB"/>
    <w:rsid w:val="004D2E50"/>
    <w:rsid w:val="004F4BBA"/>
    <w:rsid w:val="00512430"/>
    <w:rsid w:val="005233AA"/>
    <w:rsid w:val="00545906"/>
    <w:rsid w:val="00551B0F"/>
    <w:rsid w:val="005659FB"/>
    <w:rsid w:val="00593FDC"/>
    <w:rsid w:val="005B3E3C"/>
    <w:rsid w:val="005C3FC1"/>
    <w:rsid w:val="005D3499"/>
    <w:rsid w:val="005E2583"/>
    <w:rsid w:val="005F0ECF"/>
    <w:rsid w:val="006145F0"/>
    <w:rsid w:val="0061684E"/>
    <w:rsid w:val="00665134"/>
    <w:rsid w:val="006D5359"/>
    <w:rsid w:val="006D5AC7"/>
    <w:rsid w:val="006E390F"/>
    <w:rsid w:val="006F1E45"/>
    <w:rsid w:val="00724DA2"/>
    <w:rsid w:val="0073522A"/>
    <w:rsid w:val="00773D40"/>
    <w:rsid w:val="007769CD"/>
    <w:rsid w:val="0078032B"/>
    <w:rsid w:val="00781566"/>
    <w:rsid w:val="0079400B"/>
    <w:rsid w:val="007976E7"/>
    <w:rsid w:val="007B2558"/>
    <w:rsid w:val="007E6A78"/>
    <w:rsid w:val="00802701"/>
    <w:rsid w:val="008038A2"/>
    <w:rsid w:val="00811FE8"/>
    <w:rsid w:val="00854A85"/>
    <w:rsid w:val="0086348C"/>
    <w:rsid w:val="0086436B"/>
    <w:rsid w:val="00894B97"/>
    <w:rsid w:val="008A557E"/>
    <w:rsid w:val="008B26CD"/>
    <w:rsid w:val="00946E6E"/>
    <w:rsid w:val="0099566B"/>
    <w:rsid w:val="009B32ED"/>
    <w:rsid w:val="00A5293F"/>
    <w:rsid w:val="00A674FB"/>
    <w:rsid w:val="00A7688B"/>
    <w:rsid w:val="00A85311"/>
    <w:rsid w:val="00AA0C3F"/>
    <w:rsid w:val="00AC3814"/>
    <w:rsid w:val="00AE1C3A"/>
    <w:rsid w:val="00AF0562"/>
    <w:rsid w:val="00B178EA"/>
    <w:rsid w:val="00B26E1A"/>
    <w:rsid w:val="00B331E7"/>
    <w:rsid w:val="00B50D5E"/>
    <w:rsid w:val="00B738E9"/>
    <w:rsid w:val="00BA3B3E"/>
    <w:rsid w:val="00BC41C2"/>
    <w:rsid w:val="00BF0DCF"/>
    <w:rsid w:val="00BF5367"/>
    <w:rsid w:val="00BF6170"/>
    <w:rsid w:val="00C0085C"/>
    <w:rsid w:val="00C07817"/>
    <w:rsid w:val="00C11AA2"/>
    <w:rsid w:val="00C1757F"/>
    <w:rsid w:val="00D020A1"/>
    <w:rsid w:val="00D07064"/>
    <w:rsid w:val="00D2224C"/>
    <w:rsid w:val="00D279FC"/>
    <w:rsid w:val="00D55ADD"/>
    <w:rsid w:val="00D8544F"/>
    <w:rsid w:val="00DA0FA6"/>
    <w:rsid w:val="00DD33DF"/>
    <w:rsid w:val="00DE1293"/>
    <w:rsid w:val="00DF55CC"/>
    <w:rsid w:val="00DF5645"/>
    <w:rsid w:val="00DF66DC"/>
    <w:rsid w:val="00E12D76"/>
    <w:rsid w:val="00E135D2"/>
    <w:rsid w:val="00E31FD3"/>
    <w:rsid w:val="00E32974"/>
    <w:rsid w:val="00E7072F"/>
    <w:rsid w:val="00E7302E"/>
    <w:rsid w:val="00E827C5"/>
    <w:rsid w:val="00EF2CBE"/>
    <w:rsid w:val="00F57119"/>
    <w:rsid w:val="00F902FF"/>
    <w:rsid w:val="00FE113A"/>
    <w:rsid w:val="00FE51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1826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justinian.habner</cp:lastModifiedBy>
  <cp:revision>2</cp:revision>
  <cp:lastPrinted>2013-04-15T08:05:00Z</cp:lastPrinted>
  <dcterms:created xsi:type="dcterms:W3CDTF">2013-11-20T10:48:00Z</dcterms:created>
  <dcterms:modified xsi:type="dcterms:W3CDTF">2013-11-20T10:48:00Z</dcterms:modified>
</cp:coreProperties>
</file>