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DA106A" w:rsidP="0086436B">
      <w:pPr>
        <w:ind w:right="-900"/>
        <w:jc w:val="right"/>
        <w:rPr>
          <w:lang w:val="en-GB"/>
        </w:rPr>
      </w:pPr>
      <w:r>
        <w:rPr>
          <w:noProof/>
          <w:lang w:val="en-GB" w:eastAsia="en-GB"/>
        </w:rPr>
        <w:drawing>
          <wp:inline distT="0" distB="0" distL="0" distR="0">
            <wp:extent cx="2552065" cy="49974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065" cy="499745"/>
                    </a:xfrm>
                    <a:prstGeom prst="rect">
                      <a:avLst/>
                    </a:prstGeom>
                    <a:noFill/>
                    <a:ln w="9525">
                      <a:noFill/>
                      <a:miter lim="800000"/>
                      <a:headEnd/>
                      <a:tailEnd/>
                    </a:ln>
                  </pic:spPr>
                </pic:pic>
              </a:graphicData>
            </a:graphic>
          </wp:inline>
        </w:drawing>
      </w:r>
    </w:p>
    <w:p w:rsidR="005D3499" w:rsidRDefault="005D3499"/>
    <w:p w:rsidR="005D3499" w:rsidRDefault="002C7BD2">
      <w:pPr>
        <w:jc w:val="center"/>
        <w:rPr>
          <w:rFonts w:ascii="Frutiger" w:hAnsi="Frutiger"/>
        </w:rPr>
      </w:pPr>
      <w:r w:rsidRPr="002C7BD2">
        <w:rPr>
          <w:rFonts w:ascii="Times New Roman" w:hAnsi="Times New Roman"/>
          <w:noProof/>
          <w:sz w:val="20"/>
        </w:rPr>
        <w:pict>
          <v:rect id="_x0000_s1034" style="position:absolute;left:0;text-align:left;margin-left:324pt;margin-top:-.4pt;width:120.05pt;height:76.2pt;z-index:251657728">
            <v:textbox inset="0,0,0,0">
              <w:txbxContent>
                <w:p w:rsidR="00AE06FB" w:rsidRDefault="00AE06FB">
                  <w:pPr>
                    <w:pStyle w:val="Heading1"/>
                    <w:jc w:val="center"/>
                    <w:rPr>
                      <w:u w:val="none"/>
                    </w:rPr>
                  </w:pPr>
                  <w:r>
                    <w:rPr>
                      <w:u w:val="none"/>
                    </w:rPr>
                    <w:t>PAPER</w:t>
                  </w:r>
                </w:p>
                <w:p w:rsidR="00AE06FB" w:rsidRDefault="00120E9E">
                  <w:pPr>
                    <w:pStyle w:val="BodyText"/>
                    <w:rPr>
                      <w:sz w:val="22"/>
                    </w:rPr>
                  </w:pPr>
                  <w:r>
                    <w:rPr>
                      <w:sz w:val="22"/>
                    </w:rPr>
                    <w:t>BOD 63/2013</w:t>
                  </w:r>
                </w:p>
                <w:p w:rsidR="00120E9E" w:rsidRPr="00120E9E" w:rsidRDefault="00120E9E">
                  <w:pPr>
                    <w:pStyle w:val="BodyText"/>
                    <w:rPr>
                      <w:b w:val="0"/>
                      <w:sz w:val="20"/>
                      <w:szCs w:val="20"/>
                    </w:rPr>
                  </w:pPr>
                  <w:r>
                    <w:rPr>
                      <w:b w:val="0"/>
                      <w:sz w:val="20"/>
                      <w:szCs w:val="20"/>
                    </w:rPr>
                    <w:t>(Agenda Item: 14)</w:t>
                  </w:r>
                </w:p>
                <w:p w:rsidR="00AE06FB" w:rsidRDefault="00AE06FB">
                  <w:pPr>
                    <w:jc w:val="center"/>
                    <w:rPr>
                      <w:b/>
                    </w:rPr>
                  </w:pPr>
                </w:p>
              </w:txbxContent>
            </v:textbox>
          </v:rect>
        </w:pict>
      </w:r>
    </w:p>
    <w:p w:rsidR="005D3499" w:rsidRDefault="005D3499">
      <w:pPr>
        <w:pStyle w:val="Heading1"/>
      </w:pPr>
    </w:p>
    <w:p w:rsidR="005D3499" w:rsidRDefault="005D3499">
      <w:pPr>
        <w:pStyle w:val="Heading1"/>
      </w:pPr>
    </w:p>
    <w:p w:rsidR="005D3499" w:rsidRDefault="005D3499">
      <w:pPr>
        <w:pStyle w:val="Heading1"/>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cs="Arial"/>
          <w:b/>
        </w:rPr>
      </w:pPr>
    </w:p>
    <w:p w:rsidR="005D3499" w:rsidRDefault="00120E9E">
      <w:pPr>
        <w:jc w:val="center"/>
        <w:rPr>
          <w:rFonts w:cs="Arial"/>
          <w:b/>
        </w:rPr>
      </w:pPr>
      <w:r>
        <w:rPr>
          <w:rFonts w:cs="Arial"/>
          <w:b/>
        </w:rPr>
        <w:t>29 May</w:t>
      </w:r>
      <w:r w:rsidR="004326BB">
        <w:rPr>
          <w:rFonts w:cs="Arial"/>
          <w:b/>
        </w:rPr>
        <w:t xml:space="preserve"> 20</w:t>
      </w:r>
      <w:r w:rsidR="00D07064">
        <w:rPr>
          <w:rFonts w:cs="Arial"/>
          <w:b/>
        </w:rPr>
        <w:t>1</w:t>
      </w:r>
      <w:r w:rsidR="00F50A07">
        <w:rPr>
          <w:rFonts w:cs="Arial"/>
          <w:b/>
        </w:rPr>
        <w:t>3</w:t>
      </w:r>
    </w:p>
    <w:p w:rsidR="005D3499" w:rsidRDefault="005D3499">
      <w:pPr>
        <w:jc w:val="center"/>
        <w:rPr>
          <w:rFonts w:cs="Arial"/>
          <w:b/>
        </w:rPr>
      </w:pPr>
    </w:p>
    <w:p w:rsidR="005D3499" w:rsidRDefault="00B466A4">
      <w:pPr>
        <w:jc w:val="center"/>
        <w:rPr>
          <w:rFonts w:cs="Arial"/>
          <w:b/>
        </w:rPr>
      </w:pPr>
      <w:r>
        <w:rPr>
          <w:rFonts w:cs="Arial"/>
          <w:b/>
        </w:rPr>
        <w:t xml:space="preserve">Research and Development </w:t>
      </w:r>
      <w:r w:rsidR="00D936BB">
        <w:rPr>
          <w:rFonts w:cs="Arial"/>
          <w:b/>
        </w:rPr>
        <w:t>R</w:t>
      </w:r>
      <w:r>
        <w:rPr>
          <w:rFonts w:cs="Arial"/>
          <w:b/>
        </w:rPr>
        <w:t>eport</w:t>
      </w:r>
    </w:p>
    <w:p w:rsidR="005D3499" w:rsidRDefault="005D3499">
      <w:pPr>
        <w:rPr>
          <w:rFonts w:cs="Arial"/>
          <w:b/>
        </w:rPr>
      </w:pPr>
    </w:p>
    <w:p w:rsidR="005D3499" w:rsidRDefault="005D3499">
      <w:pPr>
        <w:rPr>
          <w:rFonts w:cs="Arial"/>
          <w:b/>
        </w:rPr>
      </w:pPr>
    </w:p>
    <w:p w:rsidR="00292613" w:rsidRPr="00B466A4" w:rsidRDefault="00292613" w:rsidP="00292613">
      <w:pPr>
        <w:rPr>
          <w:rFonts w:cs="Arial"/>
          <w:b/>
          <w:color w:val="548DD4" w:themeColor="text2" w:themeTint="99"/>
          <w:u w:val="single"/>
        </w:rPr>
      </w:pPr>
      <w:r w:rsidRPr="00292613">
        <w:rPr>
          <w:rFonts w:cs="Arial"/>
          <w:b/>
          <w:u w:val="single"/>
        </w:rPr>
        <w:t>For</w:t>
      </w:r>
      <w:r>
        <w:rPr>
          <w:rFonts w:cs="Arial"/>
          <w:b/>
          <w:u w:val="single"/>
        </w:rPr>
        <w:t>:</w:t>
      </w:r>
      <w:r w:rsidR="00A941AF">
        <w:rPr>
          <w:rFonts w:cs="Arial"/>
          <w:b/>
          <w:u w:val="single"/>
        </w:rPr>
        <w:t xml:space="preserve"> </w:t>
      </w:r>
      <w:r w:rsidRPr="00292613">
        <w:rPr>
          <w:rFonts w:cs="Arial"/>
          <w:b/>
          <w:u w:val="single"/>
        </w:rPr>
        <w:t>Information</w:t>
      </w:r>
      <w:r>
        <w:rPr>
          <w:rFonts w:cs="Arial"/>
        </w:rPr>
        <w:t xml:space="preserve"> </w:t>
      </w:r>
    </w:p>
    <w:p w:rsidR="00B466A4" w:rsidRDefault="00B466A4">
      <w:pPr>
        <w:rPr>
          <w:rFonts w:cs="Arial"/>
        </w:rPr>
      </w:pPr>
      <w:r w:rsidRPr="00B466A4">
        <w:rPr>
          <w:rFonts w:cs="Arial"/>
        </w:rPr>
        <w:t xml:space="preserve">This </w:t>
      </w:r>
      <w:r>
        <w:rPr>
          <w:rFonts w:cs="Arial"/>
        </w:rPr>
        <w:t xml:space="preserve">is the first Research and Development (R&amp;D) </w:t>
      </w:r>
      <w:r w:rsidRPr="00B466A4">
        <w:rPr>
          <w:rFonts w:cs="Arial"/>
        </w:rPr>
        <w:t>paper</w:t>
      </w:r>
      <w:r w:rsidR="00653AFF">
        <w:rPr>
          <w:rFonts w:cs="Arial"/>
        </w:rPr>
        <w:t xml:space="preserve"> being presented to the B</w:t>
      </w:r>
      <w:r>
        <w:rPr>
          <w:rFonts w:cs="Arial"/>
        </w:rPr>
        <w:t>oard</w:t>
      </w:r>
      <w:r w:rsidR="00653AFF">
        <w:rPr>
          <w:rFonts w:cs="Arial"/>
        </w:rPr>
        <w:t xml:space="preserve"> of Directors</w:t>
      </w:r>
      <w:r>
        <w:rPr>
          <w:rFonts w:cs="Arial"/>
        </w:rPr>
        <w:t>.  Its primary aim is to provide</w:t>
      </w:r>
      <w:r w:rsidR="00C91374">
        <w:rPr>
          <w:rFonts w:cs="Arial"/>
        </w:rPr>
        <w:t>,</w:t>
      </w:r>
      <w:r>
        <w:rPr>
          <w:rFonts w:cs="Arial"/>
        </w:rPr>
        <w:t xml:space="preserve"> </w:t>
      </w:r>
      <w:r w:rsidR="00D936BB">
        <w:rPr>
          <w:rFonts w:cs="Arial"/>
        </w:rPr>
        <w:t>for information</w:t>
      </w:r>
      <w:r w:rsidR="00C91374">
        <w:rPr>
          <w:rFonts w:cs="Arial"/>
        </w:rPr>
        <w:t>,</w:t>
      </w:r>
      <w:r w:rsidR="00D936BB">
        <w:rPr>
          <w:rFonts w:cs="Arial"/>
        </w:rPr>
        <w:t xml:space="preserve"> </w:t>
      </w:r>
      <w:r>
        <w:rPr>
          <w:rFonts w:cs="Arial"/>
        </w:rPr>
        <w:t>an overview of cu</w:t>
      </w:r>
      <w:r w:rsidR="00D936BB">
        <w:rPr>
          <w:rFonts w:cs="Arial"/>
        </w:rPr>
        <w:t xml:space="preserve">rrent R&amp;D </w:t>
      </w:r>
      <w:r w:rsidR="00C91374">
        <w:rPr>
          <w:rFonts w:cs="Arial"/>
        </w:rPr>
        <w:t xml:space="preserve">activity </w:t>
      </w:r>
      <w:r w:rsidR="00D936BB">
        <w:rPr>
          <w:rFonts w:cs="Arial"/>
        </w:rPr>
        <w:t>within the Trust and to recommend that further such reports be provided to the Board on a six monthly basis.</w:t>
      </w:r>
    </w:p>
    <w:p w:rsidR="00A941AF" w:rsidRDefault="00A941AF" w:rsidP="0073522A">
      <w:pPr>
        <w:rPr>
          <w:rFonts w:cs="Arial"/>
          <w:b/>
        </w:rPr>
      </w:pPr>
    </w:p>
    <w:p w:rsidR="00A941AF" w:rsidRDefault="00A941AF" w:rsidP="0073522A">
      <w:pPr>
        <w:rPr>
          <w:rFonts w:cs="Arial"/>
          <w:b/>
        </w:rPr>
      </w:pPr>
    </w:p>
    <w:p w:rsidR="00A941AF" w:rsidRDefault="00A941AF" w:rsidP="0073522A">
      <w:pPr>
        <w:rPr>
          <w:rFonts w:cs="Arial"/>
          <w:b/>
        </w:rPr>
      </w:pPr>
    </w:p>
    <w:p w:rsidR="00BA3B3E" w:rsidRPr="00A941AF" w:rsidRDefault="00BA3B3E" w:rsidP="0073522A">
      <w:pPr>
        <w:rPr>
          <w:rFonts w:cs="Arial"/>
          <w:sz w:val="28"/>
          <w:szCs w:val="28"/>
        </w:rPr>
      </w:pPr>
      <w:r w:rsidRPr="00A941AF">
        <w:rPr>
          <w:rFonts w:cs="Arial"/>
          <w:b/>
          <w:sz w:val="28"/>
          <w:szCs w:val="28"/>
        </w:rPr>
        <w:lastRenderedPageBreak/>
        <w:t>Report</w:t>
      </w:r>
    </w:p>
    <w:p w:rsidR="00BA3B3E" w:rsidRPr="00A51501" w:rsidRDefault="00B466A4" w:rsidP="00A51501">
      <w:pPr>
        <w:pStyle w:val="Heading1"/>
      </w:pPr>
      <w:r w:rsidRPr="00A941AF">
        <w:t>Clinical Quality and Care</w:t>
      </w:r>
    </w:p>
    <w:p w:rsidR="00237382" w:rsidRPr="00DA106A" w:rsidRDefault="00A941AF" w:rsidP="009B51DB">
      <w:pPr>
        <w:rPr>
          <w:color w:val="548DD4" w:themeColor="text2" w:themeTint="99"/>
          <w:lang w:val="en-GB"/>
        </w:rPr>
      </w:pPr>
      <w:r w:rsidRPr="00D74561">
        <w:rPr>
          <w:lang w:val="en-GB"/>
        </w:rPr>
        <w:t>It is increa</w:t>
      </w:r>
      <w:r>
        <w:rPr>
          <w:lang w:val="en-GB"/>
        </w:rPr>
        <w:t xml:space="preserve">singly recognised that participation in research produces widespread benefits for patients and, more generally, improvements in quality of care. </w:t>
      </w:r>
      <w:r w:rsidR="00236A0A">
        <w:rPr>
          <w:lang w:val="en-GB"/>
        </w:rPr>
        <w:t xml:space="preserve"> </w:t>
      </w:r>
      <w:r>
        <w:rPr>
          <w:lang w:val="en-GB"/>
        </w:rPr>
        <w:t xml:space="preserve">Research active clinical services are more likely both to generate and </w:t>
      </w:r>
      <w:r w:rsidR="00653AFF">
        <w:rPr>
          <w:lang w:val="en-GB"/>
        </w:rPr>
        <w:t>speed access</w:t>
      </w:r>
      <w:r>
        <w:rPr>
          <w:lang w:val="en-GB"/>
        </w:rPr>
        <w:t xml:space="preserve"> to innovations in health care</w:t>
      </w:r>
      <w:r w:rsidR="00653AFF">
        <w:rPr>
          <w:lang w:val="en-GB"/>
        </w:rPr>
        <w:t>.</w:t>
      </w:r>
      <w:r>
        <w:rPr>
          <w:lang w:val="en-GB"/>
        </w:rPr>
        <w:t xml:space="preserve"> </w:t>
      </w:r>
      <w:r w:rsidR="00236A0A">
        <w:rPr>
          <w:lang w:val="en-GB"/>
        </w:rPr>
        <w:t xml:space="preserve"> </w:t>
      </w:r>
      <w:r w:rsidR="00653AFF">
        <w:rPr>
          <w:lang w:val="en-GB"/>
        </w:rPr>
        <w:t>T</w:t>
      </w:r>
      <w:r>
        <w:rPr>
          <w:lang w:val="en-GB"/>
        </w:rPr>
        <w:t xml:space="preserve">he high levels of quality assurance required in research governance and ethical approval procedures can drive up the </w:t>
      </w:r>
      <w:r w:rsidR="009314B3">
        <w:rPr>
          <w:lang w:val="en-GB"/>
        </w:rPr>
        <w:t xml:space="preserve">rigour and </w:t>
      </w:r>
      <w:r>
        <w:rPr>
          <w:lang w:val="en-GB"/>
        </w:rPr>
        <w:t xml:space="preserve">quality of routine clinical care. </w:t>
      </w:r>
      <w:r w:rsidR="00236A0A">
        <w:rPr>
          <w:lang w:val="en-GB"/>
        </w:rPr>
        <w:t xml:space="preserve"> </w:t>
      </w:r>
      <w:r>
        <w:rPr>
          <w:lang w:val="en-GB"/>
        </w:rPr>
        <w:t>Research often requires cutting edge scientific infrastructure – for example brain imaging facilities - which can also be used for routine clinical care</w:t>
      </w:r>
      <w:r w:rsidR="00653AFF">
        <w:rPr>
          <w:lang w:val="en-GB"/>
        </w:rPr>
        <w:t xml:space="preserve">. </w:t>
      </w:r>
      <w:r w:rsidR="00236A0A">
        <w:rPr>
          <w:lang w:val="en-GB"/>
        </w:rPr>
        <w:t xml:space="preserve"> </w:t>
      </w:r>
      <w:r w:rsidR="00653AFF">
        <w:rPr>
          <w:lang w:val="en-GB"/>
        </w:rPr>
        <w:t xml:space="preserve">There is also evidence that more academic clinical organisations </w:t>
      </w:r>
      <w:r w:rsidR="009314B3">
        <w:rPr>
          <w:lang w:val="en-GB"/>
        </w:rPr>
        <w:t>are more successful in</w:t>
      </w:r>
      <w:r w:rsidR="00EC1754">
        <w:rPr>
          <w:lang w:val="en-GB"/>
        </w:rPr>
        <w:t xml:space="preserve"> effectively </w:t>
      </w:r>
      <w:r w:rsidR="00653AFF">
        <w:rPr>
          <w:lang w:val="en-GB"/>
        </w:rPr>
        <w:t>recruit</w:t>
      </w:r>
      <w:r w:rsidR="009314B3">
        <w:rPr>
          <w:lang w:val="en-GB"/>
        </w:rPr>
        <w:t>ing</w:t>
      </w:r>
      <w:r w:rsidR="00653AFF">
        <w:rPr>
          <w:lang w:val="en-GB"/>
        </w:rPr>
        <w:t xml:space="preserve"> </w:t>
      </w:r>
      <w:r w:rsidR="00EE7941">
        <w:rPr>
          <w:lang w:val="en-GB"/>
        </w:rPr>
        <w:t xml:space="preserve">and retaining </w:t>
      </w:r>
      <w:r w:rsidR="00653AFF">
        <w:rPr>
          <w:lang w:val="en-GB"/>
        </w:rPr>
        <w:t>high quality</w:t>
      </w:r>
      <w:r w:rsidR="00EC1754">
        <w:rPr>
          <w:lang w:val="en-GB"/>
        </w:rPr>
        <w:t xml:space="preserve"> staff</w:t>
      </w:r>
      <w:r w:rsidR="00653AFF">
        <w:rPr>
          <w:lang w:val="en-GB"/>
        </w:rPr>
        <w:t xml:space="preserve">. </w:t>
      </w:r>
      <w:r w:rsidR="00236A0A">
        <w:rPr>
          <w:lang w:val="en-GB"/>
        </w:rPr>
        <w:t xml:space="preserve"> </w:t>
      </w:r>
      <w:r w:rsidR="00516AE8">
        <w:rPr>
          <w:lang w:val="en-GB"/>
        </w:rPr>
        <w:t>Engagement in R&amp;D activity can increase staff morale, help attract and protect resources and improve the status and profile of a healthcare provider.</w:t>
      </w:r>
    </w:p>
    <w:p w:rsidR="009B51DB" w:rsidRPr="00A51501" w:rsidRDefault="009B51DB" w:rsidP="00A51501">
      <w:pPr>
        <w:pStyle w:val="Heading1"/>
      </w:pPr>
      <w:r w:rsidRPr="00A941AF">
        <w:t>Networks and Collaborations</w:t>
      </w:r>
    </w:p>
    <w:p w:rsidR="00EE7941" w:rsidRDefault="00EE7941" w:rsidP="00A941AF">
      <w:pPr>
        <w:rPr>
          <w:lang w:val="en-GB"/>
        </w:rPr>
      </w:pPr>
      <w:r>
        <w:rPr>
          <w:lang w:val="en-GB"/>
        </w:rPr>
        <w:t xml:space="preserve">Although the </w:t>
      </w:r>
      <w:r w:rsidRPr="009314B3">
        <w:rPr>
          <w:lang w:val="en-GB"/>
        </w:rPr>
        <w:t xml:space="preserve">Trust </w:t>
      </w:r>
      <w:r>
        <w:rPr>
          <w:lang w:val="en-GB"/>
        </w:rPr>
        <w:t xml:space="preserve">has been </w:t>
      </w:r>
      <w:r w:rsidRPr="009314B3">
        <w:rPr>
          <w:lang w:val="en-GB"/>
        </w:rPr>
        <w:t>engaged in research activity</w:t>
      </w:r>
      <w:r>
        <w:rPr>
          <w:lang w:val="en-GB"/>
        </w:rPr>
        <w:t xml:space="preserve">, especially in the mental health field where it has been rated </w:t>
      </w:r>
      <w:r w:rsidR="00C91DDA">
        <w:rPr>
          <w:lang w:val="en-GB"/>
        </w:rPr>
        <w:t xml:space="preserve">in this regard </w:t>
      </w:r>
      <w:r>
        <w:rPr>
          <w:lang w:val="en-GB"/>
        </w:rPr>
        <w:t>in the top three trusts nationally, it is now instituting</w:t>
      </w:r>
      <w:r w:rsidR="00516AE8">
        <w:rPr>
          <w:lang w:val="en-GB"/>
        </w:rPr>
        <w:t>, alongside its service remodelling,</w:t>
      </w:r>
      <w:r>
        <w:rPr>
          <w:lang w:val="en-GB"/>
        </w:rPr>
        <w:t xml:space="preserve"> a</w:t>
      </w:r>
      <w:r w:rsidRPr="009314B3">
        <w:rPr>
          <w:lang w:val="en-GB"/>
        </w:rPr>
        <w:t xml:space="preserve"> step-change</w:t>
      </w:r>
      <w:r>
        <w:rPr>
          <w:lang w:val="en-GB"/>
        </w:rPr>
        <w:t xml:space="preserve"> in its academic activity and profile across all areas of care, including, importantly, physical and integrated healthcare services. </w:t>
      </w:r>
      <w:r w:rsidR="00236A0A">
        <w:rPr>
          <w:lang w:val="en-GB"/>
        </w:rPr>
        <w:t xml:space="preserve"> </w:t>
      </w:r>
      <w:r>
        <w:rPr>
          <w:lang w:val="en-GB"/>
        </w:rPr>
        <w:t>In order to do this successfully, effective involvement in networks and collaborations is key.</w:t>
      </w:r>
    </w:p>
    <w:p w:rsidR="009314B3" w:rsidRDefault="00A941AF" w:rsidP="00A941AF">
      <w:pPr>
        <w:rPr>
          <w:lang w:val="en-GB"/>
        </w:rPr>
      </w:pPr>
      <w:r>
        <w:rPr>
          <w:lang w:val="en-GB"/>
        </w:rPr>
        <w:t>There have been a number of major NHS initiatives aimed at increasing research productivity and accelerating the adoption and diffusion of innovation into clinical practice</w:t>
      </w:r>
      <w:r w:rsidR="009314B3">
        <w:rPr>
          <w:lang w:val="en-GB"/>
        </w:rPr>
        <w:t xml:space="preserve"> including:</w:t>
      </w:r>
    </w:p>
    <w:p w:rsidR="009314B3" w:rsidRPr="009314B3" w:rsidRDefault="009314B3" w:rsidP="009314B3">
      <w:pPr>
        <w:pStyle w:val="ListParagraph"/>
        <w:numPr>
          <w:ilvl w:val="0"/>
          <w:numId w:val="6"/>
        </w:numPr>
        <w:rPr>
          <w:lang w:val="en-GB"/>
        </w:rPr>
      </w:pPr>
      <w:r>
        <w:rPr>
          <w:lang w:val="en-GB"/>
        </w:rPr>
        <w:t>T</w:t>
      </w:r>
      <w:r w:rsidR="00A941AF" w:rsidRPr="009314B3">
        <w:rPr>
          <w:lang w:val="en-GB"/>
        </w:rPr>
        <w:t>he creation of Academic Health Sciences Networks</w:t>
      </w:r>
      <w:r>
        <w:rPr>
          <w:lang w:val="en-GB"/>
        </w:rPr>
        <w:t xml:space="preserve"> (AHSN), which followed</w:t>
      </w:r>
      <w:r w:rsidRPr="009314B3">
        <w:rPr>
          <w:lang w:val="en-GB"/>
        </w:rPr>
        <w:t xml:space="preserve"> the publication of </w:t>
      </w:r>
      <w:r w:rsidRPr="009314B3">
        <w:rPr>
          <w:i/>
          <w:lang w:val="en-GB"/>
        </w:rPr>
        <w:t>Innovation Health and Wealt</w:t>
      </w:r>
      <w:r>
        <w:rPr>
          <w:i/>
          <w:lang w:val="en-GB"/>
        </w:rPr>
        <w:t>h</w:t>
      </w:r>
      <w:r>
        <w:rPr>
          <w:lang w:val="en-GB"/>
        </w:rPr>
        <w:t xml:space="preserve">. </w:t>
      </w:r>
      <w:r w:rsidR="00236A0A">
        <w:rPr>
          <w:lang w:val="en-GB"/>
        </w:rPr>
        <w:t xml:space="preserve"> </w:t>
      </w:r>
      <w:r>
        <w:rPr>
          <w:lang w:val="en-GB"/>
        </w:rPr>
        <w:t xml:space="preserve">The Thames Valley AHSN has recently </w:t>
      </w:r>
      <w:r w:rsidR="00EE7941">
        <w:rPr>
          <w:lang w:val="en-GB"/>
        </w:rPr>
        <w:t xml:space="preserve">successfully </w:t>
      </w:r>
      <w:r>
        <w:rPr>
          <w:lang w:val="en-GB"/>
        </w:rPr>
        <w:t>been authorised</w:t>
      </w:r>
      <w:r w:rsidR="00237382">
        <w:rPr>
          <w:lang w:val="en-GB"/>
        </w:rPr>
        <w:t xml:space="preserve"> and the Trust is closely involved in the Network</w:t>
      </w:r>
      <w:r w:rsidR="00EE7941">
        <w:rPr>
          <w:lang w:val="en-GB"/>
        </w:rPr>
        <w:t xml:space="preserve"> which brings a range of new opportunities</w:t>
      </w:r>
      <w:r>
        <w:rPr>
          <w:lang w:val="en-GB"/>
        </w:rPr>
        <w:t>.</w:t>
      </w:r>
    </w:p>
    <w:p w:rsidR="009314B3" w:rsidRDefault="00EE7941" w:rsidP="009314B3">
      <w:pPr>
        <w:pStyle w:val="ListParagraph"/>
        <w:numPr>
          <w:ilvl w:val="0"/>
          <w:numId w:val="6"/>
        </w:numPr>
        <w:rPr>
          <w:lang w:val="en-GB"/>
        </w:rPr>
      </w:pPr>
      <w:r>
        <w:rPr>
          <w:lang w:val="en-GB"/>
        </w:rPr>
        <w:t xml:space="preserve">The creation of </w:t>
      </w:r>
      <w:r w:rsidR="00A941AF" w:rsidRPr="009314B3">
        <w:rPr>
          <w:lang w:val="en-GB"/>
        </w:rPr>
        <w:t>Collaboration for Leadership in Applied Health Research and Care</w:t>
      </w:r>
      <w:r w:rsidR="009314B3">
        <w:rPr>
          <w:lang w:val="en-GB"/>
        </w:rPr>
        <w:t xml:space="preserve"> (CLAHRC)</w:t>
      </w:r>
      <w:r>
        <w:rPr>
          <w:lang w:val="en-GB"/>
        </w:rPr>
        <w:t xml:space="preserve"> centres</w:t>
      </w:r>
      <w:r w:rsidR="00A941AF" w:rsidRPr="009314B3">
        <w:rPr>
          <w:lang w:val="en-GB"/>
        </w:rPr>
        <w:t>.</w:t>
      </w:r>
      <w:r w:rsidR="00236A0A">
        <w:rPr>
          <w:lang w:val="en-GB"/>
        </w:rPr>
        <w:t xml:space="preserve"> </w:t>
      </w:r>
      <w:r w:rsidR="00A941AF" w:rsidRPr="009314B3">
        <w:rPr>
          <w:lang w:val="en-GB"/>
        </w:rPr>
        <w:t xml:space="preserve"> </w:t>
      </w:r>
      <w:r>
        <w:rPr>
          <w:lang w:val="en-GB"/>
        </w:rPr>
        <w:t xml:space="preserve">The Trust </w:t>
      </w:r>
      <w:r w:rsidRPr="009314B3">
        <w:rPr>
          <w:lang w:val="en-GB"/>
        </w:rPr>
        <w:t xml:space="preserve">is the lead Trust in </w:t>
      </w:r>
      <w:r>
        <w:rPr>
          <w:lang w:val="en-GB"/>
        </w:rPr>
        <w:t>an</w:t>
      </w:r>
      <w:r w:rsidRPr="009314B3">
        <w:rPr>
          <w:lang w:val="en-GB"/>
        </w:rPr>
        <w:t xml:space="preserve"> application for an Oxford</w:t>
      </w:r>
      <w:r>
        <w:rPr>
          <w:lang w:val="en-GB"/>
        </w:rPr>
        <w:t xml:space="preserve"> CLAHRC which has just been submitted.</w:t>
      </w:r>
    </w:p>
    <w:p w:rsidR="00516AE8" w:rsidRPr="009314B3" w:rsidRDefault="00516AE8" w:rsidP="009314B3">
      <w:pPr>
        <w:pStyle w:val="ListParagraph"/>
        <w:numPr>
          <w:ilvl w:val="0"/>
          <w:numId w:val="6"/>
        </w:numPr>
        <w:rPr>
          <w:lang w:val="en-GB"/>
        </w:rPr>
      </w:pPr>
      <w:r w:rsidRPr="009314B3">
        <w:rPr>
          <w:lang w:val="en-GB"/>
        </w:rPr>
        <w:t>The creation of Clinical Research Networks and Academic Health Sciences Centres</w:t>
      </w:r>
      <w:r>
        <w:rPr>
          <w:lang w:val="en-GB"/>
        </w:rPr>
        <w:t xml:space="preserve"> (AHSC)</w:t>
      </w:r>
      <w:r w:rsidRPr="009314B3">
        <w:rPr>
          <w:lang w:val="en-GB"/>
        </w:rPr>
        <w:t>.</w:t>
      </w:r>
      <w:r w:rsidR="00236A0A">
        <w:rPr>
          <w:lang w:val="en-GB"/>
        </w:rPr>
        <w:t xml:space="preserve"> </w:t>
      </w:r>
      <w:r w:rsidRPr="009314B3">
        <w:rPr>
          <w:lang w:val="en-GB"/>
        </w:rPr>
        <w:t xml:space="preserve"> </w:t>
      </w:r>
      <w:r>
        <w:rPr>
          <w:lang w:val="en-GB"/>
        </w:rPr>
        <w:t xml:space="preserve">The Trust has played an important role in the development of the Oxford Academic Health Consortium (OAHC) and, leading on from that, is now a key </w:t>
      </w:r>
      <w:r w:rsidR="00C91374">
        <w:rPr>
          <w:lang w:val="en-GB"/>
        </w:rPr>
        <w:t>part of</w:t>
      </w:r>
      <w:r>
        <w:rPr>
          <w:lang w:val="en-GB"/>
        </w:rPr>
        <w:t xml:space="preserve"> the application for an Oxford AHSC.</w:t>
      </w:r>
    </w:p>
    <w:p w:rsidR="00A941AF" w:rsidRPr="00DA106A" w:rsidRDefault="00516AE8" w:rsidP="00A941AF">
      <w:pPr>
        <w:rPr>
          <w:lang w:val="en-GB"/>
        </w:rPr>
      </w:pPr>
      <w:r>
        <w:rPr>
          <w:lang w:val="en-GB"/>
        </w:rPr>
        <w:lastRenderedPageBreak/>
        <w:t>A</w:t>
      </w:r>
      <w:r w:rsidR="00C91DDA">
        <w:rPr>
          <w:lang w:val="en-GB"/>
        </w:rPr>
        <w:t>ll</w:t>
      </w:r>
      <w:r>
        <w:rPr>
          <w:lang w:val="en-GB"/>
        </w:rPr>
        <w:t xml:space="preserve"> the above collaborations </w:t>
      </w:r>
      <w:r w:rsidR="00C91DDA">
        <w:rPr>
          <w:lang w:val="en-GB"/>
        </w:rPr>
        <w:t>bring benefits to the Trust</w:t>
      </w:r>
      <w:r w:rsidR="00C91DDA" w:rsidRPr="00C91DDA">
        <w:rPr>
          <w:lang w:val="en-GB"/>
        </w:rPr>
        <w:t xml:space="preserve"> </w:t>
      </w:r>
      <w:r w:rsidR="00C91DDA">
        <w:rPr>
          <w:lang w:val="en-GB"/>
        </w:rPr>
        <w:t xml:space="preserve">and offer much potential. </w:t>
      </w:r>
      <w:r w:rsidR="00236A0A">
        <w:rPr>
          <w:lang w:val="en-GB"/>
        </w:rPr>
        <w:t xml:space="preserve"> </w:t>
      </w:r>
      <w:r w:rsidR="00C91DDA">
        <w:rPr>
          <w:lang w:val="en-GB"/>
        </w:rPr>
        <w:t xml:space="preserve">They </w:t>
      </w:r>
      <w:r>
        <w:rPr>
          <w:lang w:val="en-GB"/>
        </w:rPr>
        <w:t>all involve physical and mental health care</w:t>
      </w:r>
      <w:r w:rsidR="00C91DDA">
        <w:rPr>
          <w:lang w:val="en-GB"/>
        </w:rPr>
        <w:t>.</w:t>
      </w:r>
      <w:r>
        <w:rPr>
          <w:lang w:val="en-GB"/>
        </w:rPr>
        <w:t xml:space="preserve"> </w:t>
      </w:r>
      <w:r w:rsidR="00236A0A">
        <w:rPr>
          <w:lang w:val="en-GB"/>
        </w:rPr>
        <w:t xml:space="preserve"> </w:t>
      </w:r>
      <w:r w:rsidR="00C91DDA">
        <w:rPr>
          <w:lang w:val="en-GB"/>
        </w:rPr>
        <w:t>H</w:t>
      </w:r>
      <w:r>
        <w:rPr>
          <w:lang w:val="en-GB"/>
        </w:rPr>
        <w:t xml:space="preserve">aving been involved in some </w:t>
      </w:r>
      <w:r w:rsidR="00C91DDA">
        <w:rPr>
          <w:lang w:val="en-GB"/>
        </w:rPr>
        <w:t xml:space="preserve">specific </w:t>
      </w:r>
      <w:r>
        <w:rPr>
          <w:lang w:val="en-GB"/>
        </w:rPr>
        <w:t xml:space="preserve">direct research activity in the physical health care field (e.g. diabetes, COPD), the Trust’s </w:t>
      </w:r>
      <w:r w:rsidR="00C91DDA">
        <w:rPr>
          <w:lang w:val="en-GB"/>
        </w:rPr>
        <w:t xml:space="preserve">rapidly increasing </w:t>
      </w:r>
      <w:r>
        <w:rPr>
          <w:lang w:val="en-GB"/>
        </w:rPr>
        <w:t xml:space="preserve">links with the Department of </w:t>
      </w:r>
      <w:r w:rsidR="00C91DDA">
        <w:rPr>
          <w:lang w:val="en-GB"/>
        </w:rPr>
        <w:t xml:space="preserve">Primary Health Care (PHC), University of Oxford, has resulted in proposals for more extensive research in the physical healthcare arena, such as the recent Trust led bid to the NIHR, with the PHC, for a Diagnostic Evidence Cooperative (DEC). </w:t>
      </w:r>
      <w:r w:rsidR="00236A0A">
        <w:rPr>
          <w:lang w:val="en-GB"/>
        </w:rPr>
        <w:t xml:space="preserve"> </w:t>
      </w:r>
      <w:r w:rsidR="00C91DDA">
        <w:rPr>
          <w:lang w:val="en-GB"/>
        </w:rPr>
        <w:t xml:space="preserve">The Trust has also just begun </w:t>
      </w:r>
      <w:r w:rsidR="00A941AF">
        <w:rPr>
          <w:lang w:val="en-GB"/>
        </w:rPr>
        <w:t>hosting the Thames Valley Primary Care Research Partnership.</w:t>
      </w:r>
    </w:p>
    <w:p w:rsidR="009B51DB" w:rsidRPr="00A51501" w:rsidRDefault="009B51DB" w:rsidP="00A51501">
      <w:pPr>
        <w:pStyle w:val="Heading1"/>
      </w:pPr>
      <w:r w:rsidRPr="00A51501">
        <w:t>Studies and Participant Recruitment</w:t>
      </w:r>
    </w:p>
    <w:p w:rsidR="009B51DB" w:rsidRDefault="009B51DB" w:rsidP="009B51DB">
      <w:pPr>
        <w:rPr>
          <w:lang w:val="en-GB"/>
        </w:rPr>
      </w:pPr>
      <w:r>
        <w:rPr>
          <w:lang w:val="en-GB"/>
        </w:rPr>
        <w:t xml:space="preserve">The Trust </w:t>
      </w:r>
      <w:r w:rsidR="006E23DA">
        <w:rPr>
          <w:lang w:val="en-GB"/>
        </w:rPr>
        <w:t xml:space="preserve">currently </w:t>
      </w:r>
      <w:r>
        <w:rPr>
          <w:lang w:val="en-GB"/>
        </w:rPr>
        <w:t>hosts a number of different research studies, from small student projects to complex commercially sponsored clinical trials of investigational medicinal products (CTIMPs).</w:t>
      </w:r>
    </w:p>
    <w:p w:rsidR="0087117D" w:rsidRDefault="0087117D" w:rsidP="0087117D">
      <w:pPr>
        <w:tabs>
          <w:tab w:val="left" w:pos="7853"/>
        </w:tabs>
        <w:rPr>
          <w:lang w:val="en-GB"/>
        </w:rPr>
      </w:pPr>
      <w:r>
        <w:rPr>
          <w:lang w:val="en-GB"/>
        </w:rPr>
        <w:t>The table below shows current research activity ongoing within the Trust. The figures are transient due to projects starting and completing at different times.</w:t>
      </w:r>
    </w:p>
    <w:p w:rsidR="0087117D" w:rsidRDefault="0087117D" w:rsidP="0087117D">
      <w:pPr>
        <w:tabs>
          <w:tab w:val="left" w:pos="7853"/>
        </w:tabs>
        <w:rPr>
          <w:lang w:val="en-GB"/>
        </w:rPr>
      </w:pPr>
      <w:r w:rsidRPr="0087117D">
        <w:rPr>
          <w:noProof/>
          <w:lang w:val="en-GB" w:eastAsia="en-GB"/>
        </w:rPr>
        <w:drawing>
          <wp:inline distT="0" distB="0" distL="0" distR="0">
            <wp:extent cx="5486400" cy="10998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483252" cy="1097280"/>
                    </a:xfrm>
                    <a:prstGeom prst="rect">
                      <a:avLst/>
                    </a:prstGeom>
                    <a:noFill/>
                    <a:ln w="9525">
                      <a:noFill/>
                      <a:miter lim="800000"/>
                      <a:headEnd/>
                      <a:tailEnd/>
                    </a:ln>
                  </pic:spPr>
                </pic:pic>
              </a:graphicData>
            </a:graphic>
          </wp:inline>
        </w:drawing>
      </w:r>
    </w:p>
    <w:p w:rsidR="0087117D" w:rsidRPr="0087117D" w:rsidRDefault="0087117D" w:rsidP="00A941AF">
      <w:pPr>
        <w:tabs>
          <w:tab w:val="left" w:pos="7853"/>
        </w:tabs>
        <w:spacing w:before="0" w:after="0"/>
        <w:jc w:val="left"/>
        <w:rPr>
          <w:sz w:val="16"/>
          <w:szCs w:val="16"/>
          <w:lang w:val="en-GB"/>
        </w:rPr>
      </w:pPr>
      <w:r w:rsidRPr="0087117D">
        <w:rPr>
          <w:sz w:val="16"/>
          <w:szCs w:val="16"/>
          <w:lang w:val="en-GB"/>
        </w:rPr>
        <w:t>Key:</w:t>
      </w:r>
      <w:r w:rsidR="00A941AF">
        <w:rPr>
          <w:sz w:val="16"/>
          <w:szCs w:val="16"/>
          <w:lang w:val="en-GB"/>
        </w:rPr>
        <w:t xml:space="preserve">  </w:t>
      </w:r>
      <w:r w:rsidRPr="0087117D">
        <w:rPr>
          <w:sz w:val="16"/>
          <w:szCs w:val="16"/>
          <w:lang w:val="en-GB"/>
        </w:rPr>
        <w:t>PIC – Participant identification centre</w:t>
      </w:r>
    </w:p>
    <w:p w:rsidR="0087117D" w:rsidRP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CTIMP – Clinical Trial of Investigational Medicinal Product</w:t>
      </w:r>
    </w:p>
    <w:p w:rsidR="0087117D" w:rsidRP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NIHR –</w:t>
      </w:r>
      <w:r w:rsidR="0087117D">
        <w:rPr>
          <w:sz w:val="16"/>
          <w:szCs w:val="16"/>
          <w:lang w:val="en-GB"/>
        </w:rPr>
        <w:t xml:space="preserve"> N</w:t>
      </w:r>
      <w:r w:rsidR="0087117D" w:rsidRPr="0087117D">
        <w:rPr>
          <w:sz w:val="16"/>
          <w:szCs w:val="16"/>
          <w:lang w:val="en-GB"/>
        </w:rPr>
        <w:t>ational Institute for Health Research</w:t>
      </w:r>
    </w:p>
    <w:p w:rsid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UKCRN – UK Clinical Research Network</w:t>
      </w:r>
    </w:p>
    <w:p w:rsidR="0087117D" w:rsidRDefault="00A941AF" w:rsidP="00A941AF">
      <w:pPr>
        <w:tabs>
          <w:tab w:val="left" w:pos="7853"/>
        </w:tabs>
        <w:spacing w:before="0" w:after="0"/>
        <w:jc w:val="left"/>
        <w:rPr>
          <w:sz w:val="16"/>
          <w:szCs w:val="16"/>
          <w:lang w:val="en-GB"/>
        </w:rPr>
      </w:pPr>
      <w:r>
        <w:rPr>
          <w:sz w:val="16"/>
          <w:szCs w:val="16"/>
          <w:lang w:val="en-GB"/>
        </w:rPr>
        <w:t xml:space="preserve">          </w:t>
      </w:r>
      <w:r w:rsidR="0087117D">
        <w:rPr>
          <w:sz w:val="16"/>
          <w:szCs w:val="16"/>
          <w:lang w:val="en-GB"/>
        </w:rPr>
        <w:t>CSP – Coordinated System for gaining NHS Permission</w:t>
      </w:r>
    </w:p>
    <w:p w:rsidR="000963FE" w:rsidRDefault="0087117D" w:rsidP="0087117D">
      <w:pPr>
        <w:rPr>
          <w:lang w:val="en-GB"/>
        </w:rPr>
      </w:pPr>
      <w:r>
        <w:rPr>
          <w:lang w:val="en-GB"/>
        </w:rPr>
        <w:t>The Trust typically hosts between 90 and 100 research studies at any one time, this has been consistent over the past four years.</w:t>
      </w:r>
      <w:r w:rsidR="00236A0A">
        <w:rPr>
          <w:lang w:val="en-GB"/>
        </w:rPr>
        <w:t xml:space="preserve"> </w:t>
      </w:r>
      <w:r>
        <w:rPr>
          <w:lang w:val="en-GB"/>
        </w:rPr>
        <w:t xml:space="preserve"> The number of NIHR portfolio adopted studies has increased during this period from 28 in 2008/2009 to </w:t>
      </w:r>
      <w:r w:rsidR="000963FE">
        <w:rPr>
          <w:lang w:val="en-GB"/>
        </w:rPr>
        <w:t>50.  Of these studies</w:t>
      </w:r>
      <w:r w:rsidR="006E23DA">
        <w:rPr>
          <w:lang w:val="en-GB"/>
        </w:rPr>
        <w:t>,</w:t>
      </w:r>
      <w:r w:rsidR="000963FE">
        <w:rPr>
          <w:lang w:val="en-GB"/>
        </w:rPr>
        <w:t xml:space="preserve"> the number for which the Trust lead and provide study wide governance assurances for</w:t>
      </w:r>
      <w:r w:rsidR="006E23DA">
        <w:rPr>
          <w:lang w:val="en-GB"/>
        </w:rPr>
        <w:t>,</w:t>
      </w:r>
      <w:r w:rsidR="000963FE">
        <w:rPr>
          <w:lang w:val="en-GB"/>
        </w:rPr>
        <w:t xml:space="preserve"> has increased from </w:t>
      </w:r>
      <w:r w:rsidR="006E23DA">
        <w:rPr>
          <w:lang w:val="en-GB"/>
        </w:rPr>
        <w:t>6</w:t>
      </w:r>
      <w:r w:rsidR="000963FE">
        <w:rPr>
          <w:lang w:val="en-GB"/>
        </w:rPr>
        <w:t xml:space="preserve"> in January 2011 to 19 as of March 2013.</w:t>
      </w:r>
    </w:p>
    <w:p w:rsidR="000963FE" w:rsidRDefault="000963FE" w:rsidP="0087117D">
      <w:pPr>
        <w:rPr>
          <w:lang w:val="en-GB"/>
        </w:rPr>
      </w:pPr>
      <w:r>
        <w:rPr>
          <w:lang w:val="en-GB"/>
        </w:rPr>
        <w:t xml:space="preserve">The number of participants (patients, carers, staff etc) recruited to studies ongoing within the Trust is </w:t>
      </w:r>
      <w:r w:rsidR="006E23DA">
        <w:rPr>
          <w:lang w:val="en-GB"/>
        </w:rPr>
        <w:t xml:space="preserve">a key issue and </w:t>
      </w:r>
      <w:r>
        <w:rPr>
          <w:lang w:val="en-GB"/>
        </w:rPr>
        <w:t>reasonably consistent at approximately 2000 as shown in the table below</w:t>
      </w:r>
      <w:r w:rsidR="006E23DA">
        <w:rPr>
          <w:lang w:val="en-GB"/>
        </w:rPr>
        <w:t>:</w:t>
      </w:r>
    </w:p>
    <w:p w:rsidR="000963FE" w:rsidRDefault="000963FE" w:rsidP="0087117D">
      <w:pPr>
        <w:rPr>
          <w:lang w:val="en-GB"/>
        </w:rPr>
      </w:pPr>
      <w:r w:rsidRPr="000963FE">
        <w:rPr>
          <w:noProof/>
          <w:lang w:val="en-GB" w:eastAsia="en-GB"/>
        </w:rPr>
        <w:lastRenderedPageBreak/>
        <w:drawing>
          <wp:inline distT="0" distB="0" distL="0" distR="0">
            <wp:extent cx="3976370" cy="111633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976370" cy="1116330"/>
                    </a:xfrm>
                    <a:prstGeom prst="rect">
                      <a:avLst/>
                    </a:prstGeom>
                    <a:noFill/>
                    <a:ln w="9525">
                      <a:noFill/>
                      <a:miter lim="800000"/>
                      <a:headEnd/>
                      <a:tailEnd/>
                    </a:ln>
                  </pic:spPr>
                </pic:pic>
              </a:graphicData>
            </a:graphic>
          </wp:inline>
        </w:drawing>
      </w:r>
    </w:p>
    <w:p w:rsidR="000963FE" w:rsidRPr="000963FE" w:rsidRDefault="000963FE" w:rsidP="00A941AF">
      <w:pPr>
        <w:spacing w:before="0" w:after="0"/>
        <w:rPr>
          <w:sz w:val="16"/>
          <w:szCs w:val="16"/>
          <w:lang w:val="en-GB"/>
        </w:rPr>
      </w:pPr>
      <w:r>
        <w:rPr>
          <w:sz w:val="16"/>
          <w:szCs w:val="16"/>
          <w:lang w:val="en-GB"/>
        </w:rPr>
        <w:t>Key:</w:t>
      </w:r>
      <w:r w:rsidR="00A941AF">
        <w:rPr>
          <w:sz w:val="16"/>
          <w:szCs w:val="16"/>
          <w:lang w:val="en-GB"/>
        </w:rPr>
        <w:tab/>
        <w:t>*</w:t>
      </w:r>
      <w:r w:rsidRPr="000963FE">
        <w:rPr>
          <w:sz w:val="16"/>
          <w:szCs w:val="16"/>
          <w:lang w:val="en-GB"/>
        </w:rPr>
        <w:t xml:space="preserve"> because of previous years' inaccuracies this may be higher than actual</w:t>
      </w:r>
    </w:p>
    <w:p w:rsidR="000963FE" w:rsidRPr="000963FE" w:rsidRDefault="000963FE" w:rsidP="00A941AF">
      <w:pPr>
        <w:spacing w:before="0" w:after="0"/>
        <w:ind w:firstLine="720"/>
        <w:rPr>
          <w:sz w:val="16"/>
          <w:szCs w:val="16"/>
          <w:lang w:val="en-GB"/>
        </w:rPr>
      </w:pPr>
      <w:r w:rsidRPr="000963FE">
        <w:rPr>
          <w:sz w:val="16"/>
          <w:szCs w:val="16"/>
          <w:lang w:val="en-GB"/>
        </w:rPr>
        <w:t>** incomplete return</w:t>
      </w:r>
    </w:p>
    <w:p w:rsidR="000963FE" w:rsidRPr="000963FE" w:rsidRDefault="000963FE" w:rsidP="00A941AF">
      <w:pPr>
        <w:spacing w:before="0" w:after="0"/>
        <w:ind w:firstLine="720"/>
        <w:rPr>
          <w:sz w:val="16"/>
          <w:szCs w:val="16"/>
          <w:lang w:val="en-GB"/>
        </w:rPr>
      </w:pPr>
      <w:r w:rsidRPr="000963FE">
        <w:rPr>
          <w:sz w:val="16"/>
          <w:szCs w:val="16"/>
          <w:lang w:val="en-GB"/>
        </w:rPr>
        <w:t>*** return for March 2013 not yet included</w:t>
      </w:r>
    </w:p>
    <w:p w:rsidR="000963FE" w:rsidRPr="000963FE" w:rsidRDefault="000963FE" w:rsidP="00A941AF">
      <w:pPr>
        <w:spacing w:before="0" w:after="0"/>
        <w:ind w:firstLine="720"/>
        <w:rPr>
          <w:sz w:val="16"/>
          <w:szCs w:val="16"/>
          <w:lang w:val="en-GB"/>
        </w:rPr>
      </w:pPr>
      <w:r>
        <w:rPr>
          <w:sz w:val="16"/>
          <w:szCs w:val="16"/>
          <w:lang w:val="en-GB"/>
        </w:rPr>
        <w:t>e e</w:t>
      </w:r>
      <w:r w:rsidRPr="000963FE">
        <w:rPr>
          <w:sz w:val="16"/>
          <w:szCs w:val="16"/>
          <w:lang w:val="en-GB"/>
        </w:rPr>
        <w:t>stimate as submitted to the NIHR</w:t>
      </w:r>
    </w:p>
    <w:p w:rsidR="000963FE" w:rsidRDefault="000963FE" w:rsidP="0087117D">
      <w:pPr>
        <w:rPr>
          <w:lang w:val="en-GB"/>
        </w:rPr>
      </w:pPr>
      <w:r>
        <w:rPr>
          <w:lang w:val="en-GB"/>
        </w:rPr>
        <w:t>One of the metrics that the NIHR is capturing is the time to target for recruitment of study participants.  This is shown in the table below</w:t>
      </w:r>
    </w:p>
    <w:p w:rsidR="000963FE" w:rsidRDefault="000963FE" w:rsidP="0087117D">
      <w:pPr>
        <w:rPr>
          <w:lang w:val="en-GB"/>
        </w:rPr>
      </w:pPr>
      <w:r w:rsidRPr="000963FE">
        <w:rPr>
          <w:noProof/>
          <w:lang w:val="en-GB" w:eastAsia="en-GB"/>
        </w:rPr>
        <w:drawing>
          <wp:inline distT="0" distB="0" distL="0" distR="0">
            <wp:extent cx="4274185" cy="15843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274185" cy="1584325"/>
                    </a:xfrm>
                    <a:prstGeom prst="rect">
                      <a:avLst/>
                    </a:prstGeom>
                    <a:noFill/>
                    <a:ln w="9525">
                      <a:noFill/>
                      <a:miter lim="800000"/>
                      <a:headEnd/>
                      <a:tailEnd/>
                    </a:ln>
                  </pic:spPr>
                </pic:pic>
              </a:graphicData>
            </a:graphic>
          </wp:inline>
        </w:drawing>
      </w:r>
    </w:p>
    <w:p w:rsidR="000963FE" w:rsidRPr="000963FE" w:rsidRDefault="000963FE" w:rsidP="000963FE">
      <w:pPr>
        <w:spacing w:before="0" w:after="0"/>
        <w:rPr>
          <w:sz w:val="16"/>
          <w:szCs w:val="16"/>
          <w:lang w:val="en-GB"/>
        </w:rPr>
      </w:pPr>
      <w:r w:rsidRPr="000963FE">
        <w:rPr>
          <w:sz w:val="16"/>
          <w:szCs w:val="16"/>
          <w:lang w:val="en-GB"/>
        </w:rPr>
        <w:t xml:space="preserve"> </w:t>
      </w:r>
      <w:r w:rsidR="0087117D" w:rsidRPr="000963FE">
        <w:rPr>
          <w:sz w:val="16"/>
          <w:szCs w:val="16"/>
          <w:lang w:val="en-GB"/>
        </w:rPr>
        <w:t xml:space="preserve"> </w:t>
      </w:r>
      <w:r w:rsidR="00A941AF">
        <w:rPr>
          <w:sz w:val="16"/>
          <w:szCs w:val="16"/>
          <w:lang w:val="en-GB"/>
        </w:rPr>
        <w:t>Key:</w:t>
      </w:r>
      <w:r w:rsidR="00A941AF">
        <w:rPr>
          <w:sz w:val="16"/>
          <w:szCs w:val="16"/>
          <w:lang w:val="en-GB"/>
        </w:rPr>
        <w:tab/>
      </w:r>
      <w:r w:rsidRPr="000963FE">
        <w:rPr>
          <w:sz w:val="16"/>
          <w:szCs w:val="16"/>
          <w:lang w:val="en-GB"/>
        </w:rPr>
        <w:t>* Some of these studies have only just started the recruitment process</w:t>
      </w:r>
    </w:p>
    <w:p w:rsidR="000963FE" w:rsidRPr="000963FE" w:rsidRDefault="000963FE" w:rsidP="00A941AF">
      <w:pPr>
        <w:spacing w:before="0" w:after="0"/>
        <w:ind w:firstLine="720"/>
        <w:rPr>
          <w:sz w:val="16"/>
          <w:szCs w:val="16"/>
          <w:lang w:val="en-GB"/>
        </w:rPr>
      </w:pPr>
      <w:r w:rsidRPr="000963FE">
        <w:rPr>
          <w:sz w:val="16"/>
          <w:szCs w:val="16"/>
          <w:lang w:val="en-GB"/>
        </w:rPr>
        <w:t>* Some of these studies have been abandoned</w:t>
      </w:r>
    </w:p>
    <w:p w:rsidR="009B51DB" w:rsidRPr="00A51501" w:rsidRDefault="009B51DB" w:rsidP="00A51501">
      <w:pPr>
        <w:pStyle w:val="Heading1"/>
      </w:pPr>
      <w:r w:rsidRPr="00A51501">
        <w:t>Finances</w:t>
      </w:r>
    </w:p>
    <w:p w:rsidR="00DA106A" w:rsidRDefault="000963FE" w:rsidP="00DA106A">
      <w:pPr>
        <w:rPr>
          <w:lang w:val="en-GB"/>
        </w:rPr>
      </w:pPr>
      <w:r>
        <w:rPr>
          <w:lang w:val="en-GB"/>
        </w:rPr>
        <w:t xml:space="preserve">R&amp;D income </w:t>
      </w:r>
      <w:r w:rsidR="006E23DA">
        <w:rPr>
          <w:lang w:val="en-GB"/>
        </w:rPr>
        <w:t>derives</w:t>
      </w:r>
      <w:r>
        <w:rPr>
          <w:lang w:val="en-GB"/>
        </w:rPr>
        <w:t xml:space="preserve"> from a variety of different streams.  </w:t>
      </w:r>
    </w:p>
    <w:p w:rsidR="00C642FB" w:rsidRPr="00C642FB" w:rsidRDefault="00C642FB" w:rsidP="00A51501">
      <w:pPr>
        <w:pStyle w:val="Heading2"/>
      </w:pPr>
      <w:r w:rsidRPr="00C642FB">
        <w:t xml:space="preserve">Thames Valley Comprehensive Local </w:t>
      </w:r>
      <w:smartTag w:uri="urn:schemas-microsoft-com:office:smarttags" w:element="PersonName">
        <w:r w:rsidRPr="00C642FB">
          <w:t>Research</w:t>
        </w:r>
      </w:smartTag>
      <w:r w:rsidRPr="00C642FB">
        <w:t xml:space="preserve"> Network</w:t>
      </w:r>
      <w:r w:rsidR="00A51501">
        <w:t xml:space="preserve"> (TV CLRN)</w:t>
      </w:r>
    </w:p>
    <w:p w:rsidR="00C642FB" w:rsidRDefault="00C642FB" w:rsidP="00DA106A">
      <w:r>
        <w:t xml:space="preserve">R&amp;D is supported with funding from the </w:t>
      </w:r>
      <w:r w:rsidR="00A51501">
        <w:t>TV CLRN</w:t>
      </w:r>
      <w:r>
        <w:t>. The money is used to support the core R&amp;D team, in particular management and governance functions, specific research nurses and medical input</w:t>
      </w:r>
      <w:r w:rsidR="006E23DA">
        <w:t>,</w:t>
      </w:r>
      <w:r>
        <w:t xml:space="preserve"> in addition to service supports costs for key people such as pharmacy support. Money is awarded based on local need and participant recruitment to NIHR portfolio studies during the previous year.</w:t>
      </w:r>
      <w:r w:rsidR="007F15E6">
        <w:t xml:space="preserve">  In 2011/2012, some named DENDRON posts, where employment contracts are held with Oxford Health NHS FT</w:t>
      </w:r>
      <w:r w:rsidR="00236A0A">
        <w:t>,</w:t>
      </w:r>
      <w:r w:rsidR="007F15E6">
        <w:t xml:space="preserve"> were included in the Trust’s TV CLRN allocation.</w:t>
      </w:r>
    </w:p>
    <w:p w:rsidR="00A51501" w:rsidRDefault="00A51501" w:rsidP="00A51501">
      <w:pPr>
        <w:pStyle w:val="Heading2"/>
        <w:rPr>
          <w:lang w:val="en-GB"/>
        </w:rPr>
      </w:pPr>
      <w:r>
        <w:lastRenderedPageBreak/>
        <w:t>Flexibility and Sustainability Funding (FSF) and Research Capability Funding (RCF)</w:t>
      </w:r>
    </w:p>
    <w:p w:rsidR="007F15E6" w:rsidRDefault="00A51501" w:rsidP="00A51501">
      <w:r>
        <w:t xml:space="preserve">NIHR FSF </w:t>
      </w:r>
      <w:r w:rsidR="00236A0A">
        <w:t>i</w:t>
      </w:r>
      <w:r>
        <w:t xml:space="preserve">s allocated to NHS organizations based on NIHR grant funded income during the previous year, in addition to funding for senior investigators.  It is intended to support research-active organisations within the NHS, </w:t>
      </w:r>
      <w:r w:rsidR="00236A0A">
        <w:t xml:space="preserve">including via </w:t>
      </w:r>
      <w:r>
        <w:t>attract</w:t>
      </w:r>
      <w:r w:rsidR="00236A0A">
        <w:t>ing</w:t>
      </w:r>
      <w:r>
        <w:t>, develop</w:t>
      </w:r>
      <w:r w:rsidR="00236A0A">
        <w:t>ing</w:t>
      </w:r>
      <w:r>
        <w:t xml:space="preserve"> and retain</w:t>
      </w:r>
      <w:r w:rsidR="00236A0A">
        <w:t>ing</w:t>
      </w:r>
      <w:r>
        <w:t xml:space="preserve"> high-quality research, clinical and support staff.  In 2012 this was replaced by RCF, with essentially the same purpose, but </w:t>
      </w:r>
      <w:r w:rsidR="00236A0A">
        <w:t xml:space="preserve">which </w:t>
      </w:r>
      <w:r>
        <w:t xml:space="preserve">now allows NHS organisations to use some of the money to cover overheads.  In 2010/2011 for every £1 of NIHR grant received the Trust was awarded 50 pence, this figure has </w:t>
      </w:r>
      <w:r w:rsidR="00F65A6F">
        <w:t xml:space="preserve">been </w:t>
      </w:r>
      <w:r>
        <w:t xml:space="preserve">decreased and now stands at 41p for every £1 of NIHR grant money received the previous year.  The money awarded for senior investigators has remained constant at £75,000 per post.  The Trust currently has </w:t>
      </w:r>
      <w:r w:rsidR="007F15E6">
        <w:t>two senior investigators, with a third being transferred.</w:t>
      </w:r>
      <w:r w:rsidR="00F65A6F">
        <w:t xml:space="preserve">  </w:t>
      </w:r>
      <w:r w:rsidR="007F15E6">
        <w:t>Th</w:t>
      </w:r>
      <w:r w:rsidR="00A941AF">
        <w:t>e</w:t>
      </w:r>
      <w:r w:rsidR="007F15E6">
        <w:t xml:space="preserve"> money is currently being used strategically within the research environment to generate further income from the NIHR grant funded research.</w:t>
      </w:r>
    </w:p>
    <w:p w:rsidR="00C642FB" w:rsidRDefault="007F15E6" w:rsidP="007F15E6">
      <w:pPr>
        <w:pStyle w:val="Heading2"/>
        <w:rPr>
          <w:lang w:val="en-GB"/>
        </w:rPr>
      </w:pPr>
      <w:r w:rsidRPr="00C642FB">
        <w:rPr>
          <w:lang w:val="en-GB"/>
        </w:rPr>
        <w:t>D</w:t>
      </w:r>
      <w:r w:rsidR="00F65A6F">
        <w:rPr>
          <w:lang w:val="en-GB"/>
        </w:rPr>
        <w:t xml:space="preserve">epartment </w:t>
      </w:r>
      <w:r w:rsidRPr="00C642FB">
        <w:rPr>
          <w:lang w:val="en-GB"/>
        </w:rPr>
        <w:t>o</w:t>
      </w:r>
      <w:r w:rsidR="00F65A6F">
        <w:rPr>
          <w:lang w:val="en-GB"/>
        </w:rPr>
        <w:t xml:space="preserve">f </w:t>
      </w:r>
      <w:r w:rsidRPr="00C642FB">
        <w:rPr>
          <w:lang w:val="en-GB"/>
        </w:rPr>
        <w:t>H</w:t>
      </w:r>
      <w:r w:rsidR="00F65A6F">
        <w:rPr>
          <w:lang w:val="en-GB"/>
        </w:rPr>
        <w:t>ealth (DoH)</w:t>
      </w:r>
      <w:r w:rsidRPr="00C642FB">
        <w:rPr>
          <w:lang w:val="en-GB"/>
        </w:rPr>
        <w:t xml:space="preserve"> Mental Health Initiative</w:t>
      </w:r>
    </w:p>
    <w:p w:rsidR="00C642FB" w:rsidRDefault="007F15E6" w:rsidP="00DA106A">
      <w:pPr>
        <w:rPr>
          <w:lang w:val="en-GB"/>
        </w:rPr>
      </w:pPr>
      <w:r>
        <w:rPr>
          <w:lang w:val="en-GB"/>
        </w:rPr>
        <w:t>Funding from the DoH to the Trust</w:t>
      </w:r>
      <w:r w:rsidR="00F65A6F">
        <w:rPr>
          <w:lang w:val="en-GB"/>
        </w:rPr>
        <w:t>,</w:t>
      </w:r>
      <w:r>
        <w:rPr>
          <w:lang w:val="en-GB"/>
        </w:rPr>
        <w:t xml:space="preserve"> in recognition that recruitment to mental health studies was particularly difficult, </w:t>
      </w:r>
      <w:r w:rsidR="00F65A6F">
        <w:rPr>
          <w:lang w:val="en-GB"/>
        </w:rPr>
        <w:t xml:space="preserve">did occur, </w:t>
      </w:r>
      <w:r>
        <w:rPr>
          <w:lang w:val="en-GB"/>
        </w:rPr>
        <w:t>however this funding ceased in 2010/2011.</w:t>
      </w:r>
    </w:p>
    <w:p w:rsidR="00C642FB" w:rsidRDefault="007F15E6" w:rsidP="00DA106A">
      <w:pPr>
        <w:rPr>
          <w:lang w:val="en-GB"/>
        </w:rPr>
      </w:pPr>
      <w:r>
        <w:rPr>
          <w:lang w:val="en-GB"/>
        </w:rPr>
        <w:t>The table below shows a summary of R&amp;D income over the past few years</w:t>
      </w:r>
    </w:p>
    <w:tbl>
      <w:tblPr>
        <w:tblStyle w:val="TableGrid"/>
        <w:tblW w:w="0" w:type="auto"/>
        <w:tblLook w:val="04A0"/>
      </w:tblPr>
      <w:tblGrid>
        <w:gridCol w:w="2518"/>
        <w:gridCol w:w="1584"/>
        <w:gridCol w:w="1585"/>
        <w:gridCol w:w="1584"/>
        <w:gridCol w:w="1585"/>
      </w:tblGrid>
      <w:tr w:rsidR="00213AC0" w:rsidRPr="00213AC0" w:rsidTr="00185CF4">
        <w:tc>
          <w:tcPr>
            <w:tcW w:w="2518" w:type="dxa"/>
          </w:tcPr>
          <w:p w:rsidR="00213AC0" w:rsidRPr="00213AC0" w:rsidRDefault="00213AC0" w:rsidP="00213AC0">
            <w:pPr>
              <w:jc w:val="center"/>
              <w:rPr>
                <w:b/>
                <w:lang w:val="en-GB"/>
              </w:rPr>
            </w:pPr>
            <w:r w:rsidRPr="00213AC0">
              <w:rPr>
                <w:b/>
                <w:lang w:val="en-GB"/>
              </w:rPr>
              <w:t>Income Source</w:t>
            </w:r>
          </w:p>
        </w:tc>
        <w:tc>
          <w:tcPr>
            <w:tcW w:w="1584" w:type="dxa"/>
          </w:tcPr>
          <w:p w:rsidR="00213AC0" w:rsidRPr="00213AC0" w:rsidRDefault="00213AC0" w:rsidP="00213AC0">
            <w:pPr>
              <w:jc w:val="center"/>
              <w:rPr>
                <w:b/>
                <w:lang w:val="en-GB"/>
              </w:rPr>
            </w:pPr>
            <w:r w:rsidRPr="00213AC0">
              <w:rPr>
                <w:b/>
                <w:lang w:val="en-GB"/>
              </w:rPr>
              <w:t>2010/2011</w:t>
            </w:r>
          </w:p>
        </w:tc>
        <w:tc>
          <w:tcPr>
            <w:tcW w:w="1585" w:type="dxa"/>
          </w:tcPr>
          <w:p w:rsidR="00213AC0" w:rsidRPr="00213AC0" w:rsidRDefault="00213AC0" w:rsidP="00213AC0">
            <w:pPr>
              <w:jc w:val="center"/>
              <w:rPr>
                <w:b/>
                <w:lang w:val="en-GB"/>
              </w:rPr>
            </w:pPr>
            <w:r w:rsidRPr="00213AC0">
              <w:rPr>
                <w:b/>
                <w:lang w:val="en-GB"/>
              </w:rPr>
              <w:t>2011/2012</w:t>
            </w:r>
          </w:p>
        </w:tc>
        <w:tc>
          <w:tcPr>
            <w:tcW w:w="1584" w:type="dxa"/>
          </w:tcPr>
          <w:p w:rsidR="00213AC0" w:rsidRPr="00213AC0" w:rsidRDefault="00213AC0" w:rsidP="00213AC0">
            <w:pPr>
              <w:jc w:val="center"/>
              <w:rPr>
                <w:b/>
                <w:lang w:val="en-GB"/>
              </w:rPr>
            </w:pPr>
            <w:r w:rsidRPr="00213AC0">
              <w:rPr>
                <w:b/>
                <w:lang w:val="en-GB"/>
              </w:rPr>
              <w:t>2012/2013</w:t>
            </w:r>
          </w:p>
        </w:tc>
        <w:tc>
          <w:tcPr>
            <w:tcW w:w="1585" w:type="dxa"/>
          </w:tcPr>
          <w:p w:rsidR="00213AC0" w:rsidRPr="00213AC0" w:rsidRDefault="00213AC0" w:rsidP="00213AC0">
            <w:pPr>
              <w:jc w:val="center"/>
              <w:rPr>
                <w:b/>
                <w:lang w:val="en-GB"/>
              </w:rPr>
            </w:pPr>
            <w:r w:rsidRPr="00213AC0">
              <w:rPr>
                <w:b/>
                <w:lang w:val="en-GB"/>
              </w:rPr>
              <w:t>2013/2014</w:t>
            </w:r>
          </w:p>
        </w:tc>
      </w:tr>
      <w:tr w:rsidR="00213AC0" w:rsidRPr="00C642FB" w:rsidTr="00185CF4">
        <w:tc>
          <w:tcPr>
            <w:tcW w:w="2518" w:type="dxa"/>
          </w:tcPr>
          <w:p w:rsidR="00213AC0" w:rsidRPr="00C642FB" w:rsidRDefault="00213AC0" w:rsidP="00185CF4">
            <w:pPr>
              <w:jc w:val="left"/>
              <w:rPr>
                <w:sz w:val="20"/>
                <w:szCs w:val="20"/>
                <w:lang w:val="en-GB"/>
              </w:rPr>
            </w:pPr>
            <w:r w:rsidRPr="00C642FB">
              <w:rPr>
                <w:sz w:val="20"/>
                <w:szCs w:val="20"/>
                <w:lang w:val="en-GB"/>
              </w:rPr>
              <w:t>TV CLRN</w:t>
            </w:r>
          </w:p>
        </w:tc>
        <w:tc>
          <w:tcPr>
            <w:tcW w:w="1584" w:type="dxa"/>
          </w:tcPr>
          <w:p w:rsidR="00213AC0" w:rsidRPr="00C642FB" w:rsidRDefault="00185CF4" w:rsidP="00C642FB">
            <w:pPr>
              <w:jc w:val="center"/>
              <w:rPr>
                <w:sz w:val="20"/>
                <w:szCs w:val="20"/>
                <w:lang w:val="en-GB"/>
              </w:rPr>
            </w:pPr>
            <w:r w:rsidRPr="00C642FB">
              <w:rPr>
                <w:sz w:val="20"/>
                <w:szCs w:val="20"/>
                <w:lang w:val="en-GB"/>
              </w:rPr>
              <w:t>£626,292</w:t>
            </w:r>
          </w:p>
        </w:tc>
        <w:tc>
          <w:tcPr>
            <w:tcW w:w="1585" w:type="dxa"/>
          </w:tcPr>
          <w:p w:rsidR="00213AC0" w:rsidRPr="00C642FB" w:rsidRDefault="00185CF4" w:rsidP="00C642FB">
            <w:pPr>
              <w:jc w:val="center"/>
              <w:rPr>
                <w:sz w:val="20"/>
                <w:szCs w:val="20"/>
                <w:lang w:val="en-GB"/>
              </w:rPr>
            </w:pPr>
            <w:r w:rsidRPr="00C642FB">
              <w:rPr>
                <w:sz w:val="20"/>
                <w:szCs w:val="20"/>
                <w:lang w:val="en-GB"/>
              </w:rPr>
              <w:t>£624,004</w:t>
            </w:r>
          </w:p>
        </w:tc>
        <w:tc>
          <w:tcPr>
            <w:tcW w:w="1584" w:type="dxa"/>
          </w:tcPr>
          <w:p w:rsidR="00213AC0" w:rsidRPr="00C642FB" w:rsidRDefault="00185CF4" w:rsidP="00C642FB">
            <w:pPr>
              <w:jc w:val="center"/>
              <w:rPr>
                <w:sz w:val="20"/>
                <w:szCs w:val="20"/>
                <w:lang w:val="en-GB"/>
              </w:rPr>
            </w:pPr>
            <w:r w:rsidRPr="00C642FB">
              <w:rPr>
                <w:sz w:val="20"/>
                <w:szCs w:val="20"/>
                <w:lang w:val="en-GB"/>
              </w:rPr>
              <w:t>£648,319</w:t>
            </w:r>
          </w:p>
        </w:tc>
        <w:tc>
          <w:tcPr>
            <w:tcW w:w="1585" w:type="dxa"/>
          </w:tcPr>
          <w:p w:rsidR="00213AC0" w:rsidRPr="00C642FB" w:rsidRDefault="00185CF4" w:rsidP="00345BFA">
            <w:pPr>
              <w:jc w:val="center"/>
              <w:rPr>
                <w:sz w:val="20"/>
                <w:szCs w:val="20"/>
                <w:lang w:val="en-GB"/>
              </w:rPr>
            </w:pPr>
            <w:r w:rsidRPr="00C642FB">
              <w:rPr>
                <w:sz w:val="20"/>
                <w:szCs w:val="20"/>
                <w:lang w:val="en-GB"/>
              </w:rPr>
              <w:t>£</w:t>
            </w:r>
            <w:r w:rsidR="00345BFA">
              <w:rPr>
                <w:sz w:val="20"/>
                <w:szCs w:val="20"/>
                <w:lang w:val="en-GB"/>
              </w:rPr>
              <w:t>705,824</w:t>
            </w:r>
            <w:r w:rsidR="0011026C">
              <w:rPr>
                <w:sz w:val="20"/>
                <w:szCs w:val="20"/>
                <w:lang w:val="en-GB"/>
              </w:rPr>
              <w:t>*</w:t>
            </w:r>
          </w:p>
        </w:tc>
      </w:tr>
      <w:tr w:rsidR="00213AC0" w:rsidRPr="00C642FB" w:rsidTr="00185CF4">
        <w:tc>
          <w:tcPr>
            <w:tcW w:w="2518" w:type="dxa"/>
          </w:tcPr>
          <w:p w:rsidR="00213AC0" w:rsidRPr="00C642FB" w:rsidRDefault="00185CF4" w:rsidP="00185CF4">
            <w:pPr>
              <w:jc w:val="left"/>
              <w:rPr>
                <w:sz w:val="20"/>
                <w:szCs w:val="20"/>
                <w:lang w:val="en-GB"/>
              </w:rPr>
            </w:pPr>
            <w:r w:rsidRPr="00C642FB">
              <w:rPr>
                <w:sz w:val="20"/>
                <w:szCs w:val="20"/>
                <w:lang w:val="en-GB"/>
              </w:rPr>
              <w:t>TV CLRN for DeNDRON posts</w:t>
            </w:r>
          </w:p>
        </w:tc>
        <w:tc>
          <w:tcPr>
            <w:tcW w:w="1584" w:type="dxa"/>
          </w:tcPr>
          <w:p w:rsidR="00213AC0" w:rsidRPr="00C642FB" w:rsidRDefault="00185CF4" w:rsidP="00C642FB">
            <w:pPr>
              <w:jc w:val="center"/>
              <w:rPr>
                <w:sz w:val="20"/>
                <w:szCs w:val="20"/>
                <w:lang w:val="en-GB"/>
              </w:rPr>
            </w:pPr>
            <w:r w:rsidRPr="00C642FB">
              <w:rPr>
                <w:sz w:val="20"/>
                <w:szCs w:val="20"/>
                <w:lang w:val="en-GB"/>
              </w:rPr>
              <w:t>NA</w:t>
            </w:r>
          </w:p>
        </w:tc>
        <w:tc>
          <w:tcPr>
            <w:tcW w:w="1585" w:type="dxa"/>
          </w:tcPr>
          <w:p w:rsidR="00213AC0" w:rsidRPr="00C642FB" w:rsidRDefault="00185CF4" w:rsidP="00C642FB">
            <w:pPr>
              <w:jc w:val="center"/>
              <w:rPr>
                <w:sz w:val="20"/>
                <w:szCs w:val="20"/>
                <w:lang w:val="en-GB"/>
              </w:rPr>
            </w:pPr>
            <w:r w:rsidRPr="00C642FB">
              <w:rPr>
                <w:sz w:val="20"/>
                <w:szCs w:val="20"/>
                <w:lang w:val="en-GB"/>
              </w:rPr>
              <w:t>£182,880</w:t>
            </w:r>
          </w:p>
        </w:tc>
        <w:tc>
          <w:tcPr>
            <w:tcW w:w="1584" w:type="dxa"/>
          </w:tcPr>
          <w:p w:rsidR="00213AC0" w:rsidRPr="00C642FB" w:rsidRDefault="00185CF4" w:rsidP="00C642FB">
            <w:pPr>
              <w:jc w:val="center"/>
              <w:rPr>
                <w:sz w:val="20"/>
                <w:szCs w:val="20"/>
                <w:lang w:val="en-GB"/>
              </w:rPr>
            </w:pPr>
            <w:r w:rsidRPr="00C642FB">
              <w:rPr>
                <w:sz w:val="20"/>
                <w:szCs w:val="20"/>
                <w:lang w:val="en-GB"/>
              </w:rPr>
              <w:t>£186,681</w:t>
            </w:r>
          </w:p>
        </w:tc>
        <w:tc>
          <w:tcPr>
            <w:tcW w:w="1585" w:type="dxa"/>
          </w:tcPr>
          <w:p w:rsidR="00213AC0" w:rsidRPr="00C642FB" w:rsidRDefault="00185CF4" w:rsidP="00345BFA">
            <w:pPr>
              <w:jc w:val="center"/>
              <w:rPr>
                <w:sz w:val="20"/>
                <w:szCs w:val="20"/>
                <w:lang w:val="en-GB"/>
              </w:rPr>
            </w:pPr>
            <w:r w:rsidRPr="00C642FB">
              <w:rPr>
                <w:sz w:val="20"/>
                <w:szCs w:val="20"/>
                <w:lang w:val="en-GB"/>
              </w:rPr>
              <w:t>£</w:t>
            </w:r>
            <w:r w:rsidR="00345BFA">
              <w:rPr>
                <w:sz w:val="20"/>
                <w:szCs w:val="20"/>
                <w:lang w:val="en-GB"/>
              </w:rPr>
              <w:t>196,620</w:t>
            </w:r>
            <w:r w:rsidR="0011026C">
              <w:rPr>
                <w:sz w:val="20"/>
                <w:szCs w:val="20"/>
                <w:lang w:val="en-GB"/>
              </w:rPr>
              <w:t>**</w:t>
            </w:r>
          </w:p>
        </w:tc>
      </w:tr>
      <w:tr w:rsidR="00213AC0" w:rsidRPr="00C642FB" w:rsidTr="00185CF4">
        <w:tc>
          <w:tcPr>
            <w:tcW w:w="2518" w:type="dxa"/>
          </w:tcPr>
          <w:p w:rsidR="00213AC0" w:rsidRPr="00C642FB" w:rsidRDefault="00185CF4" w:rsidP="00185CF4">
            <w:pPr>
              <w:jc w:val="left"/>
              <w:rPr>
                <w:sz w:val="20"/>
                <w:szCs w:val="20"/>
                <w:lang w:val="en-GB"/>
              </w:rPr>
            </w:pPr>
            <w:r w:rsidRPr="00C642FB">
              <w:rPr>
                <w:sz w:val="20"/>
                <w:szCs w:val="20"/>
                <w:lang w:val="en-GB"/>
              </w:rPr>
              <w:t>Flexibility and Sustainability Funding (FSF)</w:t>
            </w:r>
          </w:p>
        </w:tc>
        <w:tc>
          <w:tcPr>
            <w:tcW w:w="1584" w:type="dxa"/>
          </w:tcPr>
          <w:p w:rsidR="00213AC0" w:rsidRPr="00C642FB" w:rsidRDefault="00185CF4" w:rsidP="00C642FB">
            <w:pPr>
              <w:jc w:val="center"/>
              <w:rPr>
                <w:sz w:val="20"/>
                <w:szCs w:val="20"/>
                <w:lang w:val="en-GB"/>
              </w:rPr>
            </w:pPr>
            <w:r w:rsidRPr="00C642FB">
              <w:rPr>
                <w:sz w:val="20"/>
                <w:szCs w:val="20"/>
                <w:lang w:val="en-GB"/>
              </w:rPr>
              <w:t>£358,788</w:t>
            </w:r>
          </w:p>
        </w:tc>
        <w:tc>
          <w:tcPr>
            <w:tcW w:w="1585" w:type="dxa"/>
          </w:tcPr>
          <w:p w:rsidR="00213AC0" w:rsidRPr="00C642FB" w:rsidRDefault="00C642FB" w:rsidP="00C642FB">
            <w:pPr>
              <w:jc w:val="center"/>
              <w:rPr>
                <w:sz w:val="20"/>
                <w:szCs w:val="20"/>
                <w:lang w:val="en-GB"/>
              </w:rPr>
            </w:pPr>
            <w:r>
              <w:rPr>
                <w:sz w:val="20"/>
                <w:szCs w:val="20"/>
                <w:lang w:val="en-GB"/>
              </w:rPr>
              <w:t>£630,644</w:t>
            </w:r>
          </w:p>
        </w:tc>
        <w:tc>
          <w:tcPr>
            <w:tcW w:w="1584" w:type="dxa"/>
          </w:tcPr>
          <w:p w:rsidR="00213AC0" w:rsidRPr="00C642FB" w:rsidRDefault="00185CF4" w:rsidP="00C642FB">
            <w:pPr>
              <w:jc w:val="center"/>
              <w:rPr>
                <w:sz w:val="20"/>
                <w:szCs w:val="20"/>
                <w:lang w:val="en-GB"/>
              </w:rPr>
            </w:pPr>
            <w:r w:rsidRPr="00C642FB">
              <w:rPr>
                <w:sz w:val="20"/>
                <w:szCs w:val="20"/>
                <w:lang w:val="en-GB"/>
              </w:rPr>
              <w:t>NA</w:t>
            </w:r>
          </w:p>
        </w:tc>
        <w:tc>
          <w:tcPr>
            <w:tcW w:w="1585" w:type="dxa"/>
          </w:tcPr>
          <w:p w:rsidR="00213AC0" w:rsidRPr="00C642FB" w:rsidRDefault="00185CF4" w:rsidP="00C642FB">
            <w:pPr>
              <w:jc w:val="center"/>
              <w:rPr>
                <w:sz w:val="20"/>
                <w:szCs w:val="20"/>
                <w:lang w:val="en-GB"/>
              </w:rPr>
            </w:pPr>
            <w:r w:rsidRPr="00C642FB">
              <w:rPr>
                <w:sz w:val="20"/>
                <w:szCs w:val="20"/>
                <w:lang w:val="en-GB"/>
              </w:rPr>
              <w:t>NA</w:t>
            </w:r>
          </w:p>
        </w:tc>
      </w:tr>
      <w:tr w:rsidR="00213AC0" w:rsidRPr="00C642FB" w:rsidTr="00185CF4">
        <w:tc>
          <w:tcPr>
            <w:tcW w:w="2518" w:type="dxa"/>
          </w:tcPr>
          <w:p w:rsidR="00213AC0" w:rsidRPr="00C642FB" w:rsidRDefault="00185CF4" w:rsidP="00185CF4">
            <w:pPr>
              <w:jc w:val="left"/>
              <w:rPr>
                <w:sz w:val="20"/>
                <w:szCs w:val="20"/>
                <w:lang w:val="en-GB"/>
              </w:rPr>
            </w:pPr>
            <w:r w:rsidRPr="00C642FB">
              <w:rPr>
                <w:sz w:val="20"/>
                <w:szCs w:val="20"/>
                <w:lang w:val="en-GB"/>
              </w:rPr>
              <w:t>Research Capability Funding</w:t>
            </w:r>
            <w:r w:rsidR="00C642FB">
              <w:rPr>
                <w:sz w:val="20"/>
                <w:szCs w:val="20"/>
                <w:lang w:val="en-GB"/>
              </w:rPr>
              <w:t xml:space="preserve"> (RCF)</w:t>
            </w:r>
          </w:p>
        </w:tc>
        <w:tc>
          <w:tcPr>
            <w:tcW w:w="1584" w:type="dxa"/>
          </w:tcPr>
          <w:p w:rsidR="00213AC0" w:rsidRPr="00C642FB" w:rsidRDefault="00185CF4" w:rsidP="00C642FB">
            <w:pPr>
              <w:jc w:val="center"/>
              <w:rPr>
                <w:sz w:val="20"/>
                <w:szCs w:val="20"/>
                <w:lang w:val="en-GB"/>
              </w:rPr>
            </w:pPr>
            <w:r w:rsidRPr="00C642FB">
              <w:rPr>
                <w:sz w:val="20"/>
                <w:szCs w:val="20"/>
                <w:lang w:val="en-GB"/>
              </w:rPr>
              <w:t>NA</w:t>
            </w:r>
          </w:p>
        </w:tc>
        <w:tc>
          <w:tcPr>
            <w:tcW w:w="1585" w:type="dxa"/>
          </w:tcPr>
          <w:p w:rsidR="00213AC0" w:rsidRPr="00C642FB" w:rsidRDefault="00185CF4" w:rsidP="00C642FB">
            <w:pPr>
              <w:jc w:val="center"/>
              <w:rPr>
                <w:sz w:val="20"/>
                <w:szCs w:val="20"/>
                <w:lang w:val="en-GB"/>
              </w:rPr>
            </w:pPr>
            <w:r w:rsidRPr="00C642FB">
              <w:rPr>
                <w:sz w:val="20"/>
                <w:szCs w:val="20"/>
                <w:lang w:val="en-GB"/>
              </w:rPr>
              <w:t>NA</w:t>
            </w:r>
          </w:p>
        </w:tc>
        <w:tc>
          <w:tcPr>
            <w:tcW w:w="1584" w:type="dxa"/>
          </w:tcPr>
          <w:p w:rsidR="00213AC0" w:rsidRPr="00C642FB" w:rsidRDefault="00C642FB" w:rsidP="00C642FB">
            <w:pPr>
              <w:jc w:val="center"/>
              <w:rPr>
                <w:sz w:val="20"/>
                <w:szCs w:val="20"/>
                <w:lang w:val="en-GB"/>
              </w:rPr>
            </w:pPr>
            <w:r>
              <w:rPr>
                <w:sz w:val="20"/>
                <w:szCs w:val="20"/>
                <w:lang w:val="en-GB"/>
              </w:rPr>
              <w:t>£1,129,625</w:t>
            </w:r>
          </w:p>
        </w:tc>
        <w:tc>
          <w:tcPr>
            <w:tcW w:w="1585" w:type="dxa"/>
          </w:tcPr>
          <w:p w:rsidR="00213AC0" w:rsidRPr="00C642FB" w:rsidRDefault="00C642FB" w:rsidP="00C642FB">
            <w:pPr>
              <w:jc w:val="center"/>
              <w:rPr>
                <w:sz w:val="20"/>
                <w:szCs w:val="20"/>
                <w:lang w:val="en-GB"/>
              </w:rPr>
            </w:pPr>
            <w:r>
              <w:rPr>
                <w:sz w:val="20"/>
                <w:szCs w:val="20"/>
                <w:lang w:val="en-GB"/>
              </w:rPr>
              <w:t>£945,441#</w:t>
            </w:r>
          </w:p>
        </w:tc>
      </w:tr>
      <w:tr w:rsidR="00185CF4" w:rsidRPr="00C642FB" w:rsidTr="00185CF4">
        <w:tc>
          <w:tcPr>
            <w:tcW w:w="2518" w:type="dxa"/>
          </w:tcPr>
          <w:p w:rsidR="00185CF4" w:rsidRPr="00C642FB" w:rsidRDefault="00185CF4" w:rsidP="00185CF4">
            <w:pPr>
              <w:jc w:val="left"/>
              <w:rPr>
                <w:sz w:val="20"/>
                <w:szCs w:val="20"/>
                <w:lang w:val="en-GB"/>
              </w:rPr>
            </w:pPr>
            <w:r w:rsidRPr="00C642FB">
              <w:rPr>
                <w:sz w:val="20"/>
                <w:szCs w:val="20"/>
                <w:lang w:val="en-GB"/>
              </w:rPr>
              <w:t>DoH Mental Health Initiative</w:t>
            </w:r>
          </w:p>
        </w:tc>
        <w:tc>
          <w:tcPr>
            <w:tcW w:w="1584" w:type="dxa"/>
          </w:tcPr>
          <w:p w:rsidR="00185CF4" w:rsidRPr="00C642FB" w:rsidRDefault="00185CF4" w:rsidP="00C642FB">
            <w:pPr>
              <w:jc w:val="center"/>
              <w:rPr>
                <w:sz w:val="20"/>
                <w:szCs w:val="20"/>
                <w:lang w:val="en-GB"/>
              </w:rPr>
            </w:pPr>
            <w:r w:rsidRPr="00C642FB">
              <w:rPr>
                <w:sz w:val="20"/>
                <w:szCs w:val="20"/>
                <w:lang w:val="en-GB"/>
              </w:rPr>
              <w:t>£312,297</w:t>
            </w:r>
          </w:p>
        </w:tc>
        <w:tc>
          <w:tcPr>
            <w:tcW w:w="1585" w:type="dxa"/>
          </w:tcPr>
          <w:p w:rsidR="00185CF4" w:rsidRPr="00C642FB" w:rsidRDefault="00C642FB" w:rsidP="00C642FB">
            <w:pPr>
              <w:jc w:val="center"/>
              <w:rPr>
                <w:sz w:val="20"/>
                <w:szCs w:val="20"/>
                <w:lang w:val="en-GB"/>
              </w:rPr>
            </w:pPr>
            <w:r>
              <w:rPr>
                <w:sz w:val="20"/>
                <w:szCs w:val="20"/>
                <w:lang w:val="en-GB"/>
              </w:rPr>
              <w:t>NA</w:t>
            </w:r>
          </w:p>
        </w:tc>
        <w:tc>
          <w:tcPr>
            <w:tcW w:w="1584" w:type="dxa"/>
          </w:tcPr>
          <w:p w:rsidR="00185CF4" w:rsidRPr="00C642FB" w:rsidRDefault="00C642FB" w:rsidP="00C642FB">
            <w:pPr>
              <w:jc w:val="center"/>
              <w:rPr>
                <w:sz w:val="20"/>
                <w:szCs w:val="20"/>
                <w:lang w:val="en-GB"/>
              </w:rPr>
            </w:pPr>
            <w:r>
              <w:rPr>
                <w:sz w:val="20"/>
                <w:szCs w:val="20"/>
                <w:lang w:val="en-GB"/>
              </w:rPr>
              <w:t>NA</w:t>
            </w:r>
          </w:p>
        </w:tc>
        <w:tc>
          <w:tcPr>
            <w:tcW w:w="1585" w:type="dxa"/>
          </w:tcPr>
          <w:p w:rsidR="00185CF4" w:rsidRPr="00C642FB" w:rsidRDefault="00C642FB" w:rsidP="00C642FB">
            <w:pPr>
              <w:jc w:val="center"/>
              <w:rPr>
                <w:sz w:val="20"/>
                <w:szCs w:val="20"/>
                <w:lang w:val="en-GB"/>
              </w:rPr>
            </w:pPr>
            <w:r>
              <w:rPr>
                <w:sz w:val="20"/>
                <w:szCs w:val="20"/>
                <w:lang w:val="en-GB"/>
              </w:rPr>
              <w:t>NA</w:t>
            </w:r>
          </w:p>
        </w:tc>
      </w:tr>
    </w:tbl>
    <w:p w:rsidR="00185CF4" w:rsidRDefault="00185CF4" w:rsidP="00185CF4">
      <w:pPr>
        <w:spacing w:before="0" w:after="0"/>
        <w:rPr>
          <w:sz w:val="16"/>
          <w:szCs w:val="16"/>
          <w:lang w:val="en-GB"/>
        </w:rPr>
      </w:pPr>
      <w:r w:rsidRPr="000963FE">
        <w:rPr>
          <w:sz w:val="16"/>
          <w:szCs w:val="16"/>
          <w:lang w:val="en-GB"/>
        </w:rPr>
        <w:lastRenderedPageBreak/>
        <w:t xml:space="preserve">  </w:t>
      </w:r>
    </w:p>
    <w:p w:rsidR="00185CF4" w:rsidRPr="000963FE" w:rsidRDefault="00185CF4" w:rsidP="00A941AF">
      <w:pPr>
        <w:spacing w:before="0" w:after="0"/>
        <w:ind w:left="720" w:hanging="720"/>
        <w:rPr>
          <w:sz w:val="16"/>
          <w:szCs w:val="16"/>
          <w:lang w:val="en-GB"/>
        </w:rPr>
      </w:pPr>
      <w:r w:rsidRPr="000963FE">
        <w:rPr>
          <w:sz w:val="16"/>
          <w:szCs w:val="16"/>
          <w:lang w:val="en-GB"/>
        </w:rPr>
        <w:t xml:space="preserve">Key: </w:t>
      </w:r>
      <w:r w:rsidR="00A941AF">
        <w:rPr>
          <w:sz w:val="16"/>
          <w:szCs w:val="16"/>
          <w:lang w:val="en-GB"/>
        </w:rPr>
        <w:tab/>
      </w:r>
      <w:r w:rsidRPr="000963FE">
        <w:rPr>
          <w:sz w:val="16"/>
          <w:szCs w:val="16"/>
          <w:lang w:val="en-GB"/>
        </w:rPr>
        <w:t xml:space="preserve">* </w:t>
      </w:r>
      <w:r>
        <w:rPr>
          <w:sz w:val="16"/>
          <w:szCs w:val="16"/>
          <w:lang w:val="en-GB"/>
        </w:rPr>
        <w:t>Anticipated funding as yet to be confirmed.  Includes £98,000 for two research nurses previously funding via the TV CLRN to the Primary Care Research Network</w:t>
      </w:r>
    </w:p>
    <w:p w:rsidR="00185CF4" w:rsidRDefault="00185CF4" w:rsidP="00A941AF">
      <w:pPr>
        <w:spacing w:before="0" w:after="0"/>
        <w:ind w:firstLine="720"/>
        <w:rPr>
          <w:sz w:val="16"/>
          <w:szCs w:val="16"/>
          <w:lang w:val="en-GB"/>
        </w:rPr>
      </w:pPr>
      <w:r>
        <w:rPr>
          <w:sz w:val="16"/>
          <w:szCs w:val="16"/>
          <w:lang w:val="en-GB"/>
        </w:rPr>
        <w:t>** Anticipated funding as yet to be confirmed</w:t>
      </w:r>
    </w:p>
    <w:p w:rsidR="00C642FB" w:rsidRPr="000963FE" w:rsidRDefault="00C642FB" w:rsidP="00A941AF">
      <w:pPr>
        <w:spacing w:before="0" w:after="0"/>
        <w:ind w:firstLine="720"/>
        <w:rPr>
          <w:sz w:val="16"/>
          <w:szCs w:val="16"/>
          <w:lang w:val="en-GB"/>
        </w:rPr>
      </w:pPr>
      <w:r>
        <w:rPr>
          <w:sz w:val="16"/>
          <w:szCs w:val="16"/>
          <w:lang w:val="en-GB"/>
        </w:rPr>
        <w:t># Indicative funding</w:t>
      </w:r>
    </w:p>
    <w:p w:rsidR="0080148A" w:rsidRDefault="0080148A" w:rsidP="007F15E6">
      <w:pPr>
        <w:pStyle w:val="Heading2"/>
      </w:pPr>
      <w:r>
        <w:t>Commercial Research Study Income</w:t>
      </w:r>
    </w:p>
    <w:p w:rsidR="005B33E5" w:rsidRDefault="0080148A" w:rsidP="00F65A6F">
      <w:r>
        <w:t>The table below shows research income generated from commercial studies ongoing within the CRF from September 2011 and December 2012.  Income for work undertaken within the CRF from January 2013 to date is invoiced during April</w:t>
      </w:r>
      <w:r w:rsidR="005B33E5">
        <w:t xml:space="preserve"> </w:t>
      </w:r>
      <w:r>
        <w:t>2013.</w:t>
      </w:r>
    </w:p>
    <w:p w:rsidR="0080148A" w:rsidRDefault="0080148A" w:rsidP="005B33E5">
      <w:pPr>
        <w:jc w:val="left"/>
      </w:pPr>
      <w:r w:rsidRPr="0080148A">
        <w:rPr>
          <w:noProof/>
          <w:lang w:val="en-GB" w:eastAsia="en-GB"/>
        </w:rPr>
        <w:drawing>
          <wp:inline distT="0" distB="0" distL="0" distR="0">
            <wp:extent cx="5486400" cy="414238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4142382"/>
                    </a:xfrm>
                    <a:prstGeom prst="rect">
                      <a:avLst/>
                    </a:prstGeom>
                    <a:noFill/>
                    <a:ln w="9525">
                      <a:noFill/>
                      <a:miter lim="800000"/>
                      <a:headEnd/>
                      <a:tailEnd/>
                    </a:ln>
                  </pic:spPr>
                </pic:pic>
              </a:graphicData>
            </a:graphic>
          </wp:inline>
        </w:drawing>
      </w:r>
    </w:p>
    <w:p w:rsidR="0080148A" w:rsidRPr="0080148A" w:rsidRDefault="0080148A" w:rsidP="0080148A"/>
    <w:p w:rsidR="007F15E6" w:rsidRDefault="007F15E6" w:rsidP="007F15E6">
      <w:pPr>
        <w:pStyle w:val="Heading2"/>
      </w:pPr>
      <w:r>
        <w:t>Research Study Grant Income</w:t>
      </w:r>
    </w:p>
    <w:p w:rsidR="007F15E6" w:rsidRDefault="0080148A" w:rsidP="007F15E6">
      <w:r>
        <w:t>The table below shows Trust income generated from research studies with grant funding</w:t>
      </w:r>
      <w:r w:rsidR="00F65A6F">
        <w:t>:</w:t>
      </w:r>
    </w:p>
    <w:p w:rsidR="005E4C97" w:rsidRDefault="006E39F8" w:rsidP="007F15E6">
      <w:r w:rsidRPr="006E39F8">
        <w:rPr>
          <w:noProof/>
          <w:lang w:val="en-GB" w:eastAsia="en-GB"/>
        </w:rPr>
        <w:lastRenderedPageBreak/>
        <w:drawing>
          <wp:inline distT="0" distB="0" distL="0" distR="0">
            <wp:extent cx="5486400" cy="653081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86400" cy="6530812"/>
                    </a:xfrm>
                    <a:prstGeom prst="rect">
                      <a:avLst/>
                    </a:prstGeom>
                    <a:noFill/>
                    <a:ln w="9525">
                      <a:noFill/>
                      <a:miter lim="800000"/>
                      <a:headEnd/>
                      <a:tailEnd/>
                    </a:ln>
                  </pic:spPr>
                </pic:pic>
              </a:graphicData>
            </a:graphic>
          </wp:inline>
        </w:drawing>
      </w:r>
    </w:p>
    <w:p w:rsidR="006E39F8" w:rsidRPr="000963FE" w:rsidRDefault="006E39F8" w:rsidP="006E39F8">
      <w:pPr>
        <w:spacing w:before="0" w:after="0"/>
        <w:rPr>
          <w:sz w:val="16"/>
          <w:szCs w:val="16"/>
          <w:lang w:val="en-GB"/>
        </w:rPr>
      </w:pPr>
      <w:r w:rsidRPr="000963FE">
        <w:rPr>
          <w:sz w:val="16"/>
          <w:szCs w:val="16"/>
          <w:lang w:val="en-GB"/>
        </w:rPr>
        <w:t xml:space="preserve">Key: </w:t>
      </w:r>
    </w:p>
    <w:p w:rsidR="006E39F8" w:rsidRPr="000963FE" w:rsidRDefault="006E39F8" w:rsidP="006E39F8">
      <w:pPr>
        <w:spacing w:before="0" w:after="0"/>
        <w:rPr>
          <w:sz w:val="16"/>
          <w:szCs w:val="16"/>
          <w:lang w:val="en-GB"/>
        </w:rPr>
      </w:pPr>
      <w:r w:rsidRPr="000963FE">
        <w:rPr>
          <w:sz w:val="16"/>
          <w:szCs w:val="16"/>
          <w:lang w:val="en-GB"/>
        </w:rPr>
        <w:t xml:space="preserve">* </w:t>
      </w:r>
      <w:r>
        <w:rPr>
          <w:sz w:val="16"/>
          <w:szCs w:val="16"/>
          <w:lang w:val="en-GB"/>
        </w:rPr>
        <w:t>£116,430 of funding withheld until completion of final study report submission and publication</w:t>
      </w:r>
    </w:p>
    <w:p w:rsidR="006E39F8" w:rsidRDefault="006E39F8" w:rsidP="006E39F8">
      <w:pPr>
        <w:spacing w:before="0" w:after="0"/>
        <w:rPr>
          <w:sz w:val="16"/>
          <w:szCs w:val="16"/>
          <w:lang w:val="en-GB"/>
        </w:rPr>
      </w:pPr>
      <w:r>
        <w:rPr>
          <w:sz w:val="16"/>
          <w:szCs w:val="16"/>
          <w:lang w:val="en-GB"/>
        </w:rPr>
        <w:t>** Initial payment for study preparation and ethics submission</w:t>
      </w:r>
    </w:p>
    <w:p w:rsidR="007F15E6" w:rsidRDefault="007F15E6" w:rsidP="007F15E6">
      <w:pPr>
        <w:pStyle w:val="Heading2"/>
      </w:pPr>
      <w:r>
        <w:t xml:space="preserve">NIHR Clinical Research Facility (RCF) Funding </w:t>
      </w:r>
    </w:p>
    <w:p w:rsidR="007F15E6" w:rsidRPr="007F15E6" w:rsidRDefault="008877F4" w:rsidP="007F15E6">
      <w:r>
        <w:t xml:space="preserve">In December 2011 the Trust, in partnership with the University of Oxford and Oxford University Hospitals NHS Trust (OUH) submitted an application to the </w:t>
      </w:r>
      <w:r>
        <w:lastRenderedPageBreak/>
        <w:t xml:space="preserve">NIHR for CRF funding.  The bid was successful </w:t>
      </w:r>
      <w:r w:rsidR="007B54B0">
        <w:t xml:space="preserve">with </w:t>
      </w:r>
      <w:r>
        <w:t>£3.75 million</w:t>
      </w:r>
      <w:r w:rsidR="007B54B0">
        <w:t xml:space="preserve"> being awarded</w:t>
      </w:r>
      <w:r>
        <w:t xml:space="preserve"> over the next five years.  The </w:t>
      </w:r>
      <w:r w:rsidR="007B54B0">
        <w:t>money is to support research across the four sites included in the application, the CRF at the Warneford site, Oxford Centre for Anxiety Disorders and Trauma (OXCADAT), Oxford Cognitive Neuropsychology Centre and Charles Wolfson Clinical Neuroscience Facility.</w:t>
      </w:r>
    </w:p>
    <w:p w:rsidR="00B466A4" w:rsidRDefault="009B51DB" w:rsidP="009B51DB">
      <w:pPr>
        <w:pStyle w:val="Heading1"/>
      </w:pPr>
      <w:r>
        <w:t>Estates</w:t>
      </w:r>
    </w:p>
    <w:p w:rsidR="002D020A" w:rsidRDefault="002D020A" w:rsidP="002D020A">
      <w:pPr>
        <w:rPr>
          <w:lang w:val="en-GB"/>
        </w:rPr>
      </w:pPr>
      <w:r>
        <w:rPr>
          <w:lang w:val="en-GB"/>
        </w:rPr>
        <w:t>The Trust R&amp;D Department, including the CRF</w:t>
      </w:r>
      <w:r w:rsidR="00F65A6F">
        <w:rPr>
          <w:lang w:val="en-GB"/>
        </w:rPr>
        <w:t>,</w:t>
      </w:r>
      <w:r>
        <w:rPr>
          <w:lang w:val="en-GB"/>
        </w:rPr>
        <w:t xml:space="preserve"> is based at the Warneford hospital site.  The CRF is now fully operational and eight research rooms are open for researchers to utilise.  </w:t>
      </w:r>
    </w:p>
    <w:p w:rsidR="002D020A" w:rsidRPr="002D020A" w:rsidRDefault="00A941AF" w:rsidP="002D020A">
      <w:pPr>
        <w:rPr>
          <w:lang w:val="en-GB"/>
        </w:rPr>
      </w:pPr>
      <w:r>
        <w:rPr>
          <w:lang w:val="en-GB"/>
        </w:rPr>
        <w:t>In collaboration with the Department of Psychiatry in the University of Oxford, the Trust is installing an MRI scanner in the Oxford Centre for Human Brain Activity (OHBA) which, in combination with the existing magnetoencephalograp</w:t>
      </w:r>
      <w:r w:rsidR="00C91374">
        <w:rPr>
          <w:lang w:val="en-GB"/>
        </w:rPr>
        <w:t>h</w:t>
      </w:r>
      <w:r>
        <w:rPr>
          <w:lang w:val="en-GB"/>
        </w:rPr>
        <w:t xml:space="preserve">y (MEG) scanner and the technical and scientific expertise in </w:t>
      </w:r>
      <w:r w:rsidR="002E6985">
        <w:rPr>
          <w:lang w:val="en-GB"/>
        </w:rPr>
        <w:t xml:space="preserve">the </w:t>
      </w:r>
      <w:r>
        <w:rPr>
          <w:lang w:val="en-GB"/>
        </w:rPr>
        <w:t xml:space="preserve">FMRIB </w:t>
      </w:r>
      <w:r w:rsidR="007343B4">
        <w:rPr>
          <w:lang w:val="en-GB"/>
        </w:rPr>
        <w:t>facility</w:t>
      </w:r>
      <w:r w:rsidR="002E6985">
        <w:rPr>
          <w:lang w:val="en-GB"/>
        </w:rPr>
        <w:t>,</w:t>
      </w:r>
      <w:r w:rsidR="007343B4">
        <w:rPr>
          <w:lang w:val="en-GB"/>
        </w:rPr>
        <w:t xml:space="preserve"> </w:t>
      </w:r>
      <w:r>
        <w:rPr>
          <w:lang w:val="en-GB"/>
        </w:rPr>
        <w:t xml:space="preserve">will give leading edge scientific and clinical imaging capacity on the Warneford site.   </w:t>
      </w:r>
    </w:p>
    <w:p w:rsidR="009B51DB" w:rsidRDefault="009B51DB" w:rsidP="009B51DB">
      <w:pPr>
        <w:pStyle w:val="Heading1"/>
      </w:pPr>
      <w:r>
        <w:t>Staffing</w:t>
      </w:r>
    </w:p>
    <w:p w:rsidR="002D020A" w:rsidRPr="002D020A" w:rsidRDefault="002D020A" w:rsidP="002D020A">
      <w:pPr>
        <w:pStyle w:val="Heading2"/>
        <w:rPr>
          <w:lang w:val="en-GB"/>
        </w:rPr>
      </w:pPr>
      <w:r>
        <w:rPr>
          <w:lang w:val="en-GB"/>
        </w:rPr>
        <w:t>R&amp;D Department</w:t>
      </w:r>
    </w:p>
    <w:p w:rsidR="002D020A" w:rsidRDefault="007B54B0" w:rsidP="007B54B0">
      <w:pPr>
        <w:rPr>
          <w:lang w:val="en-GB"/>
        </w:rPr>
      </w:pPr>
      <w:r>
        <w:rPr>
          <w:lang w:val="en-GB"/>
        </w:rPr>
        <w:t>The current Trust R&amp;D organisational structure is shown below.  The R&amp;D d</w:t>
      </w:r>
      <w:r w:rsidR="002D020A">
        <w:rPr>
          <w:lang w:val="en-GB"/>
        </w:rPr>
        <w:t>epartment encompasses both nurs</w:t>
      </w:r>
      <w:r>
        <w:rPr>
          <w:lang w:val="en-GB"/>
        </w:rPr>
        <w:t xml:space="preserve">ing and medical support for the CRF and a </w:t>
      </w:r>
      <w:r w:rsidR="002E6985">
        <w:rPr>
          <w:lang w:val="en-GB"/>
        </w:rPr>
        <w:t>management/</w:t>
      </w:r>
      <w:r>
        <w:rPr>
          <w:lang w:val="en-GB"/>
        </w:rPr>
        <w:t>governance office to provide assurances that all appropriate checks and doc</w:t>
      </w:r>
      <w:r w:rsidR="002D020A">
        <w:rPr>
          <w:lang w:val="en-GB"/>
        </w:rPr>
        <w:t>umentation are in place prior to NHS permission being granted to undertake a study within the Trust.</w:t>
      </w:r>
      <w:r w:rsidR="002E6985">
        <w:rPr>
          <w:lang w:val="en-GB"/>
        </w:rPr>
        <w:t xml:space="preserve"> A </w:t>
      </w:r>
      <w:r w:rsidR="00A941AF">
        <w:rPr>
          <w:lang w:val="en-GB"/>
        </w:rPr>
        <w:t xml:space="preserve">Lead Research Nurse Manager </w:t>
      </w:r>
      <w:r w:rsidR="002E6985">
        <w:rPr>
          <w:lang w:val="en-GB"/>
        </w:rPr>
        <w:t>will soon commence in post.</w:t>
      </w:r>
    </w:p>
    <w:p w:rsidR="007B54B0" w:rsidRDefault="002D020A" w:rsidP="002D020A">
      <w:pPr>
        <w:pStyle w:val="Heading2"/>
        <w:rPr>
          <w:lang w:val="en-GB"/>
        </w:rPr>
      </w:pPr>
      <w:r>
        <w:rPr>
          <w:lang w:val="en-GB"/>
        </w:rPr>
        <w:t>Support Staff</w:t>
      </w:r>
    </w:p>
    <w:p w:rsidR="002D020A" w:rsidRDefault="002D020A" w:rsidP="002D020A">
      <w:pPr>
        <w:rPr>
          <w:lang w:val="en-GB"/>
        </w:rPr>
      </w:pPr>
      <w:r>
        <w:rPr>
          <w:lang w:val="en-GB"/>
        </w:rPr>
        <w:t xml:space="preserve">R&amp;D support a number of additional posts, but are not managed by the </w:t>
      </w:r>
      <w:r w:rsidR="00A941AF">
        <w:rPr>
          <w:lang w:val="en-GB"/>
        </w:rPr>
        <w:t>Head of R&amp;D</w:t>
      </w:r>
      <w:r>
        <w:rPr>
          <w:lang w:val="en-GB"/>
        </w:rPr>
        <w:t xml:space="preserve">.  These include </w:t>
      </w:r>
      <w:r w:rsidR="002E6985">
        <w:rPr>
          <w:lang w:val="en-GB"/>
        </w:rPr>
        <w:t xml:space="preserve">a </w:t>
      </w:r>
      <w:r>
        <w:rPr>
          <w:lang w:val="en-GB"/>
        </w:rPr>
        <w:t>clinical trials pharmacist and support</w:t>
      </w:r>
      <w:r w:rsidR="002E6985">
        <w:rPr>
          <w:lang w:val="en-GB"/>
        </w:rPr>
        <w:t>, as well as</w:t>
      </w:r>
      <w:r>
        <w:rPr>
          <w:lang w:val="en-GB"/>
        </w:rPr>
        <w:t xml:space="preserve"> various research nurses across the Trust.</w:t>
      </w:r>
    </w:p>
    <w:p w:rsidR="002D020A" w:rsidRPr="002D020A" w:rsidRDefault="00A941AF" w:rsidP="002D020A">
      <w:pPr>
        <w:rPr>
          <w:lang w:val="en-GB"/>
        </w:rPr>
      </w:pPr>
      <w:r>
        <w:rPr>
          <w:lang w:val="en-GB"/>
        </w:rPr>
        <w:t>The support funding which accrues from our successful NIHR research programmes has allowed the creation of new clinical academic posts. The first appointment – Dr Matthew Broome</w:t>
      </w:r>
      <w:r w:rsidR="002E6985">
        <w:rPr>
          <w:lang w:val="en-GB"/>
        </w:rPr>
        <w:t>, an academic consultant psychiatrist</w:t>
      </w:r>
      <w:r w:rsidR="00C91374">
        <w:rPr>
          <w:lang w:val="en-GB"/>
        </w:rPr>
        <w:t xml:space="preserve"> – will join Dr T</w:t>
      </w:r>
      <w:r>
        <w:rPr>
          <w:lang w:val="en-GB"/>
        </w:rPr>
        <w:t>ony James in the new Highfield Unit in June 2013</w:t>
      </w:r>
      <w:r w:rsidR="002E6985">
        <w:rPr>
          <w:lang w:val="en-GB"/>
        </w:rPr>
        <w:t>.</w:t>
      </w:r>
    </w:p>
    <w:p w:rsidR="007B54B0" w:rsidRPr="007B54B0" w:rsidRDefault="007B54B0" w:rsidP="007B54B0">
      <w:pPr>
        <w:rPr>
          <w:lang w:val="en-GB"/>
        </w:rPr>
      </w:pPr>
      <w:r>
        <w:rPr>
          <w:noProof/>
          <w:lang w:val="en-GB" w:eastAsia="en-GB"/>
        </w:rPr>
        <w:lastRenderedPageBreak/>
        <w:drawing>
          <wp:inline distT="0" distB="0" distL="0" distR="0">
            <wp:extent cx="5733164" cy="3155600"/>
            <wp:effectExtent l="19050" t="0" r="886"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739400" cy="3159032"/>
                    </a:xfrm>
                    <a:prstGeom prst="rect">
                      <a:avLst/>
                    </a:prstGeom>
                    <a:noFill/>
                  </pic:spPr>
                </pic:pic>
              </a:graphicData>
            </a:graphic>
          </wp:inline>
        </w:drawing>
      </w:r>
    </w:p>
    <w:p w:rsidR="00C91374" w:rsidRDefault="00C91374" w:rsidP="009B51DB">
      <w:pPr>
        <w:pStyle w:val="Heading1"/>
      </w:pPr>
    </w:p>
    <w:p w:rsidR="009B51DB" w:rsidRDefault="008A4267" w:rsidP="009B51DB">
      <w:pPr>
        <w:pStyle w:val="Heading1"/>
      </w:pPr>
      <w:r w:rsidRPr="00A941AF">
        <w:t>Official Opening of the CRF</w:t>
      </w:r>
    </w:p>
    <w:p w:rsidR="00A941AF" w:rsidRPr="00C35A37" w:rsidRDefault="00A941AF" w:rsidP="00A941AF">
      <w:pPr>
        <w:rPr>
          <w:rFonts w:cs="Arial"/>
        </w:rPr>
      </w:pPr>
      <w:r>
        <w:rPr>
          <w:rFonts w:cs="Arial"/>
        </w:rPr>
        <w:t xml:space="preserve">The NIHR Oxford cognitive health Clinical Research Facility was opened in March 2013 by Professor Dame Sally Davies, Chief Medical Officer. </w:t>
      </w:r>
    </w:p>
    <w:p w:rsidR="00D936BB" w:rsidRPr="00B274C8" w:rsidRDefault="00B274C8" w:rsidP="0073522A">
      <w:pPr>
        <w:rPr>
          <w:rFonts w:cs="Arial"/>
          <w:b/>
          <w:u w:val="single"/>
        </w:rPr>
      </w:pPr>
      <w:r w:rsidRPr="00B274C8">
        <w:rPr>
          <w:rFonts w:cs="Arial"/>
          <w:b/>
          <w:u w:val="single"/>
        </w:rPr>
        <w:t>Conclusion</w:t>
      </w:r>
    </w:p>
    <w:p w:rsidR="00B274C8" w:rsidRPr="00B274C8" w:rsidRDefault="00B274C8" w:rsidP="0073522A">
      <w:pPr>
        <w:rPr>
          <w:rFonts w:cs="Arial"/>
        </w:rPr>
      </w:pPr>
      <w:r w:rsidRPr="00B274C8">
        <w:rPr>
          <w:rFonts w:cs="Arial"/>
        </w:rPr>
        <w:t xml:space="preserve">Through </w:t>
      </w:r>
      <w:r w:rsidR="00C2360F">
        <w:rPr>
          <w:rFonts w:cs="Arial"/>
        </w:rPr>
        <w:t>expanding</w:t>
      </w:r>
      <w:r>
        <w:rPr>
          <w:rFonts w:cs="Arial"/>
        </w:rPr>
        <w:t xml:space="preserve"> academic collaboration, the Trust is embarking upon a step change in </w:t>
      </w:r>
      <w:r w:rsidR="00AE06FB">
        <w:rPr>
          <w:rFonts w:cs="Arial"/>
        </w:rPr>
        <w:t>its R&amp;D activity and profile.</w:t>
      </w:r>
      <w:r w:rsidR="00C2360F">
        <w:rPr>
          <w:rFonts w:cs="Arial"/>
        </w:rPr>
        <w:t xml:space="preserve"> The planned increases in grant income and patient recruitment into research studies will be </w:t>
      </w:r>
      <w:r w:rsidR="00C91374">
        <w:rPr>
          <w:rFonts w:cs="Arial"/>
        </w:rPr>
        <w:t>helped by</w:t>
      </w:r>
      <w:r w:rsidR="00C2360F">
        <w:rPr>
          <w:rFonts w:cs="Arial"/>
        </w:rPr>
        <w:t xml:space="preserve"> evolving IT support. The </w:t>
      </w:r>
      <w:r w:rsidR="00C91374">
        <w:rPr>
          <w:rFonts w:cs="Arial"/>
        </w:rPr>
        <w:t>enhanced R&amp;D activity</w:t>
      </w:r>
      <w:r w:rsidR="00C2360F">
        <w:rPr>
          <w:rFonts w:cs="Arial"/>
        </w:rPr>
        <w:t xml:space="preserve"> align</w:t>
      </w:r>
      <w:r w:rsidR="00C91374">
        <w:rPr>
          <w:rFonts w:cs="Arial"/>
        </w:rPr>
        <w:t>s</w:t>
      </w:r>
      <w:r w:rsidR="00C2360F">
        <w:rPr>
          <w:rFonts w:cs="Arial"/>
        </w:rPr>
        <w:t xml:space="preserve"> strategically with the aspirations of the Trust and with the current service remodeling</w:t>
      </w:r>
      <w:r w:rsidR="00C91374">
        <w:rPr>
          <w:rFonts w:cs="Arial"/>
        </w:rPr>
        <w:t xml:space="preserve">. Most importantly, it </w:t>
      </w:r>
      <w:r w:rsidR="00C2360F">
        <w:rPr>
          <w:rFonts w:cs="Arial"/>
        </w:rPr>
        <w:t xml:space="preserve">will benefit patient care. </w:t>
      </w:r>
    </w:p>
    <w:p w:rsidR="005B33E5" w:rsidRPr="00B274C8" w:rsidRDefault="005B33E5" w:rsidP="0073522A">
      <w:pPr>
        <w:rPr>
          <w:rFonts w:cs="Arial"/>
        </w:rPr>
      </w:pPr>
    </w:p>
    <w:p w:rsidR="0073522A" w:rsidRDefault="00A941AF" w:rsidP="0073522A">
      <w:pPr>
        <w:rPr>
          <w:rFonts w:cs="Arial"/>
          <w:b/>
        </w:rPr>
      </w:pPr>
      <w:r>
        <w:rPr>
          <w:rFonts w:cs="Arial"/>
          <w:b/>
        </w:rPr>
        <w:t>Recommendation</w:t>
      </w:r>
    </w:p>
    <w:p w:rsidR="005D3499" w:rsidRPr="00A941AF" w:rsidRDefault="00A941AF">
      <w:pPr>
        <w:rPr>
          <w:rFonts w:cs="Arial"/>
        </w:rPr>
      </w:pPr>
      <w:r w:rsidRPr="00A941AF">
        <w:rPr>
          <w:rFonts w:cs="Arial"/>
        </w:rPr>
        <w:t xml:space="preserve">It is recommended </w:t>
      </w:r>
      <w:r w:rsidR="005B33E5">
        <w:rPr>
          <w:rFonts w:cs="Arial"/>
        </w:rPr>
        <w:t xml:space="preserve">that further such </w:t>
      </w:r>
      <w:r w:rsidR="00AC6AE5" w:rsidRPr="00A941AF">
        <w:rPr>
          <w:rFonts w:cs="Arial"/>
        </w:rPr>
        <w:t>R&amp;D</w:t>
      </w:r>
      <w:r w:rsidR="00AC6AE5">
        <w:rPr>
          <w:rFonts w:cs="Arial"/>
        </w:rPr>
        <w:t xml:space="preserve"> </w:t>
      </w:r>
      <w:r w:rsidR="005B33E5">
        <w:rPr>
          <w:rFonts w:cs="Arial"/>
        </w:rPr>
        <w:t xml:space="preserve">reports be provided to the Board </w:t>
      </w:r>
      <w:r w:rsidR="00AC6AE5">
        <w:rPr>
          <w:rFonts w:cs="Arial"/>
        </w:rPr>
        <w:t xml:space="preserve">of Directors </w:t>
      </w:r>
      <w:r w:rsidR="005B33E5">
        <w:rPr>
          <w:rFonts w:cs="Arial"/>
        </w:rPr>
        <w:t>on a six monthly basis.</w:t>
      </w:r>
      <w:r w:rsidR="00B274C8">
        <w:rPr>
          <w:rFonts w:cs="Arial"/>
        </w:rPr>
        <w:t xml:space="preserve"> Any comment regarding </w:t>
      </w:r>
      <w:r w:rsidR="00C91374">
        <w:rPr>
          <w:rFonts w:cs="Arial"/>
        </w:rPr>
        <w:t xml:space="preserve">future </w:t>
      </w:r>
      <w:r w:rsidR="00B274C8">
        <w:rPr>
          <w:rFonts w:cs="Arial"/>
        </w:rPr>
        <w:t>content or emphasis would be welcomed.</w:t>
      </w:r>
    </w:p>
    <w:p w:rsidR="0073522A" w:rsidRDefault="002619EF" w:rsidP="0073522A">
      <w:pPr>
        <w:ind w:left="1440" w:hanging="1440"/>
        <w:rPr>
          <w:rFonts w:cs="Arial"/>
        </w:rPr>
      </w:pPr>
      <w:r>
        <w:rPr>
          <w:rFonts w:cs="Arial"/>
          <w:b/>
        </w:rPr>
        <w:t>Author and T</w:t>
      </w:r>
      <w:r w:rsidR="0073522A">
        <w:rPr>
          <w:rFonts w:cs="Arial"/>
          <w:b/>
        </w:rPr>
        <w:t>itle:</w:t>
      </w:r>
      <w:r w:rsidR="0073522A">
        <w:rPr>
          <w:rFonts w:cs="Arial"/>
        </w:rPr>
        <w:t xml:space="preserve"> </w:t>
      </w:r>
      <w:r w:rsidR="0073522A">
        <w:rPr>
          <w:rFonts w:cs="Arial"/>
        </w:rPr>
        <w:tab/>
      </w:r>
      <w:r w:rsidR="00AC6AE5">
        <w:rPr>
          <w:rFonts w:cs="Arial"/>
        </w:rPr>
        <w:t xml:space="preserve">Professor </w:t>
      </w:r>
      <w:r w:rsidR="00A941AF">
        <w:rPr>
          <w:rFonts w:cs="Arial"/>
        </w:rPr>
        <w:t>John Geddes</w:t>
      </w:r>
      <w:r w:rsidR="00516AE8">
        <w:rPr>
          <w:rFonts w:cs="Arial"/>
        </w:rPr>
        <w:t>,</w:t>
      </w:r>
      <w:r w:rsidR="00A941AF">
        <w:rPr>
          <w:rFonts w:cs="Arial"/>
        </w:rPr>
        <w:t xml:space="preserve"> Emma Stratful</w:t>
      </w:r>
      <w:r w:rsidR="00516AE8">
        <w:rPr>
          <w:rFonts w:cs="Arial"/>
        </w:rPr>
        <w:t xml:space="preserve"> &amp; Dr Clive Meux</w:t>
      </w:r>
    </w:p>
    <w:p w:rsidR="0073522A" w:rsidRDefault="0073522A" w:rsidP="0073522A">
      <w:pPr>
        <w:rPr>
          <w:rFonts w:cs="Arial"/>
          <w:b/>
        </w:rPr>
      </w:pPr>
      <w:r>
        <w:rPr>
          <w:rFonts w:cs="Arial"/>
          <w:b/>
        </w:rPr>
        <w:t>Lead Executive Director:</w:t>
      </w:r>
      <w:r>
        <w:rPr>
          <w:rFonts w:cs="Arial"/>
          <w:b/>
        </w:rPr>
        <w:tab/>
      </w:r>
      <w:r w:rsidR="00AC6AE5" w:rsidRPr="00AC6AE5">
        <w:rPr>
          <w:rFonts w:cs="Arial"/>
        </w:rPr>
        <w:t xml:space="preserve">Dr </w:t>
      </w:r>
      <w:r w:rsidR="00A941AF" w:rsidRPr="00A941AF">
        <w:rPr>
          <w:rFonts w:cs="Arial"/>
        </w:rPr>
        <w:t>Clive Meux</w:t>
      </w:r>
    </w:p>
    <w:p w:rsidR="0073522A" w:rsidRDefault="0073522A">
      <w:pPr>
        <w:rPr>
          <w:rFonts w:cs="Arial"/>
          <w:b/>
        </w:rPr>
      </w:pPr>
    </w:p>
    <w:p w:rsidR="004F4BBA" w:rsidRPr="00894B97" w:rsidRDefault="0073522A" w:rsidP="009B51DB">
      <w:pPr>
        <w:spacing w:before="0" w:after="0"/>
        <w:rPr>
          <w:rFonts w:cs="Arial"/>
        </w:rPr>
      </w:pPr>
      <w:r>
        <w:rPr>
          <w:rFonts w:cs="Arial"/>
        </w:rPr>
        <w:t>[ Drafting Note: The</w:t>
      </w:r>
      <w:r w:rsidR="004F4BBA" w:rsidRPr="004F4BBA">
        <w:rPr>
          <w:rFonts w:cs="Arial"/>
        </w:rPr>
        <w:t xml:space="preserve"> </w:t>
      </w:r>
      <w:r w:rsidR="004F4BBA">
        <w:rPr>
          <w:rFonts w:cs="Arial"/>
        </w:rPr>
        <w:t>following statements must be attached to every report.</w:t>
      </w:r>
      <w:r w:rsidR="002C2F97">
        <w:rPr>
          <w:rFonts w:cs="Arial"/>
        </w:rPr>
        <w:t xml:space="preserve"> </w:t>
      </w:r>
      <w:r w:rsidR="00B26E1A">
        <w:rPr>
          <w:rFonts w:cs="Arial"/>
        </w:rPr>
        <w:t>]</w:t>
      </w:r>
    </w:p>
    <w:p w:rsidR="004F4BBA" w:rsidRDefault="004F4BBA" w:rsidP="009B51DB">
      <w:pPr>
        <w:numPr>
          <w:ilvl w:val="0"/>
          <w:numId w:val="2"/>
        </w:numPr>
        <w:spacing w:before="0" w:after="0"/>
        <w:rPr>
          <w:rFonts w:cs="Arial"/>
          <w:i/>
          <w:sz w:val="20"/>
          <w:szCs w:val="20"/>
        </w:rPr>
      </w:pPr>
      <w:r w:rsidRPr="0073522A">
        <w:rPr>
          <w:rFonts w:cs="Arial"/>
          <w:i/>
          <w:sz w:val="20"/>
          <w:szCs w:val="20"/>
        </w:rPr>
        <w:t>A risk assessment has been undertaken around the legal issues that this paper presents and there are no issues that need to be r</w:t>
      </w:r>
      <w:r w:rsidR="0073522A">
        <w:rPr>
          <w:rFonts w:cs="Arial"/>
          <w:i/>
          <w:sz w:val="20"/>
          <w:szCs w:val="20"/>
        </w:rPr>
        <w:t>eferred to the Trust Solicitors.</w:t>
      </w:r>
    </w:p>
    <w:p w:rsidR="00AA0C3F" w:rsidRDefault="00AA0C3F" w:rsidP="009B51DB">
      <w:pPr>
        <w:spacing w:before="0" w:after="0"/>
        <w:rPr>
          <w:rFonts w:cs="Arial"/>
          <w:i/>
          <w:sz w:val="20"/>
          <w:szCs w:val="20"/>
        </w:rPr>
      </w:pPr>
    </w:p>
    <w:p w:rsidR="00AA0C3F" w:rsidRDefault="00781566" w:rsidP="009B51DB">
      <w:pPr>
        <w:numPr>
          <w:ilvl w:val="0"/>
          <w:numId w:val="2"/>
        </w:numPr>
        <w:spacing w:before="0" w:after="0"/>
        <w:rPr>
          <w:rFonts w:cs="Arial"/>
          <w:i/>
          <w:sz w:val="20"/>
          <w:szCs w:val="20"/>
        </w:rPr>
      </w:pPr>
      <w:r>
        <w:rPr>
          <w:rFonts w:cs="Arial"/>
          <w:i/>
          <w:sz w:val="20"/>
          <w:szCs w:val="20"/>
        </w:rPr>
        <w:t>This paper (including all appendices) has been assessed against the Freedom of Information Act and the following applies: [</w:t>
      </w:r>
      <w:r w:rsidRPr="00781566">
        <w:rPr>
          <w:rFonts w:cs="Arial"/>
          <w:i/>
          <w:sz w:val="20"/>
          <w:szCs w:val="20"/>
          <w:u w:val="single"/>
        </w:rPr>
        <w:t>delete as appropriate</w:t>
      </w:r>
      <w:r>
        <w:rPr>
          <w:rFonts w:cs="Arial"/>
          <w:i/>
          <w:sz w:val="20"/>
          <w:szCs w:val="20"/>
        </w:rPr>
        <w:t>]</w:t>
      </w:r>
    </w:p>
    <w:p w:rsidR="00781566" w:rsidRDefault="00781566" w:rsidP="009B51DB">
      <w:pPr>
        <w:numPr>
          <w:ilvl w:val="0"/>
          <w:numId w:val="3"/>
        </w:numPr>
        <w:spacing w:before="0" w:after="0"/>
        <w:rPr>
          <w:rFonts w:cs="Arial"/>
          <w:i/>
          <w:sz w:val="20"/>
          <w:szCs w:val="20"/>
        </w:rPr>
      </w:pPr>
      <w:r>
        <w:rPr>
          <w:rFonts w:cs="Arial"/>
          <w:i/>
          <w:sz w:val="20"/>
          <w:szCs w:val="20"/>
        </w:rPr>
        <w:t>THIS PAPER MAY BE PUBLISHED UNDER FOI</w:t>
      </w:r>
    </w:p>
    <w:p w:rsidR="00781566" w:rsidRDefault="00781566" w:rsidP="009B51DB">
      <w:pPr>
        <w:spacing w:before="0" w:after="0"/>
        <w:rPr>
          <w:rFonts w:cs="Arial"/>
          <w:i/>
          <w:sz w:val="20"/>
          <w:szCs w:val="20"/>
        </w:rPr>
      </w:pPr>
    </w:p>
    <w:p w:rsidR="00781566" w:rsidRDefault="00781566" w:rsidP="009B51DB">
      <w:pPr>
        <w:numPr>
          <w:ilvl w:val="0"/>
          <w:numId w:val="3"/>
        </w:numPr>
        <w:spacing w:before="0" w:after="0"/>
        <w:rPr>
          <w:rFonts w:cs="Arial"/>
          <w:i/>
          <w:sz w:val="20"/>
          <w:szCs w:val="20"/>
        </w:rPr>
      </w:pPr>
      <w:r>
        <w:rPr>
          <w:rFonts w:cs="Arial"/>
          <w:i/>
          <w:sz w:val="20"/>
          <w:szCs w:val="20"/>
        </w:rPr>
        <w:t>THIS PAPER, IN ITS ENTIRETY, MUST NOT BE PUBLISHED UNDER FOI AND THE FOLLOWING EXEMPTION(S) APPLY:</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14" w:history="1">
        <w:r w:rsidR="00781566" w:rsidRPr="00781566">
          <w:rPr>
            <w:rFonts w:cs="Arial"/>
            <w:i/>
            <w:color w:val="000000" w:themeColor="text1"/>
            <w:sz w:val="20"/>
            <w:szCs w:val="20"/>
            <w:lang w:eastAsia="en-GB"/>
          </w:rPr>
          <w:t>Section 21</w:t>
        </w:r>
      </w:hyperlink>
      <w:r w:rsidR="00781566" w:rsidRPr="00781566">
        <w:rPr>
          <w:rFonts w:cs="Arial"/>
          <w:i/>
          <w:color w:val="000000" w:themeColor="text1"/>
          <w:sz w:val="20"/>
          <w:szCs w:val="20"/>
          <w:lang w:eastAsia="en-GB"/>
        </w:rPr>
        <w:t>: Information accessible to public by other means</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15" w:history="1">
        <w:r w:rsidR="00781566" w:rsidRPr="00781566">
          <w:rPr>
            <w:rFonts w:cs="Arial"/>
            <w:i/>
            <w:color w:val="000000" w:themeColor="text1"/>
            <w:sz w:val="20"/>
            <w:szCs w:val="20"/>
            <w:lang w:eastAsia="en-GB"/>
          </w:rPr>
          <w:t>Section 22</w:t>
        </w:r>
      </w:hyperlink>
      <w:r w:rsidR="00781566" w:rsidRPr="00781566">
        <w:rPr>
          <w:rFonts w:cs="Arial"/>
          <w:i/>
          <w:color w:val="000000" w:themeColor="text1"/>
          <w:sz w:val="20"/>
          <w:szCs w:val="20"/>
          <w:lang w:eastAsia="en-GB"/>
        </w:rPr>
        <w:t>: Information intended for future publication</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16" w:history="1">
        <w:r w:rsidR="00781566" w:rsidRPr="00781566">
          <w:rPr>
            <w:rFonts w:cs="Arial"/>
            <w:i/>
            <w:color w:val="000000" w:themeColor="text1"/>
            <w:sz w:val="20"/>
            <w:szCs w:val="20"/>
            <w:lang w:eastAsia="en-GB"/>
          </w:rPr>
          <w:t>Section 33</w:t>
        </w:r>
      </w:hyperlink>
      <w:r w:rsidR="00781566" w:rsidRPr="00781566">
        <w:rPr>
          <w:rFonts w:cs="Arial"/>
          <w:i/>
          <w:color w:val="000000" w:themeColor="text1"/>
          <w:sz w:val="20"/>
          <w:szCs w:val="20"/>
          <w:lang w:eastAsia="en-GB"/>
        </w:rPr>
        <w:t>: Audit functions</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17" w:history="1">
        <w:r w:rsidR="00781566" w:rsidRPr="00781566">
          <w:rPr>
            <w:rFonts w:cs="Arial"/>
            <w:i/>
            <w:color w:val="000000" w:themeColor="text1"/>
            <w:sz w:val="20"/>
            <w:szCs w:val="20"/>
            <w:lang w:eastAsia="en-GB"/>
          </w:rPr>
          <w:t>Section 36</w:t>
        </w:r>
      </w:hyperlink>
      <w:r w:rsidR="00781566" w:rsidRPr="00781566">
        <w:rPr>
          <w:rFonts w:cs="Arial"/>
          <w:i/>
          <w:color w:val="000000" w:themeColor="text1"/>
          <w:sz w:val="20"/>
          <w:szCs w:val="20"/>
          <w:lang w:eastAsia="en-GB"/>
        </w:rPr>
        <w:t>: Prejudice to effective conduct of public affairs</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18" w:history="1">
        <w:r w:rsidR="00781566" w:rsidRPr="00781566">
          <w:rPr>
            <w:rFonts w:cs="Arial"/>
            <w:i/>
            <w:color w:val="000000" w:themeColor="text1"/>
            <w:sz w:val="20"/>
            <w:szCs w:val="20"/>
            <w:lang w:eastAsia="en-GB"/>
          </w:rPr>
          <w:t>Section 38</w:t>
        </w:r>
      </w:hyperlink>
      <w:r w:rsidR="00781566" w:rsidRPr="00781566">
        <w:rPr>
          <w:rFonts w:cs="Arial"/>
          <w:i/>
          <w:color w:val="000000" w:themeColor="text1"/>
          <w:sz w:val="20"/>
          <w:szCs w:val="20"/>
          <w:lang w:eastAsia="en-GB"/>
        </w:rPr>
        <w:t>: Health and safety</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19" w:history="1">
        <w:r w:rsidR="00781566" w:rsidRPr="00781566">
          <w:rPr>
            <w:rFonts w:cs="Arial"/>
            <w:i/>
            <w:color w:val="000000" w:themeColor="text1"/>
            <w:sz w:val="20"/>
            <w:szCs w:val="20"/>
            <w:lang w:eastAsia="en-GB"/>
          </w:rPr>
          <w:t>Section 40</w:t>
        </w:r>
      </w:hyperlink>
      <w:r w:rsidR="00781566" w:rsidRPr="00781566">
        <w:rPr>
          <w:rFonts w:cs="Arial"/>
          <w:i/>
          <w:color w:val="000000" w:themeColor="text1"/>
          <w:sz w:val="20"/>
          <w:szCs w:val="20"/>
          <w:lang w:eastAsia="en-GB"/>
        </w:rPr>
        <w:t>: Personal information</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0" w:history="1">
        <w:r w:rsidR="00781566" w:rsidRPr="00781566">
          <w:rPr>
            <w:rFonts w:cs="Arial"/>
            <w:i/>
            <w:color w:val="000000" w:themeColor="text1"/>
            <w:sz w:val="20"/>
            <w:szCs w:val="20"/>
            <w:lang w:eastAsia="en-GB"/>
          </w:rPr>
          <w:t>Section 41</w:t>
        </w:r>
      </w:hyperlink>
      <w:r w:rsidR="00781566" w:rsidRPr="00781566">
        <w:rPr>
          <w:rFonts w:cs="Arial"/>
          <w:i/>
          <w:color w:val="000000" w:themeColor="text1"/>
          <w:sz w:val="20"/>
          <w:szCs w:val="20"/>
          <w:lang w:eastAsia="en-GB"/>
        </w:rPr>
        <w:t>: Information provided in confidence</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1" w:history="1">
        <w:r w:rsidR="00781566" w:rsidRPr="00781566">
          <w:rPr>
            <w:rFonts w:cs="Arial"/>
            <w:i/>
            <w:color w:val="000000" w:themeColor="text1"/>
            <w:sz w:val="20"/>
            <w:szCs w:val="20"/>
            <w:lang w:eastAsia="en-GB"/>
          </w:rPr>
          <w:t>Section 42</w:t>
        </w:r>
      </w:hyperlink>
      <w:r w:rsidR="00781566" w:rsidRPr="00781566">
        <w:rPr>
          <w:rFonts w:cs="Arial"/>
          <w:i/>
          <w:color w:val="000000" w:themeColor="text1"/>
          <w:sz w:val="20"/>
          <w:szCs w:val="20"/>
          <w:lang w:eastAsia="en-GB"/>
        </w:rPr>
        <w:t>: Legal professional privilege</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2" w:history="1">
        <w:r w:rsidR="00781566" w:rsidRPr="00781566">
          <w:rPr>
            <w:rFonts w:cs="Arial"/>
            <w:i/>
            <w:color w:val="000000" w:themeColor="text1"/>
            <w:sz w:val="20"/>
            <w:szCs w:val="20"/>
            <w:lang w:eastAsia="en-GB"/>
          </w:rPr>
          <w:t>Section 43</w:t>
        </w:r>
      </w:hyperlink>
      <w:r w:rsidR="00781566" w:rsidRPr="00781566">
        <w:rPr>
          <w:rFonts w:cs="Arial"/>
          <w:i/>
          <w:color w:val="000000" w:themeColor="text1"/>
          <w:sz w:val="20"/>
          <w:szCs w:val="20"/>
          <w:lang w:eastAsia="en-GB"/>
        </w:rPr>
        <w:t>: Commercial interests</w:t>
      </w:r>
    </w:p>
    <w:p w:rsidR="00781566" w:rsidRDefault="00781566" w:rsidP="009B51DB">
      <w:pPr>
        <w:spacing w:before="0" w:after="0"/>
        <w:ind w:left="720"/>
        <w:rPr>
          <w:rFonts w:cs="Arial"/>
          <w:i/>
          <w:sz w:val="20"/>
          <w:szCs w:val="20"/>
        </w:rPr>
      </w:pPr>
    </w:p>
    <w:p w:rsidR="00781566" w:rsidRDefault="00781566" w:rsidP="009B51DB">
      <w:pPr>
        <w:numPr>
          <w:ilvl w:val="0"/>
          <w:numId w:val="3"/>
        </w:numPr>
        <w:spacing w:before="0" w:after="0"/>
        <w:rPr>
          <w:rFonts w:cs="Arial"/>
          <w:i/>
          <w:sz w:val="20"/>
          <w:szCs w:val="20"/>
        </w:rPr>
      </w:pPr>
      <w:r>
        <w:rPr>
          <w:rFonts w:cs="Arial"/>
          <w:i/>
          <w:sz w:val="20"/>
          <w:szCs w:val="20"/>
        </w:rPr>
        <w:t>SECTIONS MARKED IN THIS PAPER MUST NOT BE PUBLISHED UNDER FOI AND THE FOLLOWING EXEMPTION(S) APPLY:</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3" w:history="1">
        <w:r w:rsidR="00781566" w:rsidRPr="00781566">
          <w:rPr>
            <w:rFonts w:cs="Arial"/>
            <w:i/>
            <w:color w:val="000000" w:themeColor="text1"/>
            <w:sz w:val="20"/>
            <w:szCs w:val="20"/>
            <w:lang w:eastAsia="en-GB"/>
          </w:rPr>
          <w:t>Section 21</w:t>
        </w:r>
      </w:hyperlink>
      <w:r w:rsidR="00781566" w:rsidRPr="00781566">
        <w:rPr>
          <w:rFonts w:cs="Arial"/>
          <w:i/>
          <w:color w:val="000000" w:themeColor="text1"/>
          <w:sz w:val="20"/>
          <w:szCs w:val="20"/>
          <w:lang w:eastAsia="en-GB"/>
        </w:rPr>
        <w:t>: Information accessible to public by other means</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4" w:history="1">
        <w:r w:rsidR="00781566" w:rsidRPr="00781566">
          <w:rPr>
            <w:rFonts w:cs="Arial"/>
            <w:i/>
            <w:color w:val="000000" w:themeColor="text1"/>
            <w:sz w:val="20"/>
            <w:szCs w:val="20"/>
            <w:lang w:eastAsia="en-GB"/>
          </w:rPr>
          <w:t>Section 22</w:t>
        </w:r>
      </w:hyperlink>
      <w:r w:rsidR="00781566" w:rsidRPr="00781566">
        <w:rPr>
          <w:rFonts w:cs="Arial"/>
          <w:i/>
          <w:color w:val="000000" w:themeColor="text1"/>
          <w:sz w:val="20"/>
          <w:szCs w:val="20"/>
          <w:lang w:eastAsia="en-GB"/>
        </w:rPr>
        <w:t>: Information intended for future publication</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5" w:history="1">
        <w:r w:rsidR="00781566" w:rsidRPr="00781566">
          <w:rPr>
            <w:rFonts w:cs="Arial"/>
            <w:i/>
            <w:color w:val="000000" w:themeColor="text1"/>
            <w:sz w:val="20"/>
            <w:szCs w:val="20"/>
            <w:lang w:eastAsia="en-GB"/>
          </w:rPr>
          <w:t>Section 33</w:t>
        </w:r>
      </w:hyperlink>
      <w:r w:rsidR="00781566" w:rsidRPr="00781566">
        <w:rPr>
          <w:rFonts w:cs="Arial"/>
          <w:i/>
          <w:color w:val="000000" w:themeColor="text1"/>
          <w:sz w:val="20"/>
          <w:szCs w:val="20"/>
          <w:lang w:eastAsia="en-GB"/>
        </w:rPr>
        <w:t>: Audit functions</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6" w:history="1">
        <w:r w:rsidR="00781566" w:rsidRPr="00781566">
          <w:rPr>
            <w:rFonts w:cs="Arial"/>
            <w:i/>
            <w:color w:val="000000" w:themeColor="text1"/>
            <w:sz w:val="20"/>
            <w:szCs w:val="20"/>
            <w:lang w:eastAsia="en-GB"/>
          </w:rPr>
          <w:t>Section 36</w:t>
        </w:r>
      </w:hyperlink>
      <w:r w:rsidR="00781566" w:rsidRPr="00781566">
        <w:rPr>
          <w:rFonts w:cs="Arial"/>
          <w:i/>
          <w:color w:val="000000" w:themeColor="text1"/>
          <w:sz w:val="20"/>
          <w:szCs w:val="20"/>
          <w:lang w:eastAsia="en-GB"/>
        </w:rPr>
        <w:t>: Prejudice to effective conduct of public affairs</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7" w:history="1">
        <w:r w:rsidR="00781566" w:rsidRPr="00781566">
          <w:rPr>
            <w:rFonts w:cs="Arial"/>
            <w:i/>
            <w:color w:val="000000" w:themeColor="text1"/>
            <w:sz w:val="20"/>
            <w:szCs w:val="20"/>
            <w:lang w:eastAsia="en-GB"/>
          </w:rPr>
          <w:t>Section 38</w:t>
        </w:r>
      </w:hyperlink>
      <w:r w:rsidR="00781566" w:rsidRPr="00781566">
        <w:rPr>
          <w:rFonts w:cs="Arial"/>
          <w:i/>
          <w:color w:val="000000" w:themeColor="text1"/>
          <w:sz w:val="20"/>
          <w:szCs w:val="20"/>
          <w:lang w:eastAsia="en-GB"/>
        </w:rPr>
        <w:t>: Health and safety</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8" w:history="1">
        <w:r w:rsidR="00781566" w:rsidRPr="00781566">
          <w:rPr>
            <w:rFonts w:cs="Arial"/>
            <w:i/>
            <w:color w:val="000000" w:themeColor="text1"/>
            <w:sz w:val="20"/>
            <w:szCs w:val="20"/>
            <w:lang w:eastAsia="en-GB"/>
          </w:rPr>
          <w:t>Section 40</w:t>
        </w:r>
      </w:hyperlink>
      <w:r w:rsidR="00781566" w:rsidRPr="00781566">
        <w:rPr>
          <w:rFonts w:cs="Arial"/>
          <w:i/>
          <w:color w:val="000000" w:themeColor="text1"/>
          <w:sz w:val="20"/>
          <w:szCs w:val="20"/>
          <w:lang w:eastAsia="en-GB"/>
        </w:rPr>
        <w:t>: Personal information</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29" w:history="1">
        <w:r w:rsidR="00781566" w:rsidRPr="00781566">
          <w:rPr>
            <w:rFonts w:cs="Arial"/>
            <w:i/>
            <w:color w:val="000000" w:themeColor="text1"/>
            <w:sz w:val="20"/>
            <w:szCs w:val="20"/>
            <w:lang w:eastAsia="en-GB"/>
          </w:rPr>
          <w:t>Section 41</w:t>
        </w:r>
      </w:hyperlink>
      <w:r w:rsidR="00781566" w:rsidRPr="00781566">
        <w:rPr>
          <w:rFonts w:cs="Arial"/>
          <w:i/>
          <w:color w:val="000000" w:themeColor="text1"/>
          <w:sz w:val="20"/>
          <w:szCs w:val="20"/>
          <w:lang w:eastAsia="en-GB"/>
        </w:rPr>
        <w:t>: Information provided in confidence</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30" w:history="1">
        <w:r w:rsidR="00781566" w:rsidRPr="00781566">
          <w:rPr>
            <w:rFonts w:cs="Arial"/>
            <w:i/>
            <w:color w:val="000000" w:themeColor="text1"/>
            <w:sz w:val="20"/>
            <w:szCs w:val="20"/>
            <w:lang w:eastAsia="en-GB"/>
          </w:rPr>
          <w:t>Section 42</w:t>
        </w:r>
      </w:hyperlink>
      <w:r w:rsidR="00781566" w:rsidRPr="00781566">
        <w:rPr>
          <w:rFonts w:cs="Arial"/>
          <w:i/>
          <w:color w:val="000000" w:themeColor="text1"/>
          <w:sz w:val="20"/>
          <w:szCs w:val="20"/>
          <w:lang w:eastAsia="en-GB"/>
        </w:rPr>
        <w:t>: Legal professional privilege</w:t>
      </w:r>
    </w:p>
    <w:p w:rsidR="00781566" w:rsidRPr="00781566" w:rsidRDefault="002C7BD2" w:rsidP="009B51DB">
      <w:pPr>
        <w:numPr>
          <w:ilvl w:val="1"/>
          <w:numId w:val="3"/>
        </w:numPr>
        <w:shd w:val="clear" w:color="auto" w:fill="FFFFFF"/>
        <w:spacing w:before="0" w:after="0" w:line="288" w:lineRule="atLeast"/>
        <w:outlineLvl w:val="5"/>
        <w:rPr>
          <w:rFonts w:cs="Arial"/>
          <w:i/>
          <w:color w:val="000000" w:themeColor="text1"/>
          <w:sz w:val="20"/>
          <w:szCs w:val="20"/>
          <w:lang w:eastAsia="en-GB"/>
        </w:rPr>
      </w:pPr>
      <w:hyperlink r:id="rId31" w:history="1">
        <w:r w:rsidR="00781566" w:rsidRPr="00781566">
          <w:rPr>
            <w:rFonts w:cs="Arial"/>
            <w:i/>
            <w:color w:val="000000" w:themeColor="text1"/>
            <w:sz w:val="20"/>
            <w:szCs w:val="20"/>
            <w:lang w:eastAsia="en-GB"/>
          </w:rPr>
          <w:t>Section 43</w:t>
        </w:r>
      </w:hyperlink>
      <w:r w:rsidR="00781566" w:rsidRPr="00781566">
        <w:rPr>
          <w:rFonts w:cs="Arial"/>
          <w:i/>
          <w:color w:val="000000" w:themeColor="text1"/>
          <w:sz w:val="20"/>
          <w:szCs w:val="20"/>
          <w:lang w:eastAsia="en-GB"/>
        </w:rPr>
        <w:t>: Commercial interests</w:t>
      </w:r>
    </w:p>
    <w:p w:rsidR="00781566" w:rsidRDefault="00781566" w:rsidP="009B51DB">
      <w:pPr>
        <w:spacing w:before="0" w:after="0"/>
        <w:ind w:left="720"/>
        <w:rPr>
          <w:rFonts w:cs="Arial"/>
          <w:i/>
          <w:sz w:val="20"/>
          <w:szCs w:val="20"/>
        </w:rPr>
      </w:pPr>
    </w:p>
    <w:p w:rsidR="00AA0C3F" w:rsidRPr="0073522A" w:rsidRDefault="00AA0C3F" w:rsidP="009B51DB">
      <w:pPr>
        <w:spacing w:before="0" w:after="0"/>
        <w:rPr>
          <w:rFonts w:cs="Arial"/>
          <w:i/>
          <w:sz w:val="20"/>
          <w:szCs w:val="20"/>
        </w:rPr>
      </w:pPr>
    </w:p>
    <w:p w:rsidR="005D3499" w:rsidRPr="00AF0562" w:rsidRDefault="004F4BBA" w:rsidP="009B51DB">
      <w:pPr>
        <w:numPr>
          <w:ilvl w:val="0"/>
          <w:numId w:val="2"/>
        </w:numPr>
        <w:spacing w:before="0" w:after="0"/>
        <w:rPr>
          <w:rFonts w:cs="Arial"/>
          <w:sz w:val="20"/>
          <w:szCs w:val="20"/>
        </w:rPr>
      </w:pPr>
      <w:r w:rsidRPr="0073522A">
        <w:rPr>
          <w:rFonts w:cs="Arial"/>
          <w:i/>
          <w:sz w:val="20"/>
          <w:szCs w:val="20"/>
        </w:rPr>
        <w:t>This paper provides assurance and evidence against the</w:t>
      </w:r>
      <w:r w:rsidR="00946E6E">
        <w:rPr>
          <w:rFonts w:cs="Arial"/>
          <w:i/>
          <w:sz w:val="20"/>
          <w:szCs w:val="20"/>
        </w:rPr>
        <w:t xml:space="preserve"> Care Quality Commission Outcome: </w:t>
      </w:r>
      <w:r w:rsidRPr="0073522A">
        <w:rPr>
          <w:rFonts w:cs="Arial"/>
          <w:i/>
          <w:sz w:val="20"/>
          <w:szCs w:val="20"/>
        </w:rPr>
        <w:t xml:space="preserve"> </w:t>
      </w:r>
      <w:r w:rsidR="0073522A" w:rsidRPr="0073522A">
        <w:rPr>
          <w:rFonts w:cs="Arial"/>
          <w:i/>
          <w:sz w:val="20"/>
          <w:szCs w:val="20"/>
        </w:rPr>
        <w:t xml:space="preserve">[Input </w:t>
      </w:r>
      <w:r w:rsidR="00946E6E">
        <w:rPr>
          <w:rFonts w:cs="Arial"/>
          <w:i/>
          <w:sz w:val="20"/>
          <w:szCs w:val="20"/>
        </w:rPr>
        <w:t xml:space="preserve">Outcome number – </w:t>
      </w:r>
      <w:r w:rsidR="00AF0562">
        <w:rPr>
          <w:rFonts w:cs="Arial"/>
          <w:i/>
          <w:sz w:val="20"/>
          <w:szCs w:val="20"/>
        </w:rPr>
        <w:t xml:space="preserve"> ie 7</w:t>
      </w:r>
      <w:r w:rsidR="0073522A" w:rsidRPr="0073522A">
        <w:rPr>
          <w:rFonts w:cs="Arial"/>
          <w:i/>
          <w:sz w:val="20"/>
          <w:szCs w:val="20"/>
        </w:rPr>
        <w:t>]</w:t>
      </w:r>
    </w:p>
    <w:p w:rsidR="00AF0562" w:rsidRPr="0073522A" w:rsidRDefault="00AF0562" w:rsidP="00AF0562">
      <w:pPr>
        <w:ind w:left="720"/>
        <w:rPr>
          <w:rFonts w:cs="Arial"/>
          <w:sz w:val="20"/>
          <w:szCs w:val="20"/>
        </w:rPr>
      </w:pPr>
    </w:p>
    <w:sectPr w:rsidR="00AF0562" w:rsidRPr="0073522A" w:rsidSect="00FE113A">
      <w:headerReference w:type="default" r:id="rId32"/>
      <w:footerReference w:type="default" r:id="rId3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FB" w:rsidRDefault="00AE06FB" w:rsidP="005B3E3C">
      <w:r>
        <w:separator/>
      </w:r>
    </w:p>
  </w:endnote>
  <w:endnote w:type="continuationSeparator" w:id="0">
    <w:p w:rsidR="00AE06FB" w:rsidRDefault="00AE06FB"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204"/>
      <w:docPartObj>
        <w:docPartGallery w:val="Page Numbers (Bottom of Page)"/>
        <w:docPartUnique/>
      </w:docPartObj>
    </w:sdtPr>
    <w:sdtContent>
      <w:p w:rsidR="00AE06FB" w:rsidRDefault="002C7BD2">
        <w:pPr>
          <w:pStyle w:val="Footer"/>
          <w:jc w:val="center"/>
        </w:pPr>
        <w:fldSimple w:instr=" PAGE   \* MERGEFORMAT ">
          <w:r w:rsidR="003673B7">
            <w:rPr>
              <w:noProof/>
            </w:rPr>
            <w:t>10</w:t>
          </w:r>
        </w:fldSimple>
      </w:p>
    </w:sdtContent>
  </w:sdt>
  <w:p w:rsidR="00AE06FB" w:rsidRDefault="00AE0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FB" w:rsidRDefault="00AE06FB" w:rsidP="005B3E3C">
      <w:r>
        <w:separator/>
      </w:r>
    </w:p>
  </w:footnote>
  <w:footnote w:type="continuationSeparator" w:id="0">
    <w:p w:rsidR="00AE06FB" w:rsidRDefault="00AE06FB"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FB" w:rsidRPr="005B3E3C" w:rsidRDefault="00AE06FB" w:rsidP="005B3E3C">
    <w:pPr>
      <w:pStyle w:val="Header"/>
      <w:jc w:val="center"/>
      <w:rPr>
        <w:rFonts w:cs="Arial"/>
      </w:rPr>
    </w:pPr>
    <w:r>
      <w:rPr>
        <w:rFonts w:cs="Arial"/>
        <w:b/>
        <w:i/>
      </w:rPr>
      <w:t>PUBLIC</w:t>
    </w:r>
    <w:r>
      <w:rPr>
        <w:rFonts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E88"/>
    <w:multiLevelType w:val="hybridMultilevel"/>
    <w:tmpl w:val="ADC048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55EED"/>
    <w:multiLevelType w:val="hybridMultilevel"/>
    <w:tmpl w:val="E7BE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ABB6814"/>
    <w:multiLevelType w:val="hybridMultilevel"/>
    <w:tmpl w:val="2B1416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4"/>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2A73E8"/>
    <w:rsid w:val="000963FE"/>
    <w:rsid w:val="0011026C"/>
    <w:rsid w:val="00120E9E"/>
    <w:rsid w:val="00185CF4"/>
    <w:rsid w:val="00193A96"/>
    <w:rsid w:val="001F76ED"/>
    <w:rsid w:val="00213AC0"/>
    <w:rsid w:val="00227FCE"/>
    <w:rsid w:val="00236A0A"/>
    <w:rsid w:val="00237382"/>
    <w:rsid w:val="002619EF"/>
    <w:rsid w:val="00273727"/>
    <w:rsid w:val="002821F8"/>
    <w:rsid w:val="00292613"/>
    <w:rsid w:val="002A07AA"/>
    <w:rsid w:val="002A73E8"/>
    <w:rsid w:val="002C2F97"/>
    <w:rsid w:val="002C7BD2"/>
    <w:rsid w:val="002D020A"/>
    <w:rsid w:val="002E6985"/>
    <w:rsid w:val="002E6FC6"/>
    <w:rsid w:val="00345BFA"/>
    <w:rsid w:val="003673B7"/>
    <w:rsid w:val="003971F6"/>
    <w:rsid w:val="004326BB"/>
    <w:rsid w:val="0043292F"/>
    <w:rsid w:val="004F4BBA"/>
    <w:rsid w:val="00516AE8"/>
    <w:rsid w:val="005233AA"/>
    <w:rsid w:val="00551B0F"/>
    <w:rsid w:val="005659FB"/>
    <w:rsid w:val="005B33E5"/>
    <w:rsid w:val="005B3E3C"/>
    <w:rsid w:val="005C3FC1"/>
    <w:rsid w:val="005D3499"/>
    <w:rsid w:val="005E2583"/>
    <w:rsid w:val="005E4C97"/>
    <w:rsid w:val="0061684E"/>
    <w:rsid w:val="00653AFF"/>
    <w:rsid w:val="006E23DA"/>
    <w:rsid w:val="006E39F8"/>
    <w:rsid w:val="007343B4"/>
    <w:rsid w:val="0073522A"/>
    <w:rsid w:val="007769CD"/>
    <w:rsid w:val="0078032B"/>
    <w:rsid w:val="00781566"/>
    <w:rsid w:val="007976E7"/>
    <w:rsid w:val="007B54B0"/>
    <w:rsid w:val="007F15E6"/>
    <w:rsid w:val="0080148A"/>
    <w:rsid w:val="00802701"/>
    <w:rsid w:val="008038A2"/>
    <w:rsid w:val="00811FE8"/>
    <w:rsid w:val="0086436B"/>
    <w:rsid w:val="0087117D"/>
    <w:rsid w:val="008877F4"/>
    <w:rsid w:val="00894B97"/>
    <w:rsid w:val="008A4267"/>
    <w:rsid w:val="0090448C"/>
    <w:rsid w:val="009314B3"/>
    <w:rsid w:val="00946E6E"/>
    <w:rsid w:val="009B4729"/>
    <w:rsid w:val="009B51DB"/>
    <w:rsid w:val="00A21890"/>
    <w:rsid w:val="00A51501"/>
    <w:rsid w:val="00A674FB"/>
    <w:rsid w:val="00A85311"/>
    <w:rsid w:val="00A941AF"/>
    <w:rsid w:val="00AA0C3F"/>
    <w:rsid w:val="00AC3814"/>
    <w:rsid w:val="00AC6AE5"/>
    <w:rsid w:val="00AE06FB"/>
    <w:rsid w:val="00AF0562"/>
    <w:rsid w:val="00B26E1A"/>
    <w:rsid w:val="00B274C8"/>
    <w:rsid w:val="00B466A4"/>
    <w:rsid w:val="00B50D5E"/>
    <w:rsid w:val="00B545E8"/>
    <w:rsid w:val="00B9132C"/>
    <w:rsid w:val="00BA3B3E"/>
    <w:rsid w:val="00BF5367"/>
    <w:rsid w:val="00C07817"/>
    <w:rsid w:val="00C11AA2"/>
    <w:rsid w:val="00C2360F"/>
    <w:rsid w:val="00C642FB"/>
    <w:rsid w:val="00C91374"/>
    <w:rsid w:val="00C91DDA"/>
    <w:rsid w:val="00D07064"/>
    <w:rsid w:val="00D279FC"/>
    <w:rsid w:val="00D55ADD"/>
    <w:rsid w:val="00D6695E"/>
    <w:rsid w:val="00D82FF9"/>
    <w:rsid w:val="00D8544F"/>
    <w:rsid w:val="00D936BB"/>
    <w:rsid w:val="00DA0FA6"/>
    <w:rsid w:val="00DA106A"/>
    <w:rsid w:val="00DD33DF"/>
    <w:rsid w:val="00DE1293"/>
    <w:rsid w:val="00E41C88"/>
    <w:rsid w:val="00E827C5"/>
    <w:rsid w:val="00EC1754"/>
    <w:rsid w:val="00EE7941"/>
    <w:rsid w:val="00F24EB2"/>
    <w:rsid w:val="00F50A07"/>
    <w:rsid w:val="00F57119"/>
    <w:rsid w:val="00F65A6F"/>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501"/>
    <w:pPr>
      <w:spacing w:before="240" w:after="240"/>
      <w:jc w:val="both"/>
    </w:pPr>
    <w:rPr>
      <w:rFonts w:ascii="Arial" w:hAnsi="Arial"/>
      <w:sz w:val="24"/>
      <w:szCs w:val="24"/>
      <w:lang w:val="en-US" w:eastAsia="en-US"/>
    </w:rPr>
  </w:style>
  <w:style w:type="paragraph" w:styleId="Heading1">
    <w:name w:val="heading 1"/>
    <w:basedOn w:val="Normal"/>
    <w:next w:val="Normal"/>
    <w:qFormat/>
    <w:rsid w:val="00A51501"/>
    <w:pPr>
      <w:keepNext/>
      <w:overflowPunct w:val="0"/>
      <w:autoSpaceDE w:val="0"/>
      <w:autoSpaceDN w:val="0"/>
      <w:adjustRightInd w:val="0"/>
      <w:textAlignment w:val="baseline"/>
      <w:outlineLvl w:val="0"/>
    </w:pPr>
    <w:rPr>
      <w:b/>
      <w:szCs w:val="20"/>
      <w:u w:val="single"/>
      <w:lang w:val="en-GB"/>
    </w:rPr>
  </w:style>
  <w:style w:type="paragraph" w:styleId="Heading2">
    <w:name w:val="heading 2"/>
    <w:basedOn w:val="Normal"/>
    <w:next w:val="Normal"/>
    <w:link w:val="Heading2Char"/>
    <w:unhideWhenUsed/>
    <w:qFormat/>
    <w:rsid w:val="00A51501"/>
    <w:pPr>
      <w:keepNext/>
      <w:keepLines/>
      <w:spacing w:before="200" w:after="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rsid w:val="00213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51501"/>
    <w:rPr>
      <w:rFonts w:ascii="Arial" w:eastAsiaTheme="majorEastAsia" w:hAnsi="Arial" w:cstheme="majorBidi"/>
      <w:bCs/>
      <w:i/>
      <w:sz w:val="24"/>
      <w:szCs w:val="26"/>
      <w:u w:val="single"/>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hyperlink" Target="http://www.legislation.gov.uk/ukpga/2000/36/section/38" TargetMode="External"/><Relationship Id="rId26" Type="http://schemas.openxmlformats.org/officeDocument/2006/relationships/hyperlink" Target="http://www.legislation.gov.uk/ukpga/2000/36/section/36" TargetMode="External"/><Relationship Id="rId3" Type="http://schemas.openxmlformats.org/officeDocument/2006/relationships/settings" Target="settings.xml"/><Relationship Id="rId21" Type="http://schemas.openxmlformats.org/officeDocument/2006/relationships/hyperlink" Target="http://www.legislation.gov.uk/ukpga/2000/36/section/4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www.legislation.gov.uk/ukpga/2000/36/section/36" TargetMode="External"/><Relationship Id="rId25" Type="http://schemas.openxmlformats.org/officeDocument/2006/relationships/hyperlink" Target="http://www.legislation.gov.uk/ukpga/2000/36/section/3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pga/2000/36/section/33" TargetMode="External"/><Relationship Id="rId20" Type="http://schemas.openxmlformats.org/officeDocument/2006/relationships/hyperlink" Target="http://www.legislation.gov.uk/ukpga/2000/36/section/41" TargetMode="External"/><Relationship Id="rId29" Type="http://schemas.openxmlformats.org/officeDocument/2006/relationships/hyperlink" Target="http://www.legislation.gov.uk/ukpga/2000/36/section/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legislation.gov.uk/ukpga/2000/36/section/2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egislation.gov.uk/ukpga/2000/36/section/22" TargetMode="External"/><Relationship Id="rId23" Type="http://schemas.openxmlformats.org/officeDocument/2006/relationships/hyperlink" Target="http://www.legislation.gov.uk/ukpga/2000/36/section/21" TargetMode="External"/><Relationship Id="rId28" Type="http://schemas.openxmlformats.org/officeDocument/2006/relationships/hyperlink" Target="http://www.legislation.gov.uk/ukpga/2000/36/section/40" TargetMode="External"/><Relationship Id="rId36" Type="http://schemas.microsoft.com/office/2007/relationships/stylesWithEffects" Target="stylesWithEffects.xml"/><Relationship Id="rId10" Type="http://schemas.openxmlformats.org/officeDocument/2006/relationships/image" Target="media/image4.wmf"/><Relationship Id="rId19" Type="http://schemas.openxmlformats.org/officeDocument/2006/relationships/hyperlink" Target="http://www.legislation.gov.uk/ukpga/2000/36/section/40" TargetMode="External"/><Relationship Id="rId31" Type="http://schemas.openxmlformats.org/officeDocument/2006/relationships/hyperlink" Target="http://www.legislation.gov.uk/ukpga/2000/36/section/43"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legislation.gov.uk/ukpga/2000/36/section/21" TargetMode="External"/><Relationship Id="rId22" Type="http://schemas.openxmlformats.org/officeDocument/2006/relationships/hyperlink" Target="http://www.legislation.gov.uk/ukpga/2000/36/section/43" TargetMode="External"/><Relationship Id="rId27" Type="http://schemas.openxmlformats.org/officeDocument/2006/relationships/hyperlink" Target="http://www.legislation.gov.uk/ukpga/2000/36/section/38" TargetMode="External"/><Relationship Id="rId30" Type="http://schemas.openxmlformats.org/officeDocument/2006/relationships/hyperlink" Target="http://www.legislation.gov.uk/ukpga/2000/36/section/4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1980</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2013-03-25T10:18:00Z</cp:lastPrinted>
  <dcterms:created xsi:type="dcterms:W3CDTF">2013-07-08T11:57:00Z</dcterms:created>
  <dcterms:modified xsi:type="dcterms:W3CDTF">2013-07-08T11:57:00Z</dcterms:modified>
</cp:coreProperties>
</file>