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3A" w:rsidRDefault="0000383A" w:rsidP="00B671C0">
      <w:pPr>
        <w:autoSpaceDE w:val="0"/>
        <w:autoSpaceDN w:val="0"/>
        <w:adjustRightInd w:val="0"/>
        <w:spacing w:after="0" w:line="240" w:lineRule="auto"/>
        <w:jc w:val="center"/>
        <w:rPr>
          <w:rFonts w:ascii="Segoe UI" w:hAnsi="Segoe UI" w:cs="Segoe UI"/>
          <w:b/>
          <w:bCs/>
        </w:rPr>
      </w:pPr>
      <w:r>
        <w:rPr>
          <w:rFonts w:ascii="Segoe UI" w:hAnsi="Segoe UI" w:cs="Segoe UI"/>
          <w:b/>
          <w:bCs/>
        </w:rPr>
        <w:t>Emergency Planning and Business Continuity</w:t>
      </w:r>
    </w:p>
    <w:p w:rsidR="0000383A" w:rsidRDefault="0000383A" w:rsidP="00B671C0">
      <w:pPr>
        <w:autoSpaceDE w:val="0"/>
        <w:autoSpaceDN w:val="0"/>
        <w:adjustRightInd w:val="0"/>
        <w:spacing w:after="0" w:line="240" w:lineRule="auto"/>
        <w:jc w:val="center"/>
        <w:rPr>
          <w:rFonts w:ascii="Segoe UI" w:hAnsi="Segoe UI" w:cs="Segoe UI"/>
          <w:b/>
          <w:bCs/>
        </w:rPr>
      </w:pPr>
      <w:r>
        <w:rPr>
          <w:rFonts w:ascii="Segoe UI" w:hAnsi="Segoe UI" w:cs="Segoe UI"/>
          <w:b/>
          <w:bCs/>
        </w:rPr>
        <w:t>Annual Report</w:t>
      </w:r>
    </w:p>
    <w:p w:rsidR="007C2232" w:rsidRPr="000860B4" w:rsidRDefault="007C2232" w:rsidP="007F3BCF">
      <w:pPr>
        <w:autoSpaceDE w:val="0"/>
        <w:autoSpaceDN w:val="0"/>
        <w:adjustRightInd w:val="0"/>
        <w:spacing w:after="0" w:line="240" w:lineRule="auto"/>
        <w:jc w:val="center"/>
        <w:rPr>
          <w:rFonts w:ascii="Segoe UI" w:hAnsi="Segoe UI" w:cs="Segoe UI"/>
          <w:b/>
          <w:bCs/>
        </w:rPr>
      </w:pPr>
      <w:r w:rsidRPr="000860B4">
        <w:rPr>
          <w:rFonts w:ascii="Segoe UI" w:hAnsi="Segoe UI" w:cs="Segoe UI"/>
          <w:b/>
          <w:bCs/>
        </w:rPr>
        <w:t>1 April 201</w:t>
      </w:r>
      <w:r w:rsidR="000860B4" w:rsidRPr="000860B4">
        <w:rPr>
          <w:rFonts w:ascii="Segoe UI" w:hAnsi="Segoe UI" w:cs="Segoe UI"/>
          <w:b/>
          <w:bCs/>
        </w:rPr>
        <w:t>2</w:t>
      </w:r>
      <w:r w:rsidRPr="000860B4">
        <w:rPr>
          <w:rFonts w:ascii="Segoe UI" w:hAnsi="Segoe UI" w:cs="Segoe UI"/>
          <w:b/>
          <w:bCs/>
        </w:rPr>
        <w:t xml:space="preserve"> –</w:t>
      </w:r>
      <w:r w:rsidR="00B84F0F" w:rsidRPr="000860B4">
        <w:rPr>
          <w:rFonts w:ascii="Segoe UI" w:hAnsi="Segoe UI" w:cs="Segoe UI"/>
          <w:b/>
          <w:bCs/>
        </w:rPr>
        <w:t xml:space="preserve"> 31 March 201</w:t>
      </w:r>
      <w:r w:rsidR="000860B4" w:rsidRPr="000860B4">
        <w:rPr>
          <w:rFonts w:ascii="Segoe UI" w:hAnsi="Segoe UI" w:cs="Segoe UI"/>
          <w:b/>
          <w:bCs/>
        </w:rPr>
        <w:t>3</w:t>
      </w:r>
    </w:p>
    <w:p w:rsidR="00B84F0F" w:rsidRPr="000860B4" w:rsidRDefault="00B84F0F" w:rsidP="004A298A">
      <w:pPr>
        <w:autoSpaceDE w:val="0"/>
        <w:autoSpaceDN w:val="0"/>
        <w:adjustRightInd w:val="0"/>
        <w:spacing w:after="0" w:line="240" w:lineRule="auto"/>
        <w:jc w:val="both"/>
        <w:rPr>
          <w:rFonts w:ascii="Segoe UI" w:hAnsi="Segoe UI" w:cs="Segoe UI"/>
          <w:b/>
          <w:bCs/>
        </w:rPr>
      </w:pPr>
    </w:p>
    <w:p w:rsidR="00B84F0F" w:rsidRPr="000860B4" w:rsidRDefault="00B84F0F" w:rsidP="004A298A">
      <w:pPr>
        <w:autoSpaceDE w:val="0"/>
        <w:autoSpaceDN w:val="0"/>
        <w:adjustRightInd w:val="0"/>
        <w:spacing w:after="0" w:line="240" w:lineRule="auto"/>
        <w:jc w:val="both"/>
        <w:rPr>
          <w:rFonts w:ascii="Segoe UI" w:hAnsi="Segoe UI" w:cs="Segoe UI"/>
          <w:b/>
          <w:bCs/>
        </w:rPr>
      </w:pPr>
    </w:p>
    <w:p w:rsidR="007C2232" w:rsidRPr="000860B4" w:rsidRDefault="007C2232" w:rsidP="00817798">
      <w:pPr>
        <w:pStyle w:val="Heading1"/>
        <w:rPr>
          <w:rFonts w:ascii="Segoe UI" w:hAnsi="Segoe UI" w:cs="Segoe UI"/>
          <w:sz w:val="22"/>
          <w:szCs w:val="22"/>
        </w:rPr>
      </w:pPr>
      <w:r w:rsidRPr="000860B4">
        <w:rPr>
          <w:rFonts w:ascii="Segoe UI" w:hAnsi="Segoe UI" w:cs="Segoe UI"/>
          <w:sz w:val="22"/>
          <w:szCs w:val="22"/>
        </w:rPr>
        <w:t>Introduction</w:t>
      </w:r>
    </w:p>
    <w:p w:rsidR="00F608CF" w:rsidRPr="000860B4" w:rsidRDefault="007C2232" w:rsidP="0076180C">
      <w:pPr>
        <w:autoSpaceDE w:val="0"/>
        <w:autoSpaceDN w:val="0"/>
        <w:adjustRightInd w:val="0"/>
        <w:spacing w:after="0" w:line="240" w:lineRule="auto"/>
        <w:ind w:left="567"/>
        <w:jc w:val="both"/>
        <w:rPr>
          <w:rFonts w:ascii="Segoe UI" w:hAnsi="Segoe UI" w:cs="Segoe UI"/>
        </w:rPr>
      </w:pPr>
      <w:r w:rsidRPr="000860B4">
        <w:rPr>
          <w:rFonts w:ascii="Segoe UI" w:hAnsi="Segoe UI" w:cs="Segoe UI"/>
        </w:rPr>
        <w:t>This report describes the emergency planning activities of</w:t>
      </w:r>
      <w:r w:rsidR="00B84F0F" w:rsidRPr="000860B4">
        <w:rPr>
          <w:rFonts w:ascii="Segoe UI" w:hAnsi="Segoe UI" w:cs="Segoe UI"/>
        </w:rPr>
        <w:t xml:space="preserve"> </w:t>
      </w:r>
      <w:r w:rsidRPr="000860B4">
        <w:rPr>
          <w:rFonts w:ascii="Segoe UI" w:hAnsi="Segoe UI" w:cs="Segoe UI"/>
        </w:rPr>
        <w:t xml:space="preserve">Oxford </w:t>
      </w:r>
      <w:r w:rsidR="00B84F0F" w:rsidRPr="000860B4">
        <w:rPr>
          <w:rFonts w:ascii="Segoe UI" w:hAnsi="Segoe UI" w:cs="Segoe UI"/>
        </w:rPr>
        <w:t>H</w:t>
      </w:r>
      <w:r w:rsidRPr="000860B4">
        <w:rPr>
          <w:rFonts w:ascii="Segoe UI" w:hAnsi="Segoe UI" w:cs="Segoe UI"/>
        </w:rPr>
        <w:t>ealth NHS Foundation Trust during 201</w:t>
      </w:r>
      <w:r w:rsidR="000860B4" w:rsidRPr="000860B4">
        <w:rPr>
          <w:rFonts w:ascii="Segoe UI" w:hAnsi="Segoe UI" w:cs="Segoe UI"/>
        </w:rPr>
        <w:t>2</w:t>
      </w:r>
      <w:r w:rsidRPr="000860B4">
        <w:rPr>
          <w:rFonts w:ascii="Segoe UI" w:hAnsi="Segoe UI" w:cs="Segoe UI"/>
        </w:rPr>
        <w:t>/1</w:t>
      </w:r>
      <w:r w:rsidR="000860B4" w:rsidRPr="000860B4">
        <w:rPr>
          <w:rFonts w:ascii="Segoe UI" w:hAnsi="Segoe UI" w:cs="Segoe UI"/>
        </w:rPr>
        <w:t>3</w:t>
      </w:r>
      <w:r w:rsidRPr="000860B4">
        <w:rPr>
          <w:rFonts w:ascii="Segoe UI" w:hAnsi="Segoe UI" w:cs="Segoe UI"/>
        </w:rPr>
        <w:t xml:space="preserve"> in order to meet the</w:t>
      </w:r>
      <w:r w:rsidR="00B84F0F" w:rsidRPr="000860B4">
        <w:rPr>
          <w:rFonts w:ascii="Segoe UI" w:hAnsi="Segoe UI" w:cs="Segoe UI"/>
        </w:rPr>
        <w:t xml:space="preserve"> </w:t>
      </w:r>
      <w:r w:rsidRPr="000860B4">
        <w:rPr>
          <w:rFonts w:ascii="Segoe UI" w:hAnsi="Segoe UI" w:cs="Segoe UI"/>
        </w:rPr>
        <w:t>requirements of the Civil Contingencies Act 2004 and NHS Emergency</w:t>
      </w:r>
      <w:r w:rsidR="00B84F0F" w:rsidRPr="000860B4">
        <w:rPr>
          <w:rFonts w:ascii="Segoe UI" w:hAnsi="Segoe UI" w:cs="Segoe UI"/>
        </w:rPr>
        <w:t xml:space="preserve"> </w:t>
      </w:r>
      <w:r w:rsidRPr="000860B4">
        <w:rPr>
          <w:rFonts w:ascii="Segoe UI" w:hAnsi="Segoe UI" w:cs="Segoe UI"/>
        </w:rPr>
        <w:t>Planning Guidance 2005.</w:t>
      </w:r>
      <w:r w:rsidR="00B84F0F" w:rsidRPr="000860B4">
        <w:rPr>
          <w:rFonts w:ascii="Segoe UI" w:hAnsi="Segoe UI" w:cs="Segoe UI"/>
        </w:rPr>
        <w:t xml:space="preserve">  </w:t>
      </w:r>
    </w:p>
    <w:p w:rsidR="00F608CF" w:rsidRPr="000860B4" w:rsidRDefault="00F608CF" w:rsidP="0076180C">
      <w:pPr>
        <w:autoSpaceDE w:val="0"/>
        <w:autoSpaceDN w:val="0"/>
        <w:adjustRightInd w:val="0"/>
        <w:spacing w:after="0" w:line="240" w:lineRule="auto"/>
        <w:ind w:left="567"/>
        <w:rPr>
          <w:rFonts w:ascii="Segoe UI" w:hAnsi="Segoe UI" w:cs="Segoe UI"/>
          <w:color w:val="FF0000"/>
        </w:rPr>
      </w:pPr>
    </w:p>
    <w:p w:rsidR="00A93BE9" w:rsidRPr="000860B4" w:rsidRDefault="000860B4" w:rsidP="0076180C">
      <w:pPr>
        <w:pStyle w:val="ListParagraph"/>
        <w:autoSpaceDE w:val="0"/>
        <w:autoSpaceDN w:val="0"/>
        <w:adjustRightInd w:val="0"/>
        <w:spacing w:after="0" w:line="240" w:lineRule="auto"/>
        <w:ind w:left="567"/>
        <w:jc w:val="both"/>
        <w:rPr>
          <w:rFonts w:ascii="Segoe UI" w:hAnsi="Segoe UI" w:cs="Segoe UI"/>
        </w:rPr>
      </w:pPr>
      <w:r w:rsidRPr="000860B4">
        <w:rPr>
          <w:rFonts w:ascii="Segoe UI" w:hAnsi="Segoe UI" w:cs="Segoe UI"/>
        </w:rPr>
        <w:t>Yvonne Taylor</w:t>
      </w:r>
      <w:r w:rsidR="007C2232" w:rsidRPr="000860B4">
        <w:rPr>
          <w:rFonts w:ascii="Segoe UI" w:hAnsi="Segoe UI" w:cs="Segoe UI"/>
        </w:rPr>
        <w:t>, Chief Operating Officer</w:t>
      </w:r>
      <w:r w:rsidR="00F608CF" w:rsidRPr="000860B4">
        <w:rPr>
          <w:rFonts w:ascii="Segoe UI" w:hAnsi="Segoe UI" w:cs="Segoe UI"/>
        </w:rPr>
        <w:t xml:space="preserve"> is</w:t>
      </w:r>
      <w:r w:rsidR="004F3BBF">
        <w:rPr>
          <w:rFonts w:ascii="Segoe UI" w:hAnsi="Segoe UI" w:cs="Segoe UI"/>
        </w:rPr>
        <w:t xml:space="preserve"> the Accountable Emergency Officer</w:t>
      </w:r>
      <w:r w:rsidR="00F608CF" w:rsidRPr="000860B4">
        <w:rPr>
          <w:rFonts w:ascii="Segoe UI" w:hAnsi="Segoe UI" w:cs="Segoe UI"/>
        </w:rPr>
        <w:t xml:space="preserve"> </w:t>
      </w:r>
      <w:r w:rsidR="004F3BBF">
        <w:rPr>
          <w:rFonts w:ascii="Segoe UI" w:hAnsi="Segoe UI" w:cs="Segoe UI"/>
        </w:rPr>
        <w:t xml:space="preserve">and holds executive </w:t>
      </w:r>
      <w:r w:rsidR="00F608CF" w:rsidRPr="000860B4">
        <w:rPr>
          <w:rFonts w:ascii="Segoe UI" w:hAnsi="Segoe UI" w:cs="Segoe UI"/>
        </w:rPr>
        <w:t>responsibility for emergency preparedness on behalf of the organisation</w:t>
      </w:r>
      <w:r w:rsidR="004F3BBF">
        <w:rPr>
          <w:rFonts w:ascii="Segoe UI" w:hAnsi="Segoe UI" w:cs="Segoe UI"/>
        </w:rPr>
        <w:t>.  Yvonne Taylor i</w:t>
      </w:r>
      <w:r w:rsidR="00F608CF" w:rsidRPr="000860B4">
        <w:rPr>
          <w:rFonts w:ascii="Segoe UI" w:hAnsi="Segoe UI" w:cs="Segoe UI"/>
        </w:rPr>
        <w:t xml:space="preserve">s </w:t>
      </w:r>
      <w:r w:rsidR="00B84F0F" w:rsidRPr="000860B4">
        <w:rPr>
          <w:rFonts w:ascii="Segoe UI" w:hAnsi="Segoe UI" w:cs="Segoe UI"/>
        </w:rPr>
        <w:t xml:space="preserve">supported by the Associate Director of Operations, Sharon Fennell.  </w:t>
      </w:r>
      <w:r w:rsidR="00F608CF" w:rsidRPr="000860B4">
        <w:rPr>
          <w:rFonts w:ascii="Segoe UI" w:hAnsi="Segoe UI" w:cs="Segoe UI"/>
        </w:rPr>
        <w:t>Mike Bellamy is the Non-Executive Director of the Board nominated to support the Executive Director lead in this role.  K</w:t>
      </w:r>
      <w:r w:rsidR="00B84F0F" w:rsidRPr="000860B4">
        <w:rPr>
          <w:rFonts w:ascii="Segoe UI" w:hAnsi="Segoe UI" w:cs="Segoe UI"/>
        </w:rPr>
        <w:t xml:space="preserve">atie Cleaver is the </w:t>
      </w:r>
      <w:r w:rsidR="00F608CF" w:rsidRPr="000860B4">
        <w:rPr>
          <w:rFonts w:ascii="Segoe UI" w:hAnsi="Segoe UI" w:cs="Segoe UI"/>
        </w:rPr>
        <w:t xml:space="preserve">designated </w:t>
      </w:r>
      <w:r w:rsidR="00B84F0F" w:rsidRPr="000860B4">
        <w:rPr>
          <w:rFonts w:ascii="Segoe UI" w:hAnsi="Segoe UI" w:cs="Segoe UI"/>
        </w:rPr>
        <w:t>Emergency Planning Lead</w:t>
      </w:r>
      <w:r w:rsidR="00F608CF" w:rsidRPr="000860B4">
        <w:rPr>
          <w:rFonts w:ascii="Segoe UI" w:hAnsi="Segoe UI" w:cs="Segoe UI"/>
        </w:rPr>
        <w:t xml:space="preserve"> and responsible for supporting the </w:t>
      </w:r>
      <w:r w:rsidR="0004686A">
        <w:rPr>
          <w:rFonts w:ascii="Segoe UI" w:hAnsi="Segoe UI" w:cs="Segoe UI"/>
        </w:rPr>
        <w:t>E</w:t>
      </w:r>
      <w:r w:rsidR="000574D3" w:rsidRPr="000860B4">
        <w:rPr>
          <w:rFonts w:ascii="Segoe UI" w:hAnsi="Segoe UI" w:cs="Segoe UI"/>
        </w:rPr>
        <w:t>xecutive in the discharge of their duties</w:t>
      </w:r>
      <w:r w:rsidR="00F608CF" w:rsidRPr="000860B4">
        <w:rPr>
          <w:rFonts w:ascii="Segoe UI" w:hAnsi="Segoe UI" w:cs="Segoe UI"/>
        </w:rPr>
        <w:t xml:space="preserve"> </w:t>
      </w:r>
      <w:r w:rsidR="000574D3" w:rsidRPr="000860B4">
        <w:rPr>
          <w:rFonts w:ascii="Segoe UI" w:hAnsi="Segoe UI" w:cs="Segoe UI"/>
        </w:rPr>
        <w:t>for emergency preparedness.</w:t>
      </w:r>
      <w:r w:rsidR="005F256E" w:rsidRPr="000860B4">
        <w:rPr>
          <w:rFonts w:ascii="Segoe UI" w:hAnsi="Segoe UI" w:cs="Segoe UI"/>
        </w:rPr>
        <w:t xml:space="preserve">  </w:t>
      </w:r>
      <w:r w:rsidR="007F3BCF" w:rsidRPr="000860B4">
        <w:rPr>
          <w:rFonts w:ascii="Segoe UI" w:hAnsi="Segoe UI" w:cs="Segoe UI"/>
        </w:rPr>
        <w:t>The emergency preparedness work programme for the Trust is progressed through the Emergency Planning Group</w:t>
      </w:r>
      <w:r w:rsidR="002A06A3" w:rsidRPr="000860B4">
        <w:rPr>
          <w:rFonts w:ascii="Segoe UI" w:hAnsi="Segoe UI" w:cs="Segoe UI"/>
        </w:rPr>
        <w:t xml:space="preserve"> chaired by the Associate Director of Operations</w:t>
      </w:r>
      <w:r w:rsidR="005F256E" w:rsidRPr="000860B4">
        <w:rPr>
          <w:rFonts w:ascii="Segoe UI" w:hAnsi="Segoe UI" w:cs="Segoe UI"/>
        </w:rPr>
        <w:t xml:space="preserve"> with </w:t>
      </w:r>
      <w:r w:rsidR="005F256E" w:rsidRPr="00A93BE9">
        <w:rPr>
          <w:rFonts w:ascii="Segoe UI" w:hAnsi="Segoe UI" w:cs="Segoe UI"/>
        </w:rPr>
        <w:t>representation from Divisions, Communications, Human Resources and Facilities.</w:t>
      </w:r>
      <w:r w:rsidR="00772393" w:rsidRPr="00A93BE9">
        <w:rPr>
          <w:rFonts w:ascii="Segoe UI" w:hAnsi="Segoe UI" w:cs="Segoe UI"/>
        </w:rPr>
        <w:t xml:space="preserve">  </w:t>
      </w:r>
      <w:r w:rsidR="00A93BE9" w:rsidRPr="00A93BE9">
        <w:rPr>
          <w:rFonts w:ascii="Segoe UI" w:hAnsi="Segoe UI" w:cs="Segoe UI"/>
        </w:rPr>
        <w:t>Please refer to Appendix A for the Terms of Reference of this group and a summary of topics discussed during 2012/13.</w:t>
      </w:r>
    </w:p>
    <w:p w:rsidR="002A06A3" w:rsidRPr="000860B4" w:rsidRDefault="002A06A3" w:rsidP="0076180C">
      <w:pPr>
        <w:autoSpaceDE w:val="0"/>
        <w:autoSpaceDN w:val="0"/>
        <w:adjustRightInd w:val="0"/>
        <w:spacing w:after="0" w:line="240" w:lineRule="auto"/>
        <w:ind w:left="567"/>
        <w:jc w:val="both"/>
        <w:rPr>
          <w:rFonts w:ascii="Segoe UI" w:hAnsi="Segoe UI" w:cs="Segoe UI"/>
          <w:color w:val="FF0000"/>
        </w:rPr>
      </w:pPr>
    </w:p>
    <w:p w:rsidR="007C2232" w:rsidRPr="000860B4" w:rsidRDefault="007C2232" w:rsidP="00817798">
      <w:pPr>
        <w:pStyle w:val="Heading1"/>
        <w:rPr>
          <w:rFonts w:ascii="Segoe UI" w:hAnsi="Segoe UI" w:cs="Segoe UI"/>
          <w:sz w:val="22"/>
          <w:szCs w:val="22"/>
        </w:rPr>
      </w:pPr>
      <w:r w:rsidRPr="000860B4">
        <w:rPr>
          <w:rFonts w:ascii="Segoe UI" w:hAnsi="Segoe UI" w:cs="Segoe UI"/>
          <w:sz w:val="22"/>
          <w:szCs w:val="22"/>
        </w:rPr>
        <w:t>Background</w:t>
      </w:r>
    </w:p>
    <w:p w:rsidR="007C2232" w:rsidRPr="000860B4" w:rsidRDefault="007C2232" w:rsidP="0076180C">
      <w:pPr>
        <w:autoSpaceDE w:val="0"/>
        <w:autoSpaceDN w:val="0"/>
        <w:adjustRightInd w:val="0"/>
        <w:spacing w:after="0" w:line="240" w:lineRule="auto"/>
        <w:ind w:left="567"/>
        <w:jc w:val="both"/>
        <w:rPr>
          <w:rFonts w:ascii="Segoe UI" w:hAnsi="Segoe UI" w:cs="Segoe UI"/>
        </w:rPr>
      </w:pPr>
      <w:r w:rsidRPr="000860B4">
        <w:rPr>
          <w:rFonts w:ascii="Segoe UI" w:hAnsi="Segoe UI" w:cs="Segoe UI"/>
        </w:rPr>
        <w:t>The Civil Contingencies Act 2004 outlines a single framework for civil</w:t>
      </w:r>
      <w:r w:rsidR="00C650FF" w:rsidRPr="000860B4">
        <w:rPr>
          <w:rFonts w:ascii="Segoe UI" w:hAnsi="Segoe UI" w:cs="Segoe UI"/>
        </w:rPr>
        <w:t xml:space="preserve"> </w:t>
      </w:r>
      <w:r w:rsidRPr="000860B4">
        <w:rPr>
          <w:rFonts w:ascii="Segoe UI" w:hAnsi="Segoe UI" w:cs="Segoe UI"/>
        </w:rPr>
        <w:t xml:space="preserve">protection in the United Kingdom. </w:t>
      </w:r>
      <w:r w:rsidR="00C650FF" w:rsidRPr="000860B4">
        <w:rPr>
          <w:rFonts w:ascii="Segoe UI" w:hAnsi="Segoe UI" w:cs="Segoe UI"/>
        </w:rPr>
        <w:t xml:space="preserve"> </w:t>
      </w:r>
      <w:r w:rsidRPr="000860B4">
        <w:rPr>
          <w:rFonts w:ascii="Segoe UI" w:hAnsi="Segoe UI" w:cs="Segoe UI"/>
        </w:rPr>
        <w:t>Part 1 of the Act establishes a clear</w:t>
      </w:r>
      <w:r w:rsidR="00C650FF" w:rsidRPr="000860B4">
        <w:rPr>
          <w:rFonts w:ascii="Segoe UI" w:hAnsi="Segoe UI" w:cs="Segoe UI"/>
        </w:rPr>
        <w:t xml:space="preserve"> </w:t>
      </w:r>
      <w:r w:rsidRPr="000860B4">
        <w:rPr>
          <w:rFonts w:ascii="Segoe UI" w:hAnsi="Segoe UI" w:cs="Segoe UI"/>
        </w:rPr>
        <w:t>set of roles and responsibilities for those involved in emergency</w:t>
      </w:r>
      <w:r w:rsidR="00C650FF" w:rsidRPr="000860B4">
        <w:rPr>
          <w:rFonts w:ascii="Segoe UI" w:hAnsi="Segoe UI" w:cs="Segoe UI"/>
        </w:rPr>
        <w:t xml:space="preserve"> </w:t>
      </w:r>
      <w:r w:rsidRPr="000860B4">
        <w:rPr>
          <w:rFonts w:ascii="Segoe UI" w:hAnsi="Segoe UI" w:cs="Segoe UI"/>
        </w:rPr>
        <w:t>preparation and response at local level.</w:t>
      </w:r>
      <w:r w:rsidR="00C650FF" w:rsidRPr="000860B4">
        <w:rPr>
          <w:rFonts w:ascii="Segoe UI" w:hAnsi="Segoe UI" w:cs="Segoe UI"/>
        </w:rPr>
        <w:t xml:space="preserve">  </w:t>
      </w:r>
      <w:r w:rsidRPr="000860B4">
        <w:rPr>
          <w:rFonts w:ascii="Segoe UI" w:hAnsi="Segoe UI" w:cs="Segoe UI"/>
        </w:rPr>
        <w:t>The Act divides local responders into two categories, imposing a different</w:t>
      </w:r>
      <w:r w:rsidR="00C650FF" w:rsidRPr="000860B4">
        <w:rPr>
          <w:rFonts w:ascii="Segoe UI" w:hAnsi="Segoe UI" w:cs="Segoe UI"/>
        </w:rPr>
        <w:t xml:space="preserve"> </w:t>
      </w:r>
      <w:r w:rsidRPr="000860B4">
        <w:rPr>
          <w:rFonts w:ascii="Segoe UI" w:hAnsi="Segoe UI" w:cs="Segoe UI"/>
        </w:rPr>
        <w:t>set of duties on each.</w:t>
      </w:r>
      <w:r w:rsidRPr="000860B4">
        <w:rPr>
          <w:rFonts w:ascii="Segoe UI" w:hAnsi="Segoe UI" w:cs="Segoe UI"/>
          <w:color w:val="FF0000"/>
        </w:rPr>
        <w:t xml:space="preserve"> </w:t>
      </w:r>
      <w:r w:rsidR="00C650FF" w:rsidRPr="000860B4">
        <w:rPr>
          <w:rFonts w:ascii="Segoe UI" w:hAnsi="Segoe UI" w:cs="Segoe UI"/>
          <w:color w:val="FF0000"/>
        </w:rPr>
        <w:t xml:space="preserve"> </w:t>
      </w:r>
      <w:r w:rsidRPr="000860B4">
        <w:rPr>
          <w:rFonts w:ascii="Segoe UI" w:hAnsi="Segoe UI" w:cs="Segoe UI"/>
        </w:rPr>
        <w:t>Category 1 responders are those organisations at</w:t>
      </w:r>
      <w:r w:rsidR="00C650FF" w:rsidRPr="000860B4">
        <w:rPr>
          <w:rFonts w:ascii="Segoe UI" w:hAnsi="Segoe UI" w:cs="Segoe UI"/>
        </w:rPr>
        <w:t xml:space="preserve"> </w:t>
      </w:r>
      <w:r w:rsidRPr="000860B4">
        <w:rPr>
          <w:rFonts w:ascii="Segoe UI" w:hAnsi="Segoe UI" w:cs="Segoe UI"/>
        </w:rPr>
        <w:t>the core of the response to most emergencies, and are subject to the full</w:t>
      </w:r>
      <w:r w:rsidR="00C650FF" w:rsidRPr="000860B4">
        <w:rPr>
          <w:rFonts w:ascii="Segoe UI" w:hAnsi="Segoe UI" w:cs="Segoe UI"/>
        </w:rPr>
        <w:t xml:space="preserve"> </w:t>
      </w:r>
      <w:r w:rsidRPr="000860B4">
        <w:rPr>
          <w:rFonts w:ascii="Segoe UI" w:hAnsi="Segoe UI" w:cs="Segoe UI"/>
        </w:rPr>
        <w:t xml:space="preserve">set of civil protection duties. </w:t>
      </w:r>
      <w:r w:rsidR="00C650FF" w:rsidRPr="000860B4">
        <w:rPr>
          <w:rFonts w:ascii="Segoe UI" w:hAnsi="Segoe UI" w:cs="Segoe UI"/>
        </w:rPr>
        <w:t xml:space="preserve"> </w:t>
      </w:r>
      <w:r w:rsidRPr="000860B4">
        <w:rPr>
          <w:rFonts w:ascii="Segoe UI" w:hAnsi="Segoe UI" w:cs="Segoe UI"/>
        </w:rPr>
        <w:t>Category 2 responders have a lesser set of</w:t>
      </w:r>
      <w:r w:rsidR="00C650FF" w:rsidRPr="000860B4">
        <w:rPr>
          <w:rFonts w:ascii="Segoe UI" w:hAnsi="Segoe UI" w:cs="Segoe UI"/>
        </w:rPr>
        <w:t xml:space="preserve"> </w:t>
      </w:r>
      <w:r w:rsidR="0004686A">
        <w:rPr>
          <w:rFonts w:ascii="Segoe UI" w:hAnsi="Segoe UI" w:cs="Segoe UI"/>
        </w:rPr>
        <w:t>duties and are required to co</w:t>
      </w:r>
      <w:r w:rsidRPr="000860B4">
        <w:rPr>
          <w:rFonts w:ascii="Segoe UI" w:hAnsi="Segoe UI" w:cs="Segoe UI"/>
        </w:rPr>
        <w:t>operate and share relevant information with</w:t>
      </w:r>
      <w:r w:rsidR="00C650FF" w:rsidRPr="000860B4">
        <w:rPr>
          <w:rFonts w:ascii="Segoe UI" w:hAnsi="Segoe UI" w:cs="Segoe UI"/>
        </w:rPr>
        <w:t xml:space="preserve"> </w:t>
      </w:r>
      <w:r w:rsidRPr="000860B4">
        <w:rPr>
          <w:rFonts w:ascii="Segoe UI" w:hAnsi="Segoe UI" w:cs="Segoe UI"/>
        </w:rPr>
        <w:t>other Category 1 and 2 responders.</w:t>
      </w:r>
    </w:p>
    <w:p w:rsidR="00C650FF" w:rsidRPr="000860B4" w:rsidRDefault="00C650FF" w:rsidP="0076180C">
      <w:pPr>
        <w:autoSpaceDE w:val="0"/>
        <w:autoSpaceDN w:val="0"/>
        <w:adjustRightInd w:val="0"/>
        <w:spacing w:after="0" w:line="240" w:lineRule="auto"/>
        <w:ind w:left="567"/>
        <w:jc w:val="both"/>
        <w:rPr>
          <w:rFonts w:ascii="Segoe UI" w:hAnsi="Segoe UI" w:cs="Segoe UI"/>
        </w:rPr>
      </w:pPr>
    </w:p>
    <w:p w:rsidR="00C650FF" w:rsidRPr="000860B4" w:rsidRDefault="007C2232" w:rsidP="0076180C">
      <w:pPr>
        <w:pStyle w:val="CM14"/>
        <w:spacing w:line="271" w:lineRule="atLeast"/>
        <w:ind w:left="567"/>
        <w:jc w:val="both"/>
        <w:rPr>
          <w:rFonts w:ascii="Segoe UI" w:hAnsi="Segoe UI" w:cs="Segoe UI"/>
          <w:sz w:val="22"/>
          <w:szCs w:val="22"/>
        </w:rPr>
      </w:pPr>
      <w:r w:rsidRPr="000860B4">
        <w:rPr>
          <w:rFonts w:ascii="Segoe UI" w:hAnsi="Segoe UI" w:cs="Segoe UI"/>
          <w:sz w:val="22"/>
          <w:szCs w:val="22"/>
        </w:rPr>
        <w:t>Oxford Health NHS Foundation Trust</w:t>
      </w:r>
      <w:r w:rsidR="00C650FF" w:rsidRPr="000860B4">
        <w:rPr>
          <w:rFonts w:ascii="Segoe UI" w:hAnsi="Segoe UI" w:cs="Segoe UI"/>
          <w:sz w:val="22"/>
          <w:szCs w:val="22"/>
        </w:rPr>
        <w:t xml:space="preserve"> is a category 1 responder, and as such </w:t>
      </w:r>
      <w:r w:rsidR="0098590A" w:rsidRPr="000860B4">
        <w:rPr>
          <w:rFonts w:ascii="Segoe UI" w:hAnsi="Segoe UI" w:cs="Segoe UI"/>
          <w:sz w:val="22"/>
          <w:szCs w:val="22"/>
        </w:rPr>
        <w:t xml:space="preserve">the Trust </w:t>
      </w:r>
      <w:r w:rsidR="00C650FF" w:rsidRPr="000860B4">
        <w:rPr>
          <w:rFonts w:ascii="Segoe UI" w:hAnsi="Segoe UI" w:cs="Segoe UI"/>
          <w:sz w:val="22"/>
          <w:szCs w:val="22"/>
        </w:rPr>
        <w:t xml:space="preserve">is subject to the following civil protection duties: </w:t>
      </w:r>
    </w:p>
    <w:p w:rsidR="007C2232" w:rsidRPr="000860B4" w:rsidRDefault="007C2232" w:rsidP="004A298A">
      <w:pPr>
        <w:autoSpaceDE w:val="0"/>
        <w:autoSpaceDN w:val="0"/>
        <w:adjustRightInd w:val="0"/>
        <w:spacing w:after="0" w:line="240" w:lineRule="auto"/>
        <w:jc w:val="both"/>
        <w:rPr>
          <w:rFonts w:ascii="Segoe UI" w:hAnsi="Segoe UI" w:cs="Segoe UI"/>
        </w:rPr>
      </w:pPr>
    </w:p>
    <w:p w:rsidR="00C650FF" w:rsidRPr="000860B4"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0860B4">
        <w:rPr>
          <w:rFonts w:ascii="Segoe UI" w:hAnsi="Segoe UI" w:cs="Segoe UI"/>
          <w:color w:val="auto"/>
          <w:sz w:val="22"/>
          <w:szCs w:val="22"/>
        </w:rPr>
        <w:t>assess the risk of emergencies occurring and use this to inform contingency planning</w:t>
      </w:r>
    </w:p>
    <w:p w:rsidR="00C650FF" w:rsidRPr="000860B4"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0860B4">
        <w:rPr>
          <w:rFonts w:ascii="Segoe UI" w:hAnsi="Segoe UI" w:cs="Segoe UI"/>
          <w:color w:val="auto"/>
          <w:sz w:val="22"/>
          <w:szCs w:val="22"/>
        </w:rPr>
        <w:t>put in place emergency plans</w:t>
      </w:r>
    </w:p>
    <w:p w:rsidR="00C650FF" w:rsidRPr="000860B4"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0860B4">
        <w:rPr>
          <w:rFonts w:ascii="Segoe UI" w:hAnsi="Segoe UI" w:cs="Segoe UI"/>
          <w:color w:val="auto"/>
          <w:sz w:val="22"/>
          <w:szCs w:val="22"/>
        </w:rPr>
        <w:t>put in place business continuity management arrangements</w:t>
      </w:r>
    </w:p>
    <w:p w:rsidR="00C650FF" w:rsidRPr="000860B4"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0860B4">
        <w:rPr>
          <w:rFonts w:ascii="Segoe UI" w:hAnsi="Segoe UI" w:cs="Segoe UI"/>
          <w:color w:val="auto"/>
          <w:sz w:val="22"/>
          <w:szCs w:val="22"/>
        </w:rPr>
        <w:t>put in place arrangements to make information available to the public about civil protection matters and maintain arrangements to warn, inform and advise the public in the event of an emergency</w:t>
      </w:r>
    </w:p>
    <w:p w:rsidR="00C650FF" w:rsidRPr="000860B4"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0860B4">
        <w:rPr>
          <w:rFonts w:ascii="Segoe UI" w:hAnsi="Segoe UI" w:cs="Segoe UI"/>
          <w:color w:val="auto"/>
          <w:sz w:val="22"/>
          <w:szCs w:val="22"/>
        </w:rPr>
        <w:t>share information with other</w:t>
      </w:r>
      <w:r w:rsidR="0004686A">
        <w:rPr>
          <w:rFonts w:ascii="Segoe UI" w:hAnsi="Segoe UI" w:cs="Segoe UI"/>
          <w:color w:val="auto"/>
          <w:sz w:val="22"/>
          <w:szCs w:val="22"/>
        </w:rPr>
        <w:t xml:space="preserve"> local responders to enhance co</w:t>
      </w:r>
      <w:r w:rsidRPr="000860B4">
        <w:rPr>
          <w:rFonts w:ascii="Segoe UI" w:hAnsi="Segoe UI" w:cs="Segoe UI"/>
          <w:color w:val="auto"/>
          <w:sz w:val="22"/>
          <w:szCs w:val="22"/>
        </w:rPr>
        <w:t>ordination</w:t>
      </w:r>
    </w:p>
    <w:p w:rsidR="00C650FF" w:rsidRPr="000860B4" w:rsidRDefault="00C650FF" w:rsidP="004A298A">
      <w:pPr>
        <w:pStyle w:val="Default"/>
        <w:numPr>
          <w:ilvl w:val="0"/>
          <w:numId w:val="1"/>
        </w:numPr>
        <w:tabs>
          <w:tab w:val="clear" w:pos="900"/>
          <w:tab w:val="num" w:pos="1260"/>
        </w:tabs>
        <w:ind w:left="1260"/>
        <w:jc w:val="both"/>
        <w:rPr>
          <w:rFonts w:ascii="Segoe UI" w:hAnsi="Segoe UI" w:cs="Segoe UI"/>
          <w:color w:val="auto"/>
          <w:sz w:val="22"/>
          <w:szCs w:val="22"/>
        </w:rPr>
      </w:pPr>
      <w:r w:rsidRPr="000860B4">
        <w:rPr>
          <w:rFonts w:ascii="Segoe UI" w:hAnsi="Segoe UI" w:cs="Segoe UI"/>
          <w:color w:val="auto"/>
          <w:sz w:val="22"/>
          <w:szCs w:val="22"/>
        </w:rPr>
        <w:t>cooperate with other</w:t>
      </w:r>
      <w:r w:rsidR="0004686A">
        <w:rPr>
          <w:rFonts w:ascii="Segoe UI" w:hAnsi="Segoe UI" w:cs="Segoe UI"/>
          <w:color w:val="auto"/>
          <w:sz w:val="22"/>
          <w:szCs w:val="22"/>
        </w:rPr>
        <w:t xml:space="preserve"> local responders to enhance co</w:t>
      </w:r>
      <w:r w:rsidRPr="000860B4">
        <w:rPr>
          <w:rFonts w:ascii="Segoe UI" w:hAnsi="Segoe UI" w:cs="Segoe UI"/>
          <w:color w:val="auto"/>
          <w:sz w:val="22"/>
          <w:szCs w:val="22"/>
        </w:rPr>
        <w:t>ordination and efficiency.</w:t>
      </w:r>
    </w:p>
    <w:p w:rsidR="00436428" w:rsidRPr="000860B4" w:rsidRDefault="00436428" w:rsidP="004A298A">
      <w:pPr>
        <w:pStyle w:val="Default"/>
        <w:ind w:left="540"/>
        <w:jc w:val="both"/>
        <w:rPr>
          <w:rFonts w:ascii="Segoe UI" w:hAnsi="Segoe UI" w:cs="Segoe UI"/>
          <w:b/>
          <w:bCs/>
          <w:color w:val="FF0000"/>
          <w:sz w:val="22"/>
          <w:szCs w:val="22"/>
        </w:rPr>
      </w:pPr>
    </w:p>
    <w:p w:rsidR="00436428" w:rsidRPr="000860B4" w:rsidRDefault="00436428" w:rsidP="004A298A">
      <w:pPr>
        <w:pStyle w:val="Default"/>
        <w:ind w:left="540"/>
        <w:jc w:val="both"/>
        <w:rPr>
          <w:rFonts w:ascii="Segoe UI" w:hAnsi="Segoe UI" w:cs="Segoe UI"/>
          <w:color w:val="auto"/>
          <w:sz w:val="22"/>
          <w:szCs w:val="22"/>
        </w:rPr>
      </w:pPr>
      <w:r w:rsidRPr="000860B4">
        <w:rPr>
          <w:rFonts w:ascii="Segoe UI" w:hAnsi="Segoe UI" w:cs="Segoe UI"/>
          <w:b/>
          <w:bCs/>
          <w:color w:val="auto"/>
          <w:sz w:val="22"/>
          <w:szCs w:val="22"/>
        </w:rPr>
        <w:t>Risk Assessment</w:t>
      </w:r>
      <w:r w:rsidRPr="000860B4">
        <w:rPr>
          <w:rFonts w:ascii="Segoe UI" w:hAnsi="Segoe UI" w:cs="Segoe UI"/>
          <w:color w:val="auto"/>
          <w:sz w:val="22"/>
          <w:szCs w:val="22"/>
        </w:rPr>
        <w:t xml:space="preserve"> The Civil Contingencies Act 2004</w:t>
      </w:r>
      <w:r w:rsidR="0004686A">
        <w:rPr>
          <w:rFonts w:ascii="Segoe UI" w:hAnsi="Segoe UI" w:cs="Segoe UI"/>
          <w:color w:val="auto"/>
          <w:sz w:val="22"/>
          <w:szCs w:val="22"/>
        </w:rPr>
        <w:t xml:space="preserve"> </w:t>
      </w:r>
      <w:r w:rsidRPr="000860B4">
        <w:rPr>
          <w:rFonts w:ascii="Segoe UI" w:hAnsi="Segoe UI" w:cs="Segoe UI"/>
          <w:color w:val="auto"/>
          <w:sz w:val="22"/>
          <w:szCs w:val="22"/>
        </w:rPr>
        <w:t>places a legal duty on responders to undertake risk assessments and publish risks in a Community Risk Register.  The purpose of the Community Risk Registe</w:t>
      </w:r>
      <w:r w:rsidR="0004686A">
        <w:rPr>
          <w:rFonts w:ascii="Segoe UI" w:hAnsi="Segoe UI" w:cs="Segoe UI"/>
          <w:color w:val="auto"/>
          <w:sz w:val="22"/>
          <w:szCs w:val="22"/>
        </w:rPr>
        <w:t>r is to reassure the community</w:t>
      </w:r>
      <w:r w:rsidRPr="000860B4">
        <w:rPr>
          <w:rFonts w:ascii="Segoe UI" w:hAnsi="Segoe UI" w:cs="Segoe UI"/>
          <w:color w:val="auto"/>
          <w:sz w:val="22"/>
          <w:szCs w:val="22"/>
        </w:rPr>
        <w:t xml:space="preserve"> that the risk of potential hazards has been assessed, and that preparation arrangements are </w:t>
      </w:r>
      <w:r w:rsidRPr="000860B4">
        <w:rPr>
          <w:rFonts w:ascii="Segoe UI" w:hAnsi="Segoe UI" w:cs="Segoe UI"/>
          <w:color w:val="auto"/>
          <w:sz w:val="22"/>
          <w:szCs w:val="22"/>
        </w:rPr>
        <w:lastRenderedPageBreak/>
        <w:t xml:space="preserve">undertaken and response plans exist.  The </w:t>
      </w:r>
      <w:r w:rsidR="008E22B6" w:rsidRPr="000860B4">
        <w:rPr>
          <w:rFonts w:ascii="Segoe UI" w:hAnsi="Segoe UI" w:cs="Segoe UI"/>
          <w:color w:val="auto"/>
          <w:sz w:val="22"/>
          <w:szCs w:val="22"/>
        </w:rPr>
        <w:t xml:space="preserve">top </w:t>
      </w:r>
      <w:r w:rsidRPr="000860B4">
        <w:rPr>
          <w:rFonts w:ascii="Segoe UI" w:hAnsi="Segoe UI" w:cs="Segoe UI"/>
          <w:color w:val="auto"/>
          <w:sz w:val="22"/>
          <w:szCs w:val="22"/>
        </w:rPr>
        <w:t xml:space="preserve">risks currently identified on the Thames Valley </w:t>
      </w:r>
      <w:r w:rsidR="002D2D29" w:rsidRPr="000860B4">
        <w:rPr>
          <w:rFonts w:ascii="Segoe UI" w:hAnsi="Segoe UI" w:cs="Segoe UI"/>
          <w:color w:val="auto"/>
          <w:sz w:val="22"/>
          <w:szCs w:val="22"/>
        </w:rPr>
        <w:t xml:space="preserve">Community </w:t>
      </w:r>
      <w:r w:rsidRPr="000860B4">
        <w:rPr>
          <w:rFonts w:ascii="Segoe UI" w:hAnsi="Segoe UI" w:cs="Segoe UI"/>
          <w:color w:val="auto"/>
          <w:sz w:val="22"/>
          <w:szCs w:val="22"/>
        </w:rPr>
        <w:t>Risk Register</w:t>
      </w:r>
      <w:r w:rsidR="00DC256C" w:rsidRPr="000860B4">
        <w:rPr>
          <w:rStyle w:val="FootnoteReference"/>
          <w:rFonts w:ascii="Segoe UI" w:hAnsi="Segoe UI" w:cs="Segoe UI"/>
          <w:color w:val="auto"/>
          <w:sz w:val="22"/>
          <w:szCs w:val="22"/>
        </w:rPr>
        <w:footnoteReference w:id="1"/>
      </w:r>
      <w:r w:rsidRPr="000860B4">
        <w:rPr>
          <w:rFonts w:ascii="Segoe UI" w:hAnsi="Segoe UI" w:cs="Segoe UI"/>
          <w:color w:val="auto"/>
          <w:sz w:val="22"/>
          <w:szCs w:val="22"/>
        </w:rPr>
        <w:t xml:space="preserve"> are: </w:t>
      </w:r>
    </w:p>
    <w:p w:rsidR="00436428" w:rsidRPr="000860B4" w:rsidRDefault="00436428" w:rsidP="004A298A">
      <w:pPr>
        <w:pStyle w:val="Default"/>
        <w:ind w:left="540"/>
        <w:jc w:val="both"/>
        <w:rPr>
          <w:rFonts w:ascii="Segoe UI" w:hAnsi="Segoe UI" w:cs="Segoe UI"/>
          <w:color w:val="auto"/>
          <w:sz w:val="22"/>
          <w:szCs w:val="22"/>
        </w:rPr>
      </w:pPr>
    </w:p>
    <w:p w:rsidR="008E22B6" w:rsidRPr="000860B4" w:rsidRDefault="008E22B6" w:rsidP="004A298A">
      <w:pPr>
        <w:pStyle w:val="Default"/>
        <w:numPr>
          <w:ilvl w:val="0"/>
          <w:numId w:val="2"/>
        </w:numPr>
        <w:jc w:val="both"/>
        <w:rPr>
          <w:rFonts w:ascii="Segoe UI" w:hAnsi="Segoe UI" w:cs="Segoe UI"/>
          <w:color w:val="auto"/>
          <w:sz w:val="22"/>
          <w:szCs w:val="22"/>
          <w:u w:val="single"/>
        </w:rPr>
      </w:pPr>
      <w:r w:rsidRPr="000860B4">
        <w:rPr>
          <w:rFonts w:ascii="Segoe UI" w:hAnsi="Segoe UI" w:cs="Segoe UI"/>
          <w:color w:val="auto"/>
          <w:sz w:val="22"/>
          <w:szCs w:val="22"/>
        </w:rPr>
        <w:t>storms and gales</w:t>
      </w:r>
    </w:p>
    <w:p w:rsidR="008E22B6" w:rsidRPr="000860B4" w:rsidRDefault="008E22B6" w:rsidP="004A298A">
      <w:pPr>
        <w:pStyle w:val="Default"/>
        <w:numPr>
          <w:ilvl w:val="0"/>
          <w:numId w:val="2"/>
        </w:numPr>
        <w:jc w:val="both"/>
        <w:rPr>
          <w:rFonts w:ascii="Segoe UI" w:hAnsi="Segoe UI" w:cs="Segoe UI"/>
          <w:color w:val="auto"/>
          <w:sz w:val="22"/>
          <w:szCs w:val="22"/>
          <w:u w:val="single"/>
        </w:rPr>
      </w:pPr>
      <w:r w:rsidRPr="000860B4">
        <w:rPr>
          <w:rFonts w:ascii="Segoe UI" w:hAnsi="Segoe UI" w:cs="Segoe UI"/>
          <w:color w:val="auto"/>
          <w:sz w:val="22"/>
          <w:szCs w:val="22"/>
        </w:rPr>
        <w:t>low temperatures and heavy snow</w:t>
      </w:r>
    </w:p>
    <w:p w:rsidR="000860B4" w:rsidRPr="000860B4" w:rsidRDefault="000860B4" w:rsidP="004A298A">
      <w:pPr>
        <w:pStyle w:val="Default"/>
        <w:numPr>
          <w:ilvl w:val="0"/>
          <w:numId w:val="2"/>
        </w:numPr>
        <w:jc w:val="both"/>
        <w:rPr>
          <w:rFonts w:ascii="Segoe UI" w:hAnsi="Segoe UI" w:cs="Segoe UI"/>
          <w:color w:val="auto"/>
          <w:sz w:val="22"/>
          <w:szCs w:val="22"/>
          <w:u w:val="single"/>
        </w:rPr>
      </w:pPr>
      <w:r w:rsidRPr="000860B4">
        <w:rPr>
          <w:rFonts w:ascii="Segoe UI" w:hAnsi="Segoe UI" w:cs="Segoe UI"/>
          <w:color w:val="auto"/>
          <w:sz w:val="22"/>
          <w:szCs w:val="22"/>
        </w:rPr>
        <w:t>drought</w:t>
      </w:r>
    </w:p>
    <w:p w:rsidR="00436428" w:rsidRPr="000860B4" w:rsidRDefault="00436428" w:rsidP="004A298A">
      <w:pPr>
        <w:pStyle w:val="Default"/>
        <w:numPr>
          <w:ilvl w:val="0"/>
          <w:numId w:val="2"/>
        </w:numPr>
        <w:jc w:val="both"/>
        <w:rPr>
          <w:rFonts w:ascii="Segoe UI" w:hAnsi="Segoe UI" w:cs="Segoe UI"/>
          <w:color w:val="auto"/>
          <w:sz w:val="22"/>
          <w:szCs w:val="22"/>
          <w:u w:val="single"/>
        </w:rPr>
      </w:pPr>
      <w:r w:rsidRPr="000860B4">
        <w:rPr>
          <w:rFonts w:ascii="Segoe UI" w:hAnsi="Segoe UI" w:cs="Segoe UI"/>
          <w:color w:val="auto"/>
          <w:sz w:val="22"/>
          <w:szCs w:val="22"/>
        </w:rPr>
        <w:t>flooding</w:t>
      </w:r>
    </w:p>
    <w:p w:rsidR="000860B4" w:rsidRPr="000860B4" w:rsidRDefault="000860B4" w:rsidP="004A298A">
      <w:pPr>
        <w:pStyle w:val="Default"/>
        <w:numPr>
          <w:ilvl w:val="0"/>
          <w:numId w:val="2"/>
        </w:numPr>
        <w:jc w:val="both"/>
        <w:rPr>
          <w:rFonts w:ascii="Segoe UI" w:hAnsi="Segoe UI" w:cs="Segoe UI"/>
          <w:color w:val="auto"/>
          <w:sz w:val="22"/>
          <w:szCs w:val="22"/>
          <w:u w:val="single"/>
        </w:rPr>
      </w:pPr>
      <w:r>
        <w:rPr>
          <w:rFonts w:ascii="Segoe UI" w:hAnsi="Segoe UI" w:cs="Segoe UI"/>
          <w:color w:val="auto"/>
          <w:sz w:val="22"/>
          <w:szCs w:val="22"/>
        </w:rPr>
        <w:t>international disruption to the oil supply</w:t>
      </w:r>
    </w:p>
    <w:p w:rsidR="00C650FF" w:rsidRPr="000860B4" w:rsidRDefault="00C650FF" w:rsidP="004A298A">
      <w:pPr>
        <w:autoSpaceDE w:val="0"/>
        <w:autoSpaceDN w:val="0"/>
        <w:adjustRightInd w:val="0"/>
        <w:spacing w:after="0" w:line="240" w:lineRule="auto"/>
        <w:jc w:val="both"/>
        <w:rPr>
          <w:rFonts w:ascii="Segoe UI" w:hAnsi="Segoe UI" w:cs="Segoe UI"/>
          <w:b/>
          <w:bCs/>
          <w:color w:val="FF0000"/>
        </w:rPr>
      </w:pPr>
    </w:p>
    <w:p w:rsidR="007C2232" w:rsidRPr="00106BA0" w:rsidRDefault="007C2232" w:rsidP="00817798">
      <w:pPr>
        <w:pStyle w:val="Heading2"/>
        <w:rPr>
          <w:rFonts w:ascii="Segoe UI" w:hAnsi="Segoe UI" w:cs="Segoe UI"/>
          <w:sz w:val="22"/>
          <w:szCs w:val="22"/>
        </w:rPr>
      </w:pPr>
      <w:r w:rsidRPr="00106BA0">
        <w:rPr>
          <w:rFonts w:ascii="Segoe UI" w:hAnsi="Segoe UI" w:cs="Segoe UI"/>
          <w:sz w:val="22"/>
          <w:szCs w:val="22"/>
        </w:rPr>
        <w:t>Definition of a Major Incident</w:t>
      </w:r>
    </w:p>
    <w:p w:rsidR="007C2232" w:rsidRPr="00106BA0" w:rsidRDefault="007C2232" w:rsidP="0076180C">
      <w:pPr>
        <w:tabs>
          <w:tab w:val="left" w:pos="567"/>
        </w:tabs>
        <w:autoSpaceDE w:val="0"/>
        <w:autoSpaceDN w:val="0"/>
        <w:adjustRightInd w:val="0"/>
        <w:spacing w:after="0" w:line="240" w:lineRule="auto"/>
        <w:ind w:left="567"/>
        <w:jc w:val="both"/>
        <w:rPr>
          <w:rFonts w:ascii="Segoe UI" w:hAnsi="Segoe UI" w:cs="Segoe UI"/>
        </w:rPr>
      </w:pPr>
      <w:r w:rsidRPr="00106BA0">
        <w:rPr>
          <w:rFonts w:ascii="Segoe UI" w:hAnsi="Segoe UI" w:cs="Segoe UI"/>
        </w:rPr>
        <w:t>For the NHS, a major incident is defined as any occurrence that presents</w:t>
      </w:r>
      <w:r w:rsidR="00D0565D" w:rsidRPr="00106BA0">
        <w:rPr>
          <w:rFonts w:ascii="Segoe UI" w:hAnsi="Segoe UI" w:cs="Segoe UI"/>
        </w:rPr>
        <w:t xml:space="preserve"> </w:t>
      </w:r>
      <w:r w:rsidRPr="00106BA0">
        <w:rPr>
          <w:rFonts w:ascii="Segoe UI" w:hAnsi="Segoe UI" w:cs="Segoe UI"/>
        </w:rPr>
        <w:t>serious threat to the health of the community, disruption to the service, or</w:t>
      </w:r>
      <w:r w:rsidR="00D0565D" w:rsidRPr="00106BA0">
        <w:rPr>
          <w:rFonts w:ascii="Segoe UI" w:hAnsi="Segoe UI" w:cs="Segoe UI"/>
        </w:rPr>
        <w:t xml:space="preserve"> </w:t>
      </w:r>
      <w:r w:rsidRPr="00106BA0">
        <w:rPr>
          <w:rFonts w:ascii="Segoe UI" w:hAnsi="Segoe UI" w:cs="Segoe UI"/>
        </w:rPr>
        <w:t>causes (or is likely to cause) such numbers or types of casualties as to</w:t>
      </w:r>
      <w:r w:rsidR="00EF481F" w:rsidRPr="00106BA0">
        <w:rPr>
          <w:rFonts w:ascii="Segoe UI" w:hAnsi="Segoe UI" w:cs="Segoe UI"/>
        </w:rPr>
        <w:t xml:space="preserve"> </w:t>
      </w:r>
      <w:r w:rsidRPr="00106BA0">
        <w:rPr>
          <w:rFonts w:ascii="Segoe UI" w:hAnsi="Segoe UI" w:cs="Segoe UI"/>
        </w:rPr>
        <w:t xml:space="preserve">require special arrangements to be implemented by </w:t>
      </w:r>
      <w:r w:rsidR="00DE78CB" w:rsidRPr="00106BA0">
        <w:rPr>
          <w:rFonts w:ascii="Segoe UI" w:hAnsi="Segoe UI" w:cs="Segoe UI"/>
        </w:rPr>
        <w:t>NHS Trusts</w:t>
      </w:r>
      <w:r w:rsidRPr="00106BA0">
        <w:rPr>
          <w:rFonts w:ascii="Segoe UI" w:hAnsi="Segoe UI" w:cs="Segoe UI"/>
        </w:rPr>
        <w:t xml:space="preserve">. </w:t>
      </w:r>
      <w:r w:rsidR="00EF481F" w:rsidRPr="00106BA0">
        <w:rPr>
          <w:rFonts w:ascii="Segoe UI" w:hAnsi="Segoe UI" w:cs="Segoe UI"/>
        </w:rPr>
        <w:t xml:space="preserve"> </w:t>
      </w:r>
      <w:r w:rsidRPr="00106BA0">
        <w:rPr>
          <w:rFonts w:ascii="Segoe UI" w:hAnsi="Segoe UI" w:cs="Segoe UI"/>
        </w:rPr>
        <w:t>The term major</w:t>
      </w:r>
      <w:r w:rsidR="00EF481F" w:rsidRPr="00106BA0">
        <w:rPr>
          <w:rFonts w:ascii="Segoe UI" w:hAnsi="Segoe UI" w:cs="Segoe UI"/>
        </w:rPr>
        <w:t xml:space="preserve"> </w:t>
      </w:r>
      <w:r w:rsidRPr="00106BA0">
        <w:rPr>
          <w:rFonts w:ascii="Segoe UI" w:hAnsi="Segoe UI" w:cs="Segoe UI"/>
        </w:rPr>
        <w:t>emergency is used in the Civil Contingencies Act 2004.</w:t>
      </w:r>
    </w:p>
    <w:p w:rsidR="00EF481F" w:rsidRPr="000860B4" w:rsidRDefault="00EF481F" w:rsidP="00EF481F">
      <w:pPr>
        <w:autoSpaceDE w:val="0"/>
        <w:autoSpaceDN w:val="0"/>
        <w:adjustRightInd w:val="0"/>
        <w:spacing w:after="0" w:line="240" w:lineRule="auto"/>
        <w:ind w:left="720"/>
        <w:jc w:val="both"/>
        <w:rPr>
          <w:rFonts w:ascii="Segoe UI" w:hAnsi="Segoe UI" w:cs="Segoe UI"/>
          <w:color w:val="FF0000"/>
        </w:rPr>
      </w:pPr>
    </w:p>
    <w:p w:rsidR="007C2232" w:rsidRPr="00106BA0" w:rsidRDefault="00DC5D55" w:rsidP="003651B6">
      <w:pPr>
        <w:pStyle w:val="Heading1"/>
        <w:rPr>
          <w:rFonts w:ascii="Segoe UI" w:hAnsi="Segoe UI" w:cs="Segoe UI"/>
          <w:sz w:val="22"/>
          <w:szCs w:val="22"/>
        </w:rPr>
      </w:pPr>
      <w:r w:rsidRPr="00106BA0">
        <w:rPr>
          <w:rFonts w:ascii="Segoe UI" w:hAnsi="Segoe UI" w:cs="Segoe UI"/>
          <w:sz w:val="22"/>
          <w:szCs w:val="22"/>
        </w:rPr>
        <w:t>Major Incident and Business Continuity Plans</w:t>
      </w:r>
    </w:p>
    <w:p w:rsidR="00EF481F" w:rsidRPr="00106BA0" w:rsidRDefault="00EF481F" w:rsidP="004A298A">
      <w:pPr>
        <w:autoSpaceDE w:val="0"/>
        <w:autoSpaceDN w:val="0"/>
        <w:adjustRightInd w:val="0"/>
        <w:spacing w:after="0" w:line="240" w:lineRule="auto"/>
        <w:jc w:val="both"/>
        <w:rPr>
          <w:rFonts w:ascii="Segoe UI" w:hAnsi="Segoe UI" w:cs="Segoe UI"/>
          <w:b/>
          <w:bCs/>
        </w:rPr>
      </w:pPr>
    </w:p>
    <w:p w:rsidR="007C2232" w:rsidRPr="00106BA0" w:rsidRDefault="007C2232" w:rsidP="003651B6">
      <w:pPr>
        <w:pStyle w:val="Heading2"/>
        <w:rPr>
          <w:rFonts w:ascii="Segoe UI" w:hAnsi="Segoe UI" w:cs="Segoe UI"/>
          <w:sz w:val="22"/>
          <w:szCs w:val="22"/>
        </w:rPr>
      </w:pPr>
      <w:r w:rsidRPr="00106BA0">
        <w:rPr>
          <w:rFonts w:ascii="Segoe UI" w:hAnsi="Segoe UI" w:cs="Segoe UI"/>
          <w:sz w:val="22"/>
          <w:szCs w:val="22"/>
        </w:rPr>
        <w:t>Major Incident Plan</w:t>
      </w:r>
    </w:p>
    <w:p w:rsidR="008113EA" w:rsidRPr="000860B4" w:rsidRDefault="007C2232" w:rsidP="0076180C">
      <w:pPr>
        <w:autoSpaceDE w:val="0"/>
        <w:autoSpaceDN w:val="0"/>
        <w:adjustRightInd w:val="0"/>
        <w:spacing w:after="0" w:line="240" w:lineRule="auto"/>
        <w:ind w:left="567"/>
        <w:jc w:val="both"/>
        <w:rPr>
          <w:rFonts w:ascii="Segoe UI" w:hAnsi="Segoe UI" w:cs="Segoe UI"/>
          <w:color w:val="FF0000"/>
        </w:rPr>
      </w:pPr>
      <w:r w:rsidRPr="00106BA0">
        <w:rPr>
          <w:rFonts w:ascii="Segoe UI" w:hAnsi="Segoe UI" w:cs="Segoe UI"/>
        </w:rPr>
        <w:t xml:space="preserve">The Major Incident Plan is reviewed annually </w:t>
      </w:r>
      <w:r w:rsidR="00DC5D55" w:rsidRPr="00106BA0">
        <w:rPr>
          <w:rFonts w:ascii="Segoe UI" w:hAnsi="Segoe UI" w:cs="Segoe UI"/>
        </w:rPr>
        <w:t>and describes how Oxford Health NHS Foundation Trust will cooperate with partner organisations to prepare plans a</w:t>
      </w:r>
      <w:r w:rsidR="00DE78CB" w:rsidRPr="00106BA0">
        <w:rPr>
          <w:rFonts w:ascii="Segoe UI" w:hAnsi="Segoe UI" w:cs="Segoe UI"/>
        </w:rPr>
        <w:t>nd how the Trust will respond in the event of</w:t>
      </w:r>
      <w:r w:rsidR="00DC5D55" w:rsidRPr="00106BA0">
        <w:rPr>
          <w:rFonts w:ascii="Segoe UI" w:hAnsi="Segoe UI" w:cs="Segoe UI"/>
        </w:rPr>
        <w:t xml:space="preserve"> a major incident.  </w:t>
      </w:r>
      <w:r w:rsidRPr="00106BA0">
        <w:rPr>
          <w:rFonts w:ascii="Segoe UI" w:hAnsi="Segoe UI" w:cs="Segoe UI"/>
        </w:rPr>
        <w:t xml:space="preserve">The Major Incident Plan was reviewed </w:t>
      </w:r>
      <w:r w:rsidR="004320EF" w:rsidRPr="00106BA0">
        <w:rPr>
          <w:rFonts w:ascii="Segoe UI" w:hAnsi="Segoe UI" w:cs="Segoe UI"/>
        </w:rPr>
        <w:t xml:space="preserve">in January </w:t>
      </w:r>
      <w:r w:rsidRPr="00106BA0">
        <w:rPr>
          <w:rFonts w:ascii="Segoe UI" w:hAnsi="Segoe UI" w:cs="Segoe UI"/>
        </w:rPr>
        <w:t>201</w:t>
      </w:r>
      <w:r w:rsidR="00106BA0" w:rsidRPr="00106BA0">
        <w:rPr>
          <w:rFonts w:ascii="Segoe UI" w:hAnsi="Segoe UI" w:cs="Segoe UI"/>
        </w:rPr>
        <w:t>3</w:t>
      </w:r>
      <w:r w:rsidR="004D6D84" w:rsidRPr="00106BA0">
        <w:rPr>
          <w:rFonts w:ascii="Segoe UI" w:hAnsi="Segoe UI" w:cs="Segoe UI"/>
        </w:rPr>
        <w:t>.</w:t>
      </w:r>
      <w:r w:rsidR="00DE78CB" w:rsidRPr="00106BA0">
        <w:rPr>
          <w:rFonts w:ascii="Segoe UI" w:hAnsi="Segoe UI" w:cs="Segoe UI"/>
        </w:rPr>
        <w:t xml:space="preserve">  </w:t>
      </w:r>
      <w:r w:rsidR="003874AA" w:rsidRPr="00106BA0">
        <w:rPr>
          <w:rFonts w:ascii="Segoe UI" w:hAnsi="Segoe UI" w:cs="Segoe UI"/>
        </w:rPr>
        <w:t xml:space="preserve">There are several subsidiary plans that link to the major incident plan and </w:t>
      </w:r>
      <w:r w:rsidR="008113EA" w:rsidRPr="00106BA0">
        <w:rPr>
          <w:rFonts w:ascii="Segoe UI" w:hAnsi="Segoe UI" w:cs="Segoe UI"/>
        </w:rPr>
        <w:t>each year NHS organisations are required to revise these plans. The following plans were written and/or reviewed</w:t>
      </w:r>
      <w:r w:rsidR="004D6D84" w:rsidRPr="00106BA0">
        <w:rPr>
          <w:rFonts w:ascii="Segoe UI" w:hAnsi="Segoe UI" w:cs="Segoe UI"/>
        </w:rPr>
        <w:t xml:space="preserve"> during 201</w:t>
      </w:r>
      <w:r w:rsidR="00106BA0" w:rsidRPr="00106BA0">
        <w:rPr>
          <w:rFonts w:ascii="Segoe UI" w:hAnsi="Segoe UI" w:cs="Segoe UI"/>
        </w:rPr>
        <w:t>2</w:t>
      </w:r>
      <w:r w:rsidR="004D6D84" w:rsidRPr="00106BA0">
        <w:rPr>
          <w:rFonts w:ascii="Segoe UI" w:hAnsi="Segoe UI" w:cs="Segoe UI"/>
        </w:rPr>
        <w:t>/1</w:t>
      </w:r>
      <w:r w:rsidR="00106BA0" w:rsidRPr="00106BA0">
        <w:rPr>
          <w:rFonts w:ascii="Segoe UI" w:hAnsi="Segoe UI" w:cs="Segoe UI"/>
        </w:rPr>
        <w:t>3</w:t>
      </w:r>
      <w:r w:rsidR="004D6D84" w:rsidRPr="00106BA0">
        <w:rPr>
          <w:rFonts w:ascii="Segoe UI" w:hAnsi="Segoe UI" w:cs="Segoe UI"/>
        </w:rPr>
        <w:t>:</w:t>
      </w:r>
    </w:p>
    <w:p w:rsidR="008113EA" w:rsidRPr="000860B4" w:rsidRDefault="008113EA" w:rsidP="0076180C">
      <w:pPr>
        <w:autoSpaceDE w:val="0"/>
        <w:autoSpaceDN w:val="0"/>
        <w:adjustRightInd w:val="0"/>
        <w:spacing w:after="0" w:line="240" w:lineRule="auto"/>
        <w:ind w:left="567"/>
        <w:jc w:val="both"/>
        <w:rPr>
          <w:rFonts w:ascii="Segoe UI" w:hAnsi="Segoe UI" w:cs="Segoe UI"/>
          <w:color w:val="FF0000"/>
        </w:rPr>
      </w:pPr>
    </w:p>
    <w:p w:rsidR="003874AA" w:rsidRPr="00106BA0" w:rsidRDefault="003874AA" w:rsidP="003874AA">
      <w:pPr>
        <w:pStyle w:val="ListParagraph"/>
        <w:numPr>
          <w:ilvl w:val="0"/>
          <w:numId w:val="3"/>
        </w:numPr>
        <w:autoSpaceDE w:val="0"/>
        <w:autoSpaceDN w:val="0"/>
        <w:adjustRightInd w:val="0"/>
        <w:spacing w:after="0" w:line="240" w:lineRule="auto"/>
        <w:jc w:val="both"/>
        <w:rPr>
          <w:rFonts w:ascii="Segoe UI" w:hAnsi="Segoe UI" w:cs="Segoe UI"/>
        </w:rPr>
      </w:pPr>
      <w:r w:rsidRPr="00106BA0">
        <w:rPr>
          <w:rFonts w:ascii="Segoe UI" w:hAnsi="Segoe UI" w:cs="Segoe UI"/>
        </w:rPr>
        <w:t>Cold Weather Plan</w:t>
      </w:r>
    </w:p>
    <w:p w:rsidR="003874AA" w:rsidRPr="00106BA0" w:rsidRDefault="003874AA" w:rsidP="003874AA">
      <w:pPr>
        <w:pStyle w:val="ListParagraph"/>
        <w:numPr>
          <w:ilvl w:val="0"/>
          <w:numId w:val="3"/>
        </w:numPr>
        <w:autoSpaceDE w:val="0"/>
        <w:autoSpaceDN w:val="0"/>
        <w:adjustRightInd w:val="0"/>
        <w:spacing w:after="0" w:line="240" w:lineRule="auto"/>
        <w:jc w:val="both"/>
        <w:rPr>
          <w:rFonts w:ascii="Segoe UI" w:hAnsi="Segoe UI" w:cs="Segoe UI"/>
        </w:rPr>
      </w:pPr>
      <w:r w:rsidRPr="00106BA0">
        <w:rPr>
          <w:rFonts w:ascii="Segoe UI" w:hAnsi="Segoe UI" w:cs="Segoe UI"/>
        </w:rPr>
        <w:t>Heat Wave Plan</w:t>
      </w:r>
      <w:r w:rsidR="008113EA" w:rsidRPr="00106BA0">
        <w:rPr>
          <w:rFonts w:ascii="Segoe UI" w:hAnsi="Segoe UI" w:cs="Segoe UI"/>
        </w:rPr>
        <w:t xml:space="preserve"> </w:t>
      </w:r>
    </w:p>
    <w:p w:rsidR="00E14E50" w:rsidRPr="007D1CED" w:rsidRDefault="00E14E50" w:rsidP="003874AA">
      <w:pPr>
        <w:pStyle w:val="ListParagraph"/>
        <w:numPr>
          <w:ilvl w:val="0"/>
          <w:numId w:val="3"/>
        </w:numPr>
        <w:autoSpaceDE w:val="0"/>
        <w:autoSpaceDN w:val="0"/>
        <w:adjustRightInd w:val="0"/>
        <w:spacing w:after="0" w:line="240" w:lineRule="auto"/>
        <w:jc w:val="both"/>
        <w:rPr>
          <w:rFonts w:ascii="Segoe UI" w:hAnsi="Segoe UI" w:cs="Segoe UI"/>
        </w:rPr>
      </w:pPr>
      <w:r w:rsidRPr="007D1CED">
        <w:rPr>
          <w:rFonts w:ascii="Segoe UI" w:hAnsi="Segoe UI" w:cs="Segoe UI"/>
        </w:rPr>
        <w:t>Hospital Evacuation Plan</w:t>
      </w:r>
    </w:p>
    <w:p w:rsidR="00345DEB" w:rsidRDefault="00345DEB" w:rsidP="003874AA">
      <w:pPr>
        <w:pStyle w:val="ListParagraph"/>
        <w:numPr>
          <w:ilvl w:val="0"/>
          <w:numId w:val="3"/>
        </w:numPr>
        <w:autoSpaceDE w:val="0"/>
        <w:autoSpaceDN w:val="0"/>
        <w:adjustRightInd w:val="0"/>
        <w:spacing w:after="0" w:line="240" w:lineRule="auto"/>
        <w:jc w:val="both"/>
        <w:rPr>
          <w:rFonts w:ascii="Segoe UI" w:hAnsi="Segoe UI" w:cs="Segoe UI"/>
        </w:rPr>
      </w:pPr>
      <w:r w:rsidRPr="007D1CED">
        <w:rPr>
          <w:rFonts w:ascii="Segoe UI" w:hAnsi="Segoe UI" w:cs="Segoe UI"/>
        </w:rPr>
        <w:t>Pandemic Flu</w:t>
      </w:r>
      <w:r w:rsidR="00DC5D55" w:rsidRPr="007D1CED">
        <w:rPr>
          <w:rFonts w:ascii="Segoe UI" w:hAnsi="Segoe UI" w:cs="Segoe UI"/>
        </w:rPr>
        <w:t xml:space="preserve"> Plan</w:t>
      </w:r>
    </w:p>
    <w:p w:rsidR="007D1CED" w:rsidRDefault="007D1CED" w:rsidP="003874AA">
      <w:pPr>
        <w:pStyle w:val="ListParagraph"/>
        <w:numPr>
          <w:ilvl w:val="0"/>
          <w:numId w:val="3"/>
        </w:numPr>
        <w:autoSpaceDE w:val="0"/>
        <w:autoSpaceDN w:val="0"/>
        <w:adjustRightInd w:val="0"/>
        <w:spacing w:after="0" w:line="240" w:lineRule="auto"/>
        <w:jc w:val="both"/>
        <w:rPr>
          <w:rFonts w:ascii="Segoe UI" w:hAnsi="Segoe UI" w:cs="Segoe UI"/>
        </w:rPr>
      </w:pPr>
      <w:r>
        <w:rPr>
          <w:rFonts w:ascii="Segoe UI" w:hAnsi="Segoe UI" w:cs="Segoe UI"/>
        </w:rPr>
        <w:t>Psychosocial Plan</w:t>
      </w:r>
    </w:p>
    <w:p w:rsidR="00CE1CC2" w:rsidRPr="007D1CED" w:rsidRDefault="00CE1CC2" w:rsidP="003874AA">
      <w:pPr>
        <w:pStyle w:val="ListParagraph"/>
        <w:numPr>
          <w:ilvl w:val="0"/>
          <w:numId w:val="3"/>
        </w:numPr>
        <w:autoSpaceDE w:val="0"/>
        <w:autoSpaceDN w:val="0"/>
        <w:adjustRightInd w:val="0"/>
        <w:spacing w:after="0" w:line="240" w:lineRule="auto"/>
        <w:jc w:val="both"/>
        <w:rPr>
          <w:rFonts w:ascii="Segoe UI" w:hAnsi="Segoe UI" w:cs="Segoe UI"/>
        </w:rPr>
      </w:pPr>
      <w:r>
        <w:rPr>
          <w:rFonts w:ascii="Segoe UI" w:hAnsi="Segoe UI" w:cs="Segoe UI"/>
        </w:rPr>
        <w:t>Lockdown Plan</w:t>
      </w:r>
    </w:p>
    <w:p w:rsidR="00EF481F" w:rsidRPr="000860B4" w:rsidRDefault="00EF481F" w:rsidP="004A298A">
      <w:pPr>
        <w:autoSpaceDE w:val="0"/>
        <w:autoSpaceDN w:val="0"/>
        <w:adjustRightInd w:val="0"/>
        <w:spacing w:after="0" w:line="240" w:lineRule="auto"/>
        <w:jc w:val="both"/>
        <w:rPr>
          <w:rFonts w:ascii="Segoe UI" w:hAnsi="Segoe UI" w:cs="Segoe UI"/>
          <w:color w:val="FF0000"/>
        </w:rPr>
      </w:pPr>
    </w:p>
    <w:p w:rsidR="007C2232" w:rsidRPr="00CE1CC2" w:rsidRDefault="007C2232" w:rsidP="003651B6">
      <w:pPr>
        <w:pStyle w:val="Heading2"/>
        <w:rPr>
          <w:rFonts w:ascii="Segoe UI" w:hAnsi="Segoe UI" w:cs="Segoe UI"/>
          <w:sz w:val="22"/>
          <w:szCs w:val="22"/>
        </w:rPr>
      </w:pPr>
      <w:r w:rsidRPr="00CE1CC2">
        <w:rPr>
          <w:rFonts w:ascii="Segoe UI" w:hAnsi="Segoe UI" w:cs="Segoe UI"/>
          <w:sz w:val="22"/>
          <w:szCs w:val="22"/>
        </w:rPr>
        <w:t>Business Continuity Plan</w:t>
      </w:r>
      <w:bookmarkStart w:id="0" w:name="_GoBack"/>
      <w:bookmarkEnd w:id="0"/>
    </w:p>
    <w:p w:rsidR="007C2232" w:rsidRPr="00CE1CC2" w:rsidRDefault="000574D3" w:rsidP="00A17AFB">
      <w:pPr>
        <w:autoSpaceDE w:val="0"/>
        <w:autoSpaceDN w:val="0"/>
        <w:adjustRightInd w:val="0"/>
        <w:spacing w:after="0" w:line="240" w:lineRule="auto"/>
        <w:ind w:left="567"/>
        <w:jc w:val="both"/>
        <w:rPr>
          <w:rFonts w:ascii="Segoe UI" w:hAnsi="Segoe UI" w:cs="Segoe UI"/>
        </w:rPr>
      </w:pPr>
      <w:r w:rsidRPr="00CE1CC2">
        <w:rPr>
          <w:rFonts w:ascii="Segoe UI" w:hAnsi="Segoe UI" w:cs="Segoe UI"/>
        </w:rPr>
        <w:t xml:space="preserve">The Trust </w:t>
      </w:r>
      <w:r w:rsidR="007C2232" w:rsidRPr="00CE1CC2">
        <w:rPr>
          <w:rFonts w:ascii="Segoe UI" w:hAnsi="Segoe UI" w:cs="Segoe UI"/>
        </w:rPr>
        <w:t>Business</w:t>
      </w:r>
      <w:r w:rsidR="00D0565D" w:rsidRPr="00CE1CC2">
        <w:rPr>
          <w:rFonts w:ascii="Segoe UI" w:hAnsi="Segoe UI" w:cs="Segoe UI"/>
        </w:rPr>
        <w:t xml:space="preserve"> Continuity Plan</w:t>
      </w:r>
      <w:r w:rsidR="00DE78CB" w:rsidRPr="00CE1CC2">
        <w:rPr>
          <w:rFonts w:ascii="Segoe UI" w:hAnsi="Segoe UI" w:cs="Segoe UI"/>
        </w:rPr>
        <w:t>,</w:t>
      </w:r>
      <w:r w:rsidR="00D0565D" w:rsidRPr="00CE1CC2">
        <w:rPr>
          <w:rFonts w:ascii="Segoe UI" w:hAnsi="Segoe UI" w:cs="Segoe UI"/>
        </w:rPr>
        <w:t xml:space="preserve"> which outlines</w:t>
      </w:r>
      <w:r w:rsidR="007C2232" w:rsidRPr="00CE1CC2">
        <w:rPr>
          <w:rFonts w:ascii="Segoe UI" w:hAnsi="Segoe UI" w:cs="Segoe UI"/>
        </w:rPr>
        <w:t xml:space="preserve"> how the Trust w</w:t>
      </w:r>
      <w:r w:rsidR="00D0565D" w:rsidRPr="00CE1CC2">
        <w:rPr>
          <w:rFonts w:ascii="Segoe UI" w:hAnsi="Segoe UI" w:cs="Segoe UI"/>
        </w:rPr>
        <w:t xml:space="preserve">ill </w:t>
      </w:r>
      <w:r w:rsidR="007C2232" w:rsidRPr="00CE1CC2">
        <w:rPr>
          <w:rFonts w:ascii="Segoe UI" w:hAnsi="Segoe UI" w:cs="Segoe UI"/>
        </w:rPr>
        <w:t>continue to discharge</w:t>
      </w:r>
      <w:r w:rsidR="00D0565D" w:rsidRPr="00CE1CC2">
        <w:rPr>
          <w:rFonts w:ascii="Segoe UI" w:hAnsi="Segoe UI" w:cs="Segoe UI"/>
        </w:rPr>
        <w:t xml:space="preserve"> </w:t>
      </w:r>
      <w:r w:rsidR="007C2232" w:rsidRPr="00CE1CC2">
        <w:rPr>
          <w:rFonts w:ascii="Segoe UI" w:hAnsi="Segoe UI" w:cs="Segoe UI"/>
        </w:rPr>
        <w:t>core functions in the event of a disruption to business operations</w:t>
      </w:r>
      <w:r w:rsidR="00B50EFE">
        <w:rPr>
          <w:rFonts w:ascii="Segoe UI" w:hAnsi="Segoe UI" w:cs="Segoe UI"/>
        </w:rPr>
        <w:t>,</w:t>
      </w:r>
      <w:r w:rsidR="00CE1CC2" w:rsidRPr="00CE1CC2">
        <w:rPr>
          <w:rFonts w:ascii="Segoe UI" w:hAnsi="Segoe UI" w:cs="Segoe UI"/>
        </w:rPr>
        <w:t xml:space="preserve"> was reviewed during 2012/13.  </w:t>
      </w:r>
      <w:r w:rsidR="00A17AFB">
        <w:rPr>
          <w:rFonts w:ascii="Segoe UI" w:hAnsi="Segoe UI" w:cs="Segoe UI"/>
        </w:rPr>
        <w:t xml:space="preserve">As a result of the review a programme of work was undertaken by the Facilities Department to ensure that sites that do not have a generator permanently installed can be connected to a temporary generator.  Confirmation was also sort that temporary generators could be delivered </w:t>
      </w:r>
      <w:r w:rsidR="00E403CB">
        <w:rPr>
          <w:rFonts w:ascii="Segoe UI" w:hAnsi="Segoe UI" w:cs="Segoe UI"/>
        </w:rPr>
        <w:t xml:space="preserve">and connected </w:t>
      </w:r>
      <w:r w:rsidR="00A17AFB">
        <w:rPr>
          <w:rFonts w:ascii="Segoe UI" w:hAnsi="Segoe UI" w:cs="Segoe UI"/>
        </w:rPr>
        <w:t xml:space="preserve">by suppliers within four hours.  </w:t>
      </w:r>
      <w:r w:rsidR="00D0565D" w:rsidRPr="00CE1CC2">
        <w:rPr>
          <w:rFonts w:ascii="Segoe UI" w:hAnsi="Segoe UI" w:cs="Segoe UI"/>
        </w:rPr>
        <w:t xml:space="preserve">The </w:t>
      </w:r>
      <w:r w:rsidR="00CE1CC2" w:rsidRPr="00CE1CC2">
        <w:rPr>
          <w:rFonts w:ascii="Segoe UI" w:hAnsi="Segoe UI" w:cs="Segoe UI"/>
        </w:rPr>
        <w:t>Trust</w:t>
      </w:r>
      <w:r w:rsidR="007C2232" w:rsidRPr="00CE1CC2">
        <w:rPr>
          <w:rFonts w:ascii="Segoe UI" w:hAnsi="Segoe UI" w:cs="Segoe UI"/>
        </w:rPr>
        <w:t xml:space="preserve"> Business Continuity Plan is supported by </w:t>
      </w:r>
      <w:r w:rsidRPr="00CE1CC2">
        <w:rPr>
          <w:rFonts w:ascii="Segoe UI" w:hAnsi="Segoe UI" w:cs="Segoe UI"/>
        </w:rPr>
        <w:t>Service Business Continuity Pla</w:t>
      </w:r>
      <w:r w:rsidR="00AE1503" w:rsidRPr="00CE1CC2">
        <w:rPr>
          <w:rFonts w:ascii="Segoe UI" w:hAnsi="Segoe UI" w:cs="Segoe UI"/>
        </w:rPr>
        <w:t xml:space="preserve">ns which </w:t>
      </w:r>
      <w:r w:rsidRPr="00CE1CC2">
        <w:rPr>
          <w:rFonts w:ascii="Segoe UI" w:hAnsi="Segoe UI" w:cs="Segoe UI"/>
        </w:rPr>
        <w:t xml:space="preserve">are </w:t>
      </w:r>
      <w:r w:rsidR="00D0565D" w:rsidRPr="00CE1CC2">
        <w:rPr>
          <w:rFonts w:ascii="Segoe UI" w:hAnsi="Segoe UI" w:cs="Segoe UI"/>
        </w:rPr>
        <w:t xml:space="preserve">also </w:t>
      </w:r>
      <w:r w:rsidRPr="00CE1CC2">
        <w:rPr>
          <w:rFonts w:ascii="Segoe UI" w:hAnsi="Segoe UI" w:cs="Segoe UI"/>
        </w:rPr>
        <w:t xml:space="preserve">reviewed on an annual basis.  </w:t>
      </w:r>
    </w:p>
    <w:p w:rsidR="00DC5D55" w:rsidRPr="000860B4" w:rsidRDefault="00DC5D55" w:rsidP="0076180C">
      <w:pPr>
        <w:autoSpaceDE w:val="0"/>
        <w:autoSpaceDN w:val="0"/>
        <w:adjustRightInd w:val="0"/>
        <w:spacing w:after="0" w:line="240" w:lineRule="auto"/>
        <w:ind w:left="567"/>
        <w:jc w:val="both"/>
        <w:rPr>
          <w:rFonts w:ascii="Segoe UI" w:hAnsi="Segoe UI" w:cs="Segoe UI"/>
          <w:color w:val="FF0000"/>
        </w:rPr>
      </w:pPr>
    </w:p>
    <w:p w:rsidR="00F41AF4" w:rsidRDefault="00F41AF4">
      <w:pPr>
        <w:rPr>
          <w:rFonts w:ascii="Segoe UI" w:eastAsiaTheme="majorEastAsia" w:hAnsi="Segoe UI" w:cs="Segoe UI"/>
          <w:b/>
          <w:bCs/>
        </w:rPr>
      </w:pPr>
      <w:r>
        <w:rPr>
          <w:rFonts w:ascii="Segoe UI" w:hAnsi="Segoe UI" w:cs="Segoe UI"/>
        </w:rPr>
        <w:br w:type="page"/>
      </w:r>
    </w:p>
    <w:p w:rsidR="007C2232" w:rsidRPr="00CE1CC2" w:rsidRDefault="007C2232" w:rsidP="003651B6">
      <w:pPr>
        <w:pStyle w:val="Heading1"/>
        <w:rPr>
          <w:rFonts w:ascii="Segoe UI" w:hAnsi="Segoe UI" w:cs="Segoe UI"/>
          <w:sz w:val="22"/>
          <w:szCs w:val="22"/>
        </w:rPr>
      </w:pPr>
      <w:r w:rsidRPr="00CE1CC2">
        <w:rPr>
          <w:rFonts w:ascii="Segoe UI" w:hAnsi="Segoe UI" w:cs="Segoe UI"/>
          <w:sz w:val="22"/>
          <w:szCs w:val="22"/>
        </w:rPr>
        <w:lastRenderedPageBreak/>
        <w:t>Audits</w:t>
      </w:r>
    </w:p>
    <w:p w:rsidR="004F51DA" w:rsidRPr="00CE1CC2" w:rsidRDefault="008113EA" w:rsidP="0076180C">
      <w:pPr>
        <w:pStyle w:val="Default"/>
        <w:ind w:left="567"/>
        <w:jc w:val="both"/>
        <w:rPr>
          <w:rFonts w:ascii="Segoe UI" w:hAnsi="Segoe UI" w:cs="Segoe UI"/>
          <w:color w:val="auto"/>
          <w:sz w:val="22"/>
          <w:szCs w:val="22"/>
        </w:rPr>
      </w:pPr>
      <w:r w:rsidRPr="00CE1CC2">
        <w:rPr>
          <w:rFonts w:ascii="Segoe UI" w:hAnsi="Segoe UI" w:cs="Segoe UI"/>
          <w:color w:val="auto"/>
          <w:sz w:val="22"/>
          <w:szCs w:val="22"/>
        </w:rPr>
        <w:t>During 201</w:t>
      </w:r>
      <w:r w:rsidR="00CE1CC2" w:rsidRPr="00CE1CC2">
        <w:rPr>
          <w:rFonts w:ascii="Segoe UI" w:hAnsi="Segoe UI" w:cs="Segoe UI"/>
          <w:color w:val="auto"/>
          <w:sz w:val="22"/>
          <w:szCs w:val="22"/>
        </w:rPr>
        <w:t>2</w:t>
      </w:r>
      <w:r w:rsidRPr="00CE1CC2">
        <w:rPr>
          <w:rFonts w:ascii="Segoe UI" w:hAnsi="Segoe UI" w:cs="Segoe UI"/>
          <w:color w:val="auto"/>
          <w:sz w:val="22"/>
          <w:szCs w:val="22"/>
        </w:rPr>
        <w:t>/1</w:t>
      </w:r>
      <w:r w:rsidR="00CE1CC2" w:rsidRPr="00CE1CC2">
        <w:rPr>
          <w:rFonts w:ascii="Segoe UI" w:hAnsi="Segoe UI" w:cs="Segoe UI"/>
          <w:color w:val="auto"/>
          <w:sz w:val="22"/>
          <w:szCs w:val="22"/>
        </w:rPr>
        <w:t>3</w:t>
      </w:r>
      <w:r w:rsidRPr="00CE1CC2">
        <w:rPr>
          <w:rFonts w:ascii="Segoe UI" w:hAnsi="Segoe UI" w:cs="Segoe UI"/>
          <w:color w:val="auto"/>
          <w:sz w:val="22"/>
          <w:szCs w:val="22"/>
        </w:rPr>
        <w:t xml:space="preserve"> the South Central Strategic Health Authority sought assurance on the Trust’s preparedness in relation </w:t>
      </w:r>
      <w:r w:rsidR="00CE1CC2" w:rsidRPr="00CE1CC2">
        <w:rPr>
          <w:rFonts w:ascii="Segoe UI" w:hAnsi="Segoe UI" w:cs="Segoe UI"/>
          <w:color w:val="auto"/>
          <w:sz w:val="22"/>
          <w:szCs w:val="22"/>
        </w:rPr>
        <w:t>to Heat Wave planning</w:t>
      </w:r>
      <w:r w:rsidRPr="00CE1CC2">
        <w:rPr>
          <w:rFonts w:ascii="Segoe UI" w:hAnsi="Segoe UI" w:cs="Segoe UI"/>
          <w:color w:val="auto"/>
          <w:sz w:val="22"/>
          <w:szCs w:val="22"/>
        </w:rPr>
        <w:t xml:space="preserve">.  Oxford Health NHS Foundation Trust was able to declare </w:t>
      </w:r>
      <w:r w:rsidR="00CE1CC2" w:rsidRPr="00CE1CC2">
        <w:rPr>
          <w:rFonts w:ascii="Segoe UI" w:hAnsi="Segoe UI" w:cs="Segoe UI"/>
          <w:color w:val="auto"/>
          <w:sz w:val="22"/>
          <w:szCs w:val="22"/>
        </w:rPr>
        <w:t>full compliance in all areas except for the ability to maintain temperatures below 26</w:t>
      </w:r>
      <w:r w:rsidR="00CE1CC2" w:rsidRPr="00CE1CC2">
        <w:rPr>
          <w:rFonts w:ascii="Segoe UI" w:hAnsi="Segoe UI" w:cs="Segoe UI"/>
          <w:color w:val="auto"/>
          <w:sz w:val="22"/>
          <w:szCs w:val="22"/>
          <w:vertAlign w:val="superscript"/>
        </w:rPr>
        <w:t>o</w:t>
      </w:r>
      <w:r w:rsidR="00CE1CC2" w:rsidRPr="00CE1CC2">
        <w:rPr>
          <w:rFonts w:ascii="Segoe UI" w:hAnsi="Segoe UI" w:cs="Segoe UI"/>
          <w:color w:val="auto"/>
          <w:sz w:val="22"/>
          <w:szCs w:val="22"/>
        </w:rPr>
        <w:t xml:space="preserve">C in all inpatient areas.  As a result </w:t>
      </w:r>
      <w:r w:rsidR="00CE1CC2">
        <w:rPr>
          <w:rFonts w:ascii="Segoe UI" w:hAnsi="Segoe UI" w:cs="Segoe UI"/>
          <w:color w:val="auto"/>
          <w:sz w:val="22"/>
          <w:szCs w:val="22"/>
        </w:rPr>
        <w:t xml:space="preserve">the </w:t>
      </w:r>
      <w:r w:rsidR="00CE1CC2" w:rsidRPr="00CE1CC2">
        <w:rPr>
          <w:rFonts w:ascii="Segoe UI" w:hAnsi="Segoe UI" w:cs="Segoe UI"/>
          <w:color w:val="auto"/>
          <w:sz w:val="22"/>
          <w:szCs w:val="22"/>
        </w:rPr>
        <w:t xml:space="preserve">Estates and Facilities </w:t>
      </w:r>
      <w:r w:rsidR="0004686A">
        <w:rPr>
          <w:rFonts w:ascii="Segoe UI" w:hAnsi="Segoe UI" w:cs="Segoe UI"/>
          <w:color w:val="auto"/>
          <w:sz w:val="22"/>
          <w:szCs w:val="22"/>
        </w:rPr>
        <w:t>D</w:t>
      </w:r>
      <w:r w:rsidR="00CE1CC2">
        <w:rPr>
          <w:rFonts w:ascii="Segoe UI" w:hAnsi="Segoe UI" w:cs="Segoe UI"/>
          <w:color w:val="auto"/>
          <w:sz w:val="22"/>
          <w:szCs w:val="22"/>
        </w:rPr>
        <w:t xml:space="preserve">epartment </w:t>
      </w:r>
      <w:r w:rsidR="00CE1CC2" w:rsidRPr="00CE1CC2">
        <w:rPr>
          <w:rFonts w:ascii="Segoe UI" w:hAnsi="Segoe UI" w:cs="Segoe UI"/>
          <w:color w:val="auto"/>
          <w:sz w:val="22"/>
          <w:szCs w:val="22"/>
        </w:rPr>
        <w:t>commenced a programme of work to ensure inpatient areas could achieve temperatures below 26</w:t>
      </w:r>
      <w:r w:rsidR="00CE1CC2" w:rsidRPr="00CE1CC2">
        <w:rPr>
          <w:rFonts w:ascii="Segoe UI" w:hAnsi="Segoe UI" w:cs="Segoe UI"/>
          <w:color w:val="auto"/>
          <w:sz w:val="22"/>
          <w:szCs w:val="22"/>
          <w:vertAlign w:val="superscript"/>
        </w:rPr>
        <w:t>o</w:t>
      </w:r>
      <w:r w:rsidR="00CE1CC2" w:rsidRPr="00CE1CC2">
        <w:rPr>
          <w:rFonts w:ascii="Segoe UI" w:hAnsi="Segoe UI" w:cs="Segoe UI"/>
          <w:color w:val="auto"/>
          <w:sz w:val="22"/>
          <w:szCs w:val="22"/>
        </w:rPr>
        <w:t>C in</w:t>
      </w:r>
      <w:r w:rsidR="00CE1CC2">
        <w:rPr>
          <w:rFonts w:ascii="Segoe UI" w:hAnsi="Segoe UI" w:cs="Segoe UI"/>
          <w:color w:val="auto"/>
          <w:sz w:val="22"/>
          <w:szCs w:val="22"/>
        </w:rPr>
        <w:t xml:space="preserve"> an identified cool room on each ward.</w:t>
      </w:r>
    </w:p>
    <w:p w:rsidR="008113EA" w:rsidRPr="000860B4" w:rsidRDefault="008113EA" w:rsidP="004A298A">
      <w:pPr>
        <w:autoSpaceDE w:val="0"/>
        <w:autoSpaceDN w:val="0"/>
        <w:adjustRightInd w:val="0"/>
        <w:spacing w:after="0" w:line="240" w:lineRule="auto"/>
        <w:jc w:val="both"/>
        <w:rPr>
          <w:rFonts w:ascii="Segoe UI" w:hAnsi="Segoe UI" w:cs="Segoe UI"/>
          <w:color w:val="FF0000"/>
        </w:rPr>
      </w:pPr>
    </w:p>
    <w:p w:rsidR="007C2232" w:rsidRPr="0099699D" w:rsidRDefault="007C2232" w:rsidP="003651B6">
      <w:pPr>
        <w:pStyle w:val="Heading1"/>
        <w:rPr>
          <w:rFonts w:ascii="Segoe UI" w:hAnsi="Segoe UI" w:cs="Segoe UI"/>
          <w:sz w:val="22"/>
          <w:szCs w:val="22"/>
        </w:rPr>
      </w:pPr>
      <w:r w:rsidRPr="0099699D">
        <w:rPr>
          <w:rFonts w:ascii="Segoe UI" w:hAnsi="Segoe UI" w:cs="Segoe UI"/>
          <w:sz w:val="22"/>
          <w:szCs w:val="22"/>
        </w:rPr>
        <w:t>Partnership Working</w:t>
      </w:r>
    </w:p>
    <w:p w:rsidR="0024391D" w:rsidRPr="0099699D" w:rsidRDefault="000A6C03" w:rsidP="0076180C">
      <w:pPr>
        <w:pStyle w:val="Default"/>
        <w:ind w:left="567"/>
        <w:jc w:val="both"/>
        <w:rPr>
          <w:rFonts w:ascii="Segoe UI" w:hAnsi="Segoe UI" w:cs="Segoe UI"/>
          <w:color w:val="auto"/>
          <w:sz w:val="22"/>
          <w:szCs w:val="22"/>
        </w:rPr>
      </w:pPr>
      <w:r w:rsidRPr="0099699D">
        <w:rPr>
          <w:rFonts w:ascii="Segoe UI" w:hAnsi="Segoe UI" w:cs="Segoe UI"/>
          <w:color w:val="auto"/>
          <w:sz w:val="22"/>
          <w:szCs w:val="22"/>
        </w:rPr>
        <w:t>The Trust works</w:t>
      </w:r>
      <w:r w:rsidR="007C2232" w:rsidRPr="0099699D">
        <w:rPr>
          <w:rFonts w:ascii="Segoe UI" w:hAnsi="Segoe UI" w:cs="Segoe UI"/>
          <w:color w:val="auto"/>
          <w:sz w:val="22"/>
          <w:szCs w:val="22"/>
        </w:rPr>
        <w:t xml:space="preserve"> in collaboration with a range of partner agencies</w:t>
      </w:r>
      <w:r w:rsidR="009A71C7" w:rsidRPr="0099699D">
        <w:rPr>
          <w:rFonts w:ascii="Segoe UI" w:hAnsi="Segoe UI" w:cs="Segoe UI"/>
          <w:color w:val="auto"/>
          <w:sz w:val="22"/>
          <w:szCs w:val="22"/>
        </w:rPr>
        <w:t xml:space="preserve"> </w:t>
      </w:r>
      <w:r w:rsidR="007C2232" w:rsidRPr="0099699D">
        <w:rPr>
          <w:rFonts w:ascii="Segoe UI" w:hAnsi="Segoe UI" w:cs="Segoe UI"/>
          <w:color w:val="auto"/>
          <w:sz w:val="22"/>
          <w:szCs w:val="22"/>
        </w:rPr>
        <w:t xml:space="preserve">through formal standing meetings and ad hoc arrangements. </w:t>
      </w:r>
      <w:r w:rsidRPr="0099699D">
        <w:rPr>
          <w:rFonts w:ascii="Segoe UI" w:hAnsi="Segoe UI" w:cs="Segoe UI"/>
          <w:color w:val="auto"/>
          <w:sz w:val="22"/>
          <w:szCs w:val="22"/>
        </w:rPr>
        <w:t xml:space="preserve"> </w:t>
      </w:r>
      <w:r w:rsidR="007C2232" w:rsidRPr="0099699D">
        <w:rPr>
          <w:rFonts w:ascii="Segoe UI" w:hAnsi="Segoe UI" w:cs="Segoe UI"/>
          <w:color w:val="auto"/>
          <w:sz w:val="22"/>
          <w:szCs w:val="22"/>
        </w:rPr>
        <w:t>Formal</w:t>
      </w:r>
      <w:r w:rsidR="009A71C7" w:rsidRPr="0099699D">
        <w:rPr>
          <w:rFonts w:ascii="Segoe UI" w:hAnsi="Segoe UI" w:cs="Segoe UI"/>
          <w:color w:val="auto"/>
          <w:sz w:val="22"/>
          <w:szCs w:val="22"/>
        </w:rPr>
        <w:t xml:space="preserve"> </w:t>
      </w:r>
      <w:r w:rsidR="007C2232" w:rsidRPr="0099699D">
        <w:rPr>
          <w:rFonts w:ascii="Segoe UI" w:hAnsi="Segoe UI" w:cs="Segoe UI"/>
          <w:color w:val="auto"/>
          <w:sz w:val="22"/>
          <w:szCs w:val="22"/>
        </w:rPr>
        <w:t>committees</w:t>
      </w:r>
      <w:r w:rsidR="0004686A">
        <w:rPr>
          <w:rFonts w:ascii="Segoe UI" w:hAnsi="Segoe UI" w:cs="Segoe UI"/>
          <w:color w:val="auto"/>
          <w:sz w:val="22"/>
          <w:szCs w:val="22"/>
        </w:rPr>
        <w:t>,</w:t>
      </w:r>
      <w:r w:rsidR="007C2232" w:rsidRPr="0099699D">
        <w:rPr>
          <w:rFonts w:ascii="Segoe UI" w:hAnsi="Segoe UI" w:cs="Segoe UI"/>
          <w:color w:val="auto"/>
          <w:sz w:val="22"/>
          <w:szCs w:val="22"/>
        </w:rPr>
        <w:t xml:space="preserve"> of which </w:t>
      </w:r>
      <w:r w:rsidR="000F5D57" w:rsidRPr="0099699D">
        <w:rPr>
          <w:rFonts w:ascii="Segoe UI" w:hAnsi="Segoe UI" w:cs="Segoe UI"/>
          <w:color w:val="auto"/>
          <w:sz w:val="22"/>
          <w:szCs w:val="22"/>
        </w:rPr>
        <w:t>the Trust was a member</w:t>
      </w:r>
      <w:r w:rsidR="0004686A">
        <w:rPr>
          <w:rFonts w:ascii="Segoe UI" w:hAnsi="Segoe UI" w:cs="Segoe UI"/>
          <w:color w:val="auto"/>
          <w:sz w:val="22"/>
          <w:szCs w:val="22"/>
        </w:rPr>
        <w:t>,</w:t>
      </w:r>
      <w:r w:rsidR="000F5D57" w:rsidRPr="0099699D">
        <w:rPr>
          <w:rFonts w:ascii="Segoe UI" w:hAnsi="Segoe UI" w:cs="Segoe UI"/>
          <w:color w:val="auto"/>
          <w:sz w:val="22"/>
          <w:szCs w:val="22"/>
        </w:rPr>
        <w:t xml:space="preserve"> include the </w:t>
      </w:r>
      <w:r w:rsidR="007C2232" w:rsidRPr="0099699D">
        <w:rPr>
          <w:rFonts w:ascii="Segoe UI" w:hAnsi="Segoe UI" w:cs="Segoe UI"/>
          <w:bCs/>
          <w:color w:val="auto"/>
          <w:sz w:val="22"/>
          <w:szCs w:val="22"/>
        </w:rPr>
        <w:t>Thames Valley Health Emergency Planning Group</w:t>
      </w:r>
      <w:r w:rsidR="000F5D57" w:rsidRPr="0099699D">
        <w:rPr>
          <w:rFonts w:ascii="Segoe UI" w:hAnsi="Segoe UI" w:cs="Segoe UI"/>
          <w:bCs/>
          <w:color w:val="auto"/>
          <w:sz w:val="22"/>
          <w:szCs w:val="22"/>
        </w:rPr>
        <w:t>, the NHS Buckinghamshire and Oxfordshire Health Emergency Planning Group and the Oxfordshire Resilience Group.</w:t>
      </w:r>
      <w:r w:rsidR="005D5851" w:rsidRPr="0099699D">
        <w:rPr>
          <w:rFonts w:ascii="Segoe UI" w:hAnsi="Segoe UI" w:cs="Segoe UI"/>
          <w:bCs/>
          <w:color w:val="auto"/>
          <w:sz w:val="22"/>
          <w:szCs w:val="22"/>
        </w:rPr>
        <w:t xml:space="preserve">  The purpose of these groups is to </w:t>
      </w:r>
      <w:r w:rsidR="005D5851" w:rsidRPr="0099699D">
        <w:rPr>
          <w:rFonts w:ascii="Segoe UI" w:hAnsi="Segoe UI" w:cs="Segoe UI"/>
          <w:color w:val="auto"/>
          <w:sz w:val="22"/>
          <w:szCs w:val="22"/>
        </w:rPr>
        <w:t>ensure that effective and coordinated arrangements are in place for NHS emergency preparedness and response</w:t>
      </w:r>
      <w:r w:rsidR="0004686A">
        <w:rPr>
          <w:rFonts w:ascii="Segoe UI" w:hAnsi="Segoe UI" w:cs="Segoe UI"/>
          <w:color w:val="auto"/>
          <w:sz w:val="22"/>
          <w:szCs w:val="22"/>
        </w:rPr>
        <w:t>,</w:t>
      </w:r>
      <w:r w:rsidR="005D5851" w:rsidRPr="0099699D">
        <w:rPr>
          <w:rFonts w:ascii="Segoe UI" w:hAnsi="Segoe UI" w:cs="Segoe UI"/>
          <w:color w:val="auto"/>
          <w:sz w:val="22"/>
          <w:szCs w:val="22"/>
        </w:rPr>
        <w:t xml:space="preserve"> in accordance with national policy and direction from the Strategic Health Authority.</w:t>
      </w:r>
      <w:r w:rsidR="003758A4" w:rsidRPr="0099699D">
        <w:rPr>
          <w:rFonts w:ascii="Segoe UI" w:hAnsi="Segoe UI" w:cs="Segoe UI"/>
          <w:color w:val="auto"/>
          <w:sz w:val="22"/>
          <w:szCs w:val="22"/>
        </w:rPr>
        <w:t xml:space="preserve">  Links </w:t>
      </w:r>
      <w:r w:rsidR="001355FC" w:rsidRPr="0099699D">
        <w:rPr>
          <w:rFonts w:ascii="Segoe UI" w:hAnsi="Segoe UI" w:cs="Segoe UI"/>
          <w:color w:val="auto"/>
          <w:sz w:val="22"/>
          <w:szCs w:val="22"/>
        </w:rPr>
        <w:t xml:space="preserve">are also </w:t>
      </w:r>
      <w:r w:rsidR="00282B89" w:rsidRPr="0099699D">
        <w:rPr>
          <w:rFonts w:ascii="Segoe UI" w:hAnsi="Segoe UI" w:cs="Segoe UI"/>
          <w:color w:val="auto"/>
          <w:sz w:val="22"/>
          <w:szCs w:val="22"/>
        </w:rPr>
        <w:t>in place</w:t>
      </w:r>
      <w:r w:rsidR="003758A4" w:rsidRPr="0099699D">
        <w:rPr>
          <w:rFonts w:ascii="Segoe UI" w:hAnsi="Segoe UI" w:cs="Segoe UI"/>
          <w:color w:val="auto"/>
          <w:sz w:val="22"/>
          <w:szCs w:val="22"/>
        </w:rPr>
        <w:t xml:space="preserve"> with emergency planning colleagues in Swindon, Wiltshire</w:t>
      </w:r>
      <w:r w:rsidR="0004686A">
        <w:rPr>
          <w:rFonts w:ascii="Segoe UI" w:hAnsi="Segoe UI" w:cs="Segoe UI"/>
          <w:color w:val="auto"/>
          <w:sz w:val="22"/>
          <w:szCs w:val="22"/>
        </w:rPr>
        <w:t>,</w:t>
      </w:r>
      <w:r w:rsidR="003758A4" w:rsidRPr="0099699D">
        <w:rPr>
          <w:rFonts w:ascii="Segoe UI" w:hAnsi="Segoe UI" w:cs="Segoe UI"/>
          <w:color w:val="auto"/>
          <w:sz w:val="22"/>
          <w:szCs w:val="22"/>
        </w:rPr>
        <w:t xml:space="preserve"> B</w:t>
      </w:r>
      <w:r w:rsidR="0024391D" w:rsidRPr="0099699D">
        <w:rPr>
          <w:rFonts w:ascii="Segoe UI" w:hAnsi="Segoe UI" w:cs="Segoe UI"/>
          <w:color w:val="auto"/>
          <w:sz w:val="22"/>
          <w:szCs w:val="22"/>
        </w:rPr>
        <w:t>ath and North East Somerset.</w:t>
      </w:r>
    </w:p>
    <w:p w:rsidR="00345DEB" w:rsidRPr="00241654" w:rsidRDefault="00345DEB" w:rsidP="0076180C">
      <w:pPr>
        <w:tabs>
          <w:tab w:val="left" w:pos="567"/>
        </w:tabs>
        <w:autoSpaceDE w:val="0"/>
        <w:autoSpaceDN w:val="0"/>
        <w:adjustRightInd w:val="0"/>
        <w:spacing w:after="0" w:line="240" w:lineRule="auto"/>
        <w:ind w:left="709"/>
        <w:jc w:val="both"/>
        <w:rPr>
          <w:rFonts w:ascii="Segoe UI" w:hAnsi="Segoe UI" w:cs="Segoe UI"/>
        </w:rPr>
      </w:pPr>
    </w:p>
    <w:p w:rsidR="00345DEB" w:rsidRPr="00241654" w:rsidRDefault="007C2232" w:rsidP="003651B6">
      <w:pPr>
        <w:pStyle w:val="Heading1"/>
        <w:rPr>
          <w:rFonts w:ascii="Segoe UI" w:hAnsi="Segoe UI" w:cs="Segoe UI"/>
          <w:sz w:val="22"/>
          <w:szCs w:val="22"/>
        </w:rPr>
      </w:pPr>
      <w:r w:rsidRPr="00241654">
        <w:rPr>
          <w:rFonts w:ascii="Segoe UI" w:hAnsi="Segoe UI" w:cs="Segoe UI"/>
          <w:sz w:val="22"/>
          <w:szCs w:val="22"/>
        </w:rPr>
        <w:t>Training and Exercises</w:t>
      </w:r>
    </w:p>
    <w:p w:rsidR="00CA3629" w:rsidRPr="00241654" w:rsidRDefault="00282B89" w:rsidP="000A6C03">
      <w:pPr>
        <w:autoSpaceDE w:val="0"/>
        <w:autoSpaceDN w:val="0"/>
        <w:adjustRightInd w:val="0"/>
        <w:spacing w:after="0" w:line="240" w:lineRule="auto"/>
        <w:ind w:left="567"/>
        <w:jc w:val="both"/>
        <w:rPr>
          <w:rFonts w:ascii="Segoe UI" w:hAnsi="Segoe UI" w:cs="Segoe UI"/>
          <w:bCs/>
        </w:rPr>
      </w:pPr>
      <w:r w:rsidRPr="00241654">
        <w:rPr>
          <w:rFonts w:ascii="Segoe UI" w:hAnsi="Segoe UI" w:cs="Segoe UI"/>
          <w:bCs/>
        </w:rPr>
        <w:t>Major incident tra</w:t>
      </w:r>
      <w:r w:rsidR="000A6C03" w:rsidRPr="00241654">
        <w:rPr>
          <w:rFonts w:ascii="Segoe UI" w:hAnsi="Segoe UI" w:cs="Segoe UI"/>
          <w:bCs/>
        </w:rPr>
        <w:t xml:space="preserve">ining and </w:t>
      </w:r>
      <w:r w:rsidR="00E87D6E" w:rsidRPr="00241654">
        <w:rPr>
          <w:rFonts w:ascii="Segoe UI" w:hAnsi="Segoe UI" w:cs="Segoe UI"/>
          <w:bCs/>
        </w:rPr>
        <w:t xml:space="preserve">the </w:t>
      </w:r>
      <w:r w:rsidR="000A6C03" w:rsidRPr="00241654">
        <w:rPr>
          <w:rFonts w:ascii="Segoe UI" w:hAnsi="Segoe UI" w:cs="Segoe UI"/>
          <w:bCs/>
        </w:rPr>
        <w:t xml:space="preserve">exercising </w:t>
      </w:r>
      <w:r w:rsidR="00E87D6E" w:rsidRPr="00241654">
        <w:rPr>
          <w:rFonts w:ascii="Segoe UI" w:hAnsi="Segoe UI" w:cs="Segoe UI"/>
          <w:bCs/>
        </w:rPr>
        <w:t xml:space="preserve">of </w:t>
      </w:r>
      <w:r w:rsidR="000A6C03" w:rsidRPr="00241654">
        <w:rPr>
          <w:rFonts w:ascii="Segoe UI" w:hAnsi="Segoe UI" w:cs="Segoe UI"/>
          <w:bCs/>
        </w:rPr>
        <w:t xml:space="preserve">plans is an important part of </w:t>
      </w:r>
      <w:r w:rsidRPr="00241654">
        <w:rPr>
          <w:rFonts w:ascii="Segoe UI" w:hAnsi="Segoe UI" w:cs="Segoe UI"/>
          <w:bCs/>
        </w:rPr>
        <w:t>the emergency preparedness cycle</w:t>
      </w:r>
      <w:r w:rsidR="00654083" w:rsidRPr="00241654">
        <w:rPr>
          <w:rFonts w:ascii="Segoe UI" w:hAnsi="Segoe UI" w:cs="Segoe UI"/>
          <w:bCs/>
        </w:rPr>
        <w:t>.</w:t>
      </w:r>
      <w:r w:rsidR="00B918A0" w:rsidRPr="00241654">
        <w:rPr>
          <w:rFonts w:ascii="Segoe UI" w:hAnsi="Segoe UI" w:cs="Segoe UI"/>
          <w:bCs/>
        </w:rPr>
        <w:t xml:space="preserve">  </w:t>
      </w:r>
    </w:p>
    <w:p w:rsidR="00CA3629" w:rsidRPr="000860B4" w:rsidRDefault="00CA3629" w:rsidP="000A6C03">
      <w:pPr>
        <w:autoSpaceDE w:val="0"/>
        <w:autoSpaceDN w:val="0"/>
        <w:adjustRightInd w:val="0"/>
        <w:spacing w:after="0" w:line="240" w:lineRule="auto"/>
        <w:ind w:left="567"/>
        <w:jc w:val="both"/>
        <w:rPr>
          <w:rFonts w:ascii="Segoe UI" w:hAnsi="Segoe UI" w:cs="Segoe UI"/>
          <w:bCs/>
          <w:color w:val="FF0000"/>
        </w:rPr>
      </w:pPr>
    </w:p>
    <w:p w:rsidR="00CA3629" w:rsidRPr="00241654" w:rsidRDefault="00CA3629" w:rsidP="00CA3629">
      <w:pPr>
        <w:pStyle w:val="Heading2"/>
        <w:rPr>
          <w:rFonts w:ascii="Segoe UI" w:hAnsi="Segoe UI" w:cs="Segoe UI"/>
          <w:sz w:val="22"/>
          <w:szCs w:val="22"/>
        </w:rPr>
      </w:pPr>
      <w:r w:rsidRPr="00241654">
        <w:rPr>
          <w:rFonts w:ascii="Segoe UI" w:hAnsi="Segoe UI" w:cs="Segoe UI"/>
          <w:sz w:val="22"/>
          <w:szCs w:val="22"/>
        </w:rPr>
        <w:t>Training</w:t>
      </w:r>
    </w:p>
    <w:p w:rsidR="000A6C03" w:rsidRPr="003A2492" w:rsidRDefault="00241654" w:rsidP="000A6C03">
      <w:pPr>
        <w:autoSpaceDE w:val="0"/>
        <w:autoSpaceDN w:val="0"/>
        <w:adjustRightInd w:val="0"/>
        <w:spacing w:after="0" w:line="240" w:lineRule="auto"/>
        <w:ind w:left="567"/>
        <w:jc w:val="both"/>
        <w:rPr>
          <w:rFonts w:ascii="Segoe UI" w:hAnsi="Segoe UI" w:cs="Segoe UI"/>
          <w:bCs/>
        </w:rPr>
      </w:pPr>
      <w:r w:rsidRPr="0065544A">
        <w:rPr>
          <w:rFonts w:ascii="Segoe UI" w:hAnsi="Segoe UI" w:cs="Segoe UI"/>
          <w:bCs/>
        </w:rPr>
        <w:t>During 2012/13</w:t>
      </w:r>
      <w:r w:rsidR="00B918A0" w:rsidRPr="0065544A">
        <w:rPr>
          <w:rFonts w:ascii="Segoe UI" w:hAnsi="Segoe UI" w:cs="Segoe UI"/>
          <w:bCs/>
        </w:rPr>
        <w:t xml:space="preserve"> </w:t>
      </w:r>
      <w:r w:rsidR="00140B79">
        <w:rPr>
          <w:rFonts w:ascii="Segoe UI" w:hAnsi="Segoe UI" w:cs="Segoe UI"/>
          <w:bCs/>
        </w:rPr>
        <w:t>one Director</w:t>
      </w:r>
      <w:r w:rsidR="00B918A0" w:rsidRPr="0065544A">
        <w:rPr>
          <w:rFonts w:ascii="Segoe UI" w:hAnsi="Segoe UI" w:cs="Segoe UI"/>
          <w:bCs/>
        </w:rPr>
        <w:t xml:space="preserve"> and </w:t>
      </w:r>
      <w:r w:rsidR="00140B79">
        <w:rPr>
          <w:rFonts w:ascii="Segoe UI" w:hAnsi="Segoe UI" w:cs="Segoe UI"/>
          <w:bCs/>
        </w:rPr>
        <w:t xml:space="preserve">three </w:t>
      </w:r>
      <w:r w:rsidR="00B918A0" w:rsidRPr="0065544A">
        <w:rPr>
          <w:rFonts w:ascii="Segoe UI" w:hAnsi="Segoe UI" w:cs="Segoe UI"/>
          <w:bCs/>
        </w:rPr>
        <w:t>Divisional Directors</w:t>
      </w:r>
      <w:r w:rsidR="007D277E" w:rsidRPr="0065544A">
        <w:rPr>
          <w:rFonts w:ascii="Segoe UI" w:hAnsi="Segoe UI" w:cs="Segoe UI"/>
          <w:bCs/>
        </w:rPr>
        <w:t xml:space="preserve"> </w:t>
      </w:r>
      <w:r w:rsidR="00B918A0" w:rsidRPr="0065544A">
        <w:rPr>
          <w:rFonts w:ascii="Segoe UI" w:hAnsi="Segoe UI" w:cs="Segoe UI"/>
          <w:bCs/>
        </w:rPr>
        <w:t>undertook Strategic Leadership in a Crisis Training in order to prepare for taking strategic command of an incident</w:t>
      </w:r>
      <w:r w:rsidR="00140B79">
        <w:rPr>
          <w:rStyle w:val="FootnoteReference"/>
          <w:rFonts w:ascii="Segoe UI" w:hAnsi="Segoe UI" w:cs="Segoe UI"/>
          <w:bCs/>
        </w:rPr>
        <w:footnoteReference w:id="2"/>
      </w:r>
      <w:r w:rsidR="00B918A0" w:rsidRPr="0065544A">
        <w:rPr>
          <w:rFonts w:ascii="Segoe UI" w:hAnsi="Segoe UI" w:cs="Segoe UI"/>
          <w:bCs/>
        </w:rPr>
        <w:t>.</w:t>
      </w:r>
      <w:r w:rsidR="00140B79">
        <w:rPr>
          <w:rFonts w:ascii="Segoe UI" w:hAnsi="Segoe UI" w:cs="Segoe UI"/>
          <w:bCs/>
          <w:color w:val="FF0000"/>
        </w:rPr>
        <w:t xml:space="preserve">  </w:t>
      </w:r>
      <w:r w:rsidR="00B918A0" w:rsidRPr="00241654">
        <w:rPr>
          <w:rFonts w:ascii="Segoe UI" w:hAnsi="Segoe UI" w:cs="Segoe UI"/>
          <w:bCs/>
        </w:rPr>
        <w:t>Ad hoc training was also provided to staff members during the year in order to create awareness of the Trust’s role in a major incident and the importance of having business continuity arrangements in place.</w:t>
      </w:r>
      <w:r w:rsidR="00CD7772" w:rsidRPr="00241654">
        <w:rPr>
          <w:rFonts w:ascii="Segoe UI" w:hAnsi="Segoe UI" w:cs="Segoe UI"/>
          <w:bCs/>
        </w:rPr>
        <w:t xml:space="preserve">  Staff members are also provided </w:t>
      </w:r>
      <w:r w:rsidR="00CD7772" w:rsidRPr="003A2492">
        <w:rPr>
          <w:rFonts w:ascii="Segoe UI" w:hAnsi="Segoe UI" w:cs="Segoe UI"/>
          <w:bCs/>
        </w:rPr>
        <w:t>with information regarding emergency planning and business continuity arrangements at corporate induction and there is a prompt on the local induction checklist to familiarise new staff members with major incident and business continuity plans.</w:t>
      </w:r>
    </w:p>
    <w:p w:rsidR="000A6C03" w:rsidRPr="003A2492" w:rsidRDefault="000A6C03" w:rsidP="000A6C03">
      <w:pPr>
        <w:autoSpaceDE w:val="0"/>
        <w:autoSpaceDN w:val="0"/>
        <w:adjustRightInd w:val="0"/>
        <w:spacing w:after="0" w:line="240" w:lineRule="auto"/>
        <w:jc w:val="both"/>
        <w:rPr>
          <w:rFonts w:ascii="Segoe UI" w:hAnsi="Segoe UI" w:cs="Segoe UI"/>
          <w:b/>
          <w:bCs/>
        </w:rPr>
      </w:pPr>
    </w:p>
    <w:p w:rsidR="00CA3629" w:rsidRPr="003A2492" w:rsidRDefault="00CA3629" w:rsidP="00CA3629">
      <w:pPr>
        <w:pStyle w:val="Heading2"/>
        <w:rPr>
          <w:rFonts w:ascii="Segoe UI" w:hAnsi="Segoe UI" w:cs="Segoe UI"/>
          <w:sz w:val="22"/>
          <w:szCs w:val="22"/>
        </w:rPr>
      </w:pPr>
      <w:r w:rsidRPr="003A2492">
        <w:rPr>
          <w:rFonts w:ascii="Segoe UI" w:hAnsi="Segoe UI" w:cs="Segoe UI"/>
          <w:sz w:val="22"/>
          <w:szCs w:val="22"/>
        </w:rPr>
        <w:t>Exercises</w:t>
      </w:r>
    </w:p>
    <w:p w:rsidR="0036421F" w:rsidRPr="00140B79" w:rsidRDefault="009A1546" w:rsidP="0036421F">
      <w:pPr>
        <w:pStyle w:val="Default"/>
        <w:ind w:left="567"/>
        <w:jc w:val="both"/>
        <w:rPr>
          <w:rFonts w:ascii="Segoe UI" w:hAnsi="Segoe UI" w:cs="Segoe UI"/>
          <w:color w:val="auto"/>
          <w:sz w:val="22"/>
          <w:szCs w:val="22"/>
        </w:rPr>
      </w:pPr>
      <w:r w:rsidRPr="00140B79">
        <w:rPr>
          <w:rFonts w:ascii="Segoe UI" w:hAnsi="Segoe UI" w:cs="Segoe UI"/>
          <w:color w:val="auto"/>
          <w:sz w:val="22"/>
          <w:szCs w:val="22"/>
        </w:rPr>
        <w:t xml:space="preserve">NHS organisations </w:t>
      </w:r>
      <w:r w:rsidR="00E86201" w:rsidRPr="00140B79">
        <w:rPr>
          <w:rFonts w:ascii="Segoe UI" w:hAnsi="Segoe UI" w:cs="Segoe UI"/>
          <w:color w:val="auto"/>
          <w:sz w:val="22"/>
          <w:szCs w:val="22"/>
        </w:rPr>
        <w:t>are</w:t>
      </w:r>
      <w:r w:rsidRPr="00140B79">
        <w:rPr>
          <w:rFonts w:ascii="Segoe UI" w:hAnsi="Segoe UI" w:cs="Segoe UI"/>
          <w:color w:val="auto"/>
          <w:sz w:val="22"/>
          <w:szCs w:val="22"/>
        </w:rPr>
        <w:t xml:space="preserve"> required to undertake a minimum of a live exercise every three years, a table top exercise every year and a test of communications cascades every six months. </w:t>
      </w:r>
      <w:r w:rsidR="00657EC1" w:rsidRPr="00140B79">
        <w:rPr>
          <w:rFonts w:ascii="Segoe UI" w:hAnsi="Segoe UI" w:cs="Segoe UI"/>
          <w:bCs/>
          <w:color w:val="auto"/>
          <w:sz w:val="22"/>
          <w:szCs w:val="22"/>
        </w:rPr>
        <w:t>Oxford Health NHS Foundation Trust</w:t>
      </w:r>
      <w:r w:rsidR="005C618E" w:rsidRPr="00140B79">
        <w:rPr>
          <w:rFonts w:ascii="Segoe UI" w:hAnsi="Segoe UI" w:cs="Segoe UI"/>
          <w:bCs/>
          <w:color w:val="auto"/>
          <w:sz w:val="22"/>
          <w:szCs w:val="22"/>
        </w:rPr>
        <w:t xml:space="preserve"> </w:t>
      </w:r>
      <w:r w:rsidR="00E86201" w:rsidRPr="00140B79">
        <w:rPr>
          <w:rFonts w:ascii="Segoe UI" w:hAnsi="Segoe UI" w:cs="Segoe UI"/>
          <w:bCs/>
          <w:color w:val="auto"/>
          <w:sz w:val="22"/>
          <w:szCs w:val="22"/>
        </w:rPr>
        <w:t xml:space="preserve">carried out </w:t>
      </w:r>
      <w:r w:rsidR="003A2492" w:rsidRPr="00140B79">
        <w:rPr>
          <w:rFonts w:ascii="Segoe UI" w:hAnsi="Segoe UI" w:cs="Segoe UI"/>
          <w:bCs/>
          <w:color w:val="auto"/>
          <w:sz w:val="22"/>
          <w:szCs w:val="22"/>
        </w:rPr>
        <w:t xml:space="preserve">two </w:t>
      </w:r>
      <w:r w:rsidR="00CA3629" w:rsidRPr="00140B79">
        <w:rPr>
          <w:rFonts w:ascii="Segoe UI" w:hAnsi="Segoe UI" w:cs="Segoe UI"/>
          <w:bCs/>
          <w:color w:val="auto"/>
          <w:sz w:val="22"/>
          <w:szCs w:val="22"/>
        </w:rPr>
        <w:t xml:space="preserve">communications cascades and </w:t>
      </w:r>
      <w:r w:rsidR="005C618E" w:rsidRPr="00140B79">
        <w:rPr>
          <w:rFonts w:ascii="Segoe UI" w:hAnsi="Segoe UI" w:cs="Segoe UI"/>
          <w:bCs/>
          <w:color w:val="auto"/>
          <w:sz w:val="22"/>
          <w:szCs w:val="22"/>
        </w:rPr>
        <w:t>severa</w:t>
      </w:r>
      <w:r w:rsidR="009E38FE" w:rsidRPr="00140B79">
        <w:rPr>
          <w:rFonts w:ascii="Segoe UI" w:hAnsi="Segoe UI" w:cs="Segoe UI"/>
          <w:bCs/>
          <w:color w:val="auto"/>
          <w:sz w:val="22"/>
          <w:szCs w:val="22"/>
        </w:rPr>
        <w:t>l table</w:t>
      </w:r>
      <w:r w:rsidR="00140B79">
        <w:rPr>
          <w:rFonts w:ascii="Segoe UI" w:hAnsi="Segoe UI" w:cs="Segoe UI"/>
          <w:bCs/>
          <w:color w:val="auto"/>
          <w:sz w:val="22"/>
          <w:szCs w:val="22"/>
        </w:rPr>
        <w:t xml:space="preserve"> </w:t>
      </w:r>
      <w:r w:rsidR="009E38FE" w:rsidRPr="00140B79">
        <w:rPr>
          <w:rFonts w:ascii="Segoe UI" w:hAnsi="Segoe UI" w:cs="Segoe UI"/>
          <w:bCs/>
          <w:color w:val="auto"/>
          <w:sz w:val="22"/>
          <w:szCs w:val="22"/>
        </w:rPr>
        <w:t>top exercises</w:t>
      </w:r>
      <w:r w:rsidR="00427069" w:rsidRPr="00140B79">
        <w:rPr>
          <w:rFonts w:ascii="Segoe UI" w:hAnsi="Segoe UI" w:cs="Segoe UI"/>
          <w:bCs/>
          <w:color w:val="auto"/>
          <w:sz w:val="22"/>
          <w:szCs w:val="22"/>
        </w:rPr>
        <w:t xml:space="preserve"> (with multiagency involvement)</w:t>
      </w:r>
      <w:r w:rsidR="009E38FE" w:rsidRPr="00140B79">
        <w:rPr>
          <w:rFonts w:ascii="Segoe UI" w:hAnsi="Segoe UI" w:cs="Segoe UI"/>
          <w:bCs/>
          <w:color w:val="auto"/>
          <w:sz w:val="22"/>
          <w:szCs w:val="22"/>
        </w:rPr>
        <w:t xml:space="preserve"> during 2012/13</w:t>
      </w:r>
      <w:r w:rsidR="005C618E" w:rsidRPr="00140B79">
        <w:rPr>
          <w:rFonts w:ascii="Segoe UI" w:hAnsi="Segoe UI" w:cs="Segoe UI"/>
          <w:bCs/>
          <w:color w:val="auto"/>
          <w:sz w:val="22"/>
          <w:szCs w:val="22"/>
        </w:rPr>
        <w:t xml:space="preserve"> as described in Table 1.</w:t>
      </w:r>
      <w:r w:rsidR="0036421F" w:rsidRPr="00140B79">
        <w:rPr>
          <w:rFonts w:ascii="Segoe UI" w:hAnsi="Segoe UI" w:cs="Segoe UI"/>
          <w:color w:val="auto"/>
          <w:sz w:val="22"/>
          <w:szCs w:val="22"/>
        </w:rPr>
        <w:t xml:space="preserve">  Lessons identified </w:t>
      </w:r>
      <w:r w:rsidR="00140B79">
        <w:rPr>
          <w:rFonts w:ascii="Segoe UI" w:hAnsi="Segoe UI" w:cs="Segoe UI"/>
          <w:color w:val="auto"/>
          <w:sz w:val="22"/>
          <w:szCs w:val="22"/>
        </w:rPr>
        <w:t xml:space="preserve">from </w:t>
      </w:r>
      <w:r w:rsidR="0036421F" w:rsidRPr="00140B79">
        <w:rPr>
          <w:rFonts w:ascii="Segoe UI" w:hAnsi="Segoe UI" w:cs="Segoe UI"/>
          <w:color w:val="auto"/>
          <w:sz w:val="22"/>
          <w:szCs w:val="22"/>
        </w:rPr>
        <w:t xml:space="preserve">exercises are subsequently incorporated into major incident plans and business continuity plans, and </w:t>
      </w:r>
      <w:r w:rsidR="00140B79">
        <w:rPr>
          <w:rFonts w:ascii="Segoe UI" w:hAnsi="Segoe UI" w:cs="Segoe UI"/>
          <w:color w:val="auto"/>
          <w:sz w:val="22"/>
          <w:szCs w:val="22"/>
        </w:rPr>
        <w:t xml:space="preserve">are </w:t>
      </w:r>
      <w:r w:rsidR="0036421F" w:rsidRPr="00140B79">
        <w:rPr>
          <w:rFonts w:ascii="Segoe UI" w:hAnsi="Segoe UI" w:cs="Segoe UI"/>
          <w:color w:val="auto"/>
          <w:sz w:val="22"/>
          <w:szCs w:val="22"/>
        </w:rPr>
        <w:t xml:space="preserve">also shared with partner organisations.  </w:t>
      </w:r>
    </w:p>
    <w:p w:rsidR="005C618E" w:rsidRPr="003A2492" w:rsidRDefault="005C618E" w:rsidP="00122D47">
      <w:pPr>
        <w:autoSpaceDE w:val="0"/>
        <w:autoSpaceDN w:val="0"/>
        <w:adjustRightInd w:val="0"/>
        <w:spacing w:after="0" w:line="240" w:lineRule="auto"/>
        <w:ind w:left="567"/>
        <w:jc w:val="both"/>
        <w:rPr>
          <w:rFonts w:ascii="Segoe UI" w:hAnsi="Segoe UI" w:cs="Segoe UI"/>
          <w:bCs/>
        </w:rPr>
      </w:pPr>
    </w:p>
    <w:p w:rsidR="00F41AF4" w:rsidRDefault="00F41AF4">
      <w:pPr>
        <w:rPr>
          <w:rFonts w:ascii="Segoe UI" w:eastAsia="Times New Roman" w:hAnsi="Segoe UI" w:cs="Segoe UI"/>
          <w:bCs/>
          <w:lang w:eastAsia="en-GB"/>
        </w:rPr>
      </w:pPr>
      <w:r>
        <w:rPr>
          <w:rFonts w:ascii="Segoe UI" w:hAnsi="Segoe UI" w:cs="Segoe UI"/>
          <w:bCs/>
        </w:rPr>
        <w:br w:type="page"/>
      </w:r>
    </w:p>
    <w:p w:rsidR="005C618E" w:rsidRPr="00F41AF4" w:rsidRDefault="005C618E" w:rsidP="00B22D51">
      <w:pPr>
        <w:pStyle w:val="Default"/>
        <w:tabs>
          <w:tab w:val="left" w:pos="567"/>
        </w:tabs>
        <w:ind w:left="540"/>
        <w:rPr>
          <w:rFonts w:ascii="Segoe UI" w:hAnsi="Segoe UI" w:cs="Segoe UI"/>
          <w:b/>
          <w:bCs/>
          <w:color w:val="auto"/>
          <w:sz w:val="22"/>
          <w:szCs w:val="22"/>
        </w:rPr>
      </w:pPr>
      <w:r w:rsidRPr="00F41AF4">
        <w:rPr>
          <w:rFonts w:ascii="Segoe UI" w:hAnsi="Segoe UI" w:cs="Segoe UI"/>
          <w:b/>
          <w:bCs/>
          <w:color w:val="auto"/>
          <w:sz w:val="22"/>
          <w:szCs w:val="22"/>
        </w:rPr>
        <w:lastRenderedPageBreak/>
        <w:t xml:space="preserve">Table 1.  </w:t>
      </w:r>
      <w:r w:rsidR="001B27E3" w:rsidRPr="00F41AF4">
        <w:rPr>
          <w:rFonts w:ascii="Segoe UI" w:hAnsi="Segoe UI" w:cs="Segoe UI"/>
          <w:b/>
          <w:bCs/>
          <w:color w:val="auto"/>
          <w:sz w:val="22"/>
          <w:szCs w:val="22"/>
        </w:rPr>
        <w:t>E</w:t>
      </w:r>
      <w:r w:rsidR="00E86201" w:rsidRPr="00F41AF4">
        <w:rPr>
          <w:rFonts w:ascii="Segoe UI" w:hAnsi="Segoe UI" w:cs="Segoe UI"/>
          <w:b/>
          <w:bCs/>
          <w:color w:val="auto"/>
          <w:sz w:val="22"/>
          <w:szCs w:val="22"/>
        </w:rPr>
        <w:t>xercises for 201</w:t>
      </w:r>
      <w:r w:rsidR="00421100" w:rsidRPr="00F41AF4">
        <w:rPr>
          <w:rFonts w:ascii="Segoe UI" w:hAnsi="Segoe UI" w:cs="Segoe UI"/>
          <w:b/>
          <w:bCs/>
          <w:color w:val="auto"/>
          <w:sz w:val="22"/>
          <w:szCs w:val="22"/>
        </w:rPr>
        <w:t>2/13</w:t>
      </w:r>
    </w:p>
    <w:tbl>
      <w:tblPr>
        <w:tblW w:w="0" w:type="auto"/>
        <w:tblInd w:w="675" w:type="dxa"/>
        <w:tblLook w:val="04A0"/>
      </w:tblPr>
      <w:tblGrid>
        <w:gridCol w:w="2835"/>
        <w:gridCol w:w="2410"/>
        <w:gridCol w:w="3260"/>
      </w:tblGrid>
      <w:tr w:rsidR="002D6F18" w:rsidRPr="002D6F18" w:rsidTr="00427069">
        <w:tc>
          <w:tcPr>
            <w:tcW w:w="2835" w:type="dxa"/>
            <w:tcBorders>
              <w:top w:val="single" w:sz="4" w:space="0" w:color="auto"/>
              <w:left w:val="single" w:sz="4" w:space="0" w:color="auto"/>
              <w:bottom w:val="single" w:sz="4" w:space="0" w:color="auto"/>
            </w:tcBorders>
          </w:tcPr>
          <w:p w:rsidR="007E1CBE" w:rsidRPr="002D6F18" w:rsidRDefault="007E1CBE" w:rsidP="007E1CBE">
            <w:pPr>
              <w:pStyle w:val="Default"/>
              <w:tabs>
                <w:tab w:val="left" w:pos="567"/>
              </w:tabs>
              <w:rPr>
                <w:rFonts w:ascii="Segoe UI" w:hAnsi="Segoe UI" w:cs="Segoe UI"/>
                <w:b/>
                <w:bCs/>
                <w:color w:val="auto"/>
                <w:sz w:val="22"/>
                <w:szCs w:val="22"/>
              </w:rPr>
            </w:pPr>
            <w:r w:rsidRPr="002D6F18">
              <w:rPr>
                <w:rFonts w:ascii="Segoe UI" w:hAnsi="Segoe UI" w:cs="Segoe UI"/>
                <w:b/>
                <w:bCs/>
                <w:color w:val="auto"/>
                <w:sz w:val="22"/>
                <w:szCs w:val="22"/>
              </w:rPr>
              <w:t>Scenario</w:t>
            </w:r>
          </w:p>
        </w:tc>
        <w:tc>
          <w:tcPr>
            <w:tcW w:w="2410" w:type="dxa"/>
            <w:tcBorders>
              <w:top w:val="single" w:sz="4" w:space="0" w:color="auto"/>
              <w:left w:val="single" w:sz="4" w:space="0" w:color="auto"/>
              <w:bottom w:val="single" w:sz="4" w:space="0" w:color="auto"/>
              <w:right w:val="single" w:sz="4" w:space="0" w:color="auto"/>
            </w:tcBorders>
          </w:tcPr>
          <w:p w:rsidR="007E1CBE" w:rsidRPr="002D6F18" w:rsidRDefault="007E1CBE" w:rsidP="00B22D51">
            <w:pPr>
              <w:pStyle w:val="Default"/>
              <w:tabs>
                <w:tab w:val="left" w:pos="567"/>
              </w:tabs>
              <w:rPr>
                <w:rFonts w:ascii="Segoe UI" w:hAnsi="Segoe UI" w:cs="Segoe UI"/>
                <w:b/>
                <w:bCs/>
                <w:color w:val="auto"/>
                <w:sz w:val="22"/>
                <w:szCs w:val="22"/>
              </w:rPr>
            </w:pPr>
            <w:r w:rsidRPr="002D6F18">
              <w:rPr>
                <w:rFonts w:ascii="Segoe UI" w:hAnsi="Segoe UI" w:cs="Segoe UI"/>
                <w:b/>
                <w:bCs/>
                <w:color w:val="auto"/>
                <w:sz w:val="22"/>
                <w:szCs w:val="22"/>
              </w:rPr>
              <w:t>Date</w:t>
            </w:r>
          </w:p>
        </w:tc>
        <w:tc>
          <w:tcPr>
            <w:tcW w:w="3260" w:type="dxa"/>
            <w:tcBorders>
              <w:top w:val="single" w:sz="4" w:space="0" w:color="auto"/>
              <w:left w:val="single" w:sz="4" w:space="0" w:color="auto"/>
              <w:bottom w:val="single" w:sz="4" w:space="0" w:color="auto"/>
              <w:right w:val="single" w:sz="4" w:space="0" w:color="auto"/>
            </w:tcBorders>
          </w:tcPr>
          <w:p w:rsidR="007E1CBE" w:rsidRPr="002D6F18" w:rsidRDefault="00296252" w:rsidP="00B22D51">
            <w:pPr>
              <w:pStyle w:val="Default"/>
              <w:tabs>
                <w:tab w:val="left" w:pos="567"/>
              </w:tabs>
              <w:rPr>
                <w:rFonts w:ascii="Segoe UI" w:hAnsi="Segoe UI" w:cs="Segoe UI"/>
                <w:b/>
                <w:bCs/>
                <w:color w:val="auto"/>
                <w:sz w:val="22"/>
                <w:szCs w:val="22"/>
              </w:rPr>
            </w:pPr>
            <w:r w:rsidRPr="002D6F18">
              <w:rPr>
                <w:rFonts w:ascii="Segoe UI" w:hAnsi="Segoe UI" w:cs="Segoe UI"/>
                <w:b/>
                <w:bCs/>
                <w:color w:val="auto"/>
                <w:sz w:val="22"/>
                <w:szCs w:val="22"/>
              </w:rPr>
              <w:t>Division</w:t>
            </w:r>
          </w:p>
        </w:tc>
      </w:tr>
      <w:tr w:rsidR="000860B4" w:rsidRPr="000860B4" w:rsidTr="00427069">
        <w:tc>
          <w:tcPr>
            <w:tcW w:w="2835" w:type="dxa"/>
            <w:tcBorders>
              <w:top w:val="single" w:sz="4" w:space="0" w:color="auto"/>
              <w:left w:val="single" w:sz="4" w:space="0" w:color="auto"/>
            </w:tcBorders>
          </w:tcPr>
          <w:p w:rsidR="007E1CBE" w:rsidRPr="001B27E3" w:rsidRDefault="007E1CBE" w:rsidP="007E1CBE">
            <w:pPr>
              <w:pStyle w:val="Default"/>
              <w:tabs>
                <w:tab w:val="left" w:pos="567"/>
              </w:tabs>
              <w:rPr>
                <w:rFonts w:ascii="Segoe UI" w:hAnsi="Segoe UI" w:cs="Segoe UI"/>
                <w:bCs/>
                <w:color w:val="auto"/>
                <w:sz w:val="22"/>
                <w:szCs w:val="22"/>
              </w:rPr>
            </w:pPr>
            <w:r w:rsidRPr="001B27E3">
              <w:rPr>
                <w:rFonts w:ascii="Segoe UI" w:hAnsi="Segoe UI" w:cs="Segoe UI"/>
                <w:bCs/>
                <w:color w:val="auto"/>
                <w:sz w:val="22"/>
                <w:szCs w:val="22"/>
              </w:rPr>
              <w:t>Communications Cascade</w:t>
            </w:r>
          </w:p>
        </w:tc>
        <w:tc>
          <w:tcPr>
            <w:tcW w:w="2410" w:type="dxa"/>
            <w:tcBorders>
              <w:top w:val="single" w:sz="4" w:space="0" w:color="auto"/>
              <w:left w:val="single" w:sz="4" w:space="0" w:color="auto"/>
              <w:right w:val="single" w:sz="4" w:space="0" w:color="auto"/>
            </w:tcBorders>
          </w:tcPr>
          <w:p w:rsidR="007E1CBE" w:rsidRPr="002D6F18" w:rsidRDefault="002D6F18" w:rsidP="00E64991">
            <w:pPr>
              <w:pStyle w:val="Default"/>
              <w:tabs>
                <w:tab w:val="left" w:pos="567"/>
              </w:tabs>
              <w:rPr>
                <w:rFonts w:ascii="Segoe UI" w:hAnsi="Segoe UI" w:cs="Segoe UI"/>
                <w:bCs/>
                <w:color w:val="auto"/>
                <w:sz w:val="22"/>
                <w:szCs w:val="22"/>
              </w:rPr>
            </w:pPr>
            <w:r>
              <w:rPr>
                <w:rFonts w:ascii="Segoe UI" w:hAnsi="Segoe UI" w:cs="Segoe UI"/>
                <w:bCs/>
                <w:color w:val="auto"/>
                <w:sz w:val="22"/>
                <w:szCs w:val="22"/>
              </w:rPr>
              <w:t>October 2012 and January 2013</w:t>
            </w:r>
          </w:p>
        </w:tc>
        <w:tc>
          <w:tcPr>
            <w:tcW w:w="3260" w:type="dxa"/>
            <w:tcBorders>
              <w:top w:val="single" w:sz="4" w:space="0" w:color="auto"/>
              <w:left w:val="single" w:sz="4" w:space="0" w:color="auto"/>
              <w:right w:val="single" w:sz="4" w:space="0" w:color="auto"/>
            </w:tcBorders>
          </w:tcPr>
          <w:p w:rsidR="007E1CBE" w:rsidRPr="000860B4" w:rsidRDefault="007E1CBE" w:rsidP="00B22D51">
            <w:pPr>
              <w:pStyle w:val="Default"/>
              <w:tabs>
                <w:tab w:val="left" w:pos="567"/>
              </w:tabs>
              <w:rPr>
                <w:rFonts w:ascii="Segoe UI" w:hAnsi="Segoe UI" w:cs="Segoe UI"/>
                <w:bCs/>
                <w:color w:val="FF0000"/>
                <w:sz w:val="22"/>
                <w:szCs w:val="22"/>
              </w:rPr>
            </w:pPr>
          </w:p>
        </w:tc>
      </w:tr>
      <w:tr w:rsidR="000860B4" w:rsidRPr="000860B4" w:rsidTr="00427069">
        <w:tc>
          <w:tcPr>
            <w:tcW w:w="2835" w:type="dxa"/>
            <w:tcBorders>
              <w:left w:val="single" w:sz="4" w:space="0" w:color="auto"/>
            </w:tcBorders>
            <w:vAlign w:val="center"/>
          </w:tcPr>
          <w:p w:rsidR="007E1CBE" w:rsidRPr="00181AEB" w:rsidRDefault="00427069" w:rsidP="00296252">
            <w:pPr>
              <w:pStyle w:val="Default"/>
              <w:tabs>
                <w:tab w:val="left" w:pos="567"/>
              </w:tabs>
              <w:rPr>
                <w:rFonts w:ascii="Segoe UI" w:hAnsi="Segoe UI" w:cs="Segoe UI"/>
                <w:bCs/>
                <w:color w:val="auto"/>
                <w:sz w:val="22"/>
                <w:szCs w:val="22"/>
              </w:rPr>
            </w:pPr>
            <w:r w:rsidRPr="00181AEB">
              <w:rPr>
                <w:rFonts w:ascii="Segoe UI" w:hAnsi="Segoe UI" w:cs="Segoe UI"/>
                <w:bCs/>
                <w:color w:val="auto"/>
                <w:sz w:val="22"/>
                <w:szCs w:val="22"/>
              </w:rPr>
              <w:t>Hospital evacuation and business continuity</w:t>
            </w:r>
            <w:r w:rsidR="00296252">
              <w:rPr>
                <w:rFonts w:ascii="Segoe UI" w:hAnsi="Segoe UI" w:cs="Segoe UI"/>
                <w:bCs/>
                <w:color w:val="auto"/>
                <w:sz w:val="22"/>
                <w:szCs w:val="22"/>
              </w:rPr>
              <w:t xml:space="preserve"> table top exercise</w:t>
            </w:r>
          </w:p>
        </w:tc>
        <w:tc>
          <w:tcPr>
            <w:tcW w:w="2410" w:type="dxa"/>
            <w:tcBorders>
              <w:top w:val="single" w:sz="4" w:space="0" w:color="auto"/>
              <w:left w:val="single" w:sz="4" w:space="0" w:color="auto"/>
              <w:bottom w:val="single" w:sz="4" w:space="0" w:color="auto"/>
              <w:right w:val="single" w:sz="4" w:space="0" w:color="auto"/>
            </w:tcBorders>
          </w:tcPr>
          <w:p w:rsidR="007E1CBE" w:rsidRPr="00181AEB" w:rsidRDefault="00427069" w:rsidP="00427069">
            <w:pPr>
              <w:pStyle w:val="Default"/>
              <w:tabs>
                <w:tab w:val="left" w:pos="567"/>
              </w:tabs>
              <w:rPr>
                <w:rFonts w:ascii="Segoe UI" w:hAnsi="Segoe UI" w:cs="Segoe UI"/>
                <w:bCs/>
                <w:color w:val="auto"/>
                <w:sz w:val="22"/>
                <w:szCs w:val="22"/>
              </w:rPr>
            </w:pPr>
            <w:r w:rsidRPr="00181AEB">
              <w:rPr>
                <w:rFonts w:ascii="Segoe UI" w:hAnsi="Segoe UI" w:cs="Segoe UI"/>
                <w:bCs/>
                <w:color w:val="auto"/>
                <w:sz w:val="22"/>
                <w:szCs w:val="22"/>
              </w:rPr>
              <w:t>September, October, November, December 2012 and March 2013</w:t>
            </w:r>
          </w:p>
        </w:tc>
        <w:tc>
          <w:tcPr>
            <w:tcW w:w="3260" w:type="dxa"/>
            <w:tcBorders>
              <w:top w:val="single" w:sz="4" w:space="0" w:color="auto"/>
              <w:left w:val="single" w:sz="4" w:space="0" w:color="auto"/>
              <w:bottom w:val="single" w:sz="4" w:space="0" w:color="auto"/>
              <w:right w:val="single" w:sz="4" w:space="0" w:color="auto"/>
            </w:tcBorders>
          </w:tcPr>
          <w:p w:rsidR="007E1CBE" w:rsidRPr="00181AEB" w:rsidRDefault="00427069" w:rsidP="00584B57">
            <w:pPr>
              <w:pStyle w:val="Default"/>
              <w:tabs>
                <w:tab w:val="left" w:pos="567"/>
              </w:tabs>
              <w:rPr>
                <w:rFonts w:ascii="Segoe UI" w:hAnsi="Segoe UI" w:cs="Segoe UI"/>
                <w:bCs/>
                <w:color w:val="auto"/>
                <w:sz w:val="22"/>
                <w:szCs w:val="22"/>
              </w:rPr>
            </w:pPr>
            <w:r w:rsidRPr="00181AEB">
              <w:rPr>
                <w:rFonts w:ascii="Segoe UI" w:hAnsi="Segoe UI" w:cs="Segoe UI"/>
                <w:bCs/>
                <w:color w:val="auto"/>
                <w:sz w:val="22"/>
                <w:szCs w:val="22"/>
              </w:rPr>
              <w:t>Oxfordshire Community Services</w:t>
            </w:r>
          </w:p>
        </w:tc>
      </w:tr>
      <w:tr w:rsidR="000860B4" w:rsidRPr="000860B4" w:rsidTr="00427069">
        <w:tc>
          <w:tcPr>
            <w:tcW w:w="2835" w:type="dxa"/>
            <w:tcBorders>
              <w:left w:val="single" w:sz="4" w:space="0" w:color="auto"/>
              <w:bottom w:val="single" w:sz="4" w:space="0" w:color="auto"/>
            </w:tcBorders>
          </w:tcPr>
          <w:p w:rsidR="007E1CBE" w:rsidRPr="00181AEB" w:rsidRDefault="007E1CBE" w:rsidP="007E1CBE">
            <w:pPr>
              <w:pStyle w:val="Default"/>
              <w:tabs>
                <w:tab w:val="left" w:pos="567"/>
              </w:tabs>
              <w:rPr>
                <w:rFonts w:ascii="Segoe UI" w:hAnsi="Segoe UI" w:cs="Segoe UI"/>
                <w:bCs/>
                <w:color w:val="auto"/>
                <w:sz w:val="22"/>
                <w:szCs w:val="22"/>
              </w:rPr>
            </w:pPr>
          </w:p>
        </w:tc>
        <w:tc>
          <w:tcPr>
            <w:tcW w:w="2410" w:type="dxa"/>
            <w:tcBorders>
              <w:top w:val="single" w:sz="4" w:space="0" w:color="auto"/>
              <w:left w:val="single" w:sz="4" w:space="0" w:color="auto"/>
              <w:bottom w:val="single" w:sz="4" w:space="0" w:color="auto"/>
              <w:right w:val="single" w:sz="4" w:space="0" w:color="auto"/>
            </w:tcBorders>
          </w:tcPr>
          <w:p w:rsidR="007E1CBE" w:rsidRPr="00181AEB" w:rsidRDefault="00427069" w:rsidP="00122D47">
            <w:pPr>
              <w:pStyle w:val="Default"/>
              <w:tabs>
                <w:tab w:val="left" w:pos="567"/>
              </w:tabs>
              <w:rPr>
                <w:rFonts w:ascii="Segoe UI" w:hAnsi="Segoe UI" w:cs="Segoe UI"/>
                <w:bCs/>
                <w:color w:val="auto"/>
                <w:sz w:val="22"/>
                <w:szCs w:val="22"/>
              </w:rPr>
            </w:pPr>
            <w:r w:rsidRPr="00181AEB">
              <w:rPr>
                <w:rFonts w:ascii="Segoe UI" w:hAnsi="Segoe UI" w:cs="Segoe UI"/>
                <w:bCs/>
                <w:color w:val="auto"/>
                <w:sz w:val="22"/>
                <w:szCs w:val="22"/>
              </w:rPr>
              <w:t>January 2013</w:t>
            </w:r>
          </w:p>
        </w:tc>
        <w:tc>
          <w:tcPr>
            <w:tcW w:w="3260" w:type="dxa"/>
            <w:tcBorders>
              <w:top w:val="single" w:sz="4" w:space="0" w:color="auto"/>
              <w:left w:val="single" w:sz="4" w:space="0" w:color="auto"/>
              <w:bottom w:val="single" w:sz="4" w:space="0" w:color="auto"/>
              <w:right w:val="single" w:sz="4" w:space="0" w:color="auto"/>
            </w:tcBorders>
          </w:tcPr>
          <w:p w:rsidR="007E1CBE" w:rsidRPr="00181AEB" w:rsidRDefault="00427069" w:rsidP="00584B57">
            <w:pPr>
              <w:pStyle w:val="Default"/>
              <w:tabs>
                <w:tab w:val="left" w:pos="567"/>
              </w:tabs>
              <w:rPr>
                <w:rFonts w:ascii="Segoe UI" w:hAnsi="Segoe UI" w:cs="Segoe UI"/>
                <w:bCs/>
                <w:color w:val="auto"/>
                <w:sz w:val="22"/>
                <w:szCs w:val="22"/>
              </w:rPr>
            </w:pPr>
            <w:r w:rsidRPr="00181AEB">
              <w:rPr>
                <w:rFonts w:ascii="Segoe UI" w:hAnsi="Segoe UI" w:cs="Segoe UI"/>
                <w:bCs/>
                <w:color w:val="auto"/>
                <w:sz w:val="22"/>
                <w:szCs w:val="22"/>
              </w:rPr>
              <w:t>Specialised Services Division</w:t>
            </w:r>
          </w:p>
        </w:tc>
      </w:tr>
    </w:tbl>
    <w:p w:rsidR="00BF6024" w:rsidRDefault="00BF6024" w:rsidP="00BF6024">
      <w:pPr>
        <w:pStyle w:val="Heading1"/>
        <w:numPr>
          <w:ilvl w:val="0"/>
          <w:numId w:val="0"/>
        </w:numPr>
        <w:ind w:left="567"/>
        <w:rPr>
          <w:rFonts w:ascii="Segoe UI" w:hAnsi="Segoe UI" w:cs="Segoe UI"/>
          <w:sz w:val="22"/>
          <w:szCs w:val="22"/>
        </w:rPr>
      </w:pPr>
    </w:p>
    <w:p w:rsidR="007E1CBE" w:rsidRPr="001C03B9" w:rsidRDefault="007E1CBE" w:rsidP="003651B6">
      <w:pPr>
        <w:pStyle w:val="Heading1"/>
        <w:rPr>
          <w:rFonts w:ascii="Segoe UI" w:hAnsi="Segoe UI" w:cs="Segoe UI"/>
          <w:sz w:val="22"/>
          <w:szCs w:val="22"/>
        </w:rPr>
      </w:pPr>
      <w:r w:rsidRPr="001C03B9">
        <w:rPr>
          <w:rFonts w:ascii="Segoe UI" w:hAnsi="Segoe UI" w:cs="Segoe UI"/>
          <w:sz w:val="22"/>
          <w:szCs w:val="22"/>
        </w:rPr>
        <w:t xml:space="preserve">Live Events </w:t>
      </w:r>
    </w:p>
    <w:p w:rsidR="001355FC" w:rsidRPr="000860B4" w:rsidRDefault="007E1CBE" w:rsidP="001355FC">
      <w:pPr>
        <w:autoSpaceDE w:val="0"/>
        <w:autoSpaceDN w:val="0"/>
        <w:adjustRightInd w:val="0"/>
        <w:spacing w:after="0" w:line="240" w:lineRule="auto"/>
        <w:ind w:left="567"/>
        <w:jc w:val="both"/>
        <w:rPr>
          <w:rFonts w:ascii="Segoe UI" w:hAnsi="Segoe UI" w:cs="Segoe UI"/>
          <w:color w:val="FF0000"/>
        </w:rPr>
      </w:pPr>
      <w:r w:rsidRPr="001C03B9">
        <w:rPr>
          <w:rFonts w:ascii="Segoe UI" w:hAnsi="Segoe UI" w:cs="Segoe UI"/>
        </w:rPr>
        <w:t>During 201</w:t>
      </w:r>
      <w:r w:rsidR="001C03B9" w:rsidRPr="001C03B9">
        <w:rPr>
          <w:rFonts w:ascii="Segoe UI" w:hAnsi="Segoe UI" w:cs="Segoe UI"/>
        </w:rPr>
        <w:t>2</w:t>
      </w:r>
      <w:r w:rsidRPr="001C03B9">
        <w:rPr>
          <w:rFonts w:ascii="Segoe UI" w:hAnsi="Segoe UI" w:cs="Segoe UI"/>
        </w:rPr>
        <w:t>/1</w:t>
      </w:r>
      <w:r w:rsidR="001C03B9" w:rsidRPr="001C03B9">
        <w:rPr>
          <w:rFonts w:ascii="Segoe UI" w:hAnsi="Segoe UI" w:cs="Segoe UI"/>
        </w:rPr>
        <w:t>3</w:t>
      </w:r>
      <w:r w:rsidR="001C03B9">
        <w:rPr>
          <w:rFonts w:ascii="Segoe UI" w:hAnsi="Segoe UI" w:cs="Segoe UI"/>
        </w:rPr>
        <w:t xml:space="preserve"> there were several </w:t>
      </w:r>
      <w:r w:rsidR="001C03B9" w:rsidRPr="001C03B9">
        <w:rPr>
          <w:rFonts w:ascii="Segoe UI" w:hAnsi="Segoe UI" w:cs="Segoe UI"/>
        </w:rPr>
        <w:t>period</w:t>
      </w:r>
      <w:r w:rsidR="00F14192">
        <w:rPr>
          <w:rFonts w:ascii="Segoe UI" w:hAnsi="Segoe UI" w:cs="Segoe UI"/>
        </w:rPr>
        <w:t>s</w:t>
      </w:r>
      <w:r w:rsidR="001C03B9" w:rsidRPr="001C03B9">
        <w:rPr>
          <w:rFonts w:ascii="Segoe UI" w:hAnsi="Segoe UI" w:cs="Segoe UI"/>
        </w:rPr>
        <w:t xml:space="preserve"> of severe weather</w:t>
      </w:r>
      <w:r w:rsidR="00EB03C1">
        <w:rPr>
          <w:rFonts w:ascii="Segoe UI" w:hAnsi="Segoe UI" w:cs="Segoe UI"/>
        </w:rPr>
        <w:t xml:space="preserve"> (flooding and snow)</w:t>
      </w:r>
      <w:r w:rsidR="001C03B9" w:rsidRPr="001C03B9">
        <w:rPr>
          <w:rFonts w:ascii="Segoe UI" w:hAnsi="Segoe UI" w:cs="Segoe UI"/>
        </w:rPr>
        <w:t xml:space="preserve"> </w:t>
      </w:r>
      <w:r w:rsidR="003758A4" w:rsidRPr="001C03B9">
        <w:rPr>
          <w:rFonts w:ascii="Segoe UI" w:hAnsi="Segoe UI" w:cs="Segoe UI"/>
        </w:rPr>
        <w:t>and this</w:t>
      </w:r>
      <w:r w:rsidRPr="001C03B9">
        <w:rPr>
          <w:rFonts w:ascii="Segoe UI" w:hAnsi="Segoe UI" w:cs="Segoe UI"/>
        </w:rPr>
        <w:t xml:space="preserve"> provided an opportunity for </w:t>
      </w:r>
      <w:r w:rsidR="00F14192">
        <w:rPr>
          <w:rFonts w:ascii="Segoe UI" w:hAnsi="Segoe UI" w:cs="Segoe UI"/>
        </w:rPr>
        <w:t xml:space="preserve">services to test </w:t>
      </w:r>
      <w:r w:rsidR="003758A4" w:rsidRPr="001C03B9">
        <w:rPr>
          <w:rFonts w:ascii="Segoe UI" w:hAnsi="Segoe UI" w:cs="Segoe UI"/>
        </w:rPr>
        <w:t xml:space="preserve">their </w:t>
      </w:r>
      <w:r w:rsidRPr="001C03B9">
        <w:rPr>
          <w:rFonts w:ascii="Segoe UI" w:hAnsi="Segoe UI" w:cs="Segoe UI"/>
        </w:rPr>
        <w:t>business continuity plans.</w:t>
      </w:r>
      <w:r w:rsidR="00EB03C1">
        <w:rPr>
          <w:rFonts w:ascii="Segoe UI" w:hAnsi="Segoe UI" w:cs="Segoe UI"/>
        </w:rPr>
        <w:t xml:space="preserve">  </w:t>
      </w:r>
      <w:r w:rsidR="00770A75">
        <w:rPr>
          <w:rFonts w:ascii="Segoe UI" w:hAnsi="Segoe UI" w:cs="Segoe UI"/>
        </w:rPr>
        <w:t>In addition</w:t>
      </w:r>
      <w:r w:rsidR="0000383A">
        <w:rPr>
          <w:rFonts w:ascii="Segoe UI" w:hAnsi="Segoe UI" w:cs="Segoe UI"/>
        </w:rPr>
        <w:t>,</w:t>
      </w:r>
      <w:r w:rsidR="00770A75">
        <w:rPr>
          <w:rFonts w:ascii="Segoe UI" w:hAnsi="Segoe UI" w:cs="Segoe UI"/>
        </w:rPr>
        <w:t xml:space="preserve"> </w:t>
      </w:r>
      <w:r w:rsidR="00EB03C1">
        <w:rPr>
          <w:rFonts w:ascii="Segoe UI" w:hAnsi="Segoe UI" w:cs="Segoe UI"/>
        </w:rPr>
        <w:t>Abingdon Community Hospital experienced sever</w:t>
      </w:r>
      <w:r w:rsidR="00EB03C1" w:rsidRPr="00EB03C1">
        <w:rPr>
          <w:rFonts w:ascii="Segoe UI" w:hAnsi="Segoe UI" w:cs="Segoe UI"/>
        </w:rPr>
        <w:t>al days of intermittent power failures and a structured debrief session was facilitated by the Emergency Planning Lead</w:t>
      </w:r>
      <w:r w:rsidR="001355FC" w:rsidRPr="00EB03C1">
        <w:rPr>
          <w:rFonts w:ascii="Segoe UI" w:hAnsi="Segoe UI" w:cs="Segoe UI"/>
        </w:rPr>
        <w:t xml:space="preserve"> </w:t>
      </w:r>
      <w:r w:rsidR="00EB03C1" w:rsidRPr="00EB03C1">
        <w:rPr>
          <w:rFonts w:ascii="Segoe UI" w:hAnsi="Segoe UI" w:cs="Segoe UI"/>
        </w:rPr>
        <w:t xml:space="preserve">to </w:t>
      </w:r>
      <w:r w:rsidR="00EB03C1">
        <w:rPr>
          <w:rFonts w:ascii="Segoe UI" w:hAnsi="Segoe UI" w:cs="Segoe UI"/>
        </w:rPr>
        <w:t>ensure lessons were captured and acted upon.</w:t>
      </w:r>
      <w:r w:rsidR="00770A75">
        <w:rPr>
          <w:rFonts w:ascii="Segoe UI" w:hAnsi="Segoe UI" w:cs="Segoe UI"/>
        </w:rPr>
        <w:t xml:space="preserve">  In particular it was noted that there was a need to review generator capacity at all sites and this was undertaken by the Facilities Department.</w:t>
      </w:r>
    </w:p>
    <w:p w:rsidR="001355FC" w:rsidRPr="000860B4" w:rsidRDefault="001355FC" w:rsidP="00185BA1">
      <w:pPr>
        <w:pStyle w:val="Default"/>
        <w:ind w:left="567"/>
        <w:jc w:val="both"/>
        <w:rPr>
          <w:rFonts w:ascii="Segoe UI" w:hAnsi="Segoe UI" w:cs="Segoe UI"/>
          <w:color w:val="FF0000"/>
          <w:sz w:val="22"/>
          <w:szCs w:val="22"/>
        </w:rPr>
      </w:pPr>
    </w:p>
    <w:p w:rsidR="00C8658D" w:rsidRPr="00950E50" w:rsidRDefault="00C8658D" w:rsidP="00C8658D">
      <w:pPr>
        <w:pStyle w:val="Heading1"/>
        <w:rPr>
          <w:rFonts w:ascii="Segoe UI" w:hAnsi="Segoe UI" w:cs="Segoe UI"/>
          <w:sz w:val="22"/>
          <w:szCs w:val="22"/>
        </w:rPr>
      </w:pPr>
      <w:r w:rsidRPr="00950E50">
        <w:rPr>
          <w:rFonts w:ascii="Segoe UI" w:hAnsi="Segoe UI" w:cs="Segoe UI"/>
          <w:sz w:val="22"/>
          <w:szCs w:val="22"/>
        </w:rPr>
        <w:t>Health Emergency Preparedness, Resilience and Response (EPRR) from April 2013</w:t>
      </w:r>
    </w:p>
    <w:p w:rsidR="004F3BBF" w:rsidRPr="0000383A" w:rsidRDefault="00950E50" w:rsidP="0000383A">
      <w:pPr>
        <w:pStyle w:val="Default"/>
        <w:ind w:left="567"/>
        <w:jc w:val="both"/>
        <w:rPr>
          <w:color w:val="auto"/>
          <w:sz w:val="22"/>
          <w:szCs w:val="22"/>
          <w:lang w:val="en-US"/>
        </w:rPr>
      </w:pPr>
      <w:r w:rsidRPr="00571CEA">
        <w:rPr>
          <w:rFonts w:ascii="Segoe UI" w:hAnsi="Segoe UI" w:cs="Segoe UI"/>
          <w:color w:val="auto"/>
          <w:sz w:val="22"/>
          <w:szCs w:val="22"/>
        </w:rPr>
        <w:t>NHS England has</w:t>
      </w:r>
      <w:r w:rsidR="00C8658D" w:rsidRPr="00571CEA">
        <w:rPr>
          <w:rFonts w:ascii="Segoe UI" w:hAnsi="Segoe UI" w:cs="Segoe UI"/>
          <w:color w:val="auto"/>
          <w:sz w:val="22"/>
          <w:szCs w:val="22"/>
        </w:rPr>
        <w:t xml:space="preserve"> </w:t>
      </w:r>
      <w:r w:rsidRPr="00571CEA">
        <w:rPr>
          <w:rFonts w:ascii="Segoe UI" w:hAnsi="Segoe UI" w:cs="Segoe UI"/>
          <w:color w:val="auto"/>
          <w:sz w:val="22"/>
          <w:szCs w:val="22"/>
        </w:rPr>
        <w:t xml:space="preserve">recently </w:t>
      </w:r>
      <w:r w:rsidR="00C8658D" w:rsidRPr="00571CEA">
        <w:rPr>
          <w:rFonts w:ascii="Segoe UI" w:hAnsi="Segoe UI" w:cs="Segoe UI"/>
          <w:color w:val="auto"/>
          <w:sz w:val="22"/>
          <w:szCs w:val="22"/>
        </w:rPr>
        <w:t>released</w:t>
      </w:r>
      <w:r w:rsidRPr="00571CEA">
        <w:rPr>
          <w:rFonts w:ascii="Segoe UI" w:hAnsi="Segoe UI" w:cs="Segoe UI"/>
          <w:color w:val="auto"/>
          <w:sz w:val="22"/>
          <w:szCs w:val="22"/>
        </w:rPr>
        <w:t xml:space="preserve"> </w:t>
      </w:r>
      <w:r w:rsidR="0000383A">
        <w:rPr>
          <w:rFonts w:ascii="Segoe UI" w:hAnsi="Segoe UI" w:cs="Segoe UI"/>
          <w:color w:val="auto"/>
          <w:sz w:val="22"/>
          <w:szCs w:val="22"/>
        </w:rPr>
        <w:t xml:space="preserve">the </w:t>
      </w:r>
      <w:r w:rsidR="0000383A">
        <w:rPr>
          <w:rFonts w:ascii="Segoe UI" w:hAnsi="Segoe UI" w:cs="Segoe UI"/>
          <w:i/>
          <w:color w:val="auto"/>
          <w:sz w:val="22"/>
          <w:szCs w:val="22"/>
        </w:rPr>
        <w:t>NHS Commissioning Board E</w:t>
      </w:r>
      <w:r w:rsidR="0000383A" w:rsidRPr="0000383A">
        <w:rPr>
          <w:rFonts w:ascii="Segoe UI" w:hAnsi="Segoe UI" w:cs="Segoe UI"/>
          <w:i/>
          <w:color w:val="auto"/>
          <w:sz w:val="22"/>
          <w:szCs w:val="22"/>
        </w:rPr>
        <w:t>m</w:t>
      </w:r>
      <w:r w:rsidR="0000383A">
        <w:rPr>
          <w:rFonts w:ascii="Segoe UI" w:hAnsi="Segoe UI" w:cs="Segoe UI"/>
          <w:i/>
          <w:color w:val="auto"/>
          <w:sz w:val="22"/>
          <w:szCs w:val="22"/>
        </w:rPr>
        <w:t>e</w:t>
      </w:r>
      <w:r w:rsidR="0000383A" w:rsidRPr="0000383A">
        <w:rPr>
          <w:rFonts w:ascii="Segoe UI" w:hAnsi="Segoe UI" w:cs="Segoe UI"/>
          <w:i/>
          <w:color w:val="auto"/>
          <w:sz w:val="22"/>
          <w:szCs w:val="22"/>
        </w:rPr>
        <w:t>rgency Preparedness Framework 2013</w:t>
      </w:r>
      <w:r w:rsidRPr="0000383A">
        <w:rPr>
          <w:rFonts w:ascii="Segoe UI" w:hAnsi="Segoe UI" w:cs="Segoe UI"/>
          <w:i/>
          <w:color w:val="auto"/>
          <w:sz w:val="22"/>
          <w:szCs w:val="22"/>
        </w:rPr>
        <w:t xml:space="preserve"> </w:t>
      </w:r>
      <w:r w:rsidR="0000383A" w:rsidRPr="0000383A">
        <w:rPr>
          <w:rFonts w:ascii="Segoe UI" w:hAnsi="Segoe UI" w:cs="Segoe UI"/>
          <w:color w:val="auto"/>
          <w:sz w:val="22"/>
          <w:szCs w:val="22"/>
        </w:rPr>
        <w:t>and associated documents which set</w:t>
      </w:r>
      <w:r w:rsidRPr="00571CEA">
        <w:rPr>
          <w:rFonts w:ascii="Segoe UI" w:hAnsi="Segoe UI" w:cs="Segoe UI"/>
          <w:color w:val="auto"/>
          <w:sz w:val="22"/>
          <w:szCs w:val="22"/>
        </w:rPr>
        <w:t xml:space="preserve"> out the </w:t>
      </w:r>
      <w:r w:rsidRPr="00571CEA">
        <w:rPr>
          <w:rFonts w:ascii="Segoe UI" w:hAnsi="Segoe UI" w:cs="Segoe UI"/>
          <w:color w:val="auto"/>
          <w:sz w:val="22"/>
          <w:szCs w:val="22"/>
          <w:lang w:val="en-US"/>
        </w:rPr>
        <w:t>new arrangements for local health EPRR as part of the changes</w:t>
      </w:r>
      <w:r w:rsidR="0000383A">
        <w:rPr>
          <w:rFonts w:ascii="Segoe UI" w:hAnsi="Segoe UI" w:cs="Segoe UI"/>
          <w:color w:val="auto"/>
          <w:sz w:val="22"/>
          <w:szCs w:val="22"/>
          <w:lang w:val="en-US"/>
        </w:rPr>
        <w:t xml:space="preserve"> to</w:t>
      </w:r>
      <w:r w:rsidRPr="00571CEA">
        <w:rPr>
          <w:rFonts w:ascii="Segoe UI" w:hAnsi="Segoe UI" w:cs="Segoe UI"/>
          <w:color w:val="auto"/>
          <w:sz w:val="22"/>
          <w:szCs w:val="22"/>
          <w:lang w:val="en-US"/>
        </w:rPr>
        <w:t xml:space="preserve"> the Health and Social Care Act 2012</w:t>
      </w:r>
      <w:r w:rsidRPr="00950E50">
        <w:rPr>
          <w:color w:val="auto"/>
          <w:sz w:val="22"/>
          <w:szCs w:val="22"/>
          <w:lang w:val="en-US"/>
        </w:rPr>
        <w:t>.</w:t>
      </w:r>
      <w:r w:rsidR="0000383A">
        <w:rPr>
          <w:color w:val="auto"/>
          <w:sz w:val="22"/>
          <w:szCs w:val="22"/>
          <w:lang w:val="en-US"/>
        </w:rPr>
        <w:t xml:space="preserve">  </w:t>
      </w:r>
      <w:r w:rsidR="004F3BBF" w:rsidRPr="004F3BBF">
        <w:rPr>
          <w:rFonts w:ascii="Segoe UI" w:hAnsi="Segoe UI" w:cs="Segoe UI"/>
          <w:color w:val="auto"/>
          <w:sz w:val="22"/>
          <w:szCs w:val="22"/>
        </w:rPr>
        <w:t>NHS England is responsible for ensuring there is a comprehensive NHS EPRR system that operates at all levels, for assuring itself that the system is fit for purpose and for leading the mobilisation of the NHS in the event of an emergency or incident.  This is ach</w:t>
      </w:r>
      <w:r w:rsidR="0000383A">
        <w:rPr>
          <w:rFonts w:ascii="Segoe UI" w:hAnsi="Segoe UI" w:cs="Segoe UI"/>
          <w:color w:val="auto"/>
          <w:sz w:val="22"/>
          <w:szCs w:val="22"/>
        </w:rPr>
        <w:t>ieved at</w:t>
      </w:r>
      <w:r w:rsidR="00B372A5">
        <w:rPr>
          <w:rFonts w:ascii="Segoe UI" w:hAnsi="Segoe UI" w:cs="Segoe UI"/>
          <w:color w:val="auto"/>
          <w:sz w:val="22"/>
          <w:szCs w:val="22"/>
        </w:rPr>
        <w:t xml:space="preserve"> local level through</w:t>
      </w:r>
      <w:r w:rsidR="004F3BBF" w:rsidRPr="004F3BBF">
        <w:rPr>
          <w:rFonts w:ascii="Segoe UI" w:hAnsi="Segoe UI" w:cs="Segoe UI"/>
          <w:color w:val="auto"/>
          <w:sz w:val="22"/>
          <w:szCs w:val="22"/>
        </w:rPr>
        <w:t xml:space="preserve"> Area Teams.</w:t>
      </w:r>
      <w:r w:rsidR="004F3BBF">
        <w:rPr>
          <w:rFonts w:ascii="Segoe UI" w:hAnsi="Segoe UI" w:cs="Segoe UI"/>
          <w:color w:val="auto"/>
          <w:sz w:val="22"/>
          <w:szCs w:val="22"/>
        </w:rPr>
        <w:t xml:space="preserve">  </w:t>
      </w:r>
      <w:r w:rsidR="004F3BBF">
        <w:rPr>
          <w:rFonts w:ascii="Segoe UI" w:hAnsi="Segoe UI" w:cs="Segoe UI"/>
          <w:color w:val="FF0000"/>
          <w:sz w:val="22"/>
          <w:szCs w:val="22"/>
        </w:rPr>
        <w:t xml:space="preserve">  </w:t>
      </w:r>
      <w:r w:rsidR="004F3BBF" w:rsidRPr="004F3BBF">
        <w:rPr>
          <w:rFonts w:ascii="Segoe UI" w:hAnsi="Segoe UI" w:cs="Segoe UI"/>
          <w:color w:val="auto"/>
          <w:sz w:val="22"/>
          <w:szCs w:val="22"/>
        </w:rPr>
        <w:t xml:space="preserve">Local Health Resilience Partnerships (LHRPs) have been formed and </w:t>
      </w:r>
      <w:r w:rsidR="0000383A">
        <w:rPr>
          <w:rFonts w:ascii="Segoe UI" w:hAnsi="Segoe UI" w:cs="Segoe UI"/>
          <w:sz w:val="22"/>
          <w:szCs w:val="22"/>
        </w:rPr>
        <w:t>provide</w:t>
      </w:r>
      <w:r w:rsidR="004F3BBF" w:rsidRPr="004F3BBF">
        <w:rPr>
          <w:rFonts w:ascii="Segoe UI" w:hAnsi="Segoe UI" w:cs="Segoe UI"/>
          <w:sz w:val="22"/>
          <w:szCs w:val="22"/>
        </w:rPr>
        <w:t xml:space="preserve"> a strategic forum for local organisations to facilitate health sector preparedness and planning for emergencies at L</w:t>
      </w:r>
      <w:r w:rsidR="0000383A">
        <w:rPr>
          <w:rFonts w:ascii="Segoe UI" w:hAnsi="Segoe UI" w:cs="Segoe UI"/>
          <w:sz w:val="22"/>
          <w:szCs w:val="22"/>
        </w:rPr>
        <w:t xml:space="preserve">ocal Resilience Forum </w:t>
      </w:r>
      <w:r w:rsidR="004F3BBF" w:rsidRPr="004F3BBF">
        <w:rPr>
          <w:rFonts w:ascii="Segoe UI" w:hAnsi="Segoe UI" w:cs="Segoe UI"/>
          <w:sz w:val="22"/>
          <w:szCs w:val="22"/>
        </w:rPr>
        <w:t>level.  Members of the LHRP are executive representatives who are able to authorise plans and commit resources on behalf of their organisations.</w:t>
      </w:r>
      <w:r w:rsidR="004F3BBF">
        <w:rPr>
          <w:rFonts w:asciiTheme="minorHAnsi" w:hAnsiTheme="minorHAnsi" w:cstheme="minorHAnsi"/>
          <w:sz w:val="22"/>
          <w:szCs w:val="22"/>
        </w:rPr>
        <w:t xml:space="preserve">  </w:t>
      </w:r>
    </w:p>
    <w:p w:rsidR="00571CEA" w:rsidRDefault="00571CEA" w:rsidP="00C8658D">
      <w:pPr>
        <w:pStyle w:val="Default"/>
        <w:ind w:left="567"/>
        <w:jc w:val="both"/>
        <w:rPr>
          <w:color w:val="auto"/>
          <w:sz w:val="22"/>
          <w:szCs w:val="22"/>
          <w:lang w:val="en-US"/>
        </w:rPr>
      </w:pPr>
    </w:p>
    <w:p w:rsidR="00185BA1" w:rsidRPr="00BF6024" w:rsidRDefault="00185BA1" w:rsidP="00185BA1">
      <w:pPr>
        <w:pStyle w:val="Heading1"/>
        <w:rPr>
          <w:rFonts w:ascii="Segoe UI" w:hAnsi="Segoe UI" w:cs="Segoe UI"/>
          <w:sz w:val="22"/>
          <w:szCs w:val="22"/>
        </w:rPr>
      </w:pPr>
      <w:r w:rsidRPr="00BF6024">
        <w:rPr>
          <w:rFonts w:ascii="Segoe UI" w:hAnsi="Segoe UI" w:cs="Segoe UI"/>
          <w:sz w:val="22"/>
          <w:szCs w:val="22"/>
        </w:rPr>
        <w:t>Conclusion</w:t>
      </w:r>
    </w:p>
    <w:p w:rsidR="005C618E" w:rsidRPr="00BF6024" w:rsidRDefault="0000383A" w:rsidP="000C4045">
      <w:pPr>
        <w:tabs>
          <w:tab w:val="left" w:pos="567"/>
        </w:tabs>
        <w:autoSpaceDE w:val="0"/>
        <w:autoSpaceDN w:val="0"/>
        <w:adjustRightInd w:val="0"/>
        <w:spacing w:after="0" w:line="240" w:lineRule="auto"/>
        <w:ind w:left="567"/>
        <w:jc w:val="both"/>
        <w:rPr>
          <w:rFonts w:ascii="Segoe UI" w:hAnsi="Segoe UI" w:cs="Segoe UI"/>
        </w:rPr>
      </w:pPr>
      <w:r>
        <w:rPr>
          <w:rFonts w:ascii="Segoe UI" w:hAnsi="Segoe UI" w:cs="Segoe UI"/>
        </w:rPr>
        <w:t>In</w:t>
      </w:r>
      <w:r w:rsidRPr="00BF6024">
        <w:rPr>
          <w:rFonts w:ascii="Segoe UI" w:hAnsi="Segoe UI" w:cs="Segoe UI"/>
        </w:rPr>
        <w:t xml:space="preserve"> line with the Civil Contingencies Act 2004</w:t>
      </w:r>
      <w:r>
        <w:rPr>
          <w:rFonts w:ascii="Segoe UI" w:hAnsi="Segoe UI" w:cs="Segoe UI"/>
        </w:rPr>
        <w:t xml:space="preserve"> e</w:t>
      </w:r>
      <w:r w:rsidR="000C4045" w:rsidRPr="00BF6024">
        <w:rPr>
          <w:rFonts w:ascii="Segoe UI" w:hAnsi="Segoe UI" w:cs="Segoe UI"/>
        </w:rPr>
        <w:t xml:space="preserve">mergency </w:t>
      </w:r>
      <w:r w:rsidR="00913305" w:rsidRPr="00BF6024">
        <w:rPr>
          <w:rFonts w:ascii="Segoe UI" w:hAnsi="Segoe UI" w:cs="Segoe UI"/>
        </w:rPr>
        <w:t>planning and business continuity continues</w:t>
      </w:r>
      <w:r w:rsidR="000C4045" w:rsidRPr="00BF6024">
        <w:rPr>
          <w:rFonts w:ascii="Segoe UI" w:hAnsi="Segoe UI" w:cs="Segoe UI"/>
        </w:rPr>
        <w:t xml:space="preserve"> to be a core function of the NHS</w:t>
      </w:r>
      <w:r w:rsidR="000C4045" w:rsidRPr="00BF6024">
        <w:rPr>
          <w:rStyle w:val="FootnoteReference"/>
          <w:rFonts w:ascii="Segoe UI" w:hAnsi="Segoe UI" w:cs="Segoe UI"/>
        </w:rPr>
        <w:footnoteReference w:id="3"/>
      </w:r>
      <w:r>
        <w:rPr>
          <w:rFonts w:ascii="Segoe UI" w:hAnsi="Segoe UI" w:cs="Segoe UI"/>
        </w:rPr>
        <w:t xml:space="preserve">.  </w:t>
      </w:r>
      <w:r w:rsidR="00CD7772" w:rsidRPr="00BF6024">
        <w:rPr>
          <w:rFonts w:ascii="Segoe UI" w:hAnsi="Segoe UI" w:cs="Segoe UI"/>
        </w:rPr>
        <w:t xml:space="preserve">This annual report provides assurance that Oxford Health NHS Foundation Trust is in compliance with these requirements.  </w:t>
      </w:r>
    </w:p>
    <w:p w:rsidR="000C4045" w:rsidRPr="000860B4" w:rsidRDefault="000C4045" w:rsidP="00E86201">
      <w:pPr>
        <w:autoSpaceDE w:val="0"/>
        <w:autoSpaceDN w:val="0"/>
        <w:adjustRightInd w:val="0"/>
        <w:spacing w:after="0" w:line="240" w:lineRule="auto"/>
        <w:jc w:val="right"/>
        <w:rPr>
          <w:rFonts w:ascii="Segoe UI" w:hAnsi="Segoe UI" w:cs="Segoe UI"/>
          <w:b/>
          <w:bCs/>
          <w:color w:val="FF0000"/>
        </w:rPr>
      </w:pPr>
    </w:p>
    <w:p w:rsidR="00CD7772" w:rsidRPr="000860B4" w:rsidRDefault="00CD7772" w:rsidP="00E86201">
      <w:pPr>
        <w:autoSpaceDE w:val="0"/>
        <w:autoSpaceDN w:val="0"/>
        <w:adjustRightInd w:val="0"/>
        <w:spacing w:after="0" w:line="240" w:lineRule="auto"/>
        <w:jc w:val="right"/>
        <w:rPr>
          <w:rFonts w:ascii="Segoe UI" w:hAnsi="Segoe UI" w:cs="Segoe UI"/>
          <w:b/>
          <w:bCs/>
          <w:color w:val="FF0000"/>
        </w:rPr>
      </w:pPr>
    </w:p>
    <w:p w:rsidR="00E86201" w:rsidRPr="00BF6024" w:rsidRDefault="00E86201" w:rsidP="00E86201">
      <w:pPr>
        <w:autoSpaceDE w:val="0"/>
        <w:autoSpaceDN w:val="0"/>
        <w:adjustRightInd w:val="0"/>
        <w:spacing w:after="0" w:line="240" w:lineRule="auto"/>
        <w:jc w:val="right"/>
        <w:rPr>
          <w:rFonts w:ascii="Segoe UI" w:hAnsi="Segoe UI" w:cs="Segoe UI"/>
          <w:b/>
          <w:bCs/>
        </w:rPr>
      </w:pPr>
      <w:r w:rsidRPr="00BF6024">
        <w:rPr>
          <w:rFonts w:ascii="Segoe UI" w:hAnsi="Segoe UI" w:cs="Segoe UI"/>
          <w:b/>
          <w:bCs/>
        </w:rPr>
        <w:t>Katie Cleaver</w:t>
      </w:r>
      <w:r w:rsidR="00CD7772" w:rsidRPr="00BF6024">
        <w:rPr>
          <w:rFonts w:ascii="Segoe UI" w:hAnsi="Segoe UI" w:cs="Segoe UI"/>
          <w:b/>
          <w:bCs/>
        </w:rPr>
        <w:t xml:space="preserve">, </w:t>
      </w:r>
      <w:r w:rsidRPr="00BF6024">
        <w:rPr>
          <w:rFonts w:ascii="Segoe UI" w:hAnsi="Segoe UI" w:cs="Segoe UI"/>
          <w:b/>
          <w:bCs/>
        </w:rPr>
        <w:t>Emergency Planning Lead</w:t>
      </w:r>
    </w:p>
    <w:p w:rsidR="00772393" w:rsidRPr="00BF6024" w:rsidRDefault="00E86201" w:rsidP="00E86201">
      <w:pPr>
        <w:jc w:val="right"/>
        <w:rPr>
          <w:rFonts w:ascii="Segoe UI" w:hAnsi="Segoe UI" w:cs="Segoe UI"/>
          <w:b/>
          <w:bCs/>
        </w:rPr>
      </w:pPr>
      <w:r w:rsidRPr="00BF6024">
        <w:rPr>
          <w:rFonts w:ascii="Segoe UI" w:hAnsi="Segoe UI" w:cs="Segoe UI"/>
          <w:b/>
          <w:bCs/>
        </w:rPr>
        <w:t>1</w:t>
      </w:r>
      <w:r w:rsidR="00BF6024" w:rsidRPr="00BF6024">
        <w:rPr>
          <w:rFonts w:ascii="Segoe UI" w:hAnsi="Segoe UI" w:cs="Segoe UI"/>
          <w:b/>
          <w:bCs/>
        </w:rPr>
        <w:t>1</w:t>
      </w:r>
      <w:r w:rsidRPr="00BF6024">
        <w:rPr>
          <w:rFonts w:ascii="Segoe UI" w:hAnsi="Segoe UI" w:cs="Segoe UI"/>
          <w:b/>
          <w:bCs/>
        </w:rPr>
        <w:t xml:space="preserve"> April 201</w:t>
      </w:r>
      <w:r w:rsidR="00BF6024" w:rsidRPr="00BF6024">
        <w:rPr>
          <w:rFonts w:ascii="Segoe UI" w:hAnsi="Segoe UI" w:cs="Segoe UI"/>
          <w:b/>
          <w:bCs/>
        </w:rPr>
        <w:t>3</w:t>
      </w:r>
    </w:p>
    <w:p w:rsidR="003036EA" w:rsidRDefault="003036EA" w:rsidP="000F5F05">
      <w:pPr>
        <w:spacing w:after="0"/>
        <w:rPr>
          <w:rFonts w:ascii="Segoe UI" w:hAnsi="Segoe UI" w:cs="Segoe UI"/>
          <w:color w:val="FF0000"/>
        </w:rPr>
        <w:sectPr w:rsidR="003036EA" w:rsidSect="00CD7772">
          <w:footerReference w:type="default" r:id="rId8"/>
          <w:pgSz w:w="11906" w:h="16838"/>
          <w:pgMar w:top="1440" w:right="1440" w:bottom="851" w:left="1440" w:header="708" w:footer="431" w:gutter="0"/>
          <w:cols w:space="708"/>
          <w:docGrid w:linePitch="360"/>
        </w:sectPr>
      </w:pPr>
    </w:p>
    <w:p w:rsidR="003036EA" w:rsidRDefault="003036EA" w:rsidP="003036EA">
      <w:pPr>
        <w:spacing w:after="0"/>
        <w:rPr>
          <w:b/>
        </w:rPr>
      </w:pPr>
      <w:r>
        <w:rPr>
          <w:b/>
        </w:rPr>
        <w:lastRenderedPageBreak/>
        <w:t>Appendix A</w:t>
      </w:r>
    </w:p>
    <w:p w:rsidR="003036EA" w:rsidRDefault="003036EA" w:rsidP="003036EA">
      <w:pPr>
        <w:spacing w:after="0"/>
        <w:rPr>
          <w:b/>
        </w:rPr>
      </w:pPr>
    </w:p>
    <w:p w:rsidR="003036EA" w:rsidRDefault="003036EA" w:rsidP="003036EA">
      <w:pPr>
        <w:spacing w:after="0"/>
      </w:pPr>
      <w:r>
        <w:t>The Terms of Reference for the Trust Emergency Planning Group are shown below.</w:t>
      </w:r>
    </w:p>
    <w:p w:rsidR="003036EA" w:rsidRDefault="003036EA" w:rsidP="003036EA">
      <w:pPr>
        <w:spacing w:after="0"/>
      </w:pPr>
    </w:p>
    <w:p w:rsidR="003036EA" w:rsidRDefault="003036EA" w:rsidP="003036EA">
      <w:pPr>
        <w:pStyle w:val="Heading3"/>
        <w:spacing w:before="0" w:line="240" w:lineRule="auto"/>
        <w:jc w:val="center"/>
        <w:rPr>
          <w:rFonts w:asciiTheme="minorHAnsi" w:hAnsiTheme="minorHAnsi" w:cs="Arial"/>
        </w:rPr>
      </w:pPr>
      <w:r>
        <w:rPr>
          <w:rFonts w:asciiTheme="minorHAnsi" w:hAnsiTheme="minorHAnsi" w:cs="Arial"/>
        </w:rPr>
        <w:t>EMERGENCY PLANNING GROUP</w:t>
      </w:r>
    </w:p>
    <w:p w:rsidR="003036EA" w:rsidRDefault="003036EA" w:rsidP="003036EA">
      <w:pPr>
        <w:pStyle w:val="Heading3"/>
        <w:spacing w:before="0" w:line="240" w:lineRule="auto"/>
        <w:jc w:val="center"/>
        <w:rPr>
          <w:rFonts w:asciiTheme="minorHAnsi" w:hAnsiTheme="minorHAnsi" w:cs="Arial"/>
        </w:rPr>
      </w:pPr>
      <w:r>
        <w:rPr>
          <w:rFonts w:asciiTheme="minorHAnsi" w:hAnsiTheme="minorHAnsi" w:cs="Arial"/>
        </w:rPr>
        <w:t>Terms of Reference</w:t>
      </w:r>
    </w:p>
    <w:p w:rsidR="003036EA" w:rsidRDefault="003036EA" w:rsidP="003036EA">
      <w:pPr>
        <w:pStyle w:val="Heading1"/>
        <w:keepLines w:val="0"/>
        <w:numPr>
          <w:ilvl w:val="0"/>
          <w:numId w:val="21"/>
        </w:numPr>
        <w:spacing w:line="240" w:lineRule="auto"/>
        <w:rPr>
          <w:rFonts w:cs="Arial"/>
          <w:sz w:val="22"/>
          <w:szCs w:val="22"/>
        </w:rPr>
      </w:pPr>
      <w:r>
        <w:rPr>
          <w:rFonts w:cs="Arial"/>
          <w:sz w:val="22"/>
          <w:szCs w:val="22"/>
        </w:rPr>
        <w:t xml:space="preserve">Purpose </w:t>
      </w:r>
    </w:p>
    <w:p w:rsidR="003036EA" w:rsidRDefault="003036EA" w:rsidP="003036EA">
      <w:pPr>
        <w:pStyle w:val="BodyText"/>
        <w:ind w:left="720"/>
        <w:jc w:val="both"/>
        <w:rPr>
          <w:rFonts w:asciiTheme="minorHAnsi" w:hAnsiTheme="minorHAnsi" w:cs="Arial"/>
          <w:sz w:val="22"/>
          <w:szCs w:val="22"/>
          <w:lang w:val="en-GB"/>
        </w:rPr>
      </w:pPr>
      <w:r>
        <w:rPr>
          <w:rFonts w:asciiTheme="minorHAnsi" w:hAnsiTheme="minorHAnsi" w:cs="Arial"/>
          <w:sz w:val="22"/>
          <w:szCs w:val="22"/>
          <w:lang w:val="en-GB"/>
        </w:rPr>
        <w:t xml:space="preserve">The purpose of the Oxford Health NHS Foundation Trust Emergency Planning Group is to facilitate emergency preparedness and business continuity within the Trust.  </w:t>
      </w:r>
    </w:p>
    <w:p w:rsidR="003036EA" w:rsidRDefault="003036EA" w:rsidP="003036EA">
      <w:pPr>
        <w:pStyle w:val="BodyText"/>
        <w:ind w:left="720"/>
        <w:jc w:val="both"/>
        <w:rPr>
          <w:rFonts w:asciiTheme="minorHAnsi" w:hAnsiTheme="minorHAnsi" w:cs="Arial"/>
          <w:sz w:val="22"/>
          <w:szCs w:val="22"/>
          <w:lang w:val="en-GB"/>
        </w:rPr>
      </w:pPr>
    </w:p>
    <w:p w:rsidR="003036EA" w:rsidRDefault="003036EA" w:rsidP="003036EA">
      <w:pPr>
        <w:pStyle w:val="Heading1"/>
        <w:numPr>
          <w:ilvl w:val="0"/>
          <w:numId w:val="0"/>
        </w:numPr>
        <w:spacing w:line="240" w:lineRule="auto"/>
        <w:ind w:left="709" w:hanging="709"/>
        <w:jc w:val="both"/>
        <w:rPr>
          <w:rFonts w:cs="Arial"/>
          <w:sz w:val="22"/>
          <w:szCs w:val="22"/>
        </w:rPr>
      </w:pPr>
      <w:r>
        <w:rPr>
          <w:rFonts w:cs="Arial"/>
          <w:sz w:val="22"/>
          <w:szCs w:val="22"/>
        </w:rPr>
        <w:t>2.0</w:t>
      </w:r>
      <w:r>
        <w:rPr>
          <w:rFonts w:cs="Arial"/>
          <w:sz w:val="22"/>
          <w:szCs w:val="22"/>
        </w:rPr>
        <w:tab/>
        <w:t xml:space="preserve">Objectives </w:t>
      </w:r>
    </w:p>
    <w:p w:rsidR="003036EA" w:rsidRDefault="003036EA" w:rsidP="003036EA">
      <w:pPr>
        <w:pStyle w:val="BodyText"/>
        <w:ind w:left="720"/>
        <w:jc w:val="both"/>
        <w:rPr>
          <w:rFonts w:asciiTheme="minorHAnsi" w:hAnsiTheme="minorHAnsi" w:cs="Arial"/>
          <w:sz w:val="22"/>
          <w:szCs w:val="22"/>
          <w:lang w:val="en-GB"/>
        </w:rPr>
      </w:pPr>
      <w:r>
        <w:rPr>
          <w:rFonts w:asciiTheme="minorHAnsi" w:hAnsiTheme="minorHAnsi" w:cs="Arial"/>
          <w:sz w:val="22"/>
          <w:szCs w:val="22"/>
          <w:lang w:val="en-GB"/>
        </w:rPr>
        <w:t>The objectives of the Emergency Planning Group are:</w:t>
      </w:r>
    </w:p>
    <w:p w:rsidR="003036EA" w:rsidRDefault="003036EA" w:rsidP="003036EA">
      <w:pPr>
        <w:pStyle w:val="BodyText"/>
        <w:ind w:left="426"/>
        <w:jc w:val="both"/>
        <w:rPr>
          <w:rFonts w:asciiTheme="minorHAnsi" w:hAnsiTheme="minorHAnsi" w:cs="Arial"/>
          <w:sz w:val="22"/>
          <w:szCs w:val="22"/>
        </w:rPr>
      </w:pPr>
    </w:p>
    <w:p w:rsidR="003036EA" w:rsidRDefault="003036EA" w:rsidP="003036EA">
      <w:pPr>
        <w:pStyle w:val="BodyText"/>
        <w:numPr>
          <w:ilvl w:val="0"/>
          <w:numId w:val="22"/>
        </w:numPr>
        <w:tabs>
          <w:tab w:val="left" w:pos="1134"/>
        </w:tabs>
        <w:ind w:left="1134"/>
        <w:jc w:val="both"/>
        <w:rPr>
          <w:rFonts w:asciiTheme="minorHAnsi" w:hAnsiTheme="minorHAnsi" w:cs="Arial"/>
          <w:sz w:val="22"/>
          <w:szCs w:val="22"/>
          <w:lang w:val="en-GB"/>
        </w:rPr>
      </w:pPr>
      <w:r>
        <w:rPr>
          <w:rFonts w:asciiTheme="minorHAnsi" w:hAnsiTheme="minorHAnsi" w:cs="Arial"/>
          <w:sz w:val="22"/>
          <w:szCs w:val="22"/>
          <w:lang w:val="en-GB"/>
        </w:rPr>
        <w:t xml:space="preserve">to develop and maintain emergency plans which comply with Department of Health guidance and the requirements of the Civil Contingencies Act 2004 </w:t>
      </w:r>
    </w:p>
    <w:p w:rsidR="003036EA" w:rsidRDefault="003036EA" w:rsidP="003036EA">
      <w:pPr>
        <w:pStyle w:val="BodyText"/>
        <w:numPr>
          <w:ilvl w:val="0"/>
          <w:numId w:val="22"/>
        </w:numPr>
        <w:tabs>
          <w:tab w:val="left" w:pos="1134"/>
        </w:tabs>
        <w:ind w:left="1134"/>
        <w:jc w:val="both"/>
        <w:rPr>
          <w:rFonts w:asciiTheme="minorHAnsi" w:hAnsiTheme="minorHAnsi" w:cs="Arial"/>
          <w:sz w:val="22"/>
          <w:szCs w:val="22"/>
          <w:lang w:val="en-GB"/>
        </w:rPr>
      </w:pPr>
      <w:r>
        <w:rPr>
          <w:rFonts w:asciiTheme="minorHAnsi" w:hAnsiTheme="minorHAnsi" w:cs="Arial"/>
          <w:sz w:val="22"/>
          <w:szCs w:val="22"/>
          <w:lang w:val="en-GB"/>
        </w:rPr>
        <w:t>to facilitate major incident exercises including a communications exercise every six months, a table top exercise on an annual basis, and a live exercise every three years</w:t>
      </w:r>
    </w:p>
    <w:p w:rsidR="003036EA" w:rsidRDefault="003036EA" w:rsidP="003036EA">
      <w:pPr>
        <w:pStyle w:val="BodyText"/>
        <w:numPr>
          <w:ilvl w:val="0"/>
          <w:numId w:val="22"/>
        </w:numPr>
        <w:tabs>
          <w:tab w:val="left" w:pos="1134"/>
        </w:tabs>
        <w:ind w:left="1134"/>
        <w:jc w:val="both"/>
        <w:rPr>
          <w:rFonts w:asciiTheme="minorHAnsi" w:hAnsiTheme="minorHAnsi" w:cs="Arial"/>
          <w:sz w:val="22"/>
          <w:szCs w:val="22"/>
          <w:lang w:val="en-GB"/>
        </w:rPr>
      </w:pPr>
      <w:r>
        <w:rPr>
          <w:rFonts w:asciiTheme="minorHAnsi" w:hAnsiTheme="minorHAnsi" w:cs="Arial"/>
          <w:sz w:val="22"/>
          <w:szCs w:val="22"/>
          <w:lang w:val="en-GB"/>
        </w:rPr>
        <w:t>to ensure business continuity plans are prepared and exercised by services within the Trust</w:t>
      </w:r>
    </w:p>
    <w:p w:rsidR="003036EA" w:rsidRDefault="003036EA" w:rsidP="003036EA">
      <w:pPr>
        <w:pStyle w:val="BodyText"/>
        <w:numPr>
          <w:ilvl w:val="0"/>
          <w:numId w:val="22"/>
        </w:numPr>
        <w:tabs>
          <w:tab w:val="left" w:pos="1134"/>
        </w:tabs>
        <w:ind w:left="1134"/>
        <w:jc w:val="both"/>
        <w:rPr>
          <w:rFonts w:asciiTheme="minorHAnsi" w:hAnsiTheme="minorHAnsi" w:cs="Arial"/>
          <w:sz w:val="22"/>
          <w:szCs w:val="22"/>
          <w:lang w:val="en-GB"/>
        </w:rPr>
      </w:pPr>
      <w:r>
        <w:rPr>
          <w:rFonts w:asciiTheme="minorHAnsi" w:hAnsiTheme="minorHAnsi" w:cs="Arial"/>
          <w:sz w:val="22"/>
          <w:szCs w:val="22"/>
          <w:lang w:val="en-GB"/>
        </w:rPr>
        <w:t>to ensure that plans are compatible with plans developed by other NHS organisations and multi-agency partners in Oxfordshire, Buckinghamshire, Swindon, Wiltshire and BaNES.</w:t>
      </w:r>
    </w:p>
    <w:p w:rsidR="003036EA" w:rsidRDefault="003036EA" w:rsidP="003036EA">
      <w:pPr>
        <w:pStyle w:val="BodyText"/>
        <w:numPr>
          <w:ilvl w:val="0"/>
          <w:numId w:val="22"/>
        </w:numPr>
        <w:tabs>
          <w:tab w:val="left" w:pos="1134"/>
        </w:tabs>
        <w:ind w:left="1134"/>
        <w:jc w:val="both"/>
        <w:rPr>
          <w:rFonts w:asciiTheme="minorHAnsi" w:hAnsiTheme="minorHAnsi" w:cs="Arial"/>
          <w:sz w:val="22"/>
          <w:szCs w:val="22"/>
          <w:lang w:val="en-GB"/>
        </w:rPr>
      </w:pPr>
      <w:r>
        <w:rPr>
          <w:rFonts w:asciiTheme="minorHAnsi" w:hAnsiTheme="minorHAnsi" w:cs="Arial"/>
          <w:sz w:val="22"/>
          <w:szCs w:val="22"/>
          <w:lang w:val="en-GB"/>
        </w:rPr>
        <w:t>to provide a forum to exchange information and promote good practice in emergency planning and business continuity</w:t>
      </w:r>
    </w:p>
    <w:p w:rsidR="003036EA" w:rsidRDefault="003036EA" w:rsidP="003036EA">
      <w:pPr>
        <w:pStyle w:val="BodyText"/>
        <w:numPr>
          <w:ilvl w:val="0"/>
          <w:numId w:val="22"/>
        </w:numPr>
        <w:tabs>
          <w:tab w:val="left" w:pos="1134"/>
        </w:tabs>
        <w:ind w:left="1134"/>
        <w:jc w:val="both"/>
        <w:rPr>
          <w:rFonts w:asciiTheme="minorHAnsi" w:hAnsiTheme="minorHAnsi" w:cs="Arial"/>
          <w:sz w:val="22"/>
          <w:szCs w:val="22"/>
          <w:lang w:val="en-GB"/>
        </w:rPr>
      </w:pPr>
      <w:r>
        <w:rPr>
          <w:rFonts w:asciiTheme="minorHAnsi" w:hAnsiTheme="minorHAnsi" w:cs="Arial"/>
          <w:sz w:val="22"/>
          <w:szCs w:val="22"/>
          <w:lang w:val="en-GB"/>
        </w:rPr>
        <w:t>to share lessons learned as a result of exercises and incidents within the Trust</w:t>
      </w:r>
    </w:p>
    <w:p w:rsidR="003036EA" w:rsidRDefault="003036EA" w:rsidP="003036EA">
      <w:pPr>
        <w:pStyle w:val="BodyText"/>
        <w:numPr>
          <w:ilvl w:val="0"/>
          <w:numId w:val="22"/>
        </w:numPr>
        <w:tabs>
          <w:tab w:val="left" w:pos="1134"/>
        </w:tabs>
        <w:ind w:left="1134"/>
        <w:jc w:val="both"/>
        <w:rPr>
          <w:rFonts w:asciiTheme="minorHAnsi" w:hAnsiTheme="minorHAnsi" w:cs="Arial"/>
          <w:sz w:val="22"/>
          <w:szCs w:val="22"/>
          <w:lang w:val="en-GB"/>
        </w:rPr>
      </w:pPr>
      <w:r>
        <w:rPr>
          <w:rFonts w:asciiTheme="minorHAnsi" w:hAnsiTheme="minorHAnsi" w:cs="Arial"/>
          <w:sz w:val="22"/>
          <w:szCs w:val="22"/>
          <w:lang w:val="en-GB"/>
        </w:rPr>
        <w:t>to ensure a training programme is prepared annually that provides staff members with training appropriate to their role in a major incident and training records are maintained</w:t>
      </w:r>
    </w:p>
    <w:p w:rsidR="003036EA" w:rsidRDefault="003036EA" w:rsidP="003036EA">
      <w:pPr>
        <w:pStyle w:val="BodyText"/>
        <w:tabs>
          <w:tab w:val="left" w:pos="1134"/>
        </w:tabs>
        <w:jc w:val="both"/>
        <w:rPr>
          <w:rFonts w:asciiTheme="minorHAnsi" w:hAnsiTheme="minorHAnsi" w:cs="Arial"/>
          <w:sz w:val="22"/>
          <w:szCs w:val="22"/>
          <w:lang w:val="en-GB"/>
        </w:rPr>
      </w:pPr>
    </w:p>
    <w:p w:rsidR="003036EA" w:rsidRDefault="003036EA" w:rsidP="003036EA">
      <w:pPr>
        <w:pStyle w:val="Heading1"/>
        <w:numPr>
          <w:ilvl w:val="0"/>
          <w:numId w:val="0"/>
        </w:numPr>
        <w:spacing w:line="240" w:lineRule="auto"/>
        <w:ind w:left="709" w:hanging="709"/>
        <w:jc w:val="both"/>
        <w:rPr>
          <w:rFonts w:cs="Arial"/>
          <w:sz w:val="22"/>
          <w:szCs w:val="22"/>
        </w:rPr>
      </w:pPr>
      <w:r>
        <w:rPr>
          <w:rFonts w:cs="Arial"/>
          <w:sz w:val="22"/>
          <w:szCs w:val="22"/>
        </w:rPr>
        <w:t>3.0</w:t>
      </w:r>
      <w:r>
        <w:rPr>
          <w:rFonts w:cs="Arial"/>
          <w:sz w:val="22"/>
          <w:szCs w:val="22"/>
        </w:rPr>
        <w:tab/>
        <w:t>Work Programme</w:t>
      </w:r>
    </w:p>
    <w:p w:rsidR="003036EA" w:rsidRDefault="003036EA" w:rsidP="003036EA">
      <w:pPr>
        <w:pStyle w:val="BodyText"/>
        <w:tabs>
          <w:tab w:val="left" w:pos="709"/>
        </w:tabs>
        <w:ind w:left="709"/>
        <w:jc w:val="both"/>
        <w:rPr>
          <w:rFonts w:asciiTheme="minorHAnsi" w:hAnsiTheme="minorHAnsi" w:cs="Arial"/>
          <w:sz w:val="22"/>
          <w:szCs w:val="22"/>
          <w:lang w:val="en-GB"/>
        </w:rPr>
      </w:pPr>
      <w:r>
        <w:rPr>
          <w:rFonts w:asciiTheme="minorHAnsi" w:hAnsiTheme="minorHAnsi" w:cs="Arial"/>
          <w:sz w:val="22"/>
          <w:szCs w:val="22"/>
          <w:lang w:val="en-GB"/>
        </w:rPr>
        <w:t>A work programme is prepared by the Emergency Planning Lead to achieve the above objectives, and progressed by the members of the Emergency Planning Group.</w:t>
      </w:r>
    </w:p>
    <w:p w:rsidR="003036EA" w:rsidRDefault="003036EA" w:rsidP="003036EA">
      <w:pPr>
        <w:pStyle w:val="Heading1"/>
        <w:numPr>
          <w:ilvl w:val="0"/>
          <w:numId w:val="0"/>
        </w:numPr>
        <w:spacing w:line="240" w:lineRule="auto"/>
        <w:ind w:left="567"/>
        <w:jc w:val="both"/>
        <w:rPr>
          <w:rFonts w:cs="Arial"/>
          <w:sz w:val="22"/>
          <w:szCs w:val="22"/>
        </w:rPr>
      </w:pPr>
    </w:p>
    <w:p w:rsidR="003036EA" w:rsidRDefault="003036EA" w:rsidP="003036EA">
      <w:pPr>
        <w:pStyle w:val="Heading1"/>
        <w:numPr>
          <w:ilvl w:val="0"/>
          <w:numId w:val="0"/>
        </w:numPr>
        <w:spacing w:line="240" w:lineRule="auto"/>
        <w:ind w:left="709" w:hanging="709"/>
        <w:jc w:val="both"/>
        <w:rPr>
          <w:rFonts w:cs="Arial"/>
          <w:sz w:val="22"/>
          <w:szCs w:val="22"/>
        </w:rPr>
      </w:pPr>
      <w:r>
        <w:rPr>
          <w:rFonts w:cs="Arial"/>
          <w:sz w:val="22"/>
          <w:szCs w:val="22"/>
        </w:rPr>
        <w:t>4.0</w:t>
      </w:r>
      <w:r>
        <w:rPr>
          <w:rFonts w:cs="Arial"/>
          <w:sz w:val="22"/>
          <w:szCs w:val="22"/>
        </w:rPr>
        <w:tab/>
        <w:t xml:space="preserve">Membership </w:t>
      </w:r>
    </w:p>
    <w:p w:rsidR="003036EA" w:rsidRDefault="003036EA" w:rsidP="003036EA">
      <w:pPr>
        <w:spacing w:after="0" w:line="240" w:lineRule="auto"/>
        <w:jc w:val="both"/>
        <w:rPr>
          <w:rFonts w:cs="Arial"/>
        </w:rPr>
      </w:pPr>
      <w:r>
        <w:rPr>
          <w:rFonts w:cs="Arial"/>
        </w:rPr>
        <w:tab/>
        <w:t>Members of the Emergency Planning Group are:</w:t>
      </w:r>
    </w:p>
    <w:p w:rsidR="003036EA" w:rsidRDefault="003036EA" w:rsidP="003036EA">
      <w:pPr>
        <w:spacing w:after="0" w:line="240" w:lineRule="auto"/>
        <w:jc w:val="both"/>
        <w:rPr>
          <w:rFonts w:cs="Arial"/>
        </w:rPr>
      </w:pPr>
    </w:p>
    <w:p w:rsidR="003036EA" w:rsidRDefault="003036EA" w:rsidP="003036EA">
      <w:pPr>
        <w:numPr>
          <w:ilvl w:val="1"/>
          <w:numId w:val="23"/>
        </w:numPr>
        <w:spacing w:after="0" w:line="240" w:lineRule="auto"/>
        <w:ind w:left="1134" w:hanging="283"/>
        <w:jc w:val="both"/>
        <w:rPr>
          <w:rFonts w:cs="Arial"/>
        </w:rPr>
      </w:pPr>
      <w:r>
        <w:rPr>
          <w:rFonts w:cs="Arial"/>
        </w:rPr>
        <w:t>Sharon Fennell,</w:t>
      </w:r>
      <w:r w:rsidRPr="003036EA">
        <w:rPr>
          <w:rFonts w:cs="Arial"/>
        </w:rPr>
        <w:t xml:space="preserve"> </w:t>
      </w:r>
      <w:r>
        <w:rPr>
          <w:rFonts w:cs="Arial"/>
        </w:rPr>
        <w:t>Associate Director of Operations (Chair)</w:t>
      </w:r>
    </w:p>
    <w:p w:rsidR="003036EA" w:rsidRDefault="003036EA" w:rsidP="003036EA">
      <w:pPr>
        <w:numPr>
          <w:ilvl w:val="1"/>
          <w:numId w:val="23"/>
        </w:numPr>
        <w:spacing w:after="0" w:line="240" w:lineRule="auto"/>
        <w:ind w:left="1134" w:hanging="283"/>
        <w:jc w:val="both"/>
        <w:rPr>
          <w:rFonts w:cs="Arial"/>
        </w:rPr>
      </w:pPr>
      <w:r>
        <w:rPr>
          <w:rFonts w:cs="Arial"/>
        </w:rPr>
        <w:t>Katie Cleaver, Emergency Planning Lead</w:t>
      </w:r>
      <w:r>
        <w:rPr>
          <w:rFonts w:cs="Arial"/>
        </w:rPr>
        <w:tab/>
      </w:r>
    </w:p>
    <w:p w:rsidR="003036EA" w:rsidRDefault="003036EA" w:rsidP="003036EA">
      <w:pPr>
        <w:numPr>
          <w:ilvl w:val="1"/>
          <w:numId w:val="23"/>
        </w:numPr>
        <w:spacing w:after="0" w:line="240" w:lineRule="auto"/>
        <w:ind w:left="1134" w:hanging="283"/>
        <w:jc w:val="both"/>
        <w:rPr>
          <w:rFonts w:cs="Arial"/>
        </w:rPr>
      </w:pPr>
      <w:r>
        <w:rPr>
          <w:rFonts w:cs="Arial"/>
        </w:rPr>
        <w:t>Justinian Habner, Trust Secretary</w:t>
      </w:r>
    </w:p>
    <w:p w:rsidR="003036EA" w:rsidRDefault="003036EA" w:rsidP="003036EA">
      <w:pPr>
        <w:numPr>
          <w:ilvl w:val="1"/>
          <w:numId w:val="23"/>
        </w:numPr>
        <w:spacing w:after="0" w:line="240" w:lineRule="auto"/>
        <w:ind w:left="1134" w:hanging="283"/>
        <w:jc w:val="both"/>
        <w:rPr>
          <w:rFonts w:cs="Arial"/>
        </w:rPr>
      </w:pPr>
      <w:r>
        <w:rPr>
          <w:rFonts w:cs="Arial"/>
        </w:rPr>
        <w:t xml:space="preserve">Mike Foster, Head of Nursing </w:t>
      </w:r>
    </w:p>
    <w:p w:rsidR="003036EA" w:rsidRDefault="003036EA" w:rsidP="003036EA">
      <w:pPr>
        <w:numPr>
          <w:ilvl w:val="1"/>
          <w:numId w:val="23"/>
        </w:numPr>
        <w:spacing w:after="0" w:line="240" w:lineRule="auto"/>
        <w:ind w:left="1134" w:hanging="283"/>
        <w:jc w:val="both"/>
        <w:rPr>
          <w:rFonts w:cs="Arial"/>
        </w:rPr>
      </w:pPr>
      <w:r>
        <w:rPr>
          <w:rFonts w:cs="Arial"/>
        </w:rPr>
        <w:t xml:space="preserve">Karen Campbell, Head of Community Hospitals, Oxfordshire Community Services </w:t>
      </w:r>
    </w:p>
    <w:p w:rsidR="003036EA" w:rsidRDefault="003036EA" w:rsidP="003036EA">
      <w:pPr>
        <w:numPr>
          <w:ilvl w:val="1"/>
          <w:numId w:val="23"/>
        </w:numPr>
        <w:spacing w:after="0" w:line="240" w:lineRule="auto"/>
        <w:ind w:left="1134" w:hanging="283"/>
        <w:jc w:val="both"/>
        <w:rPr>
          <w:rFonts w:cs="Arial"/>
        </w:rPr>
      </w:pPr>
      <w:r>
        <w:rPr>
          <w:rFonts w:cs="Arial"/>
        </w:rPr>
        <w:t xml:space="preserve">Jackie Thomas, Head of Adult Community Mental Health, </w:t>
      </w:r>
      <w:r>
        <w:rPr>
          <w:rFonts w:cs="Arial"/>
          <w:color w:val="000000"/>
        </w:rPr>
        <w:t>Mental Health Division</w:t>
      </w:r>
      <w:r>
        <w:rPr>
          <w:rFonts w:cs="Arial"/>
        </w:rPr>
        <w:t xml:space="preserve"> </w:t>
      </w:r>
    </w:p>
    <w:p w:rsidR="003036EA" w:rsidRDefault="003036EA" w:rsidP="003036EA">
      <w:pPr>
        <w:numPr>
          <w:ilvl w:val="1"/>
          <w:numId w:val="23"/>
        </w:numPr>
        <w:spacing w:after="0" w:line="240" w:lineRule="auto"/>
        <w:ind w:left="1134" w:hanging="283"/>
        <w:jc w:val="both"/>
        <w:rPr>
          <w:rFonts w:cs="Arial"/>
        </w:rPr>
      </w:pPr>
      <w:r>
        <w:rPr>
          <w:rFonts w:cs="Arial"/>
        </w:rPr>
        <w:t xml:space="preserve">Rahman Gariba, Service Manager, Specialised Services </w:t>
      </w:r>
    </w:p>
    <w:p w:rsidR="003036EA" w:rsidRDefault="003036EA" w:rsidP="003036EA">
      <w:pPr>
        <w:numPr>
          <w:ilvl w:val="1"/>
          <w:numId w:val="23"/>
        </w:numPr>
        <w:spacing w:after="0" w:line="240" w:lineRule="auto"/>
        <w:ind w:left="1134" w:hanging="283"/>
        <w:jc w:val="both"/>
        <w:rPr>
          <w:rFonts w:cs="Arial"/>
        </w:rPr>
      </w:pPr>
      <w:r>
        <w:rPr>
          <w:rFonts w:cs="Arial"/>
        </w:rPr>
        <w:t xml:space="preserve">Naomi Evans, Service Manager, Children and Families Services </w:t>
      </w:r>
    </w:p>
    <w:p w:rsidR="003036EA" w:rsidRDefault="003036EA" w:rsidP="003036EA">
      <w:pPr>
        <w:numPr>
          <w:ilvl w:val="1"/>
          <w:numId w:val="23"/>
        </w:numPr>
        <w:spacing w:after="0" w:line="240" w:lineRule="auto"/>
        <w:ind w:left="1134" w:hanging="283"/>
        <w:jc w:val="both"/>
        <w:rPr>
          <w:rFonts w:cs="Arial"/>
        </w:rPr>
      </w:pPr>
      <w:r>
        <w:rPr>
          <w:rFonts w:cs="Arial"/>
        </w:rPr>
        <w:t>Carrie-Ann Wade Williams, Head of Communications</w:t>
      </w:r>
    </w:p>
    <w:p w:rsidR="003036EA" w:rsidRDefault="003036EA" w:rsidP="003036EA">
      <w:pPr>
        <w:numPr>
          <w:ilvl w:val="1"/>
          <w:numId w:val="23"/>
        </w:numPr>
        <w:spacing w:after="0" w:line="240" w:lineRule="auto"/>
        <w:ind w:left="1134" w:hanging="283"/>
        <w:jc w:val="both"/>
        <w:rPr>
          <w:rFonts w:cs="Arial"/>
        </w:rPr>
      </w:pPr>
      <w:r>
        <w:rPr>
          <w:rFonts w:cs="Arial"/>
        </w:rPr>
        <w:t>John Upham, Capital Development Manager, Estates and Facilities</w:t>
      </w:r>
    </w:p>
    <w:p w:rsidR="003036EA" w:rsidRDefault="003036EA" w:rsidP="003036EA">
      <w:pPr>
        <w:numPr>
          <w:ilvl w:val="1"/>
          <w:numId w:val="23"/>
        </w:numPr>
        <w:spacing w:after="0" w:line="240" w:lineRule="auto"/>
        <w:ind w:left="1134" w:hanging="283"/>
        <w:jc w:val="both"/>
        <w:rPr>
          <w:rFonts w:cs="Arial"/>
        </w:rPr>
      </w:pPr>
      <w:r>
        <w:rPr>
          <w:rFonts w:cs="Arial"/>
        </w:rPr>
        <w:t xml:space="preserve">Jayne Halford, Deputy Director, Human Resources </w:t>
      </w:r>
    </w:p>
    <w:p w:rsidR="003036EA" w:rsidRDefault="003036EA" w:rsidP="003036EA">
      <w:pPr>
        <w:numPr>
          <w:ilvl w:val="1"/>
          <w:numId w:val="23"/>
        </w:numPr>
        <w:spacing w:after="0" w:line="240" w:lineRule="auto"/>
        <w:ind w:left="1134" w:hanging="283"/>
        <w:jc w:val="both"/>
        <w:rPr>
          <w:rFonts w:cs="Arial"/>
        </w:rPr>
      </w:pPr>
      <w:r>
        <w:rPr>
          <w:rFonts w:cs="Arial"/>
        </w:rPr>
        <w:t>Mike Bellamy, Non-Executive Director</w:t>
      </w:r>
    </w:p>
    <w:p w:rsidR="003036EA" w:rsidRDefault="003036EA" w:rsidP="003036EA">
      <w:pPr>
        <w:spacing w:after="0" w:line="240" w:lineRule="auto"/>
        <w:ind w:left="360"/>
        <w:jc w:val="both"/>
        <w:rPr>
          <w:rFonts w:cs="Arial"/>
        </w:rPr>
      </w:pPr>
    </w:p>
    <w:p w:rsidR="003036EA" w:rsidRDefault="003036EA" w:rsidP="003036EA">
      <w:pPr>
        <w:spacing w:after="0" w:line="240" w:lineRule="auto"/>
        <w:ind w:left="709"/>
        <w:jc w:val="both"/>
        <w:rPr>
          <w:rFonts w:cs="Arial"/>
        </w:rPr>
      </w:pPr>
      <w:r>
        <w:rPr>
          <w:rFonts w:cs="Arial"/>
        </w:rPr>
        <w:t>If a member cannot attend a meeting then, if possible, a deputy should be sent as appropriate.</w:t>
      </w:r>
    </w:p>
    <w:p w:rsidR="003036EA" w:rsidRDefault="003036EA" w:rsidP="003036EA">
      <w:pPr>
        <w:spacing w:after="0" w:line="240" w:lineRule="auto"/>
        <w:jc w:val="both"/>
        <w:rPr>
          <w:rFonts w:cs="Arial"/>
        </w:rPr>
      </w:pPr>
    </w:p>
    <w:p w:rsidR="003036EA" w:rsidRDefault="003036EA" w:rsidP="003036EA">
      <w:pPr>
        <w:pStyle w:val="Heading1"/>
        <w:numPr>
          <w:ilvl w:val="0"/>
          <w:numId w:val="0"/>
        </w:numPr>
        <w:spacing w:line="240" w:lineRule="auto"/>
        <w:ind w:left="709" w:hanging="709"/>
        <w:jc w:val="both"/>
        <w:rPr>
          <w:rFonts w:cs="Arial"/>
          <w:sz w:val="22"/>
          <w:szCs w:val="22"/>
        </w:rPr>
      </w:pPr>
      <w:r>
        <w:rPr>
          <w:rFonts w:cs="Arial"/>
          <w:sz w:val="22"/>
          <w:szCs w:val="22"/>
        </w:rPr>
        <w:lastRenderedPageBreak/>
        <w:t>5.0</w:t>
      </w:r>
      <w:r>
        <w:rPr>
          <w:rFonts w:cs="Arial"/>
          <w:sz w:val="22"/>
          <w:szCs w:val="22"/>
        </w:rPr>
        <w:tab/>
        <w:t xml:space="preserve">Frequency of meetings </w:t>
      </w:r>
    </w:p>
    <w:p w:rsidR="003036EA" w:rsidRDefault="003036EA" w:rsidP="003036EA">
      <w:pPr>
        <w:spacing w:after="0" w:line="240" w:lineRule="auto"/>
        <w:jc w:val="both"/>
        <w:rPr>
          <w:rFonts w:cs="Arial"/>
        </w:rPr>
      </w:pPr>
      <w:r>
        <w:rPr>
          <w:rFonts w:cs="Arial"/>
        </w:rPr>
        <w:tab/>
        <w:t>The Emergency Planning Group will meet on a quarterly basis.</w:t>
      </w:r>
    </w:p>
    <w:p w:rsidR="003036EA" w:rsidRDefault="003036EA" w:rsidP="003036EA">
      <w:pPr>
        <w:spacing w:after="0" w:line="240" w:lineRule="auto"/>
        <w:jc w:val="both"/>
        <w:rPr>
          <w:rFonts w:cs="Arial"/>
        </w:rPr>
      </w:pPr>
    </w:p>
    <w:p w:rsidR="003036EA" w:rsidRDefault="003036EA" w:rsidP="003036EA">
      <w:pPr>
        <w:pStyle w:val="Heading1"/>
        <w:numPr>
          <w:ilvl w:val="0"/>
          <w:numId w:val="0"/>
        </w:numPr>
        <w:spacing w:line="240" w:lineRule="auto"/>
        <w:ind w:left="709" w:hanging="709"/>
        <w:jc w:val="both"/>
        <w:rPr>
          <w:rFonts w:cs="Arial"/>
          <w:sz w:val="22"/>
          <w:szCs w:val="22"/>
        </w:rPr>
      </w:pPr>
      <w:r>
        <w:rPr>
          <w:rFonts w:cs="Arial"/>
          <w:sz w:val="22"/>
          <w:szCs w:val="22"/>
        </w:rPr>
        <w:t>6.0</w:t>
      </w:r>
      <w:r>
        <w:rPr>
          <w:rFonts w:cs="Arial"/>
          <w:sz w:val="22"/>
          <w:szCs w:val="22"/>
        </w:rPr>
        <w:tab/>
        <w:t xml:space="preserve">Reporting Structure </w:t>
      </w:r>
    </w:p>
    <w:p w:rsidR="003036EA" w:rsidRDefault="003036EA" w:rsidP="003036EA">
      <w:pPr>
        <w:spacing w:after="0" w:line="240" w:lineRule="auto"/>
        <w:ind w:left="720"/>
        <w:jc w:val="both"/>
        <w:rPr>
          <w:rFonts w:cs="Arial"/>
        </w:rPr>
      </w:pPr>
      <w:r>
        <w:rPr>
          <w:rFonts w:cs="Arial"/>
        </w:rPr>
        <w:t xml:space="preserve">The Emergency Planning Group reports to the Executive Team via the Chief Operating Officer.  Meeting minutes will be provided to the Trust Secretary.  As required by NHS Emergency Planning Guidance 2005, an annual report will be prepared and presented to the Board. </w:t>
      </w:r>
    </w:p>
    <w:p w:rsidR="003036EA" w:rsidRDefault="003036EA" w:rsidP="003036EA">
      <w:pPr>
        <w:spacing w:after="0" w:line="240" w:lineRule="auto"/>
        <w:ind w:left="720"/>
        <w:jc w:val="both"/>
        <w:rPr>
          <w:rFonts w:cs="Arial"/>
        </w:rPr>
      </w:pPr>
    </w:p>
    <w:p w:rsidR="003036EA" w:rsidRDefault="003036EA" w:rsidP="003036EA">
      <w:pPr>
        <w:pStyle w:val="Heading1"/>
        <w:numPr>
          <w:ilvl w:val="0"/>
          <w:numId w:val="0"/>
        </w:numPr>
        <w:spacing w:line="240" w:lineRule="auto"/>
        <w:ind w:left="709" w:hanging="709"/>
        <w:jc w:val="both"/>
        <w:rPr>
          <w:rFonts w:cs="Arial"/>
          <w:sz w:val="22"/>
          <w:szCs w:val="22"/>
        </w:rPr>
      </w:pPr>
      <w:r>
        <w:rPr>
          <w:rFonts w:cs="Arial"/>
          <w:sz w:val="22"/>
          <w:szCs w:val="22"/>
        </w:rPr>
        <w:t>7.0</w:t>
      </w:r>
      <w:r>
        <w:rPr>
          <w:rFonts w:cs="Arial"/>
          <w:sz w:val="22"/>
          <w:szCs w:val="22"/>
        </w:rPr>
        <w:tab/>
        <w:t>Document Approval</w:t>
      </w:r>
    </w:p>
    <w:p w:rsidR="003036EA" w:rsidRDefault="003036EA" w:rsidP="003036EA">
      <w:pPr>
        <w:pStyle w:val="Heading1"/>
        <w:numPr>
          <w:ilvl w:val="0"/>
          <w:numId w:val="0"/>
        </w:numPr>
        <w:spacing w:line="240" w:lineRule="auto"/>
        <w:ind w:left="709"/>
        <w:jc w:val="both"/>
        <w:rPr>
          <w:rFonts w:cs="Arial"/>
          <w:b w:val="0"/>
          <w:sz w:val="22"/>
          <w:szCs w:val="22"/>
        </w:rPr>
      </w:pPr>
      <w:r>
        <w:rPr>
          <w:rFonts w:cs="Arial"/>
          <w:b w:val="0"/>
          <w:sz w:val="22"/>
          <w:szCs w:val="22"/>
        </w:rPr>
        <w:t>Documents (e.g. policies) requiring review and approval will be submitted to the relevant Quality Improvement Committee and then to the Integrated Governance Committee for Board level approval, as appropriate.   In some instances approval may be required from Board.</w:t>
      </w:r>
    </w:p>
    <w:p w:rsidR="003036EA" w:rsidRDefault="003036EA" w:rsidP="003036EA">
      <w:pPr>
        <w:spacing w:after="0" w:line="240" w:lineRule="auto"/>
      </w:pPr>
    </w:p>
    <w:p w:rsidR="003036EA" w:rsidRDefault="003036EA" w:rsidP="003036EA">
      <w:pPr>
        <w:spacing w:after="0"/>
        <w:jc w:val="center"/>
      </w:pPr>
      <w:r>
        <w:t>--------------------</w:t>
      </w:r>
    </w:p>
    <w:p w:rsidR="003036EA" w:rsidRDefault="003036EA" w:rsidP="003036EA"/>
    <w:p w:rsidR="003036EA" w:rsidRDefault="003036EA" w:rsidP="003036EA">
      <w:pPr>
        <w:spacing w:after="0" w:line="240" w:lineRule="auto"/>
        <w:rPr>
          <w:rFonts w:cs="Arial"/>
        </w:rPr>
      </w:pPr>
      <w:r>
        <w:rPr>
          <w:rFonts w:cs="Arial"/>
        </w:rPr>
        <w:t>The following topics were discussed during 2012/13:</w:t>
      </w:r>
    </w:p>
    <w:p w:rsidR="003036EA" w:rsidRDefault="003036EA" w:rsidP="003036EA">
      <w:pPr>
        <w:spacing w:after="0" w:line="240" w:lineRule="auto"/>
        <w:rPr>
          <w:rFonts w:cs="Arial"/>
        </w:rPr>
      </w:pPr>
    </w:p>
    <w:p w:rsidR="003036EA" w:rsidRDefault="003036EA" w:rsidP="003036EA">
      <w:pPr>
        <w:pStyle w:val="ListParagraph"/>
        <w:numPr>
          <w:ilvl w:val="0"/>
          <w:numId w:val="24"/>
        </w:numPr>
        <w:spacing w:after="0" w:line="240" w:lineRule="auto"/>
        <w:ind w:left="1418" w:hanging="284"/>
        <w:rPr>
          <w:rFonts w:cs="Arial"/>
        </w:rPr>
      </w:pPr>
      <w:r>
        <w:rPr>
          <w:rFonts w:cs="Arial"/>
        </w:rPr>
        <w:t>Heat Wave Planning</w:t>
      </w:r>
    </w:p>
    <w:p w:rsidR="00C06894" w:rsidRDefault="00C06894" w:rsidP="003036EA">
      <w:pPr>
        <w:pStyle w:val="ListParagraph"/>
        <w:numPr>
          <w:ilvl w:val="0"/>
          <w:numId w:val="24"/>
        </w:numPr>
        <w:spacing w:after="0" w:line="240" w:lineRule="auto"/>
        <w:ind w:left="1418" w:hanging="284"/>
        <w:rPr>
          <w:rFonts w:cs="Arial"/>
        </w:rPr>
      </w:pPr>
      <w:r>
        <w:rPr>
          <w:rFonts w:cs="Arial"/>
        </w:rPr>
        <w:t>Hospital Evacuation</w:t>
      </w:r>
    </w:p>
    <w:p w:rsidR="00C06894" w:rsidRDefault="00C06894" w:rsidP="003036EA">
      <w:pPr>
        <w:pStyle w:val="ListParagraph"/>
        <w:numPr>
          <w:ilvl w:val="0"/>
          <w:numId w:val="24"/>
        </w:numPr>
        <w:spacing w:after="0" w:line="240" w:lineRule="auto"/>
        <w:ind w:left="1418" w:hanging="284"/>
        <w:rPr>
          <w:rFonts w:cs="Arial"/>
        </w:rPr>
      </w:pPr>
      <w:r>
        <w:rPr>
          <w:rFonts w:cs="Arial"/>
        </w:rPr>
        <w:t>Psychosocial Response</w:t>
      </w:r>
    </w:p>
    <w:p w:rsidR="003036EA" w:rsidRDefault="003036EA" w:rsidP="003036EA">
      <w:pPr>
        <w:pStyle w:val="ListParagraph"/>
        <w:numPr>
          <w:ilvl w:val="0"/>
          <w:numId w:val="24"/>
        </w:numPr>
        <w:spacing w:after="0" w:line="240" w:lineRule="auto"/>
        <w:ind w:left="1418" w:hanging="284"/>
        <w:rPr>
          <w:rFonts w:cs="Arial"/>
        </w:rPr>
      </w:pPr>
      <w:r>
        <w:rPr>
          <w:rFonts w:cs="Arial"/>
        </w:rPr>
        <w:t>Human Resources Guidance in the event of an incident</w:t>
      </w:r>
    </w:p>
    <w:p w:rsidR="00C06894" w:rsidRDefault="00C06894" w:rsidP="003036EA">
      <w:pPr>
        <w:pStyle w:val="ListParagraph"/>
        <w:numPr>
          <w:ilvl w:val="0"/>
          <w:numId w:val="24"/>
        </w:numPr>
        <w:spacing w:after="0" w:line="240" w:lineRule="auto"/>
        <w:ind w:left="1418" w:hanging="284"/>
        <w:rPr>
          <w:rFonts w:cs="Arial"/>
        </w:rPr>
      </w:pPr>
      <w:r>
        <w:rPr>
          <w:rFonts w:cs="Arial"/>
        </w:rPr>
        <w:t>Pandemic Influenza Planning</w:t>
      </w:r>
      <w:r>
        <w:rPr>
          <w:rFonts w:cs="Arial"/>
        </w:rPr>
        <w:tab/>
      </w:r>
    </w:p>
    <w:p w:rsidR="00DF2C47" w:rsidRDefault="00DF2C47" w:rsidP="003036EA">
      <w:pPr>
        <w:pStyle w:val="ListParagraph"/>
        <w:numPr>
          <w:ilvl w:val="0"/>
          <w:numId w:val="24"/>
        </w:numPr>
        <w:spacing w:after="0" w:line="240" w:lineRule="auto"/>
        <w:ind w:left="1418" w:hanging="284"/>
        <w:rPr>
          <w:rFonts w:cs="Arial"/>
        </w:rPr>
      </w:pPr>
      <w:r>
        <w:rPr>
          <w:rFonts w:cs="Arial"/>
        </w:rPr>
        <w:t>Radiation Monitoring Units</w:t>
      </w:r>
    </w:p>
    <w:p w:rsidR="00DF2C47" w:rsidRDefault="00DF2C47" w:rsidP="00DF2C47">
      <w:pPr>
        <w:pStyle w:val="ListParagraph"/>
        <w:numPr>
          <w:ilvl w:val="0"/>
          <w:numId w:val="24"/>
        </w:numPr>
        <w:spacing w:after="0" w:line="240" w:lineRule="auto"/>
        <w:ind w:left="1418" w:hanging="284"/>
        <w:rPr>
          <w:rFonts w:cs="Arial"/>
        </w:rPr>
      </w:pPr>
      <w:r>
        <w:rPr>
          <w:rFonts w:cs="Arial"/>
        </w:rPr>
        <w:t>Lockdown Planning</w:t>
      </w:r>
    </w:p>
    <w:p w:rsidR="00DF2C47" w:rsidRDefault="00DF2C47" w:rsidP="00DF2C47">
      <w:pPr>
        <w:pStyle w:val="ListParagraph"/>
        <w:numPr>
          <w:ilvl w:val="0"/>
          <w:numId w:val="24"/>
        </w:numPr>
        <w:spacing w:after="0" w:line="240" w:lineRule="auto"/>
        <w:ind w:left="1418" w:hanging="284"/>
        <w:rPr>
          <w:rFonts w:cs="Arial"/>
        </w:rPr>
      </w:pPr>
      <w:r>
        <w:rPr>
          <w:rFonts w:cs="Arial"/>
        </w:rPr>
        <w:t>Learning from Incidents</w:t>
      </w:r>
    </w:p>
    <w:p w:rsidR="00DF2C47" w:rsidRDefault="00DF2C47" w:rsidP="00DF2C47">
      <w:pPr>
        <w:pStyle w:val="ListParagraph"/>
        <w:numPr>
          <w:ilvl w:val="0"/>
          <w:numId w:val="24"/>
        </w:numPr>
        <w:spacing w:after="0" w:line="240" w:lineRule="auto"/>
        <w:ind w:left="1418" w:hanging="284"/>
        <w:rPr>
          <w:rFonts w:cs="Arial"/>
        </w:rPr>
      </w:pPr>
      <w:r>
        <w:rPr>
          <w:rFonts w:cs="Arial"/>
        </w:rPr>
        <w:t>Exercises</w:t>
      </w:r>
    </w:p>
    <w:p w:rsidR="00DF2C47" w:rsidRDefault="00DF2C47" w:rsidP="00DF2C47">
      <w:pPr>
        <w:pStyle w:val="ListParagraph"/>
        <w:numPr>
          <w:ilvl w:val="0"/>
          <w:numId w:val="24"/>
        </w:numPr>
        <w:spacing w:after="0" w:line="240" w:lineRule="auto"/>
        <w:ind w:left="1418" w:hanging="284"/>
        <w:rPr>
          <w:rFonts w:cs="Arial"/>
        </w:rPr>
      </w:pPr>
      <w:r>
        <w:rPr>
          <w:rFonts w:cs="Arial"/>
        </w:rPr>
        <w:t>Training</w:t>
      </w:r>
    </w:p>
    <w:p w:rsidR="00DF2C47" w:rsidRDefault="00DF2C47" w:rsidP="00DF2C47">
      <w:pPr>
        <w:pStyle w:val="ListParagraph"/>
        <w:numPr>
          <w:ilvl w:val="0"/>
          <w:numId w:val="24"/>
        </w:numPr>
        <w:spacing w:after="0" w:line="240" w:lineRule="auto"/>
        <w:ind w:left="1418" w:hanging="284"/>
        <w:rPr>
          <w:rFonts w:cs="Arial"/>
        </w:rPr>
      </w:pPr>
      <w:r>
        <w:rPr>
          <w:rFonts w:cs="Arial"/>
        </w:rPr>
        <w:t>Prevent</w:t>
      </w:r>
      <w:r>
        <w:rPr>
          <w:rStyle w:val="FootnoteReference"/>
          <w:rFonts w:cs="Arial"/>
        </w:rPr>
        <w:footnoteReference w:id="4"/>
      </w:r>
    </w:p>
    <w:p w:rsidR="00DF2C47" w:rsidRDefault="00DF2C47" w:rsidP="00DF2C47">
      <w:pPr>
        <w:pStyle w:val="ListParagraph"/>
        <w:numPr>
          <w:ilvl w:val="0"/>
          <w:numId w:val="24"/>
        </w:numPr>
        <w:spacing w:after="0" w:line="240" w:lineRule="auto"/>
        <w:ind w:left="1418" w:hanging="284"/>
        <w:rPr>
          <w:rFonts w:cs="Arial"/>
        </w:rPr>
      </w:pPr>
      <w:r>
        <w:rPr>
          <w:rFonts w:cs="Arial"/>
        </w:rPr>
        <w:t>Olympics</w:t>
      </w:r>
    </w:p>
    <w:p w:rsidR="00C06894" w:rsidRDefault="00DF2C47" w:rsidP="003036EA">
      <w:pPr>
        <w:pStyle w:val="ListParagraph"/>
        <w:numPr>
          <w:ilvl w:val="0"/>
          <w:numId w:val="24"/>
        </w:numPr>
        <w:spacing w:after="0" w:line="240" w:lineRule="auto"/>
        <w:ind w:left="1418" w:hanging="284"/>
        <w:rPr>
          <w:rFonts w:cs="Arial"/>
        </w:rPr>
      </w:pPr>
      <w:r>
        <w:rPr>
          <w:rFonts w:cs="Arial"/>
        </w:rPr>
        <w:t xml:space="preserve">Cold Weather Planning </w:t>
      </w:r>
      <w:r>
        <w:rPr>
          <w:rFonts w:cs="Arial"/>
        </w:rPr>
        <w:tab/>
      </w:r>
    </w:p>
    <w:p w:rsidR="00DF2C47" w:rsidRDefault="00DF2C47" w:rsidP="00DF2C47">
      <w:pPr>
        <w:pStyle w:val="ListParagraph"/>
        <w:numPr>
          <w:ilvl w:val="0"/>
          <w:numId w:val="24"/>
        </w:numPr>
        <w:spacing w:after="0" w:line="240" w:lineRule="auto"/>
        <w:ind w:left="1418" w:hanging="284"/>
        <w:rPr>
          <w:rFonts w:cs="Arial"/>
        </w:rPr>
      </w:pPr>
      <w:r>
        <w:rPr>
          <w:rFonts w:cs="Arial"/>
        </w:rPr>
        <w:t>Business Continuity</w:t>
      </w:r>
    </w:p>
    <w:p w:rsidR="0021647D" w:rsidRPr="000860B4" w:rsidRDefault="0021647D" w:rsidP="000F5F05">
      <w:pPr>
        <w:spacing w:after="0"/>
        <w:rPr>
          <w:rFonts w:ascii="Segoe UI" w:hAnsi="Segoe UI" w:cs="Segoe UI"/>
          <w:color w:val="FF0000"/>
        </w:rPr>
      </w:pPr>
    </w:p>
    <w:sectPr w:rsidR="0021647D" w:rsidRPr="000860B4" w:rsidSect="00CD7772">
      <w:pgSz w:w="11906" w:h="16838"/>
      <w:pgMar w:top="1440" w:right="1440" w:bottom="851" w:left="1440" w:header="70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8D" w:rsidRDefault="00C8658D" w:rsidP="00DC256C">
      <w:pPr>
        <w:spacing w:after="0" w:line="240" w:lineRule="auto"/>
      </w:pPr>
      <w:r>
        <w:separator/>
      </w:r>
    </w:p>
  </w:endnote>
  <w:endnote w:type="continuationSeparator" w:id="0">
    <w:p w:rsidR="00C8658D" w:rsidRDefault="00C8658D" w:rsidP="00DC2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954"/>
      <w:docPartObj>
        <w:docPartGallery w:val="Page Numbers (Bottom of Page)"/>
        <w:docPartUnique/>
      </w:docPartObj>
    </w:sdtPr>
    <w:sdtContent>
      <w:p w:rsidR="00C8658D" w:rsidRDefault="009A058D">
        <w:pPr>
          <w:pStyle w:val="Footer"/>
          <w:jc w:val="right"/>
        </w:pPr>
        <w:r>
          <w:fldChar w:fldCharType="begin"/>
        </w:r>
        <w:r w:rsidR="000F5F05">
          <w:instrText xml:space="preserve"> PAGE   \* MERGEFORMAT </w:instrText>
        </w:r>
        <w:r>
          <w:fldChar w:fldCharType="separate"/>
        </w:r>
        <w:r w:rsidR="009C2189">
          <w:rPr>
            <w:noProof/>
          </w:rPr>
          <w:t>1</w:t>
        </w:r>
        <w:r>
          <w:rPr>
            <w:noProof/>
          </w:rPr>
          <w:fldChar w:fldCharType="end"/>
        </w:r>
      </w:p>
    </w:sdtContent>
  </w:sdt>
  <w:p w:rsidR="00C8658D" w:rsidRDefault="00C86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8D" w:rsidRDefault="00C8658D" w:rsidP="00DC256C">
      <w:pPr>
        <w:spacing w:after="0" w:line="240" w:lineRule="auto"/>
      </w:pPr>
      <w:r>
        <w:separator/>
      </w:r>
    </w:p>
  </w:footnote>
  <w:footnote w:type="continuationSeparator" w:id="0">
    <w:p w:rsidR="00C8658D" w:rsidRDefault="00C8658D" w:rsidP="00DC256C">
      <w:pPr>
        <w:spacing w:after="0" w:line="240" w:lineRule="auto"/>
      </w:pPr>
      <w:r>
        <w:continuationSeparator/>
      </w:r>
    </w:p>
  </w:footnote>
  <w:footnote w:id="1">
    <w:p w:rsidR="00C8658D" w:rsidRDefault="00C8658D">
      <w:pPr>
        <w:pStyle w:val="FootnoteText"/>
      </w:pPr>
      <w:r>
        <w:rPr>
          <w:rStyle w:val="FootnoteReference"/>
        </w:rPr>
        <w:footnoteRef/>
      </w:r>
      <w:r>
        <w:t xml:space="preserve"> The Thames Valley LRF Community Risk Register can be accessed at: </w:t>
      </w:r>
      <w:r w:rsidRPr="00DC256C">
        <w:t>http://www.thamesvalleylrf.org.uk/useful-links/publications/risk-register.ashx</w:t>
      </w:r>
    </w:p>
  </w:footnote>
  <w:footnote w:id="2">
    <w:p w:rsidR="00140B79" w:rsidRDefault="00140B79">
      <w:pPr>
        <w:pStyle w:val="FootnoteText"/>
      </w:pPr>
      <w:r>
        <w:rPr>
          <w:rStyle w:val="FootnoteReference"/>
        </w:rPr>
        <w:footnoteRef/>
      </w:r>
      <w:r>
        <w:t xml:space="preserve"> </w:t>
      </w:r>
      <w:r w:rsidRPr="00140B79">
        <w:rPr>
          <w:rFonts w:ascii="Segoe UI" w:hAnsi="Segoe UI" w:cs="Segoe UI"/>
          <w:bCs/>
        </w:rPr>
        <w:t>All other Directors and Divisional Directors have previously undertaken this training.</w:t>
      </w:r>
      <w:r>
        <w:rPr>
          <w:rFonts w:ascii="Segoe UI" w:hAnsi="Segoe UI" w:cs="Segoe UI"/>
          <w:bCs/>
          <w:color w:val="FF0000"/>
        </w:rPr>
        <w:t xml:space="preserve">  </w:t>
      </w:r>
    </w:p>
  </w:footnote>
  <w:footnote w:id="3">
    <w:p w:rsidR="00C8658D" w:rsidRDefault="00C8658D">
      <w:pPr>
        <w:pStyle w:val="FootnoteText"/>
      </w:pPr>
      <w:r w:rsidRPr="00BF6024">
        <w:rPr>
          <w:rStyle w:val="FootnoteReference"/>
          <w:rFonts w:ascii="Segoe UI" w:hAnsi="Segoe UI" w:cs="Segoe UI"/>
          <w:sz w:val="18"/>
          <w:szCs w:val="18"/>
        </w:rPr>
        <w:footnoteRef/>
      </w:r>
      <w:r w:rsidRPr="00BF6024">
        <w:rPr>
          <w:rFonts w:ascii="Segoe UI" w:hAnsi="Segoe UI" w:cs="Segoe UI"/>
          <w:sz w:val="18"/>
          <w:szCs w:val="18"/>
        </w:rPr>
        <w:t xml:space="preserve"> The </w:t>
      </w:r>
      <w:r w:rsidR="00BF6024" w:rsidRPr="00BF6024">
        <w:rPr>
          <w:rFonts w:ascii="Segoe UI" w:hAnsi="Segoe UI" w:cs="Segoe UI"/>
          <w:sz w:val="18"/>
          <w:szCs w:val="18"/>
        </w:rPr>
        <w:t>NHS England Business Plan 2013 - 2016</w:t>
      </w:r>
    </w:p>
  </w:footnote>
  <w:footnote w:id="4">
    <w:p w:rsidR="00DF2C47" w:rsidRDefault="00DF2C47">
      <w:pPr>
        <w:pStyle w:val="FootnoteText"/>
      </w:pPr>
      <w:r>
        <w:rPr>
          <w:rStyle w:val="FootnoteReference"/>
        </w:rPr>
        <w:footnoteRef/>
      </w:r>
      <w:r>
        <w:t xml:space="preserve"> The PREVENT strategy is part of the governments counter terrorism strategy and aims to respond to the ideological challenge of terrorism and the threat from those who promote it; to prevent people from being drawn into terrorism and ensure that they are given appropriate advice and support; and to work with sectors and institutions where there are risks of radicalisation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2122"/>
        </w:tabs>
        <w:ind w:left="2122" w:hanging="283"/>
      </w:pPr>
      <w:rPr>
        <w:rFonts w:ascii="Symbol" w:hAnsi="Symbol" w:cs="StarSymbol"/>
        <w:sz w:val="18"/>
        <w:szCs w:val="18"/>
      </w:rPr>
    </w:lvl>
    <w:lvl w:ilvl="1">
      <w:start w:val="1"/>
      <w:numFmt w:val="bullet"/>
      <w:lvlText w:val=""/>
      <w:lvlJc w:val="left"/>
      <w:pPr>
        <w:tabs>
          <w:tab w:val="num" w:pos="2829"/>
        </w:tabs>
        <w:ind w:left="2829" w:hanging="283"/>
      </w:pPr>
      <w:rPr>
        <w:rFonts w:ascii="Symbol" w:hAnsi="Symbol" w:cs="StarSymbol"/>
        <w:sz w:val="18"/>
        <w:szCs w:val="18"/>
      </w:rPr>
    </w:lvl>
    <w:lvl w:ilvl="2">
      <w:start w:val="1"/>
      <w:numFmt w:val="bullet"/>
      <w:lvlText w:val=""/>
      <w:lvlJc w:val="left"/>
      <w:pPr>
        <w:tabs>
          <w:tab w:val="num" w:pos="3536"/>
        </w:tabs>
        <w:ind w:left="3536" w:hanging="283"/>
      </w:pPr>
      <w:rPr>
        <w:rFonts w:ascii="Symbol" w:hAnsi="Symbol" w:cs="StarSymbol"/>
        <w:sz w:val="18"/>
        <w:szCs w:val="18"/>
      </w:rPr>
    </w:lvl>
    <w:lvl w:ilvl="3">
      <w:start w:val="1"/>
      <w:numFmt w:val="bullet"/>
      <w:lvlText w:val=""/>
      <w:lvlJc w:val="left"/>
      <w:pPr>
        <w:tabs>
          <w:tab w:val="num" w:pos="4243"/>
        </w:tabs>
        <w:ind w:left="4243" w:hanging="283"/>
      </w:pPr>
      <w:rPr>
        <w:rFonts w:ascii="Symbol" w:hAnsi="Symbol" w:cs="StarSymbol"/>
        <w:sz w:val="18"/>
        <w:szCs w:val="18"/>
      </w:rPr>
    </w:lvl>
    <w:lvl w:ilvl="4">
      <w:start w:val="1"/>
      <w:numFmt w:val="bullet"/>
      <w:lvlText w:val=""/>
      <w:lvlJc w:val="left"/>
      <w:pPr>
        <w:tabs>
          <w:tab w:val="num" w:pos="4950"/>
        </w:tabs>
        <w:ind w:left="4950" w:hanging="283"/>
      </w:pPr>
      <w:rPr>
        <w:rFonts w:ascii="Symbol" w:hAnsi="Symbol" w:cs="StarSymbol"/>
        <w:sz w:val="18"/>
        <w:szCs w:val="18"/>
      </w:rPr>
    </w:lvl>
    <w:lvl w:ilvl="5">
      <w:start w:val="1"/>
      <w:numFmt w:val="bullet"/>
      <w:lvlText w:val=""/>
      <w:lvlJc w:val="left"/>
      <w:pPr>
        <w:tabs>
          <w:tab w:val="num" w:pos="5657"/>
        </w:tabs>
        <w:ind w:left="5657" w:hanging="283"/>
      </w:pPr>
      <w:rPr>
        <w:rFonts w:ascii="Symbol" w:hAnsi="Symbol" w:cs="StarSymbol"/>
        <w:sz w:val="18"/>
        <w:szCs w:val="18"/>
      </w:rPr>
    </w:lvl>
    <w:lvl w:ilvl="6">
      <w:start w:val="1"/>
      <w:numFmt w:val="bullet"/>
      <w:lvlText w:val=""/>
      <w:lvlJc w:val="left"/>
      <w:pPr>
        <w:tabs>
          <w:tab w:val="num" w:pos="6364"/>
        </w:tabs>
        <w:ind w:left="6364" w:hanging="283"/>
      </w:pPr>
      <w:rPr>
        <w:rFonts w:ascii="Symbol" w:hAnsi="Symbol" w:cs="StarSymbol"/>
        <w:sz w:val="18"/>
        <w:szCs w:val="18"/>
      </w:rPr>
    </w:lvl>
    <w:lvl w:ilvl="7">
      <w:start w:val="1"/>
      <w:numFmt w:val="bullet"/>
      <w:lvlText w:val=""/>
      <w:lvlJc w:val="left"/>
      <w:pPr>
        <w:tabs>
          <w:tab w:val="num" w:pos="7071"/>
        </w:tabs>
        <w:ind w:left="7071" w:hanging="283"/>
      </w:pPr>
      <w:rPr>
        <w:rFonts w:ascii="Symbol" w:hAnsi="Symbol" w:cs="StarSymbol"/>
        <w:sz w:val="18"/>
        <w:szCs w:val="18"/>
      </w:rPr>
    </w:lvl>
    <w:lvl w:ilvl="8">
      <w:start w:val="1"/>
      <w:numFmt w:val="bullet"/>
      <w:lvlText w:val=""/>
      <w:lvlJc w:val="left"/>
      <w:pPr>
        <w:tabs>
          <w:tab w:val="num" w:pos="7778"/>
        </w:tabs>
        <w:ind w:left="7778" w:hanging="283"/>
      </w:pPr>
      <w:rPr>
        <w:rFonts w:ascii="Symbol" w:hAnsi="Symbol" w:cs="StarSymbol"/>
        <w:sz w:val="18"/>
        <w:szCs w:val="18"/>
      </w:rPr>
    </w:lvl>
  </w:abstractNum>
  <w:abstractNum w:abstractNumId="1">
    <w:nsid w:val="015660CD"/>
    <w:multiLevelType w:val="hybridMultilevel"/>
    <w:tmpl w:val="D52C7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1BE08D2"/>
    <w:multiLevelType w:val="hybridMultilevel"/>
    <w:tmpl w:val="311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D437D"/>
    <w:multiLevelType w:val="multilevel"/>
    <w:tmpl w:val="152CB884"/>
    <w:lvl w:ilvl="0">
      <w:start w:val="1"/>
      <w:numFmt w:val="decimal"/>
      <w:lvlText w:val="%1.0"/>
      <w:lvlJc w:val="left"/>
      <w:pPr>
        <w:tabs>
          <w:tab w:val="num" w:pos="375"/>
        </w:tabs>
        <w:ind w:left="375" w:hanging="375"/>
      </w:pPr>
      <w:rPr>
        <w:rFonts w:hint="default"/>
      </w:rPr>
    </w:lvl>
    <w:lvl w:ilvl="1">
      <w:start w:val="1"/>
      <w:numFmt w:val="bullet"/>
      <w:lvlText w:val=""/>
      <w:lvlJc w:val="left"/>
      <w:pPr>
        <w:tabs>
          <w:tab w:val="num" w:pos="1095"/>
        </w:tabs>
        <w:ind w:left="1095" w:hanging="375"/>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5CA133D"/>
    <w:multiLevelType w:val="multilevel"/>
    <w:tmpl w:val="689496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47123E"/>
    <w:multiLevelType w:val="hybridMultilevel"/>
    <w:tmpl w:val="23501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3FF1730"/>
    <w:multiLevelType w:val="hybridMultilevel"/>
    <w:tmpl w:val="1044552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256911"/>
    <w:multiLevelType w:val="hybridMultilevel"/>
    <w:tmpl w:val="099ACA8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nsid w:val="2E5107D2"/>
    <w:multiLevelType w:val="hybridMultilevel"/>
    <w:tmpl w:val="88E2DD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9">
    <w:nsid w:val="34107A0D"/>
    <w:multiLevelType w:val="hybridMultilevel"/>
    <w:tmpl w:val="1E74B25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0">
    <w:nsid w:val="42E87E79"/>
    <w:multiLevelType w:val="multilevel"/>
    <w:tmpl w:val="A322F10E"/>
    <w:lvl w:ilvl="0">
      <w:start w:val="1"/>
      <w:numFmt w:val="decimal"/>
      <w:pStyle w:val="Heading1"/>
      <w:lvlText w:val="%1.0"/>
      <w:lvlJc w:val="left"/>
      <w:pPr>
        <w:ind w:left="1494" w:hanging="360"/>
      </w:pPr>
      <w:rPr>
        <w:rFonts w:hint="default"/>
      </w:rPr>
    </w:lvl>
    <w:lvl w:ilvl="1">
      <w:start w:val="1"/>
      <w:numFmt w:val="decimal"/>
      <w:pStyle w:val="Heading2"/>
      <w:lvlText w:val="%1.%2"/>
      <w:lvlJc w:val="left"/>
      <w:pPr>
        <w:ind w:left="2214"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014" w:hanging="720"/>
      </w:pPr>
      <w:rPr>
        <w:rFonts w:hint="default"/>
      </w:rPr>
    </w:lvl>
    <w:lvl w:ilvl="4">
      <w:start w:val="1"/>
      <w:numFmt w:val="decimal"/>
      <w:lvlText w:val="%1.%2.%3.%4.%5"/>
      <w:lvlJc w:val="left"/>
      <w:pPr>
        <w:ind w:left="5094" w:hanging="1080"/>
      </w:pPr>
      <w:rPr>
        <w:rFonts w:hint="default"/>
      </w:rPr>
    </w:lvl>
    <w:lvl w:ilvl="5">
      <w:start w:val="1"/>
      <w:numFmt w:val="decimal"/>
      <w:lvlText w:val="%1.%2.%3.%4.%5.%6"/>
      <w:lvlJc w:val="left"/>
      <w:pPr>
        <w:ind w:left="5814" w:hanging="108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694" w:hanging="1800"/>
      </w:pPr>
      <w:rPr>
        <w:rFonts w:hint="default"/>
      </w:rPr>
    </w:lvl>
  </w:abstractNum>
  <w:abstractNum w:abstractNumId="11">
    <w:nsid w:val="48E409C5"/>
    <w:multiLevelType w:val="multilevel"/>
    <w:tmpl w:val="E068847C"/>
    <w:lvl w:ilvl="0">
      <w:start w:val="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A4875EB"/>
    <w:multiLevelType w:val="multilevel"/>
    <w:tmpl w:val="282449B6"/>
    <w:lvl w:ilvl="0">
      <w:start w:val="6"/>
      <w:numFmt w:val="decimal"/>
      <w:lvlText w:val="%1.0"/>
      <w:lvlJc w:val="left"/>
      <w:pPr>
        <w:ind w:left="1494" w:hanging="360"/>
      </w:pPr>
      <w:rPr>
        <w:rFonts w:hint="default"/>
      </w:rPr>
    </w:lvl>
    <w:lvl w:ilvl="1">
      <w:start w:val="1"/>
      <w:numFmt w:val="decimal"/>
      <w:lvlText w:val="%1.%2"/>
      <w:lvlJc w:val="left"/>
      <w:pPr>
        <w:ind w:left="2214"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014" w:hanging="720"/>
      </w:pPr>
      <w:rPr>
        <w:rFonts w:hint="default"/>
      </w:rPr>
    </w:lvl>
    <w:lvl w:ilvl="4">
      <w:start w:val="1"/>
      <w:numFmt w:val="decimal"/>
      <w:lvlText w:val="%1.%2.%3.%4.%5"/>
      <w:lvlJc w:val="left"/>
      <w:pPr>
        <w:ind w:left="5094" w:hanging="1080"/>
      </w:pPr>
      <w:rPr>
        <w:rFonts w:hint="default"/>
      </w:rPr>
    </w:lvl>
    <w:lvl w:ilvl="5">
      <w:start w:val="1"/>
      <w:numFmt w:val="decimal"/>
      <w:lvlText w:val="%1.%2.%3.%4.%5.%6"/>
      <w:lvlJc w:val="left"/>
      <w:pPr>
        <w:ind w:left="5814" w:hanging="108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694" w:hanging="1800"/>
      </w:pPr>
      <w:rPr>
        <w:rFonts w:hint="default"/>
      </w:rPr>
    </w:lvl>
  </w:abstractNum>
  <w:abstractNum w:abstractNumId="13">
    <w:nsid w:val="4C436E66"/>
    <w:multiLevelType w:val="hybridMultilevel"/>
    <w:tmpl w:val="039A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337807"/>
    <w:multiLevelType w:val="multilevel"/>
    <w:tmpl w:val="152CB884"/>
    <w:lvl w:ilvl="0">
      <w:start w:val="1"/>
      <w:numFmt w:val="decimal"/>
      <w:lvlText w:val="%1.0"/>
      <w:lvlJc w:val="left"/>
      <w:pPr>
        <w:tabs>
          <w:tab w:val="num" w:pos="375"/>
        </w:tabs>
        <w:ind w:left="375" w:hanging="375"/>
      </w:pPr>
      <w:rPr>
        <w:rFonts w:hint="default"/>
      </w:rPr>
    </w:lvl>
    <w:lvl w:ilvl="1">
      <w:start w:val="1"/>
      <w:numFmt w:val="bullet"/>
      <w:lvlText w:val=""/>
      <w:lvlJc w:val="left"/>
      <w:pPr>
        <w:tabs>
          <w:tab w:val="num" w:pos="1095"/>
        </w:tabs>
        <w:ind w:left="1095" w:hanging="375"/>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4DC494B"/>
    <w:multiLevelType w:val="hybridMultilevel"/>
    <w:tmpl w:val="274E2FC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7167608"/>
    <w:multiLevelType w:val="hybridMultilevel"/>
    <w:tmpl w:val="CF300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D7716EC"/>
    <w:multiLevelType w:val="multilevel"/>
    <w:tmpl w:val="224C34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7"/>
  </w:num>
  <w:num w:numId="3">
    <w:abstractNumId w:val="1"/>
  </w:num>
  <w:num w:numId="4">
    <w:abstractNumId w:val="4"/>
  </w:num>
  <w:num w:numId="5">
    <w:abstractNumId w:val="11"/>
  </w:num>
  <w:num w:numId="6">
    <w:abstractNumId w:val="3"/>
  </w:num>
  <w:num w:numId="7">
    <w:abstractNumId w:val="5"/>
  </w:num>
  <w:num w:numId="8">
    <w:abstractNumId w:val="14"/>
  </w:num>
  <w:num w:numId="9">
    <w:abstractNumId w:val="12"/>
  </w:num>
  <w:num w:numId="10">
    <w:abstractNumId w:val="2"/>
  </w:num>
  <w:num w:numId="11">
    <w:abstractNumId w:val="10"/>
  </w:num>
  <w:num w:numId="12">
    <w:abstractNumId w:val="8"/>
  </w:num>
  <w:num w:numId="13">
    <w:abstractNumId w:val="0"/>
  </w:num>
  <w:num w:numId="14">
    <w:abstractNumId w:val="17"/>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2232"/>
    <w:rsid w:val="0000383A"/>
    <w:rsid w:val="00005700"/>
    <w:rsid w:val="00006695"/>
    <w:rsid w:val="0000743D"/>
    <w:rsid w:val="0004686A"/>
    <w:rsid w:val="000474A9"/>
    <w:rsid w:val="00050CFD"/>
    <w:rsid w:val="000574D3"/>
    <w:rsid w:val="000841F4"/>
    <w:rsid w:val="00085918"/>
    <w:rsid w:val="000860B4"/>
    <w:rsid w:val="000A6C03"/>
    <w:rsid w:val="000B7FC8"/>
    <w:rsid w:val="000C4045"/>
    <w:rsid w:val="000E313F"/>
    <w:rsid w:val="000F5D57"/>
    <w:rsid w:val="000F5F05"/>
    <w:rsid w:val="00106BA0"/>
    <w:rsid w:val="00122D47"/>
    <w:rsid w:val="001251C1"/>
    <w:rsid w:val="00127ED9"/>
    <w:rsid w:val="00132579"/>
    <w:rsid w:val="001355FC"/>
    <w:rsid w:val="00140B79"/>
    <w:rsid w:val="00150AD5"/>
    <w:rsid w:val="00177255"/>
    <w:rsid w:val="00181AEB"/>
    <w:rsid w:val="00185BA1"/>
    <w:rsid w:val="001B27E3"/>
    <w:rsid w:val="001C03B9"/>
    <w:rsid w:val="001C13BB"/>
    <w:rsid w:val="001D6C48"/>
    <w:rsid w:val="00215C6C"/>
    <w:rsid w:val="0021647D"/>
    <w:rsid w:val="00222A9E"/>
    <w:rsid w:val="00240A1F"/>
    <w:rsid w:val="00241654"/>
    <w:rsid w:val="0024391D"/>
    <w:rsid w:val="0027584D"/>
    <w:rsid w:val="00282B89"/>
    <w:rsid w:val="00296252"/>
    <w:rsid w:val="002A06A3"/>
    <w:rsid w:val="002D2D29"/>
    <w:rsid w:val="002D6F18"/>
    <w:rsid w:val="002F2497"/>
    <w:rsid w:val="003036EA"/>
    <w:rsid w:val="00345DEB"/>
    <w:rsid w:val="00356B20"/>
    <w:rsid w:val="0036421F"/>
    <w:rsid w:val="003651B6"/>
    <w:rsid w:val="003758A4"/>
    <w:rsid w:val="003874AA"/>
    <w:rsid w:val="003A2492"/>
    <w:rsid w:val="003D00B5"/>
    <w:rsid w:val="00406611"/>
    <w:rsid w:val="0041661A"/>
    <w:rsid w:val="00421100"/>
    <w:rsid w:val="00427069"/>
    <w:rsid w:val="004320EF"/>
    <w:rsid w:val="00435029"/>
    <w:rsid w:val="00436428"/>
    <w:rsid w:val="00485468"/>
    <w:rsid w:val="004A298A"/>
    <w:rsid w:val="004B1CDE"/>
    <w:rsid w:val="004C5D49"/>
    <w:rsid w:val="004D6D84"/>
    <w:rsid w:val="004D7F9D"/>
    <w:rsid w:val="004E49D5"/>
    <w:rsid w:val="004F3BBF"/>
    <w:rsid w:val="004F51DA"/>
    <w:rsid w:val="00503316"/>
    <w:rsid w:val="005160A9"/>
    <w:rsid w:val="005270B8"/>
    <w:rsid w:val="00571CEA"/>
    <w:rsid w:val="00584B57"/>
    <w:rsid w:val="005C618E"/>
    <w:rsid w:val="005D5851"/>
    <w:rsid w:val="005F256E"/>
    <w:rsid w:val="00600D09"/>
    <w:rsid w:val="00616B47"/>
    <w:rsid w:val="006306C1"/>
    <w:rsid w:val="00632DC3"/>
    <w:rsid w:val="0063336A"/>
    <w:rsid w:val="00654083"/>
    <w:rsid w:val="0065544A"/>
    <w:rsid w:val="00657EC1"/>
    <w:rsid w:val="00674321"/>
    <w:rsid w:val="00686DF0"/>
    <w:rsid w:val="00692625"/>
    <w:rsid w:val="006A09A0"/>
    <w:rsid w:val="006D4E82"/>
    <w:rsid w:val="0073198A"/>
    <w:rsid w:val="007342F9"/>
    <w:rsid w:val="007500F3"/>
    <w:rsid w:val="0075414B"/>
    <w:rsid w:val="00755B65"/>
    <w:rsid w:val="0076180C"/>
    <w:rsid w:val="00770A75"/>
    <w:rsid w:val="00772393"/>
    <w:rsid w:val="007916C6"/>
    <w:rsid w:val="007A290A"/>
    <w:rsid w:val="007C2232"/>
    <w:rsid w:val="007D1CED"/>
    <w:rsid w:val="007D277E"/>
    <w:rsid w:val="007E0312"/>
    <w:rsid w:val="007E1CBE"/>
    <w:rsid w:val="007F3BCF"/>
    <w:rsid w:val="007F6C91"/>
    <w:rsid w:val="008074E2"/>
    <w:rsid w:val="008113EA"/>
    <w:rsid w:val="00817798"/>
    <w:rsid w:val="00836316"/>
    <w:rsid w:val="0084591E"/>
    <w:rsid w:val="008702BF"/>
    <w:rsid w:val="00877B12"/>
    <w:rsid w:val="008A4C98"/>
    <w:rsid w:val="008B26FE"/>
    <w:rsid w:val="008E22B6"/>
    <w:rsid w:val="008F610A"/>
    <w:rsid w:val="009031E5"/>
    <w:rsid w:val="00913305"/>
    <w:rsid w:val="00915276"/>
    <w:rsid w:val="009156B8"/>
    <w:rsid w:val="00916962"/>
    <w:rsid w:val="00935F21"/>
    <w:rsid w:val="00950E50"/>
    <w:rsid w:val="00962396"/>
    <w:rsid w:val="0098590A"/>
    <w:rsid w:val="0099699D"/>
    <w:rsid w:val="009A058D"/>
    <w:rsid w:val="009A1546"/>
    <w:rsid w:val="009A71C7"/>
    <w:rsid w:val="009C2189"/>
    <w:rsid w:val="009D1B02"/>
    <w:rsid w:val="009E38FE"/>
    <w:rsid w:val="00A06C24"/>
    <w:rsid w:val="00A16BDB"/>
    <w:rsid w:val="00A17AFB"/>
    <w:rsid w:val="00A26FF7"/>
    <w:rsid w:val="00A61574"/>
    <w:rsid w:val="00A76B37"/>
    <w:rsid w:val="00A82DAE"/>
    <w:rsid w:val="00A93BE9"/>
    <w:rsid w:val="00AB754D"/>
    <w:rsid w:val="00AC0724"/>
    <w:rsid w:val="00AD16F7"/>
    <w:rsid w:val="00AE1503"/>
    <w:rsid w:val="00AE398E"/>
    <w:rsid w:val="00B10685"/>
    <w:rsid w:val="00B22D51"/>
    <w:rsid w:val="00B31ED7"/>
    <w:rsid w:val="00B372A5"/>
    <w:rsid w:val="00B50EFE"/>
    <w:rsid w:val="00B63784"/>
    <w:rsid w:val="00B671C0"/>
    <w:rsid w:val="00B771CA"/>
    <w:rsid w:val="00B804FE"/>
    <w:rsid w:val="00B821AD"/>
    <w:rsid w:val="00B84F0F"/>
    <w:rsid w:val="00B85511"/>
    <w:rsid w:val="00B918A0"/>
    <w:rsid w:val="00BD42DA"/>
    <w:rsid w:val="00BD7D6B"/>
    <w:rsid w:val="00BE0AB6"/>
    <w:rsid w:val="00BF6024"/>
    <w:rsid w:val="00C06894"/>
    <w:rsid w:val="00C53111"/>
    <w:rsid w:val="00C650FF"/>
    <w:rsid w:val="00C80AFE"/>
    <w:rsid w:val="00C8658D"/>
    <w:rsid w:val="00C97529"/>
    <w:rsid w:val="00CA3629"/>
    <w:rsid w:val="00CC335C"/>
    <w:rsid w:val="00CC36ED"/>
    <w:rsid w:val="00CC589A"/>
    <w:rsid w:val="00CD7772"/>
    <w:rsid w:val="00CE1CC2"/>
    <w:rsid w:val="00CF3E77"/>
    <w:rsid w:val="00D0565D"/>
    <w:rsid w:val="00DA6450"/>
    <w:rsid w:val="00DC256C"/>
    <w:rsid w:val="00DC5D55"/>
    <w:rsid w:val="00DE78CB"/>
    <w:rsid w:val="00DF2C47"/>
    <w:rsid w:val="00E14E50"/>
    <w:rsid w:val="00E224EB"/>
    <w:rsid w:val="00E403CB"/>
    <w:rsid w:val="00E50D04"/>
    <w:rsid w:val="00E54C2A"/>
    <w:rsid w:val="00E64991"/>
    <w:rsid w:val="00E86201"/>
    <w:rsid w:val="00E87D6E"/>
    <w:rsid w:val="00EB03C1"/>
    <w:rsid w:val="00ED7E3F"/>
    <w:rsid w:val="00EF481F"/>
    <w:rsid w:val="00EF646A"/>
    <w:rsid w:val="00F02F08"/>
    <w:rsid w:val="00F04B07"/>
    <w:rsid w:val="00F06BE6"/>
    <w:rsid w:val="00F14192"/>
    <w:rsid w:val="00F41AF4"/>
    <w:rsid w:val="00F608CF"/>
    <w:rsid w:val="00F7365C"/>
    <w:rsid w:val="00F83372"/>
    <w:rsid w:val="00FC45EF"/>
    <w:rsid w:val="00FD5B3E"/>
    <w:rsid w:val="00FE3E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F3"/>
  </w:style>
  <w:style w:type="paragraph" w:styleId="Heading1">
    <w:name w:val="heading 1"/>
    <w:basedOn w:val="Normal"/>
    <w:next w:val="Normal"/>
    <w:link w:val="Heading1Char"/>
    <w:uiPriority w:val="9"/>
    <w:qFormat/>
    <w:rsid w:val="00817798"/>
    <w:pPr>
      <w:keepNext/>
      <w:keepLines/>
      <w:numPr>
        <w:numId w:val="11"/>
      </w:numPr>
      <w:spacing w:after="0"/>
      <w:ind w:left="567" w:hanging="567"/>
      <w:outlineLvl w:val="0"/>
    </w:pPr>
    <w:rPr>
      <w:rFonts w:eastAsiaTheme="majorEastAsia" w:cstheme="majorBidi"/>
      <w:b/>
      <w:bCs/>
      <w:sz w:val="24"/>
      <w:szCs w:val="24"/>
    </w:rPr>
  </w:style>
  <w:style w:type="paragraph" w:styleId="Heading2">
    <w:name w:val="heading 2"/>
    <w:basedOn w:val="Heading1"/>
    <w:next w:val="Normal"/>
    <w:link w:val="Heading2Char"/>
    <w:uiPriority w:val="9"/>
    <w:unhideWhenUsed/>
    <w:qFormat/>
    <w:rsid w:val="00817798"/>
    <w:pPr>
      <w:numPr>
        <w:ilvl w:val="1"/>
      </w:numPr>
      <w:ind w:left="567" w:hanging="567"/>
      <w:outlineLvl w:val="1"/>
    </w:pPr>
  </w:style>
  <w:style w:type="paragraph" w:styleId="Heading3">
    <w:name w:val="heading 3"/>
    <w:basedOn w:val="Normal"/>
    <w:next w:val="Normal"/>
    <w:link w:val="Heading3Char"/>
    <w:uiPriority w:val="9"/>
    <w:semiHidden/>
    <w:unhideWhenUsed/>
    <w:qFormat/>
    <w:rsid w:val="007723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0F"/>
    <w:rPr>
      <w:rFonts w:ascii="Tahoma" w:hAnsi="Tahoma" w:cs="Tahoma"/>
      <w:sz w:val="16"/>
      <w:szCs w:val="16"/>
    </w:rPr>
  </w:style>
  <w:style w:type="paragraph" w:customStyle="1" w:styleId="CM14">
    <w:name w:val="CM14"/>
    <w:basedOn w:val="Normal"/>
    <w:next w:val="Normal"/>
    <w:rsid w:val="00C650FF"/>
    <w:pPr>
      <w:widowControl w:val="0"/>
      <w:autoSpaceDE w:val="0"/>
      <w:autoSpaceDN w:val="0"/>
      <w:adjustRightInd w:val="0"/>
      <w:spacing w:after="0" w:line="240" w:lineRule="auto"/>
    </w:pPr>
    <w:rPr>
      <w:rFonts w:ascii="Arial" w:eastAsia="Times New Roman" w:hAnsi="Arial" w:cs="Times New Roman"/>
      <w:sz w:val="24"/>
      <w:szCs w:val="24"/>
      <w:lang w:eastAsia="en-GB"/>
    </w:rPr>
  </w:style>
  <w:style w:type="paragraph" w:customStyle="1" w:styleId="Default">
    <w:name w:val="Default"/>
    <w:rsid w:val="00C650F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436428"/>
    <w:rPr>
      <w:color w:val="0000FF"/>
      <w:u w:val="single"/>
    </w:rPr>
  </w:style>
  <w:style w:type="paragraph" w:styleId="FootnoteText">
    <w:name w:val="footnote text"/>
    <w:basedOn w:val="Normal"/>
    <w:link w:val="FootnoteTextChar"/>
    <w:uiPriority w:val="99"/>
    <w:semiHidden/>
    <w:unhideWhenUsed/>
    <w:rsid w:val="00DC2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56C"/>
    <w:rPr>
      <w:sz w:val="20"/>
      <w:szCs w:val="20"/>
    </w:rPr>
  </w:style>
  <w:style w:type="character" w:styleId="FootnoteReference">
    <w:name w:val="footnote reference"/>
    <w:basedOn w:val="DefaultParagraphFont"/>
    <w:uiPriority w:val="99"/>
    <w:semiHidden/>
    <w:unhideWhenUsed/>
    <w:rsid w:val="00DC256C"/>
    <w:rPr>
      <w:vertAlign w:val="superscript"/>
    </w:rPr>
  </w:style>
  <w:style w:type="paragraph" w:styleId="Header">
    <w:name w:val="header"/>
    <w:basedOn w:val="Normal"/>
    <w:link w:val="HeaderChar"/>
    <w:uiPriority w:val="99"/>
    <w:semiHidden/>
    <w:unhideWhenUsed/>
    <w:rsid w:val="004A29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298A"/>
  </w:style>
  <w:style w:type="paragraph" w:styleId="Footer">
    <w:name w:val="footer"/>
    <w:basedOn w:val="Normal"/>
    <w:link w:val="FooterChar"/>
    <w:uiPriority w:val="99"/>
    <w:unhideWhenUsed/>
    <w:rsid w:val="004A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98A"/>
  </w:style>
  <w:style w:type="paragraph" w:styleId="ListParagraph">
    <w:name w:val="List Paragraph"/>
    <w:basedOn w:val="Normal"/>
    <w:uiPriority w:val="34"/>
    <w:qFormat/>
    <w:rsid w:val="003874AA"/>
    <w:pPr>
      <w:ind w:left="720"/>
      <w:contextualSpacing/>
    </w:pPr>
  </w:style>
  <w:style w:type="character" w:customStyle="1" w:styleId="Heading1Char">
    <w:name w:val="Heading 1 Char"/>
    <w:basedOn w:val="DefaultParagraphFont"/>
    <w:link w:val="Heading1"/>
    <w:uiPriority w:val="9"/>
    <w:rsid w:val="00817798"/>
    <w:rPr>
      <w:rFonts w:eastAsiaTheme="majorEastAsia" w:cstheme="majorBidi"/>
      <w:b/>
      <w:bCs/>
      <w:sz w:val="24"/>
      <w:szCs w:val="24"/>
    </w:rPr>
  </w:style>
  <w:style w:type="character" w:customStyle="1" w:styleId="Heading2Char">
    <w:name w:val="Heading 2 Char"/>
    <w:basedOn w:val="DefaultParagraphFont"/>
    <w:link w:val="Heading2"/>
    <w:uiPriority w:val="9"/>
    <w:rsid w:val="00817798"/>
    <w:rPr>
      <w:rFonts w:eastAsiaTheme="majorEastAsia" w:cstheme="majorBidi"/>
      <w:b/>
      <w:bCs/>
      <w:sz w:val="24"/>
      <w:szCs w:val="24"/>
    </w:rPr>
  </w:style>
  <w:style w:type="character" w:customStyle="1" w:styleId="Heading3Char">
    <w:name w:val="Heading 3 Char"/>
    <w:basedOn w:val="DefaultParagraphFont"/>
    <w:link w:val="Heading3"/>
    <w:uiPriority w:val="9"/>
    <w:semiHidden/>
    <w:rsid w:val="0077239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772393"/>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72393"/>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04B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351492">
      <w:bodyDiv w:val="1"/>
      <w:marLeft w:val="0"/>
      <w:marRight w:val="0"/>
      <w:marTop w:val="0"/>
      <w:marBottom w:val="0"/>
      <w:divBdr>
        <w:top w:val="none" w:sz="0" w:space="0" w:color="auto"/>
        <w:left w:val="none" w:sz="0" w:space="0" w:color="auto"/>
        <w:bottom w:val="none" w:sz="0" w:space="0" w:color="auto"/>
        <w:right w:val="none" w:sz="0" w:space="0" w:color="auto"/>
      </w:divBdr>
      <w:divsChild>
        <w:div w:id="602080278">
          <w:marLeft w:val="0"/>
          <w:marRight w:val="0"/>
          <w:marTop w:val="0"/>
          <w:marBottom w:val="0"/>
          <w:divBdr>
            <w:top w:val="none" w:sz="0" w:space="0" w:color="auto"/>
            <w:left w:val="none" w:sz="0" w:space="0" w:color="auto"/>
            <w:bottom w:val="none" w:sz="0" w:space="0" w:color="auto"/>
            <w:right w:val="none" w:sz="0" w:space="0" w:color="auto"/>
          </w:divBdr>
          <w:divsChild>
            <w:div w:id="318191617">
              <w:marLeft w:val="0"/>
              <w:marRight w:val="0"/>
              <w:marTop w:val="0"/>
              <w:marBottom w:val="0"/>
              <w:divBdr>
                <w:top w:val="none" w:sz="0" w:space="0" w:color="auto"/>
                <w:left w:val="none" w:sz="0" w:space="0" w:color="auto"/>
                <w:bottom w:val="none" w:sz="0" w:space="0" w:color="auto"/>
                <w:right w:val="none" w:sz="0" w:space="0" w:color="auto"/>
              </w:divBdr>
              <w:divsChild>
                <w:div w:id="1698192911">
                  <w:marLeft w:val="0"/>
                  <w:marRight w:val="0"/>
                  <w:marTop w:val="0"/>
                  <w:marBottom w:val="0"/>
                  <w:divBdr>
                    <w:top w:val="none" w:sz="0" w:space="0" w:color="auto"/>
                    <w:left w:val="none" w:sz="0" w:space="0" w:color="auto"/>
                    <w:bottom w:val="none" w:sz="0" w:space="0" w:color="auto"/>
                    <w:right w:val="none" w:sz="0" w:space="0" w:color="auto"/>
                  </w:divBdr>
                  <w:divsChild>
                    <w:div w:id="1139305315">
                      <w:marLeft w:val="0"/>
                      <w:marRight w:val="0"/>
                      <w:marTop w:val="0"/>
                      <w:marBottom w:val="0"/>
                      <w:divBdr>
                        <w:top w:val="none" w:sz="0" w:space="0" w:color="auto"/>
                        <w:left w:val="none" w:sz="0" w:space="0" w:color="auto"/>
                        <w:bottom w:val="none" w:sz="0" w:space="0" w:color="auto"/>
                        <w:right w:val="none" w:sz="0" w:space="0" w:color="auto"/>
                      </w:divBdr>
                      <w:divsChild>
                        <w:div w:id="1291328552">
                          <w:marLeft w:val="0"/>
                          <w:marRight w:val="0"/>
                          <w:marTop w:val="0"/>
                          <w:marBottom w:val="0"/>
                          <w:divBdr>
                            <w:top w:val="none" w:sz="0" w:space="0" w:color="auto"/>
                            <w:left w:val="none" w:sz="0" w:space="0" w:color="auto"/>
                            <w:bottom w:val="none" w:sz="0" w:space="0" w:color="auto"/>
                            <w:right w:val="none" w:sz="0" w:space="0" w:color="auto"/>
                          </w:divBdr>
                          <w:divsChild>
                            <w:div w:id="1778450487">
                              <w:marLeft w:val="0"/>
                              <w:marRight w:val="0"/>
                              <w:marTop w:val="0"/>
                              <w:marBottom w:val="0"/>
                              <w:divBdr>
                                <w:top w:val="none" w:sz="0" w:space="0" w:color="auto"/>
                                <w:left w:val="none" w:sz="0" w:space="0" w:color="auto"/>
                                <w:bottom w:val="none" w:sz="0" w:space="0" w:color="auto"/>
                                <w:right w:val="none" w:sz="0" w:space="0" w:color="auto"/>
                              </w:divBdr>
                              <w:divsChild>
                                <w:div w:id="4680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7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49A5-C138-4BBF-B33D-45AC98E9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Cleaver</dc:creator>
  <cp:keywords/>
  <dc:description/>
  <cp:lastModifiedBy>justinian.habner</cp:lastModifiedBy>
  <cp:revision>2</cp:revision>
  <cp:lastPrinted>2013-04-11T14:36:00Z</cp:lastPrinted>
  <dcterms:created xsi:type="dcterms:W3CDTF">2013-07-08T11:57:00Z</dcterms:created>
  <dcterms:modified xsi:type="dcterms:W3CDTF">2013-07-08T11:57:00Z</dcterms:modified>
</cp:coreProperties>
</file>