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7E1DEC">
      <w:r w:rsidRPr="007E1DEC">
        <w:rPr>
          <w:noProof/>
          <w:sz w:val="20"/>
          <w:lang w:val="en-GB" w:eastAsia="en-GB"/>
        </w:rPr>
        <w:pict>
          <v:rect id="Rectangle 10" o:spid="_x0000_s1026" style="position:absolute;margin-left:324pt;margin-top:10.5pt;width:108pt;height:4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FD57F9" w:rsidRDefault="00FD57F9">
                  <w:pPr>
                    <w:pStyle w:val="Heading1"/>
                    <w:jc w:val="center"/>
                    <w:rPr>
                      <w:sz w:val="24"/>
                      <w:u w:val="none"/>
                    </w:rPr>
                  </w:pPr>
                  <w:r>
                    <w:rPr>
                      <w:sz w:val="24"/>
                      <w:u w:val="none"/>
                    </w:rPr>
                    <w:t>PAPER</w:t>
                  </w:r>
                </w:p>
                <w:p w:rsidR="00FD57F9" w:rsidRDefault="00CF213B">
                  <w:pPr>
                    <w:pStyle w:val="BodyText"/>
                    <w:rPr>
                      <w:sz w:val="22"/>
                    </w:rPr>
                  </w:pPr>
                  <w:r>
                    <w:rPr>
                      <w:sz w:val="22"/>
                    </w:rPr>
                    <w:t>BOD 74/2013</w:t>
                  </w:r>
                </w:p>
                <w:p w:rsidR="00FD57F9" w:rsidRPr="00CF213B" w:rsidRDefault="00CF213B">
                  <w:pPr>
                    <w:jc w:val="center"/>
                    <w:rPr>
                      <w:rFonts w:ascii="Arial" w:hAnsi="Arial" w:cs="Arial"/>
                      <w:sz w:val="20"/>
                      <w:szCs w:val="20"/>
                    </w:rPr>
                  </w:pPr>
                  <w:r>
                    <w:rPr>
                      <w:rFonts w:ascii="Arial" w:hAnsi="Arial" w:cs="Arial"/>
                      <w:sz w:val="20"/>
                      <w:szCs w:val="20"/>
                    </w:rPr>
                    <w:t>(Agenda Item: 8)</w:t>
                  </w:r>
                </w:p>
              </w:txbxContent>
            </v:textbox>
          </v:rect>
        </w:pict>
      </w:r>
    </w:p>
    <w:p w:rsidR="00CF213B" w:rsidRDefault="00CF213B"/>
    <w:p w:rsidR="00CF213B" w:rsidRDefault="00CF213B"/>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85065E" w:rsidP="00BF7008">
      <w:pPr>
        <w:ind w:left="720"/>
        <w:jc w:val="center"/>
        <w:rPr>
          <w:rFonts w:ascii="Arial" w:hAnsi="Arial" w:cs="Arial"/>
          <w:b/>
        </w:rPr>
      </w:pPr>
      <w:r>
        <w:rPr>
          <w:rFonts w:ascii="Arial" w:hAnsi="Arial" w:cs="Arial"/>
          <w:b/>
        </w:rPr>
        <w:t>26 June</w:t>
      </w:r>
      <w:r w:rsidR="003D180A">
        <w:rPr>
          <w:rFonts w:ascii="Arial" w:hAnsi="Arial" w:cs="Arial"/>
          <w:b/>
        </w:rPr>
        <w:t xml:space="preserve"> </w:t>
      </w:r>
      <w:r w:rsidR="00A04A86">
        <w:rPr>
          <w:rFonts w:ascii="Arial" w:hAnsi="Arial" w:cs="Arial"/>
          <w:b/>
        </w:rPr>
        <w:t>2013</w:t>
      </w: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Default="00DC77D3" w:rsidP="00292613">
      <w:pPr>
        <w:rPr>
          <w:rFonts w:ascii="Arial" w:hAnsi="Arial" w:cs="Arial"/>
          <w:b/>
          <w:u w:val="single"/>
        </w:rPr>
      </w:pPr>
    </w:p>
    <w:p w:rsidR="00292613" w:rsidRPr="00292613" w:rsidRDefault="00DC77D3" w:rsidP="00292613">
      <w:pPr>
        <w:rPr>
          <w:rFonts w:ascii="Arial" w:hAnsi="Arial" w:cs="Arial"/>
          <w:b/>
          <w:u w:val="single"/>
        </w:rPr>
      </w:pPr>
      <w:r>
        <w:rPr>
          <w:rFonts w:ascii="Arial" w:hAnsi="Arial" w:cs="Arial"/>
          <w:b/>
          <w:u w:val="single"/>
        </w:rPr>
        <w:t xml:space="preserve">For </w:t>
      </w:r>
      <w:r w:rsidR="004B4F48">
        <w:rPr>
          <w:rFonts w:ascii="Arial" w:hAnsi="Arial" w:cs="Arial"/>
          <w:b/>
          <w:u w:val="single"/>
        </w:rPr>
        <w:t>Information</w:t>
      </w:r>
    </w:p>
    <w:p w:rsidR="00C62DA8" w:rsidRPr="004B4F48" w:rsidRDefault="00C62DA8">
      <w:pPr>
        <w:jc w:val="both"/>
        <w:rPr>
          <w:rFonts w:ascii="Arial" w:hAnsi="Arial" w:cs="Arial"/>
        </w:rPr>
      </w:pPr>
    </w:p>
    <w:p w:rsidR="004E7C4B" w:rsidRDefault="004E7C4B" w:rsidP="00145CB6">
      <w:pPr>
        <w:pStyle w:val="NoSpacing"/>
        <w:rPr>
          <w:rFonts w:ascii="Arial" w:hAnsi="Arial" w:cs="Arial"/>
          <w:sz w:val="24"/>
          <w:szCs w:val="24"/>
        </w:rPr>
      </w:pPr>
      <w:r>
        <w:rPr>
          <w:rFonts w:ascii="Arial" w:hAnsi="Arial" w:cs="Arial"/>
          <w:sz w:val="24"/>
          <w:szCs w:val="24"/>
        </w:rPr>
        <w:t>This month’s report provides the Board with updates on</w:t>
      </w:r>
    </w:p>
    <w:p w:rsidR="00B73D11" w:rsidRDefault="00B73D11" w:rsidP="00E95373">
      <w:pPr>
        <w:pStyle w:val="NoSpacing"/>
        <w:numPr>
          <w:ilvl w:val="0"/>
          <w:numId w:val="25"/>
        </w:numPr>
        <w:rPr>
          <w:rFonts w:ascii="Arial" w:hAnsi="Arial" w:cs="Arial"/>
          <w:sz w:val="24"/>
          <w:szCs w:val="24"/>
        </w:rPr>
      </w:pPr>
      <w:r>
        <w:rPr>
          <w:rFonts w:ascii="Arial" w:hAnsi="Arial" w:cs="Arial"/>
          <w:sz w:val="24"/>
          <w:szCs w:val="24"/>
        </w:rPr>
        <w:t>DTOC</w:t>
      </w:r>
    </w:p>
    <w:p w:rsidR="00E95373" w:rsidRDefault="00E95373" w:rsidP="00E95373">
      <w:pPr>
        <w:pStyle w:val="NoSpacing"/>
        <w:numPr>
          <w:ilvl w:val="0"/>
          <w:numId w:val="25"/>
        </w:numPr>
        <w:rPr>
          <w:rFonts w:ascii="Arial" w:hAnsi="Arial" w:cs="Arial"/>
          <w:sz w:val="24"/>
          <w:szCs w:val="24"/>
        </w:rPr>
      </w:pPr>
      <w:r>
        <w:rPr>
          <w:rFonts w:ascii="Arial" w:hAnsi="Arial" w:cs="Arial"/>
          <w:sz w:val="24"/>
          <w:szCs w:val="24"/>
        </w:rPr>
        <w:t>Children’s Speech and Language Cleft and Craniofacial services</w:t>
      </w:r>
    </w:p>
    <w:p w:rsidR="00E95373" w:rsidRDefault="00E95373" w:rsidP="00E95373">
      <w:pPr>
        <w:pStyle w:val="NoSpacing"/>
        <w:numPr>
          <w:ilvl w:val="0"/>
          <w:numId w:val="25"/>
        </w:numPr>
        <w:rPr>
          <w:rFonts w:ascii="Arial" w:hAnsi="Arial" w:cs="Arial"/>
          <w:sz w:val="24"/>
          <w:szCs w:val="24"/>
        </w:rPr>
      </w:pPr>
      <w:r>
        <w:rPr>
          <w:rFonts w:ascii="Arial" w:hAnsi="Arial" w:cs="Arial"/>
          <w:sz w:val="24"/>
          <w:szCs w:val="24"/>
        </w:rPr>
        <w:t>111</w:t>
      </w:r>
    </w:p>
    <w:p w:rsidR="00E95373" w:rsidRDefault="00E95373" w:rsidP="00E95373">
      <w:pPr>
        <w:pStyle w:val="NoSpacing"/>
        <w:numPr>
          <w:ilvl w:val="0"/>
          <w:numId w:val="25"/>
        </w:numPr>
        <w:rPr>
          <w:rFonts w:ascii="Arial" w:hAnsi="Arial" w:cs="Arial"/>
          <w:sz w:val="24"/>
          <w:szCs w:val="24"/>
        </w:rPr>
      </w:pPr>
      <w:r>
        <w:rPr>
          <w:rFonts w:ascii="Arial" w:hAnsi="Arial" w:cs="Arial"/>
          <w:sz w:val="24"/>
          <w:szCs w:val="24"/>
        </w:rPr>
        <w:t>Developing services with third sector partners</w:t>
      </w:r>
    </w:p>
    <w:p w:rsidR="00B76D2F" w:rsidRDefault="00B76D2F" w:rsidP="00E95373">
      <w:pPr>
        <w:pStyle w:val="NoSpacing"/>
        <w:numPr>
          <w:ilvl w:val="0"/>
          <w:numId w:val="25"/>
        </w:numPr>
        <w:rPr>
          <w:rFonts w:ascii="Arial" w:hAnsi="Arial" w:cs="Arial"/>
          <w:sz w:val="24"/>
          <w:szCs w:val="24"/>
        </w:rPr>
      </w:pPr>
      <w:r>
        <w:rPr>
          <w:rFonts w:ascii="Arial" w:hAnsi="Arial" w:cs="Arial"/>
          <w:sz w:val="24"/>
          <w:szCs w:val="24"/>
        </w:rPr>
        <w:t>Development of Psychological Medicine Services</w:t>
      </w:r>
    </w:p>
    <w:p w:rsidR="00E95373" w:rsidRDefault="00E95373" w:rsidP="00E95373">
      <w:pPr>
        <w:pStyle w:val="NoSpacing"/>
        <w:numPr>
          <w:ilvl w:val="0"/>
          <w:numId w:val="25"/>
        </w:numPr>
        <w:rPr>
          <w:rFonts w:ascii="Arial" w:hAnsi="Arial" w:cs="Arial"/>
          <w:sz w:val="24"/>
          <w:szCs w:val="24"/>
        </w:rPr>
      </w:pPr>
      <w:r>
        <w:rPr>
          <w:rFonts w:ascii="Arial" w:hAnsi="Arial" w:cs="Arial"/>
          <w:sz w:val="24"/>
          <w:szCs w:val="24"/>
        </w:rPr>
        <w:t>Salaried Dental Service</w:t>
      </w:r>
    </w:p>
    <w:p w:rsidR="00145CB6" w:rsidRDefault="00145CB6" w:rsidP="00145CB6">
      <w:pPr>
        <w:pStyle w:val="NoSpacing"/>
        <w:rPr>
          <w:rFonts w:ascii="Arial" w:hAnsi="Arial" w:cs="Arial"/>
          <w:sz w:val="24"/>
          <w:szCs w:val="24"/>
        </w:rPr>
      </w:pPr>
    </w:p>
    <w:p w:rsidR="004B4F48" w:rsidRPr="004B4F48" w:rsidRDefault="004B4F48" w:rsidP="00DC77D3">
      <w:pPr>
        <w:pStyle w:val="NoSpacing"/>
        <w:rPr>
          <w:rFonts w:ascii="Arial" w:hAnsi="Arial" w:cs="Arial"/>
          <w:b/>
          <w:sz w:val="24"/>
          <w:szCs w:val="24"/>
        </w:rPr>
      </w:pPr>
    </w:p>
    <w:p w:rsidR="0073522A" w:rsidRPr="00B62C5D" w:rsidRDefault="0073522A" w:rsidP="004B4F48">
      <w:pPr>
        <w:pStyle w:val="NoSpacing"/>
        <w:rPr>
          <w:rFonts w:ascii="Arial" w:hAnsi="Arial" w:cs="Arial"/>
          <w:b/>
          <w:sz w:val="24"/>
          <w:szCs w:val="24"/>
        </w:rPr>
      </w:pPr>
      <w:r w:rsidRPr="00B62C5D">
        <w:rPr>
          <w:rFonts w:ascii="Arial" w:hAnsi="Arial" w:cs="Arial"/>
          <w:b/>
          <w:sz w:val="24"/>
          <w:szCs w:val="24"/>
        </w:rPr>
        <w:t>Recommendation</w:t>
      </w:r>
      <w:r w:rsidR="00DC77D3" w:rsidRPr="00B62C5D">
        <w:rPr>
          <w:rFonts w:ascii="Arial" w:hAnsi="Arial" w:cs="Arial"/>
          <w:b/>
          <w:sz w:val="24"/>
          <w:szCs w:val="24"/>
        </w:rPr>
        <w:t>s</w:t>
      </w:r>
    </w:p>
    <w:p w:rsidR="0073522A" w:rsidRDefault="0073522A" w:rsidP="0073522A">
      <w:pPr>
        <w:jc w:val="both"/>
        <w:rPr>
          <w:rFonts w:ascii="Arial" w:hAnsi="Arial" w:cs="Arial"/>
        </w:rPr>
      </w:pPr>
    </w:p>
    <w:p w:rsidR="00C62DA8" w:rsidRPr="00C62DA8" w:rsidRDefault="00C62DA8" w:rsidP="00C62DA8">
      <w:pPr>
        <w:rPr>
          <w:rFonts w:ascii="Arial" w:hAnsi="Arial" w:cs="Arial"/>
        </w:rPr>
      </w:pPr>
      <w:r>
        <w:rPr>
          <w:rFonts w:ascii="Arial" w:hAnsi="Arial" w:cs="Arial"/>
        </w:rPr>
        <w:t>The Board is</w:t>
      </w:r>
      <w:r w:rsidRPr="00C62DA8">
        <w:rPr>
          <w:rFonts w:ascii="Arial" w:hAnsi="Arial" w:cs="Arial"/>
        </w:rPr>
        <w:t xml:space="preserve"> asked to note the </w:t>
      </w:r>
      <w:r w:rsidR="00BF7008">
        <w:rPr>
          <w:rFonts w:ascii="Arial" w:hAnsi="Arial" w:cs="Arial"/>
        </w:rPr>
        <w:t>report.</w:t>
      </w:r>
    </w:p>
    <w:p w:rsidR="005D3499" w:rsidRDefault="005D3499">
      <w:pPr>
        <w:jc w:val="both"/>
        <w:rPr>
          <w:rFonts w:ascii="Arial" w:hAnsi="Arial" w:cs="Arial"/>
          <w:b/>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04A86">
        <w:rPr>
          <w:rFonts w:ascii="Arial" w:hAnsi="Arial" w:cs="Arial"/>
          <w:b/>
        </w:rPr>
        <w:t xml:space="preserve">Yvonne Taylor, </w:t>
      </w:r>
      <w:r w:rsidR="00C62DA8">
        <w:rPr>
          <w:rFonts w:ascii="Arial" w:hAnsi="Arial" w:cs="Arial"/>
          <w:b/>
        </w:rPr>
        <w:t>Chief Operating Officer</w:t>
      </w:r>
    </w:p>
    <w:p w:rsidR="0073522A" w:rsidRDefault="0073522A">
      <w:pPr>
        <w:jc w:val="both"/>
        <w:rPr>
          <w:rFonts w:ascii="Arial" w:hAnsi="Arial" w:cs="Arial"/>
          <w:b/>
        </w:rPr>
      </w:pPr>
    </w:p>
    <w:p w:rsidR="0085065E" w:rsidRDefault="009132E5" w:rsidP="003D180A">
      <w:pPr>
        <w:rPr>
          <w:rFonts w:ascii="Segoe UI" w:hAnsi="Segoe UI" w:cs="Segoe UI"/>
          <w:b/>
          <w:bCs/>
        </w:rPr>
      </w:pP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r w:rsidR="004E7C4B">
        <w:rPr>
          <w:rFonts w:ascii="Segoe UI" w:hAnsi="Segoe UI" w:cs="Segoe UI"/>
          <w:b/>
          <w:bCs/>
        </w:rPr>
        <w:br/>
      </w:r>
      <w:r w:rsidR="004E7C4B">
        <w:rPr>
          <w:rFonts w:ascii="Segoe UI" w:hAnsi="Segoe UI" w:cs="Segoe UI"/>
          <w:b/>
          <w:bCs/>
        </w:rPr>
        <w:br/>
      </w:r>
      <w:r w:rsidR="004E7C4B">
        <w:rPr>
          <w:rFonts w:ascii="Segoe UI" w:hAnsi="Segoe UI" w:cs="Segoe UI"/>
          <w:b/>
          <w:bCs/>
        </w:rPr>
        <w:br/>
      </w:r>
    </w:p>
    <w:p w:rsidR="0085065E" w:rsidRDefault="0085065E" w:rsidP="003D180A">
      <w:pPr>
        <w:rPr>
          <w:rFonts w:ascii="Segoe UI" w:hAnsi="Segoe UI" w:cs="Segoe UI"/>
          <w:b/>
          <w:bCs/>
        </w:rPr>
      </w:pPr>
    </w:p>
    <w:p w:rsidR="0085065E" w:rsidRDefault="0085065E" w:rsidP="003D180A">
      <w:pPr>
        <w:rPr>
          <w:rFonts w:ascii="Segoe UI" w:hAnsi="Segoe UI" w:cs="Segoe UI"/>
          <w:b/>
          <w:bCs/>
        </w:rPr>
      </w:pPr>
    </w:p>
    <w:p w:rsidR="00B76D2F" w:rsidRDefault="00B76D2F" w:rsidP="00B76D2F">
      <w:pPr>
        <w:pStyle w:val="ListParagraph"/>
        <w:numPr>
          <w:ilvl w:val="0"/>
          <w:numId w:val="27"/>
        </w:numPr>
        <w:tabs>
          <w:tab w:val="left" w:pos="807"/>
        </w:tabs>
        <w:rPr>
          <w:rFonts w:ascii="Arial" w:hAnsi="Arial" w:cs="Arial"/>
          <w:b/>
          <w:sz w:val="22"/>
          <w:szCs w:val="22"/>
          <w:lang w:val="en-GB"/>
        </w:rPr>
      </w:pPr>
      <w:r w:rsidRPr="00B76D2F">
        <w:rPr>
          <w:rFonts w:ascii="Arial" w:hAnsi="Arial" w:cs="Arial"/>
          <w:b/>
          <w:sz w:val="22"/>
          <w:szCs w:val="22"/>
          <w:lang w:val="en-GB"/>
        </w:rPr>
        <w:t>DTOC</w:t>
      </w:r>
      <w:r>
        <w:rPr>
          <w:rFonts w:ascii="Arial" w:hAnsi="Arial" w:cs="Arial"/>
          <w:b/>
          <w:sz w:val="22"/>
          <w:szCs w:val="22"/>
          <w:lang w:val="en-GB"/>
        </w:rPr>
        <w:br/>
      </w:r>
    </w:p>
    <w:p w:rsidR="009132E5" w:rsidRDefault="00B73D11" w:rsidP="00B76D2F">
      <w:pPr>
        <w:pStyle w:val="ListParagraph"/>
        <w:tabs>
          <w:tab w:val="left" w:pos="807"/>
        </w:tabs>
        <w:ind w:left="0"/>
        <w:rPr>
          <w:rFonts w:ascii="Arial" w:hAnsi="Arial" w:cs="Arial"/>
          <w:sz w:val="22"/>
          <w:szCs w:val="22"/>
          <w:lang w:val="en-GB"/>
        </w:rPr>
      </w:pPr>
      <w:r>
        <w:rPr>
          <w:rFonts w:ascii="Arial" w:hAnsi="Arial" w:cs="Arial"/>
          <w:sz w:val="22"/>
          <w:szCs w:val="22"/>
          <w:lang w:val="en-GB"/>
        </w:rPr>
        <w:t xml:space="preserve">Unfortunately </w:t>
      </w:r>
      <w:r w:rsidR="00B76D2F">
        <w:rPr>
          <w:rFonts w:ascii="Arial" w:hAnsi="Arial" w:cs="Arial"/>
          <w:sz w:val="22"/>
          <w:szCs w:val="22"/>
          <w:lang w:val="en-GB"/>
        </w:rPr>
        <w:t xml:space="preserve">DTOC numbers </w:t>
      </w:r>
      <w:r>
        <w:rPr>
          <w:rFonts w:ascii="Arial" w:hAnsi="Arial" w:cs="Arial"/>
          <w:sz w:val="22"/>
          <w:szCs w:val="22"/>
          <w:lang w:val="en-GB"/>
        </w:rPr>
        <w:t xml:space="preserve">still </w:t>
      </w:r>
      <w:r w:rsidR="00B76D2F">
        <w:rPr>
          <w:rFonts w:ascii="Arial" w:hAnsi="Arial" w:cs="Arial"/>
          <w:sz w:val="22"/>
          <w:szCs w:val="22"/>
          <w:lang w:val="en-GB"/>
        </w:rPr>
        <w:t>remain too high – 1</w:t>
      </w:r>
      <w:r>
        <w:rPr>
          <w:rFonts w:ascii="Arial" w:hAnsi="Arial" w:cs="Arial"/>
          <w:sz w:val="22"/>
          <w:szCs w:val="22"/>
          <w:lang w:val="en-GB"/>
        </w:rPr>
        <w:t xml:space="preserve">49 reported for the month of April 2013.  </w:t>
      </w:r>
      <w:r w:rsidR="009132E5">
        <w:rPr>
          <w:rFonts w:ascii="Arial" w:hAnsi="Arial" w:cs="Arial"/>
          <w:sz w:val="22"/>
          <w:szCs w:val="22"/>
          <w:lang w:val="en-GB"/>
        </w:rPr>
        <w:t>However pressure on the system has reduced and the Trust over the past weeks we have had increasing numbers of community beds available on a daily basis which we have been unable to fill due to a number of patients being declared as delayed transfers of care who are in fact not ready to leave hospital.  We have also had an increasing number of delays of patients in community hospitals,</w:t>
      </w:r>
      <w:r w:rsidR="009132E5">
        <w:rPr>
          <w:rFonts w:ascii="Arial" w:hAnsi="Arial" w:cs="Arial"/>
          <w:sz w:val="22"/>
          <w:szCs w:val="22"/>
          <w:lang w:val="en-GB"/>
        </w:rPr>
        <w:br/>
      </w:r>
    </w:p>
    <w:p w:rsidR="00B73D11" w:rsidRDefault="00B73D11" w:rsidP="00B76D2F">
      <w:pPr>
        <w:pStyle w:val="ListParagraph"/>
        <w:tabs>
          <w:tab w:val="left" w:pos="807"/>
        </w:tabs>
        <w:ind w:left="0"/>
        <w:rPr>
          <w:rFonts w:ascii="Arial" w:hAnsi="Arial" w:cs="Arial"/>
          <w:sz w:val="22"/>
          <w:szCs w:val="22"/>
          <w:lang w:val="en-GB"/>
        </w:rPr>
      </w:pPr>
      <w:r>
        <w:rPr>
          <w:rFonts w:ascii="Arial" w:hAnsi="Arial" w:cs="Arial"/>
          <w:sz w:val="22"/>
          <w:szCs w:val="22"/>
          <w:lang w:val="en-GB"/>
        </w:rPr>
        <w:t>A number of actions are being taken</w:t>
      </w:r>
      <w:r w:rsidR="00DD6675">
        <w:rPr>
          <w:rFonts w:ascii="Arial" w:hAnsi="Arial" w:cs="Arial"/>
          <w:sz w:val="22"/>
          <w:szCs w:val="22"/>
          <w:lang w:val="en-GB"/>
        </w:rPr>
        <w:t xml:space="preserve"> to address these issues</w:t>
      </w:r>
      <w:bookmarkStart w:id="0" w:name="_GoBack"/>
      <w:bookmarkEnd w:id="0"/>
      <w:r>
        <w:rPr>
          <w:rFonts w:ascii="Arial" w:hAnsi="Arial" w:cs="Arial"/>
          <w:sz w:val="22"/>
          <w:szCs w:val="22"/>
          <w:lang w:val="en-GB"/>
        </w:rPr>
        <w:t>:</w:t>
      </w:r>
    </w:p>
    <w:p w:rsidR="00B73D11" w:rsidRPr="00B73D11" w:rsidRDefault="00B73D11" w:rsidP="00B73D11">
      <w:pPr>
        <w:pStyle w:val="ListParagraph"/>
        <w:numPr>
          <w:ilvl w:val="0"/>
          <w:numId w:val="2"/>
        </w:numPr>
        <w:tabs>
          <w:tab w:val="left" w:pos="807"/>
        </w:tabs>
        <w:rPr>
          <w:rFonts w:ascii="Arial" w:hAnsi="Arial" w:cs="Arial"/>
          <w:b/>
          <w:sz w:val="22"/>
          <w:szCs w:val="22"/>
          <w:lang w:val="en-GB"/>
        </w:rPr>
      </w:pPr>
      <w:r>
        <w:rPr>
          <w:rFonts w:ascii="Arial" w:hAnsi="Arial" w:cs="Arial"/>
          <w:sz w:val="22"/>
          <w:szCs w:val="22"/>
          <w:lang w:val="en-GB"/>
        </w:rPr>
        <w:t>Continue to improve consistent use of the discharge pathway</w:t>
      </w:r>
      <w:r w:rsidR="009132E5">
        <w:rPr>
          <w:rFonts w:ascii="Arial" w:hAnsi="Arial" w:cs="Arial"/>
          <w:sz w:val="22"/>
          <w:szCs w:val="22"/>
          <w:lang w:val="en-GB"/>
        </w:rPr>
        <w:t xml:space="preserve"> across OUH, OH and OCC</w:t>
      </w:r>
    </w:p>
    <w:p w:rsidR="00B73D11" w:rsidRPr="00B73D11" w:rsidRDefault="00B73D11" w:rsidP="00B73D11">
      <w:pPr>
        <w:pStyle w:val="ListParagraph"/>
        <w:numPr>
          <w:ilvl w:val="0"/>
          <w:numId w:val="2"/>
        </w:numPr>
        <w:tabs>
          <w:tab w:val="left" w:pos="807"/>
        </w:tabs>
        <w:rPr>
          <w:rFonts w:ascii="Arial" w:hAnsi="Arial" w:cs="Arial"/>
          <w:b/>
          <w:sz w:val="22"/>
          <w:szCs w:val="22"/>
          <w:lang w:val="en-GB"/>
        </w:rPr>
      </w:pPr>
      <w:r>
        <w:rPr>
          <w:rFonts w:ascii="Arial" w:hAnsi="Arial" w:cs="Arial"/>
          <w:sz w:val="22"/>
          <w:szCs w:val="22"/>
          <w:lang w:val="en-GB"/>
        </w:rPr>
        <w:t xml:space="preserve">Review </w:t>
      </w:r>
      <w:r w:rsidR="009132E5">
        <w:rPr>
          <w:rFonts w:ascii="Arial" w:hAnsi="Arial" w:cs="Arial"/>
          <w:sz w:val="22"/>
          <w:szCs w:val="22"/>
          <w:lang w:val="en-GB"/>
        </w:rPr>
        <w:t xml:space="preserve">with social care </w:t>
      </w:r>
      <w:r>
        <w:rPr>
          <w:rFonts w:ascii="Arial" w:hAnsi="Arial" w:cs="Arial"/>
          <w:sz w:val="22"/>
          <w:szCs w:val="22"/>
          <w:lang w:val="en-GB"/>
        </w:rPr>
        <w:t xml:space="preserve">of patients waiting 7, 14 and 21 days </w:t>
      </w:r>
      <w:r w:rsidR="009132E5">
        <w:rPr>
          <w:rFonts w:ascii="Arial" w:hAnsi="Arial" w:cs="Arial"/>
          <w:sz w:val="22"/>
          <w:szCs w:val="22"/>
          <w:lang w:val="en-GB"/>
        </w:rPr>
        <w:t>in community hospitals</w:t>
      </w:r>
    </w:p>
    <w:p w:rsidR="00B73D11" w:rsidRPr="00B73D11" w:rsidRDefault="00B73D11" w:rsidP="00B73D11">
      <w:pPr>
        <w:pStyle w:val="ListParagraph"/>
        <w:numPr>
          <w:ilvl w:val="0"/>
          <w:numId w:val="2"/>
        </w:numPr>
        <w:tabs>
          <w:tab w:val="left" w:pos="807"/>
        </w:tabs>
        <w:rPr>
          <w:rFonts w:ascii="Arial" w:hAnsi="Arial" w:cs="Arial"/>
          <w:b/>
          <w:sz w:val="22"/>
          <w:szCs w:val="22"/>
          <w:lang w:val="en-GB"/>
        </w:rPr>
      </w:pPr>
      <w:r>
        <w:rPr>
          <w:rFonts w:ascii="Arial" w:hAnsi="Arial" w:cs="Arial"/>
          <w:sz w:val="22"/>
          <w:szCs w:val="22"/>
          <w:lang w:val="en-GB"/>
        </w:rPr>
        <w:t xml:space="preserve">Demand and capacity modelling </w:t>
      </w:r>
      <w:r w:rsidR="009132E5">
        <w:rPr>
          <w:rFonts w:ascii="Arial" w:hAnsi="Arial" w:cs="Arial"/>
          <w:sz w:val="22"/>
          <w:szCs w:val="22"/>
          <w:lang w:val="en-GB"/>
        </w:rPr>
        <w:t>across the system.</w:t>
      </w:r>
    </w:p>
    <w:p w:rsidR="00B73D11" w:rsidRPr="009132E5" w:rsidRDefault="00B73D11" w:rsidP="00B73D11">
      <w:pPr>
        <w:pStyle w:val="ListParagraph"/>
        <w:numPr>
          <w:ilvl w:val="0"/>
          <w:numId w:val="2"/>
        </w:numPr>
        <w:tabs>
          <w:tab w:val="left" w:pos="807"/>
        </w:tabs>
        <w:rPr>
          <w:rFonts w:ascii="Arial" w:hAnsi="Arial" w:cs="Arial"/>
          <w:b/>
          <w:sz w:val="22"/>
          <w:szCs w:val="22"/>
          <w:lang w:val="en-GB"/>
        </w:rPr>
      </w:pPr>
      <w:r>
        <w:rPr>
          <w:rFonts w:ascii="Arial" w:hAnsi="Arial" w:cs="Arial"/>
          <w:sz w:val="22"/>
          <w:szCs w:val="22"/>
          <w:lang w:val="en-GB"/>
        </w:rPr>
        <w:t>Development of capability and capacity (interface medicine and emergency multi-disciplinary assessment units)</w:t>
      </w:r>
      <w:r w:rsidR="009132E5">
        <w:rPr>
          <w:rFonts w:ascii="Arial" w:hAnsi="Arial" w:cs="Arial"/>
          <w:sz w:val="22"/>
          <w:szCs w:val="22"/>
          <w:lang w:val="en-GB"/>
        </w:rPr>
        <w:t>.</w:t>
      </w:r>
    </w:p>
    <w:p w:rsidR="009132E5" w:rsidRPr="009132E5" w:rsidRDefault="009132E5" w:rsidP="009132E5">
      <w:pPr>
        <w:tabs>
          <w:tab w:val="left" w:pos="807"/>
        </w:tabs>
        <w:rPr>
          <w:rFonts w:ascii="Arial" w:hAnsi="Arial" w:cs="Arial"/>
          <w:b/>
          <w:sz w:val="22"/>
          <w:szCs w:val="22"/>
          <w:lang w:val="en-GB"/>
        </w:rPr>
      </w:pPr>
    </w:p>
    <w:p w:rsidR="00B73D11" w:rsidRDefault="00B73D11" w:rsidP="00B73D11">
      <w:pPr>
        <w:pStyle w:val="ListParagraph"/>
        <w:tabs>
          <w:tab w:val="left" w:pos="807"/>
        </w:tabs>
        <w:ind w:left="1440"/>
        <w:rPr>
          <w:rFonts w:ascii="Arial" w:hAnsi="Arial" w:cs="Arial"/>
          <w:sz w:val="22"/>
          <w:szCs w:val="22"/>
          <w:lang w:val="en-GB"/>
        </w:rPr>
      </w:pPr>
    </w:p>
    <w:p w:rsidR="0085065E" w:rsidRPr="00B76D2F" w:rsidRDefault="0085065E" w:rsidP="00B76D2F">
      <w:pPr>
        <w:pStyle w:val="ListParagraph"/>
        <w:numPr>
          <w:ilvl w:val="0"/>
          <w:numId w:val="27"/>
        </w:numPr>
        <w:tabs>
          <w:tab w:val="left" w:pos="807"/>
        </w:tabs>
        <w:rPr>
          <w:lang w:val="en-GB"/>
        </w:rPr>
      </w:pPr>
      <w:r w:rsidRPr="00B76D2F">
        <w:rPr>
          <w:rFonts w:ascii="Arial" w:hAnsi="Arial" w:cs="Arial"/>
          <w:b/>
          <w:sz w:val="22"/>
          <w:szCs w:val="22"/>
          <w:lang w:val="en-GB"/>
        </w:rPr>
        <w:t>Speech and Language Therapy (SLT) – Cleft and Craniofacial Services 2012-13</w:t>
      </w:r>
      <w:r w:rsidRPr="00B76D2F">
        <w:rPr>
          <w:rFonts w:ascii="Arial" w:hAnsi="Arial" w:cs="Arial"/>
          <w:b/>
          <w:sz w:val="22"/>
          <w:szCs w:val="22"/>
          <w:lang w:val="en-GB"/>
        </w:rPr>
        <w:br/>
      </w:r>
    </w:p>
    <w:p w:rsidR="0085065E" w:rsidRPr="00F645E7" w:rsidRDefault="0085065E" w:rsidP="00437616">
      <w:pPr>
        <w:tabs>
          <w:tab w:val="left" w:pos="807"/>
        </w:tabs>
        <w:rPr>
          <w:rFonts w:ascii="Arial" w:hAnsi="Arial" w:cs="Arial"/>
          <w:sz w:val="20"/>
          <w:szCs w:val="20"/>
          <w:lang w:val="en-GB"/>
        </w:rPr>
      </w:pPr>
      <w:r w:rsidRPr="00EC1BF4">
        <w:rPr>
          <w:rFonts w:ascii="Arial" w:hAnsi="Arial" w:cs="Arial"/>
          <w:sz w:val="22"/>
          <w:szCs w:val="22"/>
          <w:lang w:val="en-GB"/>
        </w:rPr>
        <w:t xml:space="preserve">The specialist SLT team is based at the Children’s Hospital, Oxford. The team </w:t>
      </w:r>
      <w:r w:rsidR="00BB2DF8">
        <w:rPr>
          <w:rFonts w:ascii="Arial" w:hAnsi="Arial" w:cs="Arial"/>
          <w:sz w:val="22"/>
          <w:szCs w:val="22"/>
          <w:lang w:val="en-GB"/>
        </w:rPr>
        <w:t>(2.9 WTE)</w:t>
      </w:r>
      <w:r w:rsidRPr="00EC1BF4">
        <w:rPr>
          <w:rFonts w:ascii="Arial" w:hAnsi="Arial" w:cs="Arial"/>
          <w:sz w:val="22"/>
          <w:szCs w:val="22"/>
          <w:lang w:val="en-GB"/>
        </w:rPr>
        <w:t xml:space="preserve"> provide consistent and flexible SLT to both cleft and craniofacial services and work closely with colleagues in multidisciplinary teams as well as with community SLT services.</w:t>
      </w:r>
      <w:r w:rsidR="00BB2DF8">
        <w:rPr>
          <w:rFonts w:ascii="Arial" w:hAnsi="Arial" w:cs="Arial"/>
          <w:sz w:val="22"/>
          <w:szCs w:val="22"/>
          <w:lang w:val="en-GB"/>
        </w:rPr>
        <w:br/>
      </w:r>
    </w:p>
    <w:p w:rsidR="0085065E" w:rsidRPr="00EC1BF4" w:rsidRDefault="00BB2DF8" w:rsidP="00437616">
      <w:pPr>
        <w:pStyle w:val="Heading1"/>
        <w:rPr>
          <w:rFonts w:cs="Arial"/>
          <w:bCs/>
          <w:sz w:val="22"/>
          <w:szCs w:val="22"/>
        </w:rPr>
      </w:pPr>
      <w:r>
        <w:rPr>
          <w:rFonts w:cs="Arial"/>
          <w:b w:val="0"/>
          <w:bCs/>
          <w:sz w:val="22"/>
          <w:szCs w:val="22"/>
          <w:u w:val="none"/>
        </w:rPr>
        <w:t>A key</w:t>
      </w:r>
      <w:r w:rsidR="0085065E" w:rsidRPr="0085065E">
        <w:rPr>
          <w:rFonts w:cs="Arial"/>
          <w:b w:val="0"/>
          <w:bCs/>
          <w:sz w:val="22"/>
          <w:szCs w:val="22"/>
          <w:u w:val="none"/>
        </w:rPr>
        <w:t xml:space="preserve"> achievement </w:t>
      </w:r>
      <w:r>
        <w:rPr>
          <w:rFonts w:cs="Arial"/>
          <w:b w:val="0"/>
          <w:bCs/>
          <w:sz w:val="22"/>
          <w:szCs w:val="22"/>
          <w:u w:val="none"/>
        </w:rPr>
        <w:t>in</w:t>
      </w:r>
      <w:r w:rsidR="0085065E" w:rsidRPr="0085065E">
        <w:rPr>
          <w:rFonts w:cs="Arial"/>
          <w:b w:val="0"/>
          <w:bCs/>
          <w:sz w:val="22"/>
          <w:szCs w:val="22"/>
          <w:u w:val="none"/>
        </w:rPr>
        <w:t xml:space="preserve"> 2012 was to complete a therapy book which </w:t>
      </w:r>
      <w:r>
        <w:rPr>
          <w:rFonts w:cs="Arial"/>
          <w:b w:val="0"/>
          <w:bCs/>
          <w:sz w:val="22"/>
          <w:szCs w:val="22"/>
          <w:u w:val="none"/>
        </w:rPr>
        <w:t>will be published</w:t>
      </w:r>
      <w:r w:rsidR="00437616">
        <w:rPr>
          <w:rFonts w:cs="Arial"/>
          <w:b w:val="0"/>
          <w:bCs/>
          <w:sz w:val="22"/>
          <w:szCs w:val="22"/>
          <w:u w:val="none"/>
        </w:rPr>
        <w:t xml:space="preserve"> in </w:t>
      </w:r>
      <w:r w:rsidR="0085065E" w:rsidRPr="0085065E">
        <w:rPr>
          <w:rFonts w:cs="Arial"/>
          <w:b w:val="0"/>
          <w:bCs/>
          <w:sz w:val="22"/>
          <w:szCs w:val="22"/>
          <w:u w:val="none"/>
        </w:rPr>
        <w:t>2013, by J&amp;R Press. The</w:t>
      </w:r>
      <w:r>
        <w:rPr>
          <w:rFonts w:cs="Arial"/>
          <w:b w:val="0"/>
          <w:bCs/>
          <w:sz w:val="22"/>
          <w:szCs w:val="22"/>
          <w:u w:val="none"/>
        </w:rPr>
        <w:t>ir book is</w:t>
      </w:r>
      <w:r w:rsidR="0085065E" w:rsidRPr="0085065E">
        <w:rPr>
          <w:rFonts w:cs="Arial"/>
          <w:b w:val="0"/>
          <w:bCs/>
          <w:sz w:val="22"/>
          <w:szCs w:val="22"/>
          <w:u w:val="none"/>
        </w:rPr>
        <w:t xml:space="preserve"> a high quality practical and accessible handbook of evidence-based practice for the assessment and management of speech disorders relating to cleft palate. All members of the team contributed, covering topics ranging from early intervention, hearing, voice, feeding and working with complex children. More details can be found</w:t>
      </w:r>
      <w:r w:rsidR="0085065E" w:rsidRPr="00EC1BF4">
        <w:rPr>
          <w:rFonts w:cs="Arial"/>
          <w:bCs/>
          <w:sz w:val="22"/>
          <w:szCs w:val="22"/>
        </w:rPr>
        <w:t xml:space="preserve"> </w:t>
      </w:r>
      <w:r w:rsidR="0085065E" w:rsidRPr="0085065E">
        <w:rPr>
          <w:rFonts w:cs="Arial"/>
          <w:b w:val="0"/>
          <w:bCs/>
          <w:sz w:val="22"/>
          <w:szCs w:val="22"/>
          <w:u w:val="none"/>
        </w:rPr>
        <w:t>at</w:t>
      </w:r>
      <w:r w:rsidR="0085065E" w:rsidRPr="00EC1BF4">
        <w:rPr>
          <w:rFonts w:cs="Arial"/>
          <w:bCs/>
          <w:sz w:val="22"/>
          <w:szCs w:val="22"/>
        </w:rPr>
        <w:t xml:space="preserve">: </w:t>
      </w:r>
      <w:hyperlink r:id="rId8" w:history="1">
        <w:r w:rsidR="0085065E" w:rsidRPr="00EC1BF4">
          <w:rPr>
            <w:rStyle w:val="Hyperlink"/>
            <w:rFonts w:cs="Arial"/>
            <w:bCs/>
            <w:sz w:val="22"/>
            <w:szCs w:val="22"/>
          </w:rPr>
          <w:t>http://www.jr-press.co.uk/speech-therapy-cleft-palate-velopharyngeal-dysfunction.html</w:t>
        </w:r>
      </w:hyperlink>
    </w:p>
    <w:p w:rsidR="0085065E" w:rsidRPr="00EC1BF4" w:rsidRDefault="0085065E" w:rsidP="0085065E">
      <w:pPr>
        <w:rPr>
          <w:rFonts w:ascii="Arial" w:hAnsi="Arial" w:cs="Arial"/>
          <w:sz w:val="22"/>
          <w:szCs w:val="22"/>
        </w:rPr>
      </w:pPr>
    </w:p>
    <w:p w:rsidR="0085065E" w:rsidRPr="00EC1BF4" w:rsidRDefault="0085065E" w:rsidP="00437616">
      <w:pPr>
        <w:rPr>
          <w:rFonts w:ascii="Arial" w:hAnsi="Arial" w:cs="Arial"/>
          <w:sz w:val="22"/>
          <w:szCs w:val="22"/>
        </w:rPr>
      </w:pPr>
      <w:r w:rsidRPr="00EC1BF4">
        <w:rPr>
          <w:rFonts w:ascii="Arial" w:hAnsi="Arial" w:cs="Arial"/>
          <w:sz w:val="22"/>
          <w:szCs w:val="22"/>
        </w:rPr>
        <w:t>There have been a number of</w:t>
      </w:r>
      <w:r w:rsidR="00BB2DF8">
        <w:rPr>
          <w:rFonts w:ascii="Arial" w:hAnsi="Arial" w:cs="Arial"/>
          <w:sz w:val="22"/>
          <w:szCs w:val="22"/>
        </w:rPr>
        <w:t xml:space="preserve"> other</w:t>
      </w:r>
      <w:r w:rsidRPr="00EC1BF4">
        <w:rPr>
          <w:rFonts w:ascii="Arial" w:hAnsi="Arial" w:cs="Arial"/>
          <w:sz w:val="22"/>
          <w:szCs w:val="22"/>
        </w:rPr>
        <w:t xml:space="preserve"> positive developments during 2012:</w:t>
      </w:r>
    </w:p>
    <w:p w:rsidR="0085065E" w:rsidRPr="00EC1BF4" w:rsidRDefault="0085065E" w:rsidP="0085065E">
      <w:pPr>
        <w:ind w:left="-540"/>
        <w:rPr>
          <w:rFonts w:ascii="Arial" w:hAnsi="Arial" w:cs="Arial"/>
          <w:sz w:val="22"/>
          <w:szCs w:val="22"/>
        </w:rPr>
      </w:pPr>
    </w:p>
    <w:p w:rsidR="0085065E" w:rsidRPr="00BB2DF8" w:rsidRDefault="0085065E" w:rsidP="00BB2DF8">
      <w:pPr>
        <w:pStyle w:val="ListParagraph"/>
        <w:numPr>
          <w:ilvl w:val="0"/>
          <w:numId w:val="2"/>
        </w:numPr>
        <w:ind w:left="360"/>
        <w:rPr>
          <w:rFonts w:ascii="Arial" w:hAnsi="Arial" w:cs="Arial"/>
          <w:sz w:val="22"/>
          <w:szCs w:val="22"/>
        </w:rPr>
      </w:pPr>
      <w:r w:rsidRPr="00BB2DF8">
        <w:rPr>
          <w:rFonts w:ascii="Arial" w:hAnsi="Arial" w:cs="Arial"/>
          <w:sz w:val="22"/>
          <w:szCs w:val="22"/>
        </w:rPr>
        <w:t>The protocol for prosthetic treatment has been finalised. This describes the service available for patients who may benefit from a dental p</w:t>
      </w:r>
      <w:r w:rsidR="00BB2DF8" w:rsidRPr="00BB2DF8">
        <w:rPr>
          <w:rFonts w:ascii="Arial" w:hAnsi="Arial" w:cs="Arial"/>
          <w:sz w:val="22"/>
          <w:szCs w:val="22"/>
        </w:rPr>
        <w:t xml:space="preserve">rosthesis to address persistant </w:t>
      </w:r>
      <w:r w:rsidRPr="00BB2DF8">
        <w:rPr>
          <w:rFonts w:ascii="Arial" w:hAnsi="Arial" w:cs="Arial"/>
          <w:sz w:val="22"/>
          <w:szCs w:val="22"/>
        </w:rPr>
        <w:t>speech difficulties related to palate dysfunction. This is jointly provided by the consultant orthodontist/restorative dentist with the SLT team and technician support. It is hoped that this specialist service may also be extended to meet the needs of other patients, referred on a tertiary basis</w:t>
      </w:r>
      <w:r w:rsidR="00BB2DF8" w:rsidRPr="00BB2DF8">
        <w:rPr>
          <w:rFonts w:ascii="Arial" w:hAnsi="Arial" w:cs="Arial"/>
          <w:sz w:val="22"/>
          <w:szCs w:val="22"/>
        </w:rPr>
        <w:t>.</w:t>
      </w:r>
    </w:p>
    <w:p w:rsidR="0085065E" w:rsidRPr="00EC1BF4" w:rsidRDefault="0085065E" w:rsidP="00BB2DF8">
      <w:pPr>
        <w:rPr>
          <w:rFonts w:ascii="Arial" w:hAnsi="Arial" w:cs="Arial"/>
          <w:sz w:val="22"/>
          <w:szCs w:val="22"/>
        </w:rPr>
      </w:pPr>
    </w:p>
    <w:p w:rsidR="0085065E" w:rsidRPr="00BB2DF8" w:rsidRDefault="0085065E" w:rsidP="00BB2DF8">
      <w:pPr>
        <w:pStyle w:val="ListParagraph"/>
        <w:numPr>
          <w:ilvl w:val="0"/>
          <w:numId w:val="2"/>
        </w:numPr>
        <w:ind w:left="360"/>
        <w:rPr>
          <w:rFonts w:ascii="Arial" w:hAnsi="Arial" w:cs="Arial"/>
          <w:sz w:val="22"/>
          <w:szCs w:val="22"/>
        </w:rPr>
      </w:pPr>
      <w:r w:rsidRPr="00BB2DF8">
        <w:rPr>
          <w:rFonts w:ascii="Arial" w:hAnsi="Arial" w:cs="Arial"/>
          <w:sz w:val="22"/>
          <w:szCs w:val="22"/>
        </w:rPr>
        <w:t>The patient group directive for SLTs to carry out nasendoscopy has been finalised. This allows appropriately trained SLTs to administer nasal anaesthetic for nasendoscopic examination of palate function for speech. This means that patients can be seen more quickly at clinics led by the SLT team, when the consultant surgeon is not available.</w:t>
      </w:r>
    </w:p>
    <w:p w:rsidR="0085065E" w:rsidRPr="00EC1BF4" w:rsidRDefault="0085065E" w:rsidP="00BB2DF8">
      <w:pPr>
        <w:rPr>
          <w:rFonts w:ascii="Arial" w:hAnsi="Arial" w:cs="Arial"/>
          <w:sz w:val="22"/>
          <w:szCs w:val="22"/>
        </w:rPr>
      </w:pPr>
    </w:p>
    <w:p w:rsidR="0085065E" w:rsidRPr="00BB2DF8" w:rsidRDefault="00BB2DF8" w:rsidP="00BB2DF8">
      <w:pPr>
        <w:pStyle w:val="ListParagraph"/>
        <w:numPr>
          <w:ilvl w:val="0"/>
          <w:numId w:val="2"/>
        </w:numPr>
        <w:ind w:left="360"/>
        <w:rPr>
          <w:rFonts w:ascii="Arial" w:hAnsi="Arial" w:cs="Arial"/>
          <w:sz w:val="22"/>
          <w:szCs w:val="22"/>
          <w:lang w:val="en-GB"/>
        </w:rPr>
      </w:pPr>
      <w:r w:rsidRPr="00BB2DF8">
        <w:rPr>
          <w:rFonts w:ascii="Arial" w:hAnsi="Arial" w:cs="Arial"/>
          <w:sz w:val="22"/>
          <w:szCs w:val="22"/>
        </w:rPr>
        <w:lastRenderedPageBreak/>
        <w:t>C</w:t>
      </w:r>
      <w:r w:rsidR="0085065E" w:rsidRPr="00BB2DF8">
        <w:rPr>
          <w:rFonts w:ascii="Arial" w:hAnsi="Arial" w:cs="Arial"/>
          <w:sz w:val="22"/>
          <w:szCs w:val="22"/>
        </w:rPr>
        <w:t>haritable donation</w:t>
      </w:r>
      <w:r w:rsidRPr="00BB2DF8">
        <w:rPr>
          <w:rFonts w:ascii="Arial" w:hAnsi="Arial" w:cs="Arial"/>
          <w:sz w:val="22"/>
          <w:szCs w:val="22"/>
        </w:rPr>
        <w:t>s</w:t>
      </w:r>
      <w:r w:rsidR="0085065E" w:rsidRPr="00BB2DF8">
        <w:rPr>
          <w:rFonts w:ascii="Arial" w:hAnsi="Arial" w:cs="Arial"/>
          <w:sz w:val="22"/>
          <w:szCs w:val="22"/>
        </w:rPr>
        <w:t xml:space="preserve"> enabled us to buy two iPads and relevant </w:t>
      </w:r>
      <w:r w:rsidRPr="00BB2DF8">
        <w:rPr>
          <w:rFonts w:ascii="Arial" w:hAnsi="Arial" w:cs="Arial"/>
          <w:sz w:val="22"/>
          <w:szCs w:val="22"/>
        </w:rPr>
        <w:t>a</w:t>
      </w:r>
      <w:r w:rsidR="0085065E" w:rsidRPr="00BB2DF8">
        <w:rPr>
          <w:rFonts w:ascii="Arial" w:hAnsi="Arial" w:cs="Arial"/>
          <w:sz w:val="22"/>
          <w:szCs w:val="22"/>
        </w:rPr>
        <w:t>pps to support children’s speech therapy and psychology</w:t>
      </w:r>
      <w:r w:rsidRPr="00BB2DF8">
        <w:rPr>
          <w:rFonts w:ascii="Arial" w:hAnsi="Arial" w:cs="Arial"/>
          <w:sz w:val="22"/>
          <w:szCs w:val="22"/>
        </w:rPr>
        <w:t>.</w:t>
      </w:r>
    </w:p>
    <w:p w:rsidR="0085065E" w:rsidRPr="00EC1BF4" w:rsidRDefault="0085065E" w:rsidP="0085065E">
      <w:pPr>
        <w:ind w:left="-900"/>
        <w:rPr>
          <w:rFonts w:ascii="Arial" w:hAnsi="Arial" w:cs="Arial"/>
          <w:sz w:val="22"/>
          <w:szCs w:val="22"/>
          <w:lang w:val="en-GB"/>
        </w:rPr>
      </w:pPr>
    </w:p>
    <w:p w:rsidR="0085065E" w:rsidRPr="00EC1BF4" w:rsidRDefault="0085065E" w:rsidP="00BB2DF8">
      <w:pPr>
        <w:rPr>
          <w:rFonts w:ascii="Arial" w:hAnsi="Arial" w:cs="Arial"/>
          <w:sz w:val="22"/>
          <w:szCs w:val="22"/>
          <w:lang w:val="en-GB"/>
        </w:rPr>
      </w:pPr>
      <w:r w:rsidRPr="00EC1BF4">
        <w:rPr>
          <w:rFonts w:ascii="Arial" w:hAnsi="Arial" w:cs="Arial"/>
          <w:sz w:val="22"/>
          <w:szCs w:val="22"/>
          <w:lang w:val="en-GB"/>
        </w:rPr>
        <w:t xml:space="preserve">The SLT team have continued to develop audit and research activity on an individual and team basis. Several team members have completed MSc and doctoral studies </w:t>
      </w:r>
      <w:r w:rsidR="00BB2DF8">
        <w:rPr>
          <w:rFonts w:ascii="Arial" w:hAnsi="Arial" w:cs="Arial"/>
          <w:sz w:val="22"/>
          <w:szCs w:val="22"/>
          <w:lang w:val="en-GB"/>
        </w:rPr>
        <w:t>and t</w:t>
      </w:r>
      <w:r w:rsidRPr="00EC1BF4">
        <w:rPr>
          <w:rFonts w:ascii="Arial" w:hAnsi="Arial" w:cs="Arial"/>
          <w:sz w:val="22"/>
          <w:szCs w:val="22"/>
          <w:lang w:val="en-GB"/>
        </w:rPr>
        <w:t xml:space="preserve">his work is shared with the multidisciplinary team and wider networks nationally and </w:t>
      </w:r>
      <w:r w:rsidR="00BB2DF8">
        <w:rPr>
          <w:rFonts w:ascii="Arial" w:hAnsi="Arial" w:cs="Arial"/>
          <w:sz w:val="22"/>
          <w:szCs w:val="22"/>
          <w:lang w:val="en-GB"/>
        </w:rPr>
        <w:t>which in turn leads to</w:t>
      </w:r>
      <w:r w:rsidRPr="00EC1BF4">
        <w:rPr>
          <w:rFonts w:ascii="Arial" w:hAnsi="Arial" w:cs="Arial"/>
          <w:sz w:val="22"/>
          <w:szCs w:val="22"/>
          <w:lang w:val="en-GB"/>
        </w:rPr>
        <w:t xml:space="preserve"> further collaborative audit and research.</w:t>
      </w:r>
    </w:p>
    <w:p w:rsidR="0085065E" w:rsidRPr="00EC1BF4" w:rsidRDefault="0085065E" w:rsidP="0085065E">
      <w:pPr>
        <w:ind w:left="-900"/>
        <w:rPr>
          <w:rFonts w:ascii="Arial" w:hAnsi="Arial" w:cs="Arial"/>
          <w:sz w:val="22"/>
          <w:szCs w:val="22"/>
        </w:rPr>
      </w:pPr>
    </w:p>
    <w:p w:rsidR="0085065E" w:rsidRPr="00EC1BF4" w:rsidRDefault="0085065E" w:rsidP="00BB2DF8">
      <w:pPr>
        <w:rPr>
          <w:rFonts w:ascii="Arial" w:hAnsi="Arial" w:cs="Arial"/>
          <w:sz w:val="22"/>
          <w:szCs w:val="22"/>
        </w:rPr>
      </w:pPr>
      <w:r w:rsidRPr="00EC1BF4">
        <w:rPr>
          <w:rFonts w:ascii="Arial" w:hAnsi="Arial" w:cs="Arial"/>
          <w:sz w:val="22"/>
          <w:szCs w:val="22"/>
        </w:rPr>
        <w:t>The priority objectives for 2013 are;</w:t>
      </w:r>
    </w:p>
    <w:p w:rsidR="00BB2DF8" w:rsidRDefault="0085065E" w:rsidP="00BB2DF8">
      <w:pPr>
        <w:numPr>
          <w:ilvl w:val="0"/>
          <w:numId w:val="22"/>
        </w:numPr>
        <w:ind w:left="0" w:firstLine="0"/>
        <w:rPr>
          <w:rFonts w:ascii="Arial" w:hAnsi="Arial" w:cs="Arial"/>
          <w:sz w:val="22"/>
          <w:szCs w:val="22"/>
        </w:rPr>
      </w:pPr>
      <w:r w:rsidRPr="00EC1BF4">
        <w:rPr>
          <w:rFonts w:ascii="Arial" w:hAnsi="Arial" w:cs="Arial"/>
          <w:sz w:val="22"/>
          <w:szCs w:val="22"/>
        </w:rPr>
        <w:t>maintain effective specialist SLT liaison and outreach, in part</w:t>
      </w:r>
      <w:r w:rsidR="00BB2DF8">
        <w:rPr>
          <w:rFonts w:ascii="Arial" w:hAnsi="Arial" w:cs="Arial"/>
          <w:sz w:val="22"/>
          <w:szCs w:val="22"/>
        </w:rPr>
        <w:t xml:space="preserve">nership with local </w:t>
      </w:r>
    </w:p>
    <w:p w:rsidR="0085065E" w:rsidRPr="00EC1BF4" w:rsidRDefault="00BB2DF8" w:rsidP="00BB2DF8">
      <w:pPr>
        <w:rPr>
          <w:rFonts w:ascii="Arial" w:hAnsi="Arial" w:cs="Arial"/>
          <w:sz w:val="22"/>
          <w:szCs w:val="22"/>
        </w:rPr>
      </w:pPr>
      <w:r>
        <w:rPr>
          <w:rFonts w:ascii="Arial" w:hAnsi="Arial" w:cs="Arial"/>
          <w:sz w:val="22"/>
          <w:szCs w:val="22"/>
        </w:rPr>
        <w:t xml:space="preserve">         services</w:t>
      </w:r>
    </w:p>
    <w:p w:rsidR="0085065E" w:rsidRPr="00EC1BF4" w:rsidRDefault="0085065E" w:rsidP="00BB2DF8">
      <w:pPr>
        <w:numPr>
          <w:ilvl w:val="0"/>
          <w:numId w:val="22"/>
        </w:numPr>
        <w:ind w:left="0" w:firstLine="0"/>
        <w:rPr>
          <w:rFonts w:ascii="Arial" w:hAnsi="Arial" w:cs="Arial"/>
          <w:sz w:val="22"/>
          <w:szCs w:val="22"/>
        </w:rPr>
      </w:pPr>
      <w:r w:rsidRPr="00EC1BF4">
        <w:rPr>
          <w:rFonts w:ascii="Arial" w:hAnsi="Arial" w:cs="Arial"/>
          <w:sz w:val="22"/>
          <w:szCs w:val="22"/>
        </w:rPr>
        <w:t>join the TOPS trial and commence speech recordings for recruited children</w:t>
      </w:r>
    </w:p>
    <w:p w:rsidR="0085065E" w:rsidRPr="00EC1BF4" w:rsidRDefault="0085065E" w:rsidP="00BB2DF8">
      <w:pPr>
        <w:numPr>
          <w:ilvl w:val="0"/>
          <w:numId w:val="22"/>
        </w:numPr>
        <w:ind w:left="0" w:firstLine="0"/>
        <w:rPr>
          <w:rFonts w:ascii="Arial" w:hAnsi="Arial" w:cs="Arial"/>
          <w:sz w:val="22"/>
          <w:szCs w:val="22"/>
        </w:rPr>
      </w:pPr>
      <w:r w:rsidRPr="00EC1BF4">
        <w:rPr>
          <w:rFonts w:ascii="Arial" w:hAnsi="Arial" w:cs="Arial"/>
          <w:sz w:val="22"/>
          <w:szCs w:val="22"/>
        </w:rPr>
        <w:t xml:space="preserve">contribute to national craniofacial audit and research projects </w:t>
      </w:r>
    </w:p>
    <w:p w:rsidR="0085065E" w:rsidRPr="00EC1BF4" w:rsidRDefault="0085065E" w:rsidP="00BB2DF8">
      <w:pPr>
        <w:numPr>
          <w:ilvl w:val="0"/>
          <w:numId w:val="22"/>
        </w:numPr>
        <w:ind w:left="0" w:firstLine="0"/>
        <w:rPr>
          <w:rFonts w:ascii="Arial" w:hAnsi="Arial" w:cs="Arial"/>
          <w:sz w:val="22"/>
          <w:szCs w:val="22"/>
        </w:rPr>
      </w:pPr>
      <w:r w:rsidRPr="00EC1BF4">
        <w:rPr>
          <w:rFonts w:ascii="Arial" w:hAnsi="Arial" w:cs="Arial"/>
          <w:sz w:val="22"/>
          <w:szCs w:val="22"/>
        </w:rPr>
        <w:t xml:space="preserve">evaluate the use of iPads in speech therapy </w:t>
      </w:r>
      <w:r w:rsidR="00BB2DF8">
        <w:rPr>
          <w:rFonts w:ascii="Arial" w:hAnsi="Arial" w:cs="Arial"/>
          <w:sz w:val="22"/>
          <w:szCs w:val="22"/>
        </w:rPr>
        <w:t>for children.</w:t>
      </w:r>
    </w:p>
    <w:p w:rsidR="0085065E" w:rsidRPr="00EC1BF4" w:rsidRDefault="0085065E" w:rsidP="0085065E">
      <w:pPr>
        <w:rPr>
          <w:rFonts w:ascii="Arial" w:hAnsi="Arial" w:cs="Arial"/>
          <w:b/>
          <w:sz w:val="22"/>
          <w:szCs w:val="22"/>
        </w:rPr>
      </w:pPr>
    </w:p>
    <w:p w:rsidR="0085065E" w:rsidRPr="00437616" w:rsidRDefault="00437616" w:rsidP="00437616">
      <w:pPr>
        <w:pStyle w:val="ListParagraph"/>
        <w:numPr>
          <w:ilvl w:val="0"/>
          <w:numId w:val="24"/>
        </w:numPr>
        <w:rPr>
          <w:rFonts w:ascii="Arial" w:hAnsi="Arial" w:cs="Arial"/>
          <w:b/>
          <w:sz w:val="22"/>
          <w:szCs w:val="22"/>
        </w:rPr>
      </w:pPr>
      <w:r>
        <w:rPr>
          <w:rFonts w:ascii="Arial" w:hAnsi="Arial" w:cs="Arial"/>
          <w:b/>
          <w:sz w:val="22"/>
          <w:szCs w:val="22"/>
        </w:rPr>
        <w:t xml:space="preserve">111 </w:t>
      </w:r>
      <w:r>
        <w:rPr>
          <w:rFonts w:ascii="Arial" w:hAnsi="Arial" w:cs="Arial"/>
          <w:b/>
          <w:sz w:val="22"/>
          <w:szCs w:val="22"/>
        </w:rPr>
        <w:br/>
      </w:r>
    </w:p>
    <w:p w:rsidR="0085065E" w:rsidRDefault="0085065E" w:rsidP="00BB2DF8">
      <w:pPr>
        <w:rPr>
          <w:rFonts w:ascii="Arial" w:hAnsi="Arial" w:cs="Arial"/>
          <w:sz w:val="22"/>
          <w:szCs w:val="22"/>
        </w:rPr>
      </w:pPr>
      <w:r w:rsidRPr="00BB2DF8">
        <w:rPr>
          <w:rFonts w:ascii="Arial" w:hAnsi="Arial" w:cs="Arial"/>
          <w:sz w:val="22"/>
          <w:szCs w:val="22"/>
        </w:rPr>
        <w:t>The 111 service is currently delivered as a pilot in Oxfordshire by South Central Ambulance service (SCAS).  The contract for this service is held by OHFT and commissioned by OCCG</w:t>
      </w:r>
      <w:r w:rsidR="00437616">
        <w:rPr>
          <w:rFonts w:ascii="Arial" w:hAnsi="Arial" w:cs="Arial"/>
          <w:sz w:val="22"/>
          <w:szCs w:val="22"/>
        </w:rPr>
        <w:t xml:space="preserve">.  </w:t>
      </w:r>
      <w:r w:rsidRPr="00BB2DF8">
        <w:rPr>
          <w:rFonts w:ascii="Arial" w:hAnsi="Arial" w:cs="Arial"/>
          <w:sz w:val="22"/>
          <w:szCs w:val="22"/>
        </w:rPr>
        <w:t xml:space="preserve">The service is </w:t>
      </w:r>
      <w:r w:rsidR="00437616">
        <w:rPr>
          <w:rFonts w:ascii="Arial" w:hAnsi="Arial" w:cs="Arial"/>
          <w:sz w:val="22"/>
          <w:szCs w:val="22"/>
        </w:rPr>
        <w:t xml:space="preserve">now completing its first year of operation and in common with other parts of the county experienced difficulties early on in the implementation. </w:t>
      </w:r>
    </w:p>
    <w:p w:rsidR="00437616" w:rsidRPr="00BB2DF8" w:rsidRDefault="00437616" w:rsidP="00BB2DF8">
      <w:pPr>
        <w:rPr>
          <w:rFonts w:ascii="Arial" w:hAnsi="Arial" w:cs="Arial"/>
          <w:sz w:val="22"/>
          <w:szCs w:val="22"/>
        </w:rPr>
      </w:pPr>
    </w:p>
    <w:p w:rsidR="0085065E" w:rsidRPr="00437616" w:rsidRDefault="00437616" w:rsidP="00BB2DF8">
      <w:pPr>
        <w:rPr>
          <w:rFonts w:ascii="Arial" w:hAnsi="Arial" w:cs="Arial"/>
          <w:sz w:val="22"/>
          <w:szCs w:val="22"/>
        </w:rPr>
      </w:pPr>
      <w:r>
        <w:rPr>
          <w:rFonts w:ascii="Arial" w:hAnsi="Arial" w:cs="Arial"/>
          <w:sz w:val="22"/>
          <w:szCs w:val="22"/>
        </w:rPr>
        <w:t>Since</w:t>
      </w:r>
      <w:r w:rsidR="0085065E" w:rsidRPr="00BB2DF8">
        <w:rPr>
          <w:rFonts w:ascii="Arial" w:hAnsi="Arial" w:cs="Arial"/>
          <w:sz w:val="22"/>
          <w:szCs w:val="22"/>
        </w:rPr>
        <w:t xml:space="preserve"> April, the call handling performance against the answering times and abandoned rates have improved </w:t>
      </w:r>
      <w:r>
        <w:rPr>
          <w:rFonts w:ascii="Arial" w:hAnsi="Arial" w:cs="Arial"/>
          <w:sz w:val="22"/>
          <w:szCs w:val="22"/>
        </w:rPr>
        <w:t>significantly and currently</w:t>
      </w:r>
      <w:r w:rsidR="0085065E" w:rsidRPr="00BB2DF8">
        <w:rPr>
          <w:rFonts w:ascii="Arial" w:hAnsi="Arial" w:cs="Arial"/>
          <w:sz w:val="22"/>
          <w:szCs w:val="22"/>
        </w:rPr>
        <w:t xml:space="preserve"> during the week days performance is consistently achieved to the 95% requirement for call answering and less than 5% abandoned rates.  During the more challenging weekend peaks pe</w:t>
      </w:r>
      <w:r>
        <w:rPr>
          <w:rFonts w:ascii="Arial" w:hAnsi="Arial" w:cs="Arial"/>
          <w:sz w:val="22"/>
          <w:szCs w:val="22"/>
        </w:rPr>
        <w:t>rformance is improving to around</w:t>
      </w:r>
      <w:r w:rsidR="0085065E" w:rsidRPr="00BB2DF8">
        <w:rPr>
          <w:rFonts w:ascii="Arial" w:hAnsi="Arial" w:cs="Arial"/>
          <w:sz w:val="22"/>
          <w:szCs w:val="22"/>
        </w:rPr>
        <w:t xml:space="preserve"> 90%. However call volumes are currently lower than predicted for this time of year, and work is ongoing to ensure </w:t>
      </w:r>
      <w:r>
        <w:rPr>
          <w:rFonts w:ascii="Arial" w:hAnsi="Arial" w:cs="Arial"/>
          <w:sz w:val="22"/>
          <w:szCs w:val="22"/>
        </w:rPr>
        <w:t>there is</w:t>
      </w:r>
      <w:r w:rsidR="0085065E" w:rsidRPr="00BB2DF8">
        <w:rPr>
          <w:rFonts w:ascii="Arial" w:hAnsi="Arial" w:cs="Arial"/>
          <w:sz w:val="22"/>
          <w:szCs w:val="22"/>
        </w:rPr>
        <w:t xml:space="preserve"> appropriate resilience to meet patient demand.</w:t>
      </w:r>
      <w:r>
        <w:rPr>
          <w:rFonts w:ascii="Arial" w:hAnsi="Arial" w:cs="Arial"/>
          <w:sz w:val="22"/>
          <w:szCs w:val="22"/>
        </w:rPr>
        <w:br/>
      </w:r>
    </w:p>
    <w:p w:rsidR="0085065E" w:rsidRPr="00BB2DF8" w:rsidRDefault="0085065E" w:rsidP="00BB2DF8">
      <w:pPr>
        <w:rPr>
          <w:rFonts w:ascii="Arial" w:hAnsi="Arial" w:cs="Arial"/>
          <w:sz w:val="22"/>
          <w:szCs w:val="22"/>
        </w:rPr>
      </w:pPr>
      <w:r w:rsidRPr="00BB2DF8">
        <w:rPr>
          <w:rFonts w:ascii="Arial" w:hAnsi="Arial" w:cs="Arial"/>
          <w:sz w:val="22"/>
          <w:szCs w:val="22"/>
        </w:rPr>
        <w:t xml:space="preserve">The national specification for the 111 service and the output from NHS Pathways has caused some variation against traditional onward care pathways for people contacting primary urgent care. This is prompted by the NHS Pathways algorithm and national specification and </w:t>
      </w:r>
      <w:r w:rsidR="00437616">
        <w:rPr>
          <w:rFonts w:ascii="Arial" w:hAnsi="Arial" w:cs="Arial"/>
          <w:sz w:val="22"/>
          <w:szCs w:val="22"/>
        </w:rPr>
        <w:t>accounts for some of</w:t>
      </w:r>
      <w:r w:rsidRPr="00BB2DF8">
        <w:rPr>
          <w:rFonts w:ascii="Arial" w:hAnsi="Arial" w:cs="Arial"/>
          <w:sz w:val="22"/>
          <w:szCs w:val="22"/>
        </w:rPr>
        <w:t xml:space="preserve"> national rise in urgent care demand for acute Emergency Departments during this </w:t>
      </w:r>
      <w:r w:rsidR="00437616">
        <w:rPr>
          <w:rFonts w:ascii="Arial" w:hAnsi="Arial" w:cs="Arial"/>
          <w:sz w:val="22"/>
          <w:szCs w:val="22"/>
        </w:rPr>
        <w:t xml:space="preserve">past </w:t>
      </w:r>
      <w:r w:rsidRPr="00BB2DF8">
        <w:rPr>
          <w:rFonts w:ascii="Arial" w:hAnsi="Arial" w:cs="Arial"/>
          <w:sz w:val="22"/>
          <w:szCs w:val="22"/>
        </w:rPr>
        <w:t>winter.</w:t>
      </w:r>
      <w:r w:rsidR="00437616">
        <w:rPr>
          <w:rFonts w:ascii="Arial" w:hAnsi="Arial" w:cs="Arial"/>
          <w:sz w:val="22"/>
          <w:szCs w:val="22"/>
        </w:rPr>
        <w:br/>
      </w:r>
    </w:p>
    <w:p w:rsidR="0085065E" w:rsidRPr="00BB2DF8" w:rsidRDefault="0085065E" w:rsidP="00BB2DF8">
      <w:pPr>
        <w:rPr>
          <w:rFonts w:ascii="Arial" w:hAnsi="Arial" w:cs="Arial"/>
          <w:sz w:val="22"/>
          <w:szCs w:val="22"/>
        </w:rPr>
      </w:pPr>
      <w:r w:rsidRPr="00BB2DF8">
        <w:rPr>
          <w:rFonts w:ascii="Arial" w:hAnsi="Arial" w:cs="Arial"/>
          <w:sz w:val="22"/>
          <w:szCs w:val="22"/>
        </w:rPr>
        <w:t xml:space="preserve">For the Trust, the 111 model of care directly books patients into the GP OOH service (either base or home visit). This has prompted a shift of around 20% of calls that were previously resolved by a GP speaking to a patient over the phone becoming a face to face attendance. </w:t>
      </w:r>
      <w:r w:rsidR="00437616">
        <w:rPr>
          <w:rFonts w:ascii="Arial" w:hAnsi="Arial" w:cs="Arial"/>
          <w:sz w:val="22"/>
          <w:szCs w:val="22"/>
        </w:rPr>
        <w:br/>
      </w:r>
    </w:p>
    <w:p w:rsidR="0085065E" w:rsidRDefault="0085065E" w:rsidP="00BB2DF8">
      <w:pPr>
        <w:rPr>
          <w:rFonts w:ascii="Arial" w:hAnsi="Arial" w:cs="Arial"/>
          <w:sz w:val="22"/>
          <w:szCs w:val="22"/>
        </w:rPr>
      </w:pPr>
      <w:r w:rsidRPr="00BB2DF8">
        <w:rPr>
          <w:rFonts w:ascii="Arial" w:hAnsi="Arial" w:cs="Arial"/>
          <w:sz w:val="22"/>
          <w:szCs w:val="22"/>
        </w:rPr>
        <w:t xml:space="preserve">Health economies that have implemented 111 more recently (Oxfordshire was an early adopter nationally) have agreed some local variation to address this within the care pathway. Implementing such local variation in Oxfordshire would improve patient experience (patients do not need to travel if their problem can be resolved over the phone), and support effective use of resources (acute and GP OOH). The Trust is </w:t>
      </w:r>
      <w:r w:rsidR="00437616">
        <w:rPr>
          <w:rFonts w:ascii="Arial" w:hAnsi="Arial" w:cs="Arial"/>
          <w:sz w:val="22"/>
          <w:szCs w:val="22"/>
        </w:rPr>
        <w:t>working with OCCG to review</w:t>
      </w:r>
      <w:r w:rsidRPr="00BB2DF8">
        <w:rPr>
          <w:rFonts w:ascii="Arial" w:hAnsi="Arial" w:cs="Arial"/>
          <w:sz w:val="22"/>
          <w:szCs w:val="22"/>
        </w:rPr>
        <w:t xml:space="preserve"> possible options </w:t>
      </w:r>
      <w:r w:rsidR="00437616">
        <w:rPr>
          <w:rFonts w:ascii="Arial" w:hAnsi="Arial" w:cs="Arial"/>
          <w:sz w:val="22"/>
          <w:szCs w:val="22"/>
        </w:rPr>
        <w:t>for Oxfordshire.</w:t>
      </w:r>
    </w:p>
    <w:p w:rsidR="00437616" w:rsidRPr="00BB2DF8" w:rsidRDefault="00437616" w:rsidP="00BB2DF8">
      <w:pPr>
        <w:rPr>
          <w:rFonts w:ascii="Arial" w:hAnsi="Arial" w:cs="Arial"/>
          <w:sz w:val="22"/>
          <w:szCs w:val="22"/>
        </w:rPr>
      </w:pPr>
    </w:p>
    <w:p w:rsidR="0085065E" w:rsidRDefault="0085065E" w:rsidP="00BB2DF8">
      <w:pPr>
        <w:rPr>
          <w:rFonts w:ascii="Arial" w:hAnsi="Arial" w:cs="Arial"/>
          <w:sz w:val="22"/>
          <w:szCs w:val="22"/>
        </w:rPr>
      </w:pPr>
      <w:r w:rsidRPr="00BB2DF8">
        <w:rPr>
          <w:rFonts w:ascii="Arial" w:hAnsi="Arial" w:cs="Arial"/>
          <w:sz w:val="22"/>
          <w:szCs w:val="22"/>
        </w:rPr>
        <w:lastRenderedPageBreak/>
        <w:t>Over the past year the commitment to both ensure that the pilot has been successful and work through the challenges of a project of this size has meant that the 111 service has been successfully implemented.  The 111 project board acknowledged and commended the commitment of the Oxford Health management team in supporting this implementation.</w:t>
      </w:r>
    </w:p>
    <w:p w:rsidR="0085065E" w:rsidRPr="00BB2DF8" w:rsidRDefault="0085065E" w:rsidP="00BB2DF8">
      <w:pPr>
        <w:rPr>
          <w:rFonts w:ascii="Arial" w:hAnsi="Arial" w:cs="Arial"/>
          <w:b/>
          <w:sz w:val="22"/>
          <w:szCs w:val="22"/>
        </w:rPr>
      </w:pPr>
    </w:p>
    <w:p w:rsidR="0085065E" w:rsidRPr="00BB2DF8" w:rsidRDefault="0085065E" w:rsidP="00BB2DF8">
      <w:pPr>
        <w:rPr>
          <w:rFonts w:ascii="Arial" w:hAnsi="Arial" w:cs="Arial"/>
          <w:sz w:val="22"/>
          <w:szCs w:val="22"/>
        </w:rPr>
      </w:pPr>
      <w:r w:rsidRPr="00BB2DF8">
        <w:rPr>
          <w:rFonts w:ascii="Arial" w:hAnsi="Arial" w:cs="Arial"/>
          <w:sz w:val="22"/>
          <w:szCs w:val="22"/>
        </w:rPr>
        <w:t xml:space="preserve">The 111 service in Oxfordshire is a pilot which is due to end in July 2014.  The OCCG will shortly begin the process to re-commission 111 locally.  The CCG has identified the need to work with partners across health and social care to ensure that the service meets the needs of patients and professionals, reflects the clinical expertise and knowledge of local services and ensures that patients </w:t>
      </w:r>
      <w:r w:rsidR="00437616">
        <w:rPr>
          <w:rFonts w:ascii="Arial" w:hAnsi="Arial" w:cs="Arial"/>
          <w:sz w:val="22"/>
          <w:szCs w:val="22"/>
        </w:rPr>
        <w:t>who need to access</w:t>
      </w:r>
      <w:r w:rsidRPr="00BB2DF8">
        <w:rPr>
          <w:rFonts w:ascii="Arial" w:hAnsi="Arial" w:cs="Arial"/>
          <w:sz w:val="22"/>
          <w:szCs w:val="22"/>
        </w:rPr>
        <w:t xml:space="preserve"> care urgently do so in the right place, first time.</w:t>
      </w:r>
    </w:p>
    <w:p w:rsidR="0085065E" w:rsidRPr="00BA7534" w:rsidRDefault="0085065E" w:rsidP="00BB2DF8">
      <w:pPr>
        <w:rPr>
          <w:rFonts w:ascii="Arial" w:hAnsi="Arial" w:cs="Arial"/>
          <w:b/>
        </w:rPr>
      </w:pPr>
    </w:p>
    <w:p w:rsidR="00437616" w:rsidRPr="00A605D7" w:rsidRDefault="00437616" w:rsidP="00C122BC">
      <w:pPr>
        <w:pStyle w:val="ListParagraph"/>
        <w:numPr>
          <w:ilvl w:val="0"/>
          <w:numId w:val="24"/>
        </w:numPr>
        <w:rPr>
          <w:rFonts w:ascii="Arial" w:hAnsi="Arial" w:cs="Arial"/>
          <w:b/>
          <w:sz w:val="22"/>
          <w:szCs w:val="22"/>
        </w:rPr>
      </w:pPr>
      <w:r w:rsidRPr="00A605D7">
        <w:rPr>
          <w:rFonts w:ascii="Arial" w:hAnsi="Arial" w:cs="Arial"/>
          <w:b/>
          <w:sz w:val="22"/>
          <w:szCs w:val="22"/>
        </w:rPr>
        <w:t xml:space="preserve"> </w:t>
      </w:r>
      <w:r w:rsidR="00C122BC" w:rsidRPr="00A605D7">
        <w:rPr>
          <w:rFonts w:ascii="Arial" w:hAnsi="Arial" w:cs="Arial"/>
          <w:b/>
          <w:sz w:val="22"/>
          <w:szCs w:val="22"/>
        </w:rPr>
        <w:t>Stakeholder Engagement in Service Remodelling</w:t>
      </w:r>
      <w:r w:rsidR="00C122BC" w:rsidRPr="00A605D7">
        <w:rPr>
          <w:rFonts w:ascii="Arial" w:hAnsi="Arial" w:cs="Arial"/>
          <w:b/>
          <w:sz w:val="22"/>
          <w:szCs w:val="22"/>
        </w:rPr>
        <w:br/>
      </w:r>
    </w:p>
    <w:p w:rsidR="0085065E" w:rsidRPr="00A605D7" w:rsidRDefault="0085065E" w:rsidP="00C122BC">
      <w:pPr>
        <w:rPr>
          <w:rFonts w:ascii="Arial" w:hAnsi="Arial" w:cs="Arial"/>
          <w:sz w:val="22"/>
          <w:szCs w:val="22"/>
        </w:rPr>
      </w:pPr>
      <w:r w:rsidRPr="00A605D7">
        <w:rPr>
          <w:rFonts w:ascii="Arial" w:hAnsi="Arial" w:cs="Arial"/>
          <w:sz w:val="22"/>
          <w:szCs w:val="22"/>
        </w:rPr>
        <w:t>The</w:t>
      </w:r>
      <w:r w:rsidR="00C122BC" w:rsidRPr="00A605D7">
        <w:rPr>
          <w:rFonts w:ascii="Arial" w:hAnsi="Arial" w:cs="Arial"/>
          <w:sz w:val="22"/>
          <w:szCs w:val="22"/>
        </w:rPr>
        <w:t xml:space="preserve"> Trust has</w:t>
      </w:r>
      <w:r w:rsidRPr="00A605D7">
        <w:rPr>
          <w:rFonts w:ascii="Arial" w:hAnsi="Arial" w:cs="Arial"/>
          <w:sz w:val="22"/>
          <w:szCs w:val="22"/>
        </w:rPr>
        <w:t xml:space="preserve"> had an extensive programme of informal internal and external stakeholder engagement in place over the l</w:t>
      </w:r>
      <w:r w:rsidR="00C122BC" w:rsidRPr="00A605D7">
        <w:rPr>
          <w:rFonts w:ascii="Arial" w:hAnsi="Arial" w:cs="Arial"/>
          <w:sz w:val="22"/>
          <w:szCs w:val="22"/>
        </w:rPr>
        <w:t xml:space="preserve">ast six months as part of the </w:t>
      </w:r>
      <w:r w:rsidRPr="00A605D7">
        <w:rPr>
          <w:rFonts w:ascii="Arial" w:hAnsi="Arial" w:cs="Arial"/>
          <w:sz w:val="22"/>
          <w:szCs w:val="22"/>
        </w:rPr>
        <w:t xml:space="preserve">planning process to support the implementation of the proposed new service model for adult mental healthcare. </w:t>
      </w:r>
      <w:r w:rsidR="00C122BC" w:rsidRPr="00A605D7">
        <w:rPr>
          <w:rFonts w:ascii="Arial" w:hAnsi="Arial" w:cs="Arial"/>
          <w:sz w:val="22"/>
          <w:szCs w:val="22"/>
        </w:rPr>
        <w:br/>
      </w:r>
    </w:p>
    <w:p w:rsidR="0085065E" w:rsidRPr="00A605D7" w:rsidRDefault="0085065E" w:rsidP="00C122BC">
      <w:pPr>
        <w:rPr>
          <w:rFonts w:ascii="Arial" w:hAnsi="Arial" w:cs="Arial"/>
          <w:sz w:val="22"/>
          <w:szCs w:val="22"/>
        </w:rPr>
      </w:pPr>
      <w:r w:rsidRPr="00A605D7">
        <w:rPr>
          <w:rFonts w:ascii="Arial" w:hAnsi="Arial" w:cs="Arial"/>
          <w:sz w:val="22"/>
          <w:szCs w:val="22"/>
        </w:rPr>
        <w:t xml:space="preserve">Since the end of last year the </w:t>
      </w:r>
      <w:r w:rsidR="00C122BC" w:rsidRPr="00A605D7">
        <w:rPr>
          <w:rFonts w:ascii="Arial" w:hAnsi="Arial" w:cs="Arial"/>
          <w:sz w:val="22"/>
          <w:szCs w:val="22"/>
        </w:rPr>
        <w:t>Mental Health Division has</w:t>
      </w:r>
      <w:r w:rsidRPr="00A605D7">
        <w:rPr>
          <w:rFonts w:ascii="Arial" w:hAnsi="Arial" w:cs="Arial"/>
          <w:sz w:val="22"/>
          <w:szCs w:val="22"/>
        </w:rPr>
        <w:t xml:space="preserve"> held a series of team based workshops </w:t>
      </w:r>
      <w:r w:rsidR="00C122BC" w:rsidRPr="00A605D7">
        <w:rPr>
          <w:rFonts w:ascii="Arial" w:hAnsi="Arial" w:cs="Arial"/>
          <w:sz w:val="22"/>
          <w:szCs w:val="22"/>
        </w:rPr>
        <w:t>for</w:t>
      </w:r>
      <w:r w:rsidRPr="00A605D7">
        <w:rPr>
          <w:rFonts w:ascii="Arial" w:hAnsi="Arial" w:cs="Arial"/>
          <w:sz w:val="22"/>
          <w:szCs w:val="22"/>
        </w:rPr>
        <w:t xml:space="preserve"> staff. The </w:t>
      </w:r>
      <w:r w:rsidR="00E95373">
        <w:rPr>
          <w:rFonts w:ascii="Arial" w:hAnsi="Arial" w:cs="Arial"/>
          <w:sz w:val="22"/>
          <w:szCs w:val="22"/>
        </w:rPr>
        <w:t>output</w:t>
      </w:r>
      <w:r w:rsidR="00C122BC" w:rsidRPr="00A605D7">
        <w:rPr>
          <w:rFonts w:ascii="Arial" w:hAnsi="Arial" w:cs="Arial"/>
          <w:sz w:val="22"/>
          <w:szCs w:val="22"/>
        </w:rPr>
        <w:t xml:space="preserve"> from these workshops has been used </w:t>
      </w:r>
      <w:r w:rsidRPr="00A605D7">
        <w:rPr>
          <w:rFonts w:ascii="Arial" w:hAnsi="Arial" w:cs="Arial"/>
          <w:sz w:val="22"/>
          <w:szCs w:val="22"/>
        </w:rPr>
        <w:t xml:space="preserve">to develop new models of care that will support the delivery of modern day mental healthcare in line with the overall aims and objectives of the remodelling project. </w:t>
      </w:r>
      <w:r w:rsidR="00C122BC" w:rsidRPr="00A605D7">
        <w:rPr>
          <w:rFonts w:ascii="Arial" w:hAnsi="Arial" w:cs="Arial"/>
          <w:sz w:val="22"/>
          <w:szCs w:val="22"/>
        </w:rPr>
        <w:br/>
      </w:r>
    </w:p>
    <w:p w:rsidR="0085065E" w:rsidRPr="00A605D7" w:rsidRDefault="0085065E" w:rsidP="00C122BC">
      <w:pPr>
        <w:rPr>
          <w:rFonts w:ascii="Arial" w:hAnsi="Arial" w:cs="Arial"/>
          <w:sz w:val="22"/>
          <w:szCs w:val="22"/>
        </w:rPr>
      </w:pPr>
      <w:r w:rsidRPr="00A605D7">
        <w:rPr>
          <w:rFonts w:ascii="Arial" w:hAnsi="Arial" w:cs="Arial"/>
          <w:sz w:val="22"/>
          <w:szCs w:val="22"/>
        </w:rPr>
        <w:t xml:space="preserve">The proposed </w:t>
      </w:r>
      <w:r w:rsidR="00C122BC" w:rsidRPr="00A605D7">
        <w:rPr>
          <w:rFonts w:ascii="Arial" w:hAnsi="Arial" w:cs="Arial"/>
          <w:sz w:val="22"/>
          <w:szCs w:val="22"/>
        </w:rPr>
        <w:t xml:space="preserve">service </w:t>
      </w:r>
      <w:r w:rsidRPr="00A605D7">
        <w:rPr>
          <w:rFonts w:ascii="Arial" w:hAnsi="Arial" w:cs="Arial"/>
          <w:sz w:val="22"/>
          <w:szCs w:val="22"/>
        </w:rPr>
        <w:t>model</w:t>
      </w:r>
      <w:r w:rsidR="00C122BC" w:rsidRPr="00A605D7">
        <w:rPr>
          <w:rFonts w:ascii="Arial" w:hAnsi="Arial" w:cs="Arial"/>
          <w:sz w:val="22"/>
          <w:szCs w:val="22"/>
        </w:rPr>
        <w:t xml:space="preserve"> for adult mental health</w:t>
      </w:r>
      <w:r w:rsidRPr="00A605D7">
        <w:rPr>
          <w:rFonts w:ascii="Arial" w:hAnsi="Arial" w:cs="Arial"/>
          <w:sz w:val="22"/>
          <w:szCs w:val="22"/>
        </w:rPr>
        <w:t xml:space="preserve"> will</w:t>
      </w:r>
      <w:r w:rsidR="00A605D7" w:rsidRPr="00A605D7">
        <w:rPr>
          <w:rFonts w:ascii="Arial" w:hAnsi="Arial" w:cs="Arial"/>
          <w:sz w:val="22"/>
          <w:szCs w:val="22"/>
        </w:rPr>
        <w:t xml:space="preserve"> also </w:t>
      </w:r>
      <w:r w:rsidRPr="00A605D7">
        <w:rPr>
          <w:rFonts w:ascii="Arial" w:hAnsi="Arial" w:cs="Arial"/>
          <w:sz w:val="22"/>
          <w:szCs w:val="22"/>
        </w:rPr>
        <w:t xml:space="preserve">bring about much greater collaboration with third sector </w:t>
      </w:r>
      <w:r w:rsidR="00C122BC" w:rsidRPr="00A605D7">
        <w:rPr>
          <w:rFonts w:ascii="Arial" w:hAnsi="Arial" w:cs="Arial"/>
          <w:sz w:val="22"/>
          <w:szCs w:val="22"/>
        </w:rPr>
        <w:t>partners and on 3 June</w:t>
      </w:r>
      <w:r w:rsidRPr="00A605D7">
        <w:rPr>
          <w:rFonts w:ascii="Arial" w:hAnsi="Arial" w:cs="Arial"/>
          <w:sz w:val="22"/>
          <w:szCs w:val="22"/>
        </w:rPr>
        <w:t xml:space="preserve"> the </w:t>
      </w:r>
      <w:r w:rsidR="00C122BC" w:rsidRPr="00A605D7">
        <w:rPr>
          <w:rFonts w:ascii="Arial" w:hAnsi="Arial" w:cs="Arial"/>
          <w:sz w:val="22"/>
          <w:szCs w:val="22"/>
        </w:rPr>
        <w:t>D</w:t>
      </w:r>
      <w:r w:rsidRPr="00A605D7">
        <w:rPr>
          <w:rFonts w:ascii="Arial" w:hAnsi="Arial" w:cs="Arial"/>
          <w:sz w:val="22"/>
          <w:szCs w:val="22"/>
        </w:rPr>
        <w:t xml:space="preserve">ivision held </w:t>
      </w:r>
      <w:r w:rsidR="00C122BC" w:rsidRPr="00A605D7">
        <w:rPr>
          <w:rFonts w:ascii="Arial" w:hAnsi="Arial" w:cs="Arial"/>
          <w:sz w:val="22"/>
          <w:szCs w:val="22"/>
        </w:rPr>
        <w:t>a</w:t>
      </w:r>
      <w:r w:rsidR="00A605D7" w:rsidRPr="00A605D7">
        <w:rPr>
          <w:rFonts w:ascii="Arial" w:hAnsi="Arial" w:cs="Arial"/>
          <w:sz w:val="22"/>
          <w:szCs w:val="22"/>
        </w:rPr>
        <w:t xml:space="preserve"> </w:t>
      </w:r>
      <w:r w:rsidRPr="00A605D7">
        <w:rPr>
          <w:rFonts w:ascii="Arial" w:hAnsi="Arial" w:cs="Arial"/>
          <w:sz w:val="22"/>
          <w:szCs w:val="22"/>
        </w:rPr>
        <w:t xml:space="preserve">“Partnership Day” with colleagues from a number of key voluntary organisations across Oxfordshire and Buckinghamshire to look at how they could work together to design pathways that will provide </w:t>
      </w:r>
      <w:r w:rsidR="00C122BC" w:rsidRPr="00A605D7">
        <w:rPr>
          <w:rFonts w:ascii="Arial" w:hAnsi="Arial" w:cs="Arial"/>
          <w:sz w:val="22"/>
          <w:szCs w:val="22"/>
        </w:rPr>
        <w:t>service users</w:t>
      </w:r>
      <w:r w:rsidRPr="00A605D7">
        <w:rPr>
          <w:rFonts w:ascii="Arial" w:hAnsi="Arial" w:cs="Arial"/>
          <w:sz w:val="22"/>
          <w:szCs w:val="22"/>
        </w:rPr>
        <w:t xml:space="preserve"> with high quality, flexible and responsive care. </w:t>
      </w:r>
      <w:r w:rsidR="00C122BC" w:rsidRPr="00A605D7">
        <w:rPr>
          <w:rFonts w:ascii="Arial" w:hAnsi="Arial" w:cs="Arial"/>
          <w:sz w:val="22"/>
          <w:szCs w:val="22"/>
        </w:rPr>
        <w:br/>
      </w:r>
    </w:p>
    <w:p w:rsidR="0085065E" w:rsidRDefault="0085065E" w:rsidP="0085065E">
      <w:pPr>
        <w:autoSpaceDE w:val="0"/>
        <w:autoSpaceDN w:val="0"/>
        <w:adjustRightInd w:val="0"/>
        <w:rPr>
          <w:rFonts w:ascii="Arial" w:hAnsi="Arial" w:cs="Arial"/>
          <w:sz w:val="22"/>
          <w:szCs w:val="22"/>
          <w:lang w:eastAsia="en-GB"/>
        </w:rPr>
      </w:pPr>
      <w:r w:rsidRPr="00A605D7">
        <w:rPr>
          <w:rFonts w:ascii="Arial" w:hAnsi="Arial" w:cs="Arial"/>
          <w:sz w:val="22"/>
          <w:szCs w:val="22"/>
          <w:lang w:eastAsia="en-GB"/>
        </w:rPr>
        <w:t xml:space="preserve">Presentations were given from Response, Restore, </w:t>
      </w:r>
      <w:r w:rsidR="00A605D7">
        <w:rPr>
          <w:rFonts w:ascii="Arial" w:hAnsi="Arial" w:cs="Arial"/>
          <w:sz w:val="22"/>
          <w:szCs w:val="22"/>
          <w:lang w:eastAsia="en-GB"/>
        </w:rPr>
        <w:t>Oxfordshire Mind, Buckinghamshire Mind</w:t>
      </w:r>
      <w:r w:rsidRPr="00A605D7">
        <w:rPr>
          <w:rFonts w:ascii="Arial" w:hAnsi="Arial" w:cs="Arial"/>
          <w:sz w:val="22"/>
          <w:szCs w:val="22"/>
          <w:lang w:eastAsia="en-GB"/>
        </w:rPr>
        <w:t>, Back2Base, the Shaw Trust, Connectio</w:t>
      </w:r>
      <w:r w:rsidR="00A605D7" w:rsidRPr="00A605D7">
        <w:rPr>
          <w:rFonts w:ascii="Arial" w:hAnsi="Arial" w:cs="Arial"/>
          <w:sz w:val="22"/>
          <w:szCs w:val="22"/>
          <w:lang w:eastAsia="en-GB"/>
        </w:rPr>
        <w:t>ns and the Richmond Fellowship with groups to</w:t>
      </w:r>
      <w:r w:rsidRPr="00A605D7">
        <w:rPr>
          <w:rFonts w:ascii="Arial" w:hAnsi="Arial" w:cs="Arial"/>
          <w:sz w:val="22"/>
          <w:szCs w:val="22"/>
          <w:lang w:eastAsia="en-GB"/>
        </w:rPr>
        <w:t xml:space="preserve"> consider three areas of development: Pathway to Independent Living, Meaningful Activity and Recovery to Wellbeing. The workshops were led by third sector</w:t>
      </w:r>
      <w:r w:rsidR="00C122BC" w:rsidRPr="00A605D7">
        <w:rPr>
          <w:rFonts w:ascii="Arial" w:hAnsi="Arial" w:cs="Arial"/>
          <w:sz w:val="22"/>
          <w:szCs w:val="22"/>
          <w:lang w:eastAsia="en-GB"/>
        </w:rPr>
        <w:t xml:space="preserve"> partners and su</w:t>
      </w:r>
      <w:r w:rsidR="00A605D7" w:rsidRPr="00A605D7">
        <w:rPr>
          <w:rFonts w:ascii="Arial" w:hAnsi="Arial" w:cs="Arial"/>
          <w:sz w:val="22"/>
          <w:szCs w:val="22"/>
          <w:lang w:eastAsia="en-GB"/>
        </w:rPr>
        <w:t>pported by members of the Trust.  Feedback on the day was very positive and further workshops are planned as well as work with CCG and local authority Commissioners in both counties.</w:t>
      </w:r>
      <w:r w:rsidR="00DF7BF0">
        <w:rPr>
          <w:rFonts w:ascii="Arial" w:hAnsi="Arial" w:cs="Arial"/>
          <w:sz w:val="22"/>
          <w:szCs w:val="22"/>
          <w:lang w:eastAsia="en-GB"/>
        </w:rPr>
        <w:br/>
      </w:r>
    </w:p>
    <w:p w:rsidR="00DF7BF0" w:rsidRDefault="00DF7BF0" w:rsidP="00DF7BF0">
      <w:pPr>
        <w:pStyle w:val="ListParagraph"/>
        <w:numPr>
          <w:ilvl w:val="0"/>
          <w:numId w:val="24"/>
        </w:numPr>
        <w:autoSpaceDE w:val="0"/>
        <w:autoSpaceDN w:val="0"/>
        <w:adjustRightInd w:val="0"/>
        <w:rPr>
          <w:rFonts w:ascii="Arial" w:hAnsi="Arial" w:cs="Arial"/>
          <w:b/>
          <w:sz w:val="22"/>
          <w:szCs w:val="22"/>
          <w:lang w:eastAsia="en-GB"/>
        </w:rPr>
      </w:pPr>
      <w:r w:rsidRPr="00DF7BF0">
        <w:rPr>
          <w:rFonts w:ascii="Arial" w:hAnsi="Arial" w:cs="Arial"/>
          <w:b/>
          <w:sz w:val="22"/>
          <w:szCs w:val="22"/>
          <w:lang w:eastAsia="en-GB"/>
        </w:rPr>
        <w:t xml:space="preserve"> Development of Psychological Medicine Services</w:t>
      </w:r>
    </w:p>
    <w:p w:rsidR="00DF7BF0" w:rsidRDefault="00DF7BF0" w:rsidP="00DF7BF0">
      <w:pPr>
        <w:autoSpaceDE w:val="0"/>
        <w:autoSpaceDN w:val="0"/>
        <w:adjustRightInd w:val="0"/>
        <w:rPr>
          <w:rFonts w:ascii="Arial" w:hAnsi="Arial" w:cs="Arial"/>
          <w:sz w:val="22"/>
          <w:szCs w:val="22"/>
          <w:lang w:eastAsia="en-GB"/>
        </w:rPr>
      </w:pPr>
    </w:p>
    <w:p w:rsidR="00DF7BF0" w:rsidRDefault="00DF7BF0" w:rsidP="00DF7BF0">
      <w:pPr>
        <w:autoSpaceDE w:val="0"/>
        <w:autoSpaceDN w:val="0"/>
        <w:adjustRightInd w:val="0"/>
        <w:rPr>
          <w:rFonts w:ascii="Arial" w:hAnsi="Arial" w:cs="Arial"/>
          <w:sz w:val="22"/>
          <w:szCs w:val="22"/>
          <w:lang w:eastAsia="en-GB"/>
        </w:rPr>
      </w:pPr>
      <w:r>
        <w:rPr>
          <w:rFonts w:ascii="Arial" w:hAnsi="Arial" w:cs="Arial"/>
          <w:sz w:val="22"/>
          <w:szCs w:val="22"/>
          <w:lang w:eastAsia="en-GB"/>
        </w:rPr>
        <w:t>The development of physical and mental health interface services is one of the five service areas within our CLARHC bid.  This year the Trust has been commissioned to develop and operationalise a number of new services across Oxfordshire and Buckinghamshire:</w:t>
      </w:r>
    </w:p>
    <w:p w:rsidR="00DF7BF0" w:rsidRDefault="00DF7BF0" w:rsidP="00DF7BF0">
      <w:pPr>
        <w:pStyle w:val="ListParagraph"/>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Oxfordshire Emergency Department Psychological Medicine Service (formerly the Barnes Unit) with provision of extended hours over 7 days a week.</w:t>
      </w:r>
    </w:p>
    <w:p w:rsidR="00DF7BF0" w:rsidRDefault="00DF7BF0" w:rsidP="00DF7BF0">
      <w:pPr>
        <w:pStyle w:val="ListParagraph"/>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Oxfordshire Community Psychological Medicine Service working with primary care and community service.</w:t>
      </w:r>
    </w:p>
    <w:p w:rsidR="00DF7BF0" w:rsidRPr="00DF7BF0" w:rsidRDefault="00DF7BF0" w:rsidP="00DF7BF0">
      <w:pPr>
        <w:pStyle w:val="ListParagraph"/>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Buckinghamshire Psychological Medicine Service focused on the Emergency Department and wards at Stoke Mandeville Hospital.</w:t>
      </w:r>
    </w:p>
    <w:p w:rsidR="0085065E" w:rsidRPr="00A605D7" w:rsidRDefault="0085065E" w:rsidP="0085065E">
      <w:pPr>
        <w:autoSpaceDE w:val="0"/>
        <w:autoSpaceDN w:val="0"/>
        <w:adjustRightInd w:val="0"/>
        <w:rPr>
          <w:rFonts w:ascii="Arial" w:hAnsi="Arial" w:cs="Arial"/>
          <w:sz w:val="22"/>
          <w:szCs w:val="22"/>
          <w:lang w:eastAsia="en-GB"/>
        </w:rPr>
      </w:pPr>
    </w:p>
    <w:p w:rsidR="00A605D7" w:rsidRPr="00A605D7" w:rsidRDefault="00A605D7" w:rsidP="00A605D7">
      <w:pPr>
        <w:pStyle w:val="ListParagraph"/>
        <w:numPr>
          <w:ilvl w:val="0"/>
          <w:numId w:val="24"/>
        </w:numPr>
        <w:autoSpaceDE w:val="0"/>
        <w:autoSpaceDN w:val="0"/>
        <w:adjustRightInd w:val="0"/>
        <w:rPr>
          <w:rFonts w:ascii="Arial" w:hAnsi="Arial" w:cs="Arial"/>
          <w:b/>
          <w:lang w:eastAsia="en-GB"/>
        </w:rPr>
      </w:pPr>
      <w:r>
        <w:rPr>
          <w:rFonts w:ascii="Arial" w:hAnsi="Arial" w:cs="Arial"/>
          <w:b/>
          <w:lang w:eastAsia="en-GB"/>
        </w:rPr>
        <w:t xml:space="preserve"> Oxfordshire Salaried Primary Care Dental Service</w:t>
      </w:r>
    </w:p>
    <w:p w:rsidR="00A605D7" w:rsidRDefault="00A605D7" w:rsidP="00A605D7">
      <w:pPr>
        <w:rPr>
          <w:rFonts w:ascii="Calibri" w:hAnsi="Calibri"/>
        </w:rPr>
      </w:pPr>
    </w:p>
    <w:p w:rsidR="00A605D7" w:rsidRPr="00A605D7" w:rsidRDefault="00A605D7" w:rsidP="00A605D7">
      <w:pPr>
        <w:rPr>
          <w:rFonts w:ascii="Arial" w:hAnsi="Arial" w:cs="Arial"/>
          <w:sz w:val="22"/>
          <w:szCs w:val="22"/>
        </w:rPr>
      </w:pPr>
      <w:r w:rsidRPr="00A605D7">
        <w:rPr>
          <w:rFonts w:ascii="Arial" w:hAnsi="Arial" w:cs="Arial"/>
          <w:sz w:val="22"/>
          <w:szCs w:val="22"/>
        </w:rPr>
        <w:t xml:space="preserve">Oxfordshire Salaried Primary Care Dental service provides dental treatment to a wide range of </w:t>
      </w:r>
      <w:r>
        <w:rPr>
          <w:rFonts w:ascii="Arial" w:hAnsi="Arial" w:cs="Arial"/>
          <w:sz w:val="22"/>
          <w:szCs w:val="22"/>
        </w:rPr>
        <w:t xml:space="preserve">children and adult </w:t>
      </w:r>
      <w:r w:rsidRPr="00A605D7">
        <w:rPr>
          <w:rFonts w:ascii="Arial" w:hAnsi="Arial" w:cs="Arial"/>
          <w:sz w:val="22"/>
          <w:szCs w:val="22"/>
        </w:rPr>
        <w:t>patients</w:t>
      </w:r>
      <w:r>
        <w:rPr>
          <w:rFonts w:ascii="Arial" w:hAnsi="Arial" w:cs="Arial"/>
          <w:sz w:val="22"/>
          <w:szCs w:val="22"/>
        </w:rPr>
        <w:t>.</w:t>
      </w:r>
      <w:r w:rsidRPr="00A605D7">
        <w:rPr>
          <w:rFonts w:ascii="Arial" w:hAnsi="Arial" w:cs="Arial"/>
          <w:sz w:val="22"/>
          <w:szCs w:val="22"/>
        </w:rPr>
        <w:t xml:space="preserve"> The main role of the service is to provide specialist and specialised care to patients that are unable to receive dental treatment in the General Dental Service. The service receives approximately 1000 referrals from a wide range of sources including general dental practitioners, general medical practitioners, secondary care and health visitors for patients requiring special care and paediatric dentistry, oral surgery, domiciliary visits, dental treatment with sedation and general anaesthesia.</w:t>
      </w: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r w:rsidRPr="00A605D7">
        <w:rPr>
          <w:rFonts w:ascii="Arial" w:hAnsi="Arial" w:cs="Arial"/>
          <w:sz w:val="22"/>
          <w:szCs w:val="22"/>
        </w:rPr>
        <w:t xml:space="preserve">In 2012/13 18,500 individuals were seen over 31,866 face-to-face contacts. </w:t>
      </w:r>
      <w:r w:rsidR="00E95373">
        <w:rPr>
          <w:rFonts w:ascii="Arial" w:hAnsi="Arial" w:cs="Arial"/>
          <w:sz w:val="22"/>
          <w:szCs w:val="22"/>
        </w:rPr>
        <w:t>Of this total number o</w:t>
      </w:r>
      <w:r w:rsidRPr="00A605D7">
        <w:rPr>
          <w:rFonts w:ascii="Arial" w:hAnsi="Arial" w:cs="Arial"/>
          <w:sz w:val="22"/>
          <w:szCs w:val="22"/>
        </w:rPr>
        <w:t>f contacts there were 518 domiciliary visits, 1600 sedation contacts and 870 general anaesthesia contacts.</w:t>
      </w: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r w:rsidRPr="00A605D7">
        <w:rPr>
          <w:rFonts w:ascii="Arial" w:hAnsi="Arial" w:cs="Arial"/>
          <w:sz w:val="22"/>
          <w:szCs w:val="22"/>
        </w:rPr>
        <w:t>Measured by a nationally recognised ‘case-mix’ system</w:t>
      </w:r>
      <w:r w:rsidR="00E95373">
        <w:rPr>
          <w:rFonts w:ascii="Arial" w:hAnsi="Arial" w:cs="Arial"/>
          <w:sz w:val="22"/>
          <w:szCs w:val="22"/>
        </w:rPr>
        <w:t>,</w:t>
      </w:r>
      <w:r w:rsidRPr="00A605D7">
        <w:rPr>
          <w:rFonts w:ascii="Arial" w:hAnsi="Arial" w:cs="Arial"/>
          <w:sz w:val="22"/>
          <w:szCs w:val="22"/>
        </w:rPr>
        <w:t xml:space="preserve"> 63% of all patients seen by the dental service had some form of disability or impairment impact</w:t>
      </w:r>
      <w:r w:rsidR="00E95373">
        <w:rPr>
          <w:rFonts w:ascii="Arial" w:hAnsi="Arial" w:cs="Arial"/>
          <w:sz w:val="22"/>
          <w:szCs w:val="22"/>
        </w:rPr>
        <w:t>ing on their ability to access high s</w:t>
      </w:r>
      <w:r w:rsidRPr="00A605D7">
        <w:rPr>
          <w:rFonts w:ascii="Arial" w:hAnsi="Arial" w:cs="Arial"/>
          <w:sz w:val="22"/>
          <w:szCs w:val="22"/>
        </w:rPr>
        <w:t>treet dental care while 6% of all patients seen within the service fall into the most complex management classifications available.</w:t>
      </w: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r w:rsidRPr="00A605D7">
        <w:rPr>
          <w:rFonts w:ascii="Arial" w:hAnsi="Arial" w:cs="Arial"/>
          <w:sz w:val="22"/>
          <w:szCs w:val="22"/>
        </w:rPr>
        <w:t>The dental service carried out a patient satisfaction survey in January 2013 and there were a number of very positive comments received from patients including –</w:t>
      </w:r>
    </w:p>
    <w:p w:rsidR="00A605D7" w:rsidRPr="00A605D7" w:rsidRDefault="00A605D7" w:rsidP="00A605D7">
      <w:pPr>
        <w:rPr>
          <w:rFonts w:ascii="Arial" w:hAnsi="Arial" w:cs="Arial"/>
          <w:sz w:val="22"/>
          <w:szCs w:val="22"/>
        </w:rPr>
      </w:pPr>
    </w:p>
    <w:tbl>
      <w:tblPr>
        <w:tblW w:w="9056" w:type="dxa"/>
        <w:tblInd w:w="93" w:type="dxa"/>
        <w:tblLook w:val="04A0"/>
      </w:tblPr>
      <w:tblGrid>
        <w:gridCol w:w="9056"/>
      </w:tblGrid>
      <w:tr w:rsidR="00A605D7" w:rsidRPr="00A605D7" w:rsidTr="00781A1D">
        <w:trPr>
          <w:trHeight w:val="300"/>
        </w:trPr>
        <w:tc>
          <w:tcPr>
            <w:tcW w:w="9056" w:type="dxa"/>
            <w:tcBorders>
              <w:top w:val="nil"/>
              <w:left w:val="nil"/>
              <w:bottom w:val="nil"/>
              <w:right w:val="nil"/>
            </w:tcBorders>
            <w:noWrap/>
            <w:vAlign w:val="bottom"/>
          </w:tcPr>
          <w:p w:rsidR="00A605D7" w:rsidRPr="00A605D7" w:rsidRDefault="00A605D7" w:rsidP="00781A1D">
            <w:pPr>
              <w:rPr>
                <w:rFonts w:ascii="Arial" w:hAnsi="Arial" w:cs="Arial"/>
                <w:i/>
                <w:color w:val="000000"/>
                <w:sz w:val="22"/>
                <w:szCs w:val="22"/>
              </w:rPr>
            </w:pPr>
            <w:r w:rsidRPr="00A605D7">
              <w:rPr>
                <w:rFonts w:ascii="Arial" w:hAnsi="Arial" w:cs="Arial"/>
                <w:i/>
                <w:color w:val="000000"/>
                <w:sz w:val="22"/>
                <w:szCs w:val="22"/>
              </w:rPr>
              <w:t>‘The whole visit was excellent and my treatment was all that I could hope for.</w:t>
            </w:r>
          </w:p>
          <w:p w:rsidR="00A605D7" w:rsidRPr="00A605D7" w:rsidRDefault="00A605D7" w:rsidP="00781A1D">
            <w:pPr>
              <w:rPr>
                <w:rFonts w:ascii="Arial" w:hAnsi="Arial" w:cs="Arial"/>
                <w:i/>
                <w:color w:val="000000"/>
                <w:sz w:val="22"/>
                <w:szCs w:val="22"/>
              </w:rPr>
            </w:pPr>
          </w:p>
          <w:p w:rsidR="00A605D7" w:rsidRPr="00A605D7" w:rsidRDefault="00A605D7" w:rsidP="00781A1D">
            <w:pPr>
              <w:rPr>
                <w:rFonts w:ascii="Arial" w:hAnsi="Arial" w:cs="Arial"/>
                <w:i/>
                <w:color w:val="000000"/>
                <w:sz w:val="22"/>
                <w:szCs w:val="22"/>
              </w:rPr>
            </w:pPr>
            <w:r w:rsidRPr="00A605D7">
              <w:rPr>
                <w:rFonts w:ascii="Arial" w:hAnsi="Arial" w:cs="Arial"/>
                <w:i/>
                <w:color w:val="000000"/>
                <w:sz w:val="22"/>
                <w:szCs w:val="22"/>
              </w:rPr>
              <w:t>I had prompt, efficient care given by very professional and caring staff for which I am</w:t>
            </w:r>
          </w:p>
          <w:p w:rsidR="00A605D7" w:rsidRPr="00A605D7" w:rsidRDefault="00A605D7" w:rsidP="00781A1D">
            <w:pPr>
              <w:rPr>
                <w:rFonts w:ascii="Arial" w:hAnsi="Arial" w:cs="Arial"/>
                <w:i/>
                <w:color w:val="000000"/>
                <w:sz w:val="22"/>
                <w:szCs w:val="22"/>
              </w:rPr>
            </w:pPr>
            <w:r w:rsidRPr="00A605D7">
              <w:rPr>
                <w:rFonts w:ascii="Arial" w:hAnsi="Arial" w:cs="Arial"/>
                <w:i/>
                <w:color w:val="000000"/>
                <w:sz w:val="22"/>
                <w:szCs w:val="22"/>
              </w:rPr>
              <w:t>extremely grateful.</w:t>
            </w:r>
          </w:p>
          <w:p w:rsidR="00A605D7" w:rsidRPr="00A605D7" w:rsidRDefault="00A605D7" w:rsidP="00781A1D">
            <w:pPr>
              <w:rPr>
                <w:rFonts w:ascii="Arial" w:hAnsi="Arial" w:cs="Arial"/>
                <w:i/>
                <w:color w:val="000000"/>
                <w:sz w:val="22"/>
                <w:szCs w:val="22"/>
              </w:rPr>
            </w:pPr>
          </w:p>
          <w:p w:rsidR="00A605D7" w:rsidRPr="00A605D7" w:rsidRDefault="00A605D7" w:rsidP="00781A1D">
            <w:pPr>
              <w:rPr>
                <w:rFonts w:ascii="Arial" w:hAnsi="Arial" w:cs="Arial"/>
                <w:i/>
                <w:color w:val="000000"/>
                <w:sz w:val="22"/>
                <w:szCs w:val="22"/>
              </w:rPr>
            </w:pPr>
            <w:r w:rsidRPr="00A605D7">
              <w:rPr>
                <w:rFonts w:ascii="Arial" w:hAnsi="Arial" w:cs="Arial"/>
                <w:i/>
                <w:color w:val="000000"/>
                <w:sz w:val="22"/>
                <w:szCs w:val="22"/>
              </w:rPr>
              <w:t>The dentist did a really neat job.</w:t>
            </w:r>
          </w:p>
        </w:tc>
      </w:tr>
      <w:tr w:rsidR="00A605D7" w:rsidRPr="00A605D7" w:rsidTr="00781A1D">
        <w:trPr>
          <w:trHeight w:val="300"/>
        </w:trPr>
        <w:tc>
          <w:tcPr>
            <w:tcW w:w="9056" w:type="dxa"/>
            <w:tcBorders>
              <w:top w:val="nil"/>
              <w:left w:val="nil"/>
              <w:bottom w:val="nil"/>
              <w:right w:val="nil"/>
            </w:tcBorders>
            <w:noWrap/>
            <w:vAlign w:val="bottom"/>
          </w:tcPr>
          <w:p w:rsidR="00A605D7" w:rsidRPr="00A605D7" w:rsidRDefault="00A605D7" w:rsidP="00781A1D">
            <w:pPr>
              <w:rPr>
                <w:rFonts w:ascii="Arial" w:hAnsi="Arial" w:cs="Arial"/>
                <w:i/>
                <w:color w:val="000000"/>
                <w:sz w:val="22"/>
                <w:szCs w:val="22"/>
              </w:rPr>
            </w:pPr>
          </w:p>
          <w:p w:rsidR="00A605D7" w:rsidRPr="00A605D7" w:rsidRDefault="00A605D7" w:rsidP="00781A1D">
            <w:pPr>
              <w:rPr>
                <w:rFonts w:ascii="Arial" w:hAnsi="Arial" w:cs="Arial"/>
                <w:i/>
                <w:color w:val="000000"/>
                <w:sz w:val="22"/>
                <w:szCs w:val="22"/>
              </w:rPr>
            </w:pPr>
            <w:r w:rsidRPr="00A605D7">
              <w:rPr>
                <w:rFonts w:ascii="Arial" w:hAnsi="Arial" w:cs="Arial"/>
                <w:i/>
                <w:color w:val="000000"/>
                <w:sz w:val="22"/>
                <w:szCs w:val="22"/>
              </w:rPr>
              <w:t>Dentist and staff were efficient, excellent communication skills and seen quickly.</w:t>
            </w:r>
          </w:p>
        </w:tc>
      </w:tr>
      <w:tr w:rsidR="00A605D7" w:rsidRPr="00A605D7" w:rsidTr="00781A1D">
        <w:trPr>
          <w:trHeight w:val="80"/>
        </w:trPr>
        <w:tc>
          <w:tcPr>
            <w:tcW w:w="9056" w:type="dxa"/>
            <w:tcBorders>
              <w:top w:val="nil"/>
              <w:left w:val="nil"/>
              <w:bottom w:val="nil"/>
              <w:right w:val="nil"/>
            </w:tcBorders>
            <w:noWrap/>
            <w:vAlign w:val="bottom"/>
          </w:tcPr>
          <w:p w:rsidR="00A605D7" w:rsidRPr="00A605D7" w:rsidRDefault="00A605D7" w:rsidP="00781A1D">
            <w:pPr>
              <w:rPr>
                <w:rFonts w:ascii="Arial" w:hAnsi="Arial" w:cs="Arial"/>
                <w:i/>
                <w:color w:val="000000"/>
                <w:sz w:val="22"/>
                <w:szCs w:val="22"/>
              </w:rPr>
            </w:pPr>
          </w:p>
          <w:p w:rsidR="00A605D7" w:rsidRPr="00A605D7" w:rsidRDefault="00A605D7" w:rsidP="00781A1D">
            <w:pPr>
              <w:autoSpaceDE w:val="0"/>
              <w:autoSpaceDN w:val="0"/>
              <w:adjustRightInd w:val="0"/>
              <w:rPr>
                <w:rFonts w:ascii="Arial" w:hAnsi="Arial" w:cs="Arial"/>
                <w:i/>
                <w:color w:val="000000"/>
                <w:sz w:val="22"/>
                <w:szCs w:val="22"/>
              </w:rPr>
            </w:pPr>
            <w:r w:rsidRPr="00A605D7">
              <w:rPr>
                <w:rFonts w:ascii="Arial" w:hAnsi="Arial" w:cs="Arial"/>
                <w:i/>
                <w:color w:val="000000"/>
                <w:sz w:val="22"/>
                <w:szCs w:val="22"/>
              </w:rPr>
              <w:t>The Dentist was very prompt, kind, efficient and helpful. It made you feel relaxed in the fact you felt in very safe hands.’</w:t>
            </w:r>
          </w:p>
        </w:tc>
      </w:tr>
    </w:tbl>
    <w:p w:rsidR="00A605D7" w:rsidRPr="00A605D7" w:rsidRDefault="00A605D7" w:rsidP="00A605D7">
      <w:pPr>
        <w:rPr>
          <w:rFonts w:ascii="Arial" w:hAnsi="Arial" w:cs="Arial"/>
          <w:sz w:val="22"/>
          <w:szCs w:val="22"/>
        </w:rPr>
      </w:pPr>
    </w:p>
    <w:p w:rsidR="00A605D7" w:rsidRDefault="00E95373" w:rsidP="00A605D7">
      <w:pPr>
        <w:rPr>
          <w:rFonts w:ascii="Arial" w:hAnsi="Arial" w:cs="Arial"/>
          <w:sz w:val="22"/>
          <w:szCs w:val="22"/>
        </w:rPr>
      </w:pPr>
      <w:r>
        <w:rPr>
          <w:rFonts w:ascii="Arial" w:hAnsi="Arial" w:cs="Arial"/>
          <w:sz w:val="22"/>
          <w:szCs w:val="22"/>
        </w:rPr>
        <w:t>Service Developments</w:t>
      </w:r>
    </w:p>
    <w:p w:rsidR="00E95373" w:rsidRPr="00A605D7" w:rsidRDefault="00E95373" w:rsidP="00A605D7">
      <w:pPr>
        <w:rPr>
          <w:rFonts w:ascii="Arial" w:hAnsi="Arial" w:cs="Arial"/>
          <w:sz w:val="22"/>
          <w:szCs w:val="22"/>
        </w:rPr>
      </w:pPr>
    </w:p>
    <w:p w:rsidR="00A605D7" w:rsidRPr="00A605D7" w:rsidRDefault="00A605D7" w:rsidP="00A605D7">
      <w:pPr>
        <w:rPr>
          <w:rFonts w:ascii="Arial" w:hAnsi="Arial" w:cs="Arial"/>
          <w:sz w:val="22"/>
          <w:szCs w:val="22"/>
        </w:rPr>
      </w:pPr>
      <w:r w:rsidRPr="00A605D7">
        <w:rPr>
          <w:rFonts w:ascii="Arial" w:hAnsi="Arial" w:cs="Arial"/>
          <w:sz w:val="22"/>
          <w:szCs w:val="22"/>
        </w:rPr>
        <w:t>In June 2012 the Oral Health Promotion team were runners up for the Best National Smile Month Event, The Dental Awards, British Dental Health Foundation and in June 2013 they were announced winners of this award.</w:t>
      </w: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r w:rsidRPr="00A605D7">
        <w:rPr>
          <w:rFonts w:ascii="Arial" w:hAnsi="Arial" w:cs="Arial"/>
          <w:sz w:val="22"/>
          <w:szCs w:val="22"/>
        </w:rPr>
        <w:t>The service provides dental treatment with sedation, inhalation and intra-intravenous, to a wide range of patients including both adults and children. In December 2012 the service introduced of use of intra-nasal sedation which has helped significantly with the management and treatment of special care patients.</w:t>
      </w:r>
    </w:p>
    <w:p w:rsidR="00A605D7" w:rsidRPr="00A605D7" w:rsidRDefault="00A605D7" w:rsidP="00A605D7">
      <w:pPr>
        <w:rPr>
          <w:rFonts w:ascii="Arial" w:hAnsi="Arial" w:cs="Arial"/>
          <w:sz w:val="22"/>
          <w:szCs w:val="22"/>
        </w:rPr>
      </w:pPr>
    </w:p>
    <w:p w:rsidR="00A605D7" w:rsidRPr="00A605D7" w:rsidRDefault="00E95373" w:rsidP="00A605D7">
      <w:pPr>
        <w:rPr>
          <w:rFonts w:ascii="Arial" w:hAnsi="Arial" w:cs="Arial"/>
          <w:sz w:val="22"/>
          <w:szCs w:val="22"/>
        </w:rPr>
      </w:pPr>
      <w:r>
        <w:rPr>
          <w:rFonts w:ascii="Arial" w:hAnsi="Arial" w:cs="Arial"/>
          <w:sz w:val="22"/>
          <w:szCs w:val="22"/>
        </w:rPr>
        <w:t>In November 2012</w:t>
      </w:r>
      <w:r w:rsidR="00A605D7" w:rsidRPr="00A605D7">
        <w:rPr>
          <w:rFonts w:ascii="Arial" w:hAnsi="Arial" w:cs="Arial"/>
          <w:sz w:val="22"/>
          <w:szCs w:val="22"/>
        </w:rPr>
        <w:t xml:space="preserve"> the service introduced a phone triage system for all referrals received for sedation. This system was introduced to reduce the number of patients incorrectly </w:t>
      </w:r>
      <w:r w:rsidR="00A605D7" w:rsidRPr="00A605D7">
        <w:rPr>
          <w:rFonts w:ascii="Arial" w:hAnsi="Arial" w:cs="Arial"/>
          <w:sz w:val="22"/>
          <w:szCs w:val="22"/>
        </w:rPr>
        <w:lastRenderedPageBreak/>
        <w:t>referred to the service for sedation and has so far proved to be a success with increased numbers patients being triaged to the appropriate dentist to provide their treatment.</w:t>
      </w: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r w:rsidRPr="00A605D7">
        <w:rPr>
          <w:rFonts w:ascii="Arial" w:hAnsi="Arial" w:cs="Arial"/>
          <w:sz w:val="22"/>
          <w:szCs w:val="22"/>
        </w:rPr>
        <w:t>The dental service is currently working collaboratively with the Consultant Psychologists in the division to develop a Cognitive Behaviour Therapy (CBT) pathway for anxious dental patients that currently require sedation for their dental treatment.</w:t>
      </w:r>
    </w:p>
    <w:p w:rsidR="00A605D7" w:rsidRPr="00A605D7" w:rsidRDefault="00A605D7" w:rsidP="00A605D7">
      <w:pPr>
        <w:rPr>
          <w:rFonts w:ascii="Arial" w:hAnsi="Arial" w:cs="Arial"/>
          <w:sz w:val="22"/>
          <w:szCs w:val="22"/>
        </w:rPr>
      </w:pPr>
    </w:p>
    <w:p w:rsidR="00A605D7" w:rsidRPr="00A605D7" w:rsidRDefault="00E95373" w:rsidP="00A605D7">
      <w:pPr>
        <w:rPr>
          <w:rFonts w:ascii="Arial" w:hAnsi="Arial" w:cs="Arial"/>
          <w:sz w:val="22"/>
          <w:szCs w:val="22"/>
        </w:rPr>
      </w:pPr>
      <w:r>
        <w:rPr>
          <w:rFonts w:ascii="Arial" w:hAnsi="Arial" w:cs="Arial"/>
          <w:sz w:val="22"/>
          <w:szCs w:val="22"/>
        </w:rPr>
        <w:t xml:space="preserve">As a result of the development of </w:t>
      </w:r>
      <w:r w:rsidR="00A605D7" w:rsidRPr="00A605D7">
        <w:rPr>
          <w:rFonts w:ascii="Arial" w:hAnsi="Arial" w:cs="Arial"/>
          <w:sz w:val="22"/>
          <w:szCs w:val="22"/>
        </w:rPr>
        <w:t>a comprehensive sedation service providing dental treatment with inhalation, intra-venous and intra-nasal sedation</w:t>
      </w:r>
      <w:r>
        <w:rPr>
          <w:rFonts w:ascii="Arial" w:hAnsi="Arial" w:cs="Arial"/>
          <w:sz w:val="22"/>
          <w:szCs w:val="22"/>
        </w:rPr>
        <w:t>,</w:t>
      </w:r>
      <w:r w:rsidR="00A605D7" w:rsidRPr="00A605D7">
        <w:rPr>
          <w:rFonts w:ascii="Arial" w:hAnsi="Arial" w:cs="Arial"/>
          <w:sz w:val="22"/>
          <w:szCs w:val="22"/>
        </w:rPr>
        <w:t xml:space="preserve"> the number of patients requiring dental treatment under general anaesthesia has decreased, particularly adult special care patients. </w:t>
      </w:r>
    </w:p>
    <w:p w:rsidR="00A605D7" w:rsidRPr="00A605D7" w:rsidRDefault="00E95373" w:rsidP="00A605D7">
      <w:pPr>
        <w:rPr>
          <w:rFonts w:ascii="Arial" w:hAnsi="Arial" w:cs="Arial"/>
          <w:sz w:val="22"/>
          <w:szCs w:val="22"/>
        </w:rPr>
      </w:pPr>
      <w:r>
        <w:rPr>
          <w:rFonts w:ascii="Arial" w:hAnsi="Arial" w:cs="Arial"/>
          <w:sz w:val="22"/>
          <w:szCs w:val="22"/>
        </w:rPr>
        <w:t xml:space="preserve">Research and Training.  </w:t>
      </w:r>
      <w:r w:rsidR="00A605D7" w:rsidRPr="00A605D7">
        <w:rPr>
          <w:rFonts w:ascii="Arial" w:hAnsi="Arial" w:cs="Arial"/>
          <w:sz w:val="22"/>
          <w:szCs w:val="22"/>
        </w:rPr>
        <w:t xml:space="preserve">In 2012 the service worked collaboratively with the Consultants in Forensic Psychiatry on an audit to establish the oral health and dental needs of mental health patients based at Littlemore Hospital. The results of this audit were presented as a poster at the </w:t>
      </w:r>
      <w:r w:rsidR="00A605D7" w:rsidRPr="00A605D7">
        <w:rPr>
          <w:rFonts w:ascii="Arial" w:hAnsi="Arial" w:cs="Arial"/>
          <w:color w:val="000000"/>
          <w:sz w:val="22"/>
          <w:szCs w:val="22"/>
        </w:rPr>
        <w:t xml:space="preserve">Royal College of Psychiatrists Faculty of Forensic Psychiatry Annual Conference </w:t>
      </w:r>
      <w:r w:rsidR="00A605D7" w:rsidRPr="00A605D7">
        <w:rPr>
          <w:rFonts w:ascii="Arial" w:hAnsi="Arial" w:cs="Arial"/>
          <w:sz w:val="22"/>
          <w:szCs w:val="22"/>
        </w:rPr>
        <w:t xml:space="preserve">in Copenhagen in 2013. </w:t>
      </w:r>
      <w:r>
        <w:rPr>
          <w:rFonts w:ascii="Arial" w:hAnsi="Arial" w:cs="Arial"/>
          <w:sz w:val="22"/>
          <w:szCs w:val="22"/>
        </w:rPr>
        <w:t>The</w:t>
      </w:r>
      <w:r w:rsidR="00A605D7" w:rsidRPr="00A605D7">
        <w:rPr>
          <w:rFonts w:ascii="Arial" w:hAnsi="Arial" w:cs="Arial"/>
          <w:sz w:val="22"/>
          <w:szCs w:val="22"/>
        </w:rPr>
        <w:t xml:space="preserve"> outcomes from this audit will be used to develop a patient pathway for mental health patients from Littlemore to the dental service.</w:t>
      </w: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p>
    <w:p w:rsidR="00A605D7" w:rsidRPr="00A605D7" w:rsidRDefault="00A605D7" w:rsidP="00A605D7">
      <w:pPr>
        <w:rPr>
          <w:rFonts w:ascii="Arial" w:hAnsi="Arial" w:cs="Arial"/>
          <w:sz w:val="22"/>
          <w:szCs w:val="22"/>
        </w:rPr>
      </w:pPr>
    </w:p>
    <w:p w:rsidR="0085065E" w:rsidRPr="00A605D7" w:rsidRDefault="0085065E" w:rsidP="0085065E">
      <w:pPr>
        <w:autoSpaceDE w:val="0"/>
        <w:autoSpaceDN w:val="0"/>
        <w:adjustRightInd w:val="0"/>
        <w:rPr>
          <w:rFonts w:ascii="Arial" w:hAnsi="Arial" w:cs="Arial"/>
          <w:b/>
          <w:bCs/>
          <w:sz w:val="22"/>
          <w:szCs w:val="22"/>
          <w:lang w:eastAsia="en-GB"/>
        </w:rPr>
      </w:pPr>
    </w:p>
    <w:sectPr w:rsidR="0085065E" w:rsidRPr="00A605D7"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8810"/>
      <w:docPartObj>
        <w:docPartGallery w:val="Page Numbers (Bottom of Page)"/>
        <w:docPartUnique/>
      </w:docPartObj>
    </w:sdtPr>
    <w:sdtEndPr>
      <w:rPr>
        <w:noProof/>
      </w:rPr>
    </w:sdtEndPr>
    <w:sdtContent>
      <w:p w:rsidR="00A605D7" w:rsidRDefault="007E1DEC">
        <w:pPr>
          <w:pStyle w:val="Footer"/>
          <w:jc w:val="right"/>
        </w:pPr>
        <w:r>
          <w:fldChar w:fldCharType="begin"/>
        </w:r>
        <w:r w:rsidR="00A605D7">
          <w:instrText xml:space="preserve"> PAGE   \* MERGEFORMAT </w:instrText>
        </w:r>
        <w:r>
          <w:fldChar w:fldCharType="separate"/>
        </w:r>
        <w:r w:rsidR="00E716F4">
          <w:rPr>
            <w:noProof/>
          </w:rPr>
          <w:t>6</w:t>
        </w:r>
        <w:r>
          <w:rPr>
            <w:noProof/>
          </w:rPr>
          <w:fldChar w:fldCharType="end"/>
        </w:r>
      </w:p>
    </w:sdtContent>
  </w:sdt>
  <w:p w:rsidR="00FD57F9" w:rsidRDefault="00FD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886"/>
    <w:multiLevelType w:val="hybridMultilevel"/>
    <w:tmpl w:val="49AA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9671C"/>
    <w:multiLevelType w:val="hybridMultilevel"/>
    <w:tmpl w:val="315E5C52"/>
    <w:lvl w:ilvl="0" w:tplc="80804224">
      <w:start w:val="1"/>
      <w:numFmt w:val="bullet"/>
      <w:lvlText w:val=""/>
      <w:lvlJc w:val="left"/>
      <w:pPr>
        <w:tabs>
          <w:tab w:val="num" w:pos="540"/>
        </w:tabs>
        <w:ind w:left="-36" w:firstLine="216"/>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nsid w:val="1C883221"/>
    <w:multiLevelType w:val="hybridMultilevel"/>
    <w:tmpl w:val="294498E4"/>
    <w:lvl w:ilvl="0" w:tplc="F08827C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0341D53"/>
    <w:multiLevelType w:val="hybridMultilevel"/>
    <w:tmpl w:val="6CB6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C16C93"/>
    <w:multiLevelType w:val="hybridMultilevel"/>
    <w:tmpl w:val="35B4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864B9C"/>
    <w:multiLevelType w:val="hybridMultilevel"/>
    <w:tmpl w:val="B5A297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nsid w:val="30C6605E"/>
    <w:multiLevelType w:val="hybridMultilevel"/>
    <w:tmpl w:val="6F32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A6377"/>
    <w:multiLevelType w:val="hybridMultilevel"/>
    <w:tmpl w:val="4086A78C"/>
    <w:lvl w:ilvl="0" w:tplc="4536BF06">
      <w:start w:val="1"/>
      <w:numFmt w:val="bullet"/>
      <w:lvlText w:val="•"/>
      <w:lvlJc w:val="left"/>
      <w:pPr>
        <w:tabs>
          <w:tab w:val="num" w:pos="720"/>
        </w:tabs>
        <w:ind w:left="720" w:hanging="360"/>
      </w:pPr>
      <w:rPr>
        <w:rFonts w:ascii="Arial" w:hAnsi="Arial" w:hint="default"/>
      </w:rPr>
    </w:lvl>
    <w:lvl w:ilvl="1" w:tplc="D2B4DAAE" w:tentative="1">
      <w:start w:val="1"/>
      <w:numFmt w:val="bullet"/>
      <w:lvlText w:val="•"/>
      <w:lvlJc w:val="left"/>
      <w:pPr>
        <w:tabs>
          <w:tab w:val="num" w:pos="1440"/>
        </w:tabs>
        <w:ind w:left="1440" w:hanging="360"/>
      </w:pPr>
      <w:rPr>
        <w:rFonts w:ascii="Arial" w:hAnsi="Arial" w:hint="default"/>
      </w:rPr>
    </w:lvl>
    <w:lvl w:ilvl="2" w:tplc="DB1693A0" w:tentative="1">
      <w:start w:val="1"/>
      <w:numFmt w:val="bullet"/>
      <w:lvlText w:val="•"/>
      <w:lvlJc w:val="left"/>
      <w:pPr>
        <w:tabs>
          <w:tab w:val="num" w:pos="2160"/>
        </w:tabs>
        <w:ind w:left="2160" w:hanging="360"/>
      </w:pPr>
      <w:rPr>
        <w:rFonts w:ascii="Arial" w:hAnsi="Arial" w:hint="default"/>
      </w:rPr>
    </w:lvl>
    <w:lvl w:ilvl="3" w:tplc="067ACD76" w:tentative="1">
      <w:start w:val="1"/>
      <w:numFmt w:val="bullet"/>
      <w:lvlText w:val="•"/>
      <w:lvlJc w:val="left"/>
      <w:pPr>
        <w:tabs>
          <w:tab w:val="num" w:pos="2880"/>
        </w:tabs>
        <w:ind w:left="2880" w:hanging="360"/>
      </w:pPr>
      <w:rPr>
        <w:rFonts w:ascii="Arial" w:hAnsi="Arial" w:hint="default"/>
      </w:rPr>
    </w:lvl>
    <w:lvl w:ilvl="4" w:tplc="CCEAC39A" w:tentative="1">
      <w:start w:val="1"/>
      <w:numFmt w:val="bullet"/>
      <w:lvlText w:val="•"/>
      <w:lvlJc w:val="left"/>
      <w:pPr>
        <w:tabs>
          <w:tab w:val="num" w:pos="3600"/>
        </w:tabs>
        <w:ind w:left="3600" w:hanging="360"/>
      </w:pPr>
      <w:rPr>
        <w:rFonts w:ascii="Arial" w:hAnsi="Arial" w:hint="default"/>
      </w:rPr>
    </w:lvl>
    <w:lvl w:ilvl="5" w:tplc="7B0010EA" w:tentative="1">
      <w:start w:val="1"/>
      <w:numFmt w:val="bullet"/>
      <w:lvlText w:val="•"/>
      <w:lvlJc w:val="left"/>
      <w:pPr>
        <w:tabs>
          <w:tab w:val="num" w:pos="4320"/>
        </w:tabs>
        <w:ind w:left="4320" w:hanging="360"/>
      </w:pPr>
      <w:rPr>
        <w:rFonts w:ascii="Arial" w:hAnsi="Arial" w:hint="default"/>
      </w:rPr>
    </w:lvl>
    <w:lvl w:ilvl="6" w:tplc="5B8C9B5E" w:tentative="1">
      <w:start w:val="1"/>
      <w:numFmt w:val="bullet"/>
      <w:lvlText w:val="•"/>
      <w:lvlJc w:val="left"/>
      <w:pPr>
        <w:tabs>
          <w:tab w:val="num" w:pos="5040"/>
        </w:tabs>
        <w:ind w:left="5040" w:hanging="360"/>
      </w:pPr>
      <w:rPr>
        <w:rFonts w:ascii="Arial" w:hAnsi="Arial" w:hint="default"/>
      </w:rPr>
    </w:lvl>
    <w:lvl w:ilvl="7" w:tplc="E51850DE" w:tentative="1">
      <w:start w:val="1"/>
      <w:numFmt w:val="bullet"/>
      <w:lvlText w:val="•"/>
      <w:lvlJc w:val="left"/>
      <w:pPr>
        <w:tabs>
          <w:tab w:val="num" w:pos="5760"/>
        </w:tabs>
        <w:ind w:left="5760" w:hanging="360"/>
      </w:pPr>
      <w:rPr>
        <w:rFonts w:ascii="Arial" w:hAnsi="Arial" w:hint="default"/>
      </w:rPr>
    </w:lvl>
    <w:lvl w:ilvl="8" w:tplc="B5784CF8" w:tentative="1">
      <w:start w:val="1"/>
      <w:numFmt w:val="bullet"/>
      <w:lvlText w:val="•"/>
      <w:lvlJc w:val="left"/>
      <w:pPr>
        <w:tabs>
          <w:tab w:val="num" w:pos="6480"/>
        </w:tabs>
        <w:ind w:left="6480" w:hanging="360"/>
      </w:pPr>
      <w:rPr>
        <w:rFonts w:ascii="Arial" w:hAnsi="Arial" w:hint="default"/>
      </w:rPr>
    </w:lvl>
  </w:abstractNum>
  <w:abstractNum w:abstractNumId="8">
    <w:nsid w:val="346D6C62"/>
    <w:multiLevelType w:val="hybridMultilevel"/>
    <w:tmpl w:val="7B3A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891734"/>
    <w:multiLevelType w:val="hybridMultilevel"/>
    <w:tmpl w:val="970C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E46B42"/>
    <w:multiLevelType w:val="hybridMultilevel"/>
    <w:tmpl w:val="34DE6F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47C75FAC"/>
    <w:multiLevelType w:val="hybridMultilevel"/>
    <w:tmpl w:val="3BF0EF5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CD6993"/>
    <w:multiLevelType w:val="multilevel"/>
    <w:tmpl w:val="0F3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A43E65"/>
    <w:multiLevelType w:val="hybridMultilevel"/>
    <w:tmpl w:val="1A9634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7080CD2"/>
    <w:multiLevelType w:val="hybridMultilevel"/>
    <w:tmpl w:val="2456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761444"/>
    <w:multiLevelType w:val="hybridMultilevel"/>
    <w:tmpl w:val="6298D536"/>
    <w:lvl w:ilvl="0" w:tplc="0809000F">
      <w:start w:val="1"/>
      <w:numFmt w:val="decimal"/>
      <w:lvlText w:val="%1."/>
      <w:lvlJc w:val="left"/>
      <w:pPr>
        <w:tabs>
          <w:tab w:val="num" w:pos="-180"/>
        </w:tabs>
        <w:ind w:left="-180" w:hanging="360"/>
      </w:pPr>
      <w:rPr>
        <w:rFonts w:cs="Times New Roman"/>
      </w:rPr>
    </w:lvl>
    <w:lvl w:ilvl="1" w:tplc="08090019" w:tentative="1">
      <w:start w:val="1"/>
      <w:numFmt w:val="lowerLetter"/>
      <w:lvlText w:val="%2."/>
      <w:lvlJc w:val="left"/>
      <w:pPr>
        <w:tabs>
          <w:tab w:val="num" w:pos="540"/>
        </w:tabs>
        <w:ind w:left="540" w:hanging="360"/>
      </w:pPr>
      <w:rPr>
        <w:rFonts w:cs="Times New Roman"/>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16">
    <w:nsid w:val="5CB31261"/>
    <w:multiLevelType w:val="hybridMultilevel"/>
    <w:tmpl w:val="6F9C431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63C00E7E"/>
    <w:multiLevelType w:val="hybridMultilevel"/>
    <w:tmpl w:val="A82625B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4304805"/>
    <w:multiLevelType w:val="hybridMultilevel"/>
    <w:tmpl w:val="748238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6825542"/>
    <w:multiLevelType w:val="hybridMultilevel"/>
    <w:tmpl w:val="FC8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5876B8"/>
    <w:multiLevelType w:val="hybridMultilevel"/>
    <w:tmpl w:val="3EC4518E"/>
    <w:lvl w:ilvl="0" w:tplc="E0DC12F2">
      <w:start w:val="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1DC5E9D"/>
    <w:multiLevelType w:val="hybridMultilevel"/>
    <w:tmpl w:val="CA8A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3F75B3"/>
    <w:multiLevelType w:val="hybridMultilevel"/>
    <w:tmpl w:val="C3F06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977254"/>
    <w:multiLevelType w:val="hybridMultilevel"/>
    <w:tmpl w:val="BC0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E52C9F"/>
    <w:multiLevelType w:val="hybridMultilevel"/>
    <w:tmpl w:val="917001AA"/>
    <w:lvl w:ilvl="0" w:tplc="27EE3A9E">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F0549D3"/>
    <w:multiLevelType w:val="hybridMultilevel"/>
    <w:tmpl w:val="EF0C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11"/>
  </w:num>
  <w:num w:numId="2">
    <w:abstractNumId w:val="13"/>
  </w:num>
  <w:num w:numId="3">
    <w:abstractNumId w:val="0"/>
  </w:num>
  <w:num w:numId="4">
    <w:abstractNumId w:val="8"/>
  </w:num>
  <w:num w:numId="5">
    <w:abstractNumId w:val="25"/>
  </w:num>
  <w:num w:numId="6">
    <w:abstractNumId w:val="9"/>
  </w:num>
  <w:num w:numId="7">
    <w:abstractNumId w:val="14"/>
  </w:num>
  <w:num w:numId="8">
    <w:abstractNumId w:val="26"/>
  </w:num>
  <w:num w:numId="9">
    <w:abstractNumId w:val="16"/>
  </w:num>
  <w:num w:numId="10">
    <w:abstractNumId w:val="5"/>
  </w:num>
  <w:num w:numId="11">
    <w:abstractNumId w:val="23"/>
  </w:num>
  <w:num w:numId="12">
    <w:abstractNumId w:val="7"/>
  </w:num>
  <w:num w:numId="13">
    <w:abstractNumId w:val="2"/>
  </w:num>
  <w:num w:numId="14">
    <w:abstractNumId w:val="22"/>
  </w:num>
  <w:num w:numId="15">
    <w:abstractNumId w:val="6"/>
  </w:num>
  <w:num w:numId="16">
    <w:abstractNumId w:val="12"/>
  </w:num>
  <w:num w:numId="17">
    <w:abstractNumId w:val="10"/>
  </w:num>
  <w:num w:numId="18">
    <w:abstractNumId w:val="20"/>
  </w:num>
  <w:num w:numId="19">
    <w:abstractNumId w:val="18"/>
  </w:num>
  <w:num w:numId="20">
    <w:abstractNumId w:val="4"/>
  </w:num>
  <w:num w:numId="21">
    <w:abstractNumId w:val="19"/>
  </w:num>
  <w:num w:numId="22">
    <w:abstractNumId w:val="1"/>
  </w:num>
  <w:num w:numId="23">
    <w:abstractNumId w:val="15"/>
  </w:num>
  <w:num w:numId="24">
    <w:abstractNumId w:val="17"/>
  </w:num>
  <w:num w:numId="25">
    <w:abstractNumId w:val="21"/>
  </w:num>
  <w:num w:numId="26">
    <w:abstractNumId w:val="3"/>
  </w:num>
  <w:num w:numId="27">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hdrShapeDefaults>
    <o:shapedefaults v:ext="edit" spidmax="54273"/>
  </w:hdrShapeDefaults>
  <w:footnotePr>
    <w:footnote w:id="-1"/>
    <w:footnote w:id="0"/>
  </w:footnotePr>
  <w:endnotePr>
    <w:endnote w:id="-1"/>
    <w:endnote w:id="0"/>
  </w:endnotePr>
  <w:compat/>
  <w:rsids>
    <w:rsidRoot w:val="002A73E8"/>
    <w:rsid w:val="000456C0"/>
    <w:rsid w:val="000D3453"/>
    <w:rsid w:val="000F1509"/>
    <w:rsid w:val="0012708E"/>
    <w:rsid w:val="0014268E"/>
    <w:rsid w:val="00145CB6"/>
    <w:rsid w:val="00171760"/>
    <w:rsid w:val="00174FE4"/>
    <w:rsid w:val="001F76ED"/>
    <w:rsid w:val="002077BB"/>
    <w:rsid w:val="00227FCE"/>
    <w:rsid w:val="002418F7"/>
    <w:rsid w:val="00255F3D"/>
    <w:rsid w:val="00256EDA"/>
    <w:rsid w:val="002619EF"/>
    <w:rsid w:val="00266867"/>
    <w:rsid w:val="002821F8"/>
    <w:rsid w:val="00292613"/>
    <w:rsid w:val="002A73E8"/>
    <w:rsid w:val="002A75EC"/>
    <w:rsid w:val="002B1712"/>
    <w:rsid w:val="002C2F97"/>
    <w:rsid w:val="002E6FC6"/>
    <w:rsid w:val="0030487E"/>
    <w:rsid w:val="00332CDF"/>
    <w:rsid w:val="003971F6"/>
    <w:rsid w:val="003D180A"/>
    <w:rsid w:val="003E7888"/>
    <w:rsid w:val="003F0402"/>
    <w:rsid w:val="003F2ACD"/>
    <w:rsid w:val="004326BB"/>
    <w:rsid w:val="00437616"/>
    <w:rsid w:val="00444571"/>
    <w:rsid w:val="004B4F48"/>
    <w:rsid w:val="004C78BD"/>
    <w:rsid w:val="004E7C4B"/>
    <w:rsid w:val="004F4BBA"/>
    <w:rsid w:val="00506076"/>
    <w:rsid w:val="005233AA"/>
    <w:rsid w:val="00551B0F"/>
    <w:rsid w:val="00564FA0"/>
    <w:rsid w:val="005653B1"/>
    <w:rsid w:val="005659FB"/>
    <w:rsid w:val="00566C7C"/>
    <w:rsid w:val="005B045E"/>
    <w:rsid w:val="005B3E3C"/>
    <w:rsid w:val="005C3FC1"/>
    <w:rsid w:val="005D2449"/>
    <w:rsid w:val="005D3499"/>
    <w:rsid w:val="005E2583"/>
    <w:rsid w:val="006023A3"/>
    <w:rsid w:val="0061684E"/>
    <w:rsid w:val="006175FF"/>
    <w:rsid w:val="0066682B"/>
    <w:rsid w:val="006B7256"/>
    <w:rsid w:val="006E6145"/>
    <w:rsid w:val="006E638E"/>
    <w:rsid w:val="006F6373"/>
    <w:rsid w:val="0073522A"/>
    <w:rsid w:val="007769CD"/>
    <w:rsid w:val="0078032B"/>
    <w:rsid w:val="00781566"/>
    <w:rsid w:val="007976E7"/>
    <w:rsid w:val="007B4022"/>
    <w:rsid w:val="007E1DEC"/>
    <w:rsid w:val="007E6803"/>
    <w:rsid w:val="00802701"/>
    <w:rsid w:val="008038A2"/>
    <w:rsid w:val="00811FE8"/>
    <w:rsid w:val="00814BF9"/>
    <w:rsid w:val="00830B0C"/>
    <w:rsid w:val="0085065E"/>
    <w:rsid w:val="0086436B"/>
    <w:rsid w:val="00886F70"/>
    <w:rsid w:val="00894B97"/>
    <w:rsid w:val="008D07A2"/>
    <w:rsid w:val="008E6891"/>
    <w:rsid w:val="009132E5"/>
    <w:rsid w:val="0094146F"/>
    <w:rsid w:val="00946E6E"/>
    <w:rsid w:val="009732F4"/>
    <w:rsid w:val="00975FED"/>
    <w:rsid w:val="00996189"/>
    <w:rsid w:val="009A7019"/>
    <w:rsid w:val="00A04A86"/>
    <w:rsid w:val="00A14901"/>
    <w:rsid w:val="00A21EEF"/>
    <w:rsid w:val="00A605D7"/>
    <w:rsid w:val="00A674FB"/>
    <w:rsid w:val="00A76349"/>
    <w:rsid w:val="00A85311"/>
    <w:rsid w:val="00AA0C3F"/>
    <w:rsid w:val="00AA3819"/>
    <w:rsid w:val="00AC3814"/>
    <w:rsid w:val="00AC79AE"/>
    <w:rsid w:val="00AF0102"/>
    <w:rsid w:val="00AF0562"/>
    <w:rsid w:val="00B21063"/>
    <w:rsid w:val="00B26E1A"/>
    <w:rsid w:val="00B50D5E"/>
    <w:rsid w:val="00B62C5D"/>
    <w:rsid w:val="00B73D11"/>
    <w:rsid w:val="00B76D2F"/>
    <w:rsid w:val="00B87B18"/>
    <w:rsid w:val="00BA3B3E"/>
    <w:rsid w:val="00BB2DF8"/>
    <w:rsid w:val="00BD26C2"/>
    <w:rsid w:val="00BF5367"/>
    <w:rsid w:val="00BF7008"/>
    <w:rsid w:val="00C03616"/>
    <w:rsid w:val="00C07817"/>
    <w:rsid w:val="00C11AA2"/>
    <w:rsid w:val="00C122BC"/>
    <w:rsid w:val="00C225EB"/>
    <w:rsid w:val="00C540E3"/>
    <w:rsid w:val="00C62DA8"/>
    <w:rsid w:val="00C63AD6"/>
    <w:rsid w:val="00C7534A"/>
    <w:rsid w:val="00C94821"/>
    <w:rsid w:val="00CB233D"/>
    <w:rsid w:val="00CF213B"/>
    <w:rsid w:val="00D04B63"/>
    <w:rsid w:val="00D07064"/>
    <w:rsid w:val="00D26A35"/>
    <w:rsid w:val="00D279FC"/>
    <w:rsid w:val="00D3125E"/>
    <w:rsid w:val="00D46839"/>
    <w:rsid w:val="00D55ADD"/>
    <w:rsid w:val="00D8544F"/>
    <w:rsid w:val="00DA0FA6"/>
    <w:rsid w:val="00DC77D3"/>
    <w:rsid w:val="00DC7AB8"/>
    <w:rsid w:val="00DD33DF"/>
    <w:rsid w:val="00DD6675"/>
    <w:rsid w:val="00DE1293"/>
    <w:rsid w:val="00DF7BF0"/>
    <w:rsid w:val="00E008E7"/>
    <w:rsid w:val="00E447A6"/>
    <w:rsid w:val="00E657EE"/>
    <w:rsid w:val="00E716F4"/>
    <w:rsid w:val="00E7289D"/>
    <w:rsid w:val="00E747B2"/>
    <w:rsid w:val="00E754FC"/>
    <w:rsid w:val="00E827C5"/>
    <w:rsid w:val="00E95373"/>
    <w:rsid w:val="00F17A26"/>
    <w:rsid w:val="00F23C8A"/>
    <w:rsid w:val="00F57119"/>
    <w:rsid w:val="00F5776A"/>
    <w:rsid w:val="00F644D6"/>
    <w:rsid w:val="00FC343E"/>
    <w:rsid w:val="00FD57F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8"/>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8"/>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r-press.co.uk/speech-therapy-cleft-palate-velopharyngeal-dysfunction.html"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2013-07-08T12:18:00Z</dcterms:created>
  <dcterms:modified xsi:type="dcterms:W3CDTF">2013-07-08T12:18:00Z</dcterms:modified>
</cp:coreProperties>
</file>