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7A3DEA">
      <w:pPr>
        <w:jc w:val="center"/>
        <w:rPr>
          <w:rFonts w:ascii="Frutiger" w:hAnsi="Frutiger"/>
        </w:rPr>
      </w:pPr>
      <w:r w:rsidRPr="007A3DEA">
        <w:rPr>
          <w:noProof/>
          <w:sz w:val="20"/>
        </w:rPr>
        <w:pict>
          <v:rect id="_x0000_s1034" style="position:absolute;left:0;text-align:left;margin-left:324pt;margin-top:4.05pt;width:108pt;height:45pt;z-index:251657728">
            <v:textbox inset="0,0,0,0">
              <w:txbxContent>
                <w:p w:rsidR="00266710" w:rsidRDefault="00266710">
                  <w:pPr>
                    <w:pStyle w:val="Heading1"/>
                    <w:jc w:val="center"/>
                    <w:rPr>
                      <w:sz w:val="24"/>
                      <w:u w:val="none"/>
                    </w:rPr>
                  </w:pPr>
                  <w:r>
                    <w:rPr>
                      <w:sz w:val="24"/>
                      <w:u w:val="none"/>
                    </w:rPr>
                    <w:t>PAPER</w:t>
                  </w:r>
                </w:p>
                <w:p w:rsidR="00266710" w:rsidRDefault="00266710">
                  <w:pPr>
                    <w:pStyle w:val="BodyText"/>
                    <w:rPr>
                      <w:sz w:val="22"/>
                    </w:rPr>
                  </w:pPr>
                  <w:r>
                    <w:rPr>
                      <w:sz w:val="22"/>
                    </w:rPr>
                    <w:t>BOD 90/2013</w:t>
                  </w:r>
                </w:p>
                <w:p w:rsidR="00266710" w:rsidRPr="00537C23" w:rsidRDefault="00266710">
                  <w:pPr>
                    <w:jc w:val="center"/>
                    <w:rPr>
                      <w:rFonts w:ascii="Arial" w:hAnsi="Arial" w:cs="Arial"/>
                      <w:sz w:val="20"/>
                      <w:szCs w:val="20"/>
                    </w:rPr>
                  </w:pPr>
                  <w:r>
                    <w:rPr>
                      <w:rFonts w:ascii="Arial" w:hAnsi="Arial" w:cs="Arial"/>
                      <w:sz w:val="20"/>
                      <w:szCs w:val="20"/>
                    </w:rPr>
                    <w:t>(Agenda Item: 13)</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3145DD" w:rsidP="00537C23">
      <w:pPr>
        <w:jc w:val="center"/>
        <w:rPr>
          <w:rFonts w:ascii="Arial" w:hAnsi="Arial" w:cs="Arial"/>
          <w:b/>
        </w:rPr>
      </w:pPr>
      <w:r>
        <w:rPr>
          <w:rFonts w:ascii="Arial" w:hAnsi="Arial" w:cs="Arial"/>
          <w:b/>
        </w:rPr>
        <w:t>31 July 2013</w:t>
      </w:r>
    </w:p>
    <w:p w:rsidR="00537C23" w:rsidRDefault="00537C23" w:rsidP="00537C23">
      <w:pPr>
        <w:jc w:val="center"/>
        <w:rPr>
          <w:rFonts w:ascii="Arial" w:hAnsi="Arial" w:cs="Arial"/>
          <w:b/>
        </w:rPr>
      </w:pPr>
    </w:p>
    <w:p w:rsidR="00537C23" w:rsidRDefault="00537C23" w:rsidP="00537C23">
      <w:pPr>
        <w:jc w:val="center"/>
        <w:rPr>
          <w:rFonts w:ascii="Arial" w:hAnsi="Arial" w:cs="Arial"/>
          <w:b/>
        </w:rPr>
      </w:pPr>
      <w:r>
        <w:rPr>
          <w:rFonts w:ascii="Arial" w:hAnsi="Arial" w:cs="Arial"/>
          <w:b/>
        </w:rPr>
        <w:t xml:space="preserve">In-Year Submission to </w:t>
      </w:r>
      <w:r w:rsidRPr="00636DFE">
        <w:rPr>
          <w:rFonts w:ascii="Arial" w:hAnsi="Arial" w:cs="Arial"/>
          <w:b/>
        </w:rPr>
        <w:t xml:space="preserve">Monitor </w:t>
      </w:r>
      <w:r>
        <w:rPr>
          <w:rFonts w:ascii="Arial" w:hAnsi="Arial" w:cs="Arial"/>
          <w:b/>
        </w:rPr>
        <w:t xml:space="preserve">– </w:t>
      </w:r>
      <w:r w:rsidRPr="00636DFE">
        <w:rPr>
          <w:rFonts w:ascii="Arial" w:hAnsi="Arial" w:cs="Arial"/>
          <w:b/>
        </w:rPr>
        <w:t xml:space="preserve">Quarter </w:t>
      </w:r>
      <w:r w:rsidR="00376B7B">
        <w:rPr>
          <w:rFonts w:ascii="Arial" w:hAnsi="Arial" w:cs="Arial"/>
          <w:b/>
        </w:rPr>
        <w:t>1</w:t>
      </w:r>
      <w:r>
        <w:rPr>
          <w:rFonts w:ascii="Arial" w:hAnsi="Arial" w:cs="Arial"/>
          <w:b/>
        </w:rPr>
        <w:t xml:space="preserve"> </w:t>
      </w:r>
      <w:r w:rsidR="00376B7B">
        <w:rPr>
          <w:rFonts w:ascii="Arial" w:hAnsi="Arial" w:cs="Arial"/>
          <w:b/>
        </w:rPr>
        <w:t>2013/14</w:t>
      </w:r>
      <w:r>
        <w:rPr>
          <w:rFonts w:ascii="Arial" w:hAnsi="Arial" w:cs="Arial"/>
          <w:b/>
        </w:rPr>
        <w:t xml:space="preserve"> </w:t>
      </w:r>
      <w:r w:rsidRPr="00636DFE">
        <w:rPr>
          <w:rFonts w:ascii="Arial" w:hAnsi="Arial" w:cs="Arial"/>
          <w:b/>
        </w:rPr>
        <w:t>Report</w:t>
      </w:r>
      <w:r w:rsidR="007338A7">
        <w:rPr>
          <w:rFonts w:ascii="Arial" w:hAnsi="Arial" w:cs="Arial"/>
          <w:b/>
        </w:rPr>
        <w:t xml:space="preserve"> </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7338A7" w:rsidRDefault="007338A7" w:rsidP="00537C23">
      <w:pPr>
        <w:rPr>
          <w:rFonts w:ascii="Arial" w:hAnsi="Arial" w:cs="Arial"/>
          <w:b/>
        </w:rPr>
      </w:pPr>
    </w:p>
    <w:p w:rsidR="000F1A75" w:rsidRDefault="000F1A75" w:rsidP="00537C23">
      <w:pPr>
        <w:rPr>
          <w:rFonts w:ascii="Arial" w:hAnsi="Arial" w:cs="Arial"/>
          <w:b/>
        </w:rPr>
      </w:pPr>
    </w:p>
    <w:p w:rsidR="00537C23" w:rsidRDefault="00537C23" w:rsidP="00537C23">
      <w:pPr>
        <w:jc w:val="both"/>
        <w:rPr>
          <w:rFonts w:ascii="Arial" w:hAnsi="Arial" w:cs="Arial"/>
          <w:b/>
        </w:rPr>
      </w:pPr>
      <w:r w:rsidRPr="00F111B9">
        <w:rPr>
          <w:rFonts w:ascii="Arial" w:hAnsi="Arial" w:cs="Arial"/>
          <w:b/>
        </w:rPr>
        <w:t>Executive Summary</w:t>
      </w:r>
    </w:p>
    <w:p w:rsidR="00537C23" w:rsidRDefault="00537C23" w:rsidP="00537C23">
      <w:pPr>
        <w:jc w:val="both"/>
        <w:rPr>
          <w:rFonts w:ascii="Arial" w:hAnsi="Arial" w:cs="Arial"/>
        </w:rPr>
      </w:pPr>
      <w:r>
        <w:rPr>
          <w:rFonts w:ascii="Arial" w:hAnsi="Arial" w:cs="Arial"/>
        </w:rPr>
        <w:t>Under the Compliance Framework</w:t>
      </w:r>
      <w:r w:rsidR="009E4327">
        <w:rPr>
          <w:rFonts w:ascii="Arial" w:hAnsi="Arial" w:cs="Arial"/>
        </w:rPr>
        <w:t xml:space="preserve"> </w:t>
      </w:r>
      <w:r w:rsidR="003145DD">
        <w:rPr>
          <w:rFonts w:ascii="Arial" w:hAnsi="Arial" w:cs="Arial"/>
        </w:rPr>
        <w:t>2013/14</w:t>
      </w:r>
      <w:r>
        <w:rPr>
          <w:rFonts w:ascii="Arial" w:hAnsi="Arial" w:cs="Arial"/>
        </w:rPr>
        <w:t>, the Trust is required to provide in-year reports on a quarterly basis.  These submissions include quarterly financials, year to date financials and self certification</w:t>
      </w:r>
      <w:r w:rsidR="00A2776E">
        <w:rPr>
          <w:rFonts w:ascii="Arial" w:hAnsi="Arial" w:cs="Arial"/>
        </w:rPr>
        <w:t xml:space="preserve"> that all targets have been met.  Exception / update reports should be provided where necessary.</w:t>
      </w:r>
      <w:r>
        <w:rPr>
          <w:rFonts w:ascii="Arial" w:hAnsi="Arial" w:cs="Arial"/>
        </w:rPr>
        <w:t xml:space="preserve"> </w:t>
      </w:r>
    </w:p>
    <w:p w:rsidR="00537C23" w:rsidRDefault="00537C23" w:rsidP="00537C23">
      <w:pPr>
        <w:jc w:val="both"/>
        <w:rPr>
          <w:rFonts w:ascii="Arial" w:hAnsi="Arial" w:cs="Arial"/>
        </w:rPr>
      </w:pPr>
    </w:p>
    <w:p w:rsidR="000F1A75" w:rsidRDefault="000F1A75" w:rsidP="00537C23">
      <w:pPr>
        <w:jc w:val="both"/>
        <w:rPr>
          <w:rFonts w:ascii="Arial" w:hAnsi="Arial" w:cs="Arial"/>
        </w:rPr>
      </w:pPr>
      <w:r>
        <w:rPr>
          <w:rFonts w:ascii="Arial" w:hAnsi="Arial" w:cs="Arial"/>
        </w:rPr>
        <w:t>Section 1 of this report set</w:t>
      </w:r>
      <w:r w:rsidR="00983DAC">
        <w:rPr>
          <w:rFonts w:ascii="Arial" w:hAnsi="Arial" w:cs="Arial"/>
        </w:rPr>
        <w:t>s</w:t>
      </w:r>
      <w:r>
        <w:rPr>
          <w:rFonts w:ascii="Arial" w:hAnsi="Arial" w:cs="Arial"/>
        </w:rPr>
        <w:t xml:space="preserve"> out the </w:t>
      </w:r>
      <w:r w:rsidR="003145DD">
        <w:rPr>
          <w:rFonts w:ascii="Arial" w:hAnsi="Arial" w:cs="Arial"/>
        </w:rPr>
        <w:t>2013/14</w:t>
      </w:r>
      <w:r>
        <w:rPr>
          <w:rFonts w:ascii="Arial" w:hAnsi="Arial" w:cs="Arial"/>
        </w:rPr>
        <w:t xml:space="preserve"> monitoring requirements for FTs, including information on the quarterly submissions</w:t>
      </w:r>
      <w:r w:rsidR="003145DD">
        <w:rPr>
          <w:rFonts w:ascii="Arial" w:hAnsi="Arial" w:cs="Arial"/>
        </w:rPr>
        <w:t>.</w:t>
      </w:r>
    </w:p>
    <w:p w:rsidR="000F1A75" w:rsidRDefault="000F1A75" w:rsidP="00537C23">
      <w:pPr>
        <w:jc w:val="both"/>
        <w:rPr>
          <w:rFonts w:ascii="Arial" w:hAnsi="Arial" w:cs="Arial"/>
        </w:rPr>
      </w:pPr>
    </w:p>
    <w:p w:rsidR="00537C23" w:rsidRDefault="000F1A75" w:rsidP="00537C23">
      <w:pPr>
        <w:jc w:val="both"/>
        <w:rPr>
          <w:rFonts w:ascii="Arial" w:hAnsi="Arial" w:cs="Arial"/>
        </w:rPr>
      </w:pPr>
      <w:r>
        <w:rPr>
          <w:rFonts w:ascii="Arial" w:hAnsi="Arial" w:cs="Arial"/>
        </w:rPr>
        <w:t>Section 2 of this report sets out the Trust’s proposed Q</w:t>
      </w:r>
      <w:r w:rsidR="00022B45">
        <w:rPr>
          <w:rFonts w:ascii="Arial" w:hAnsi="Arial" w:cs="Arial"/>
        </w:rPr>
        <w:t xml:space="preserve">uarter </w:t>
      </w:r>
      <w:r w:rsidR="003145DD">
        <w:rPr>
          <w:rFonts w:ascii="Arial" w:hAnsi="Arial" w:cs="Arial"/>
        </w:rPr>
        <w:t>1</w:t>
      </w:r>
      <w:r>
        <w:rPr>
          <w:rFonts w:ascii="Arial" w:hAnsi="Arial" w:cs="Arial"/>
        </w:rPr>
        <w:t xml:space="preserve"> submission to Monitor.    </w:t>
      </w:r>
      <w:r w:rsidR="00537C23">
        <w:rPr>
          <w:rFonts w:ascii="Arial" w:hAnsi="Arial" w:cs="Arial"/>
        </w:rPr>
        <w:t xml:space="preserve">The submission date is </w:t>
      </w:r>
      <w:r w:rsidR="003145DD">
        <w:rPr>
          <w:rFonts w:ascii="Arial" w:hAnsi="Arial" w:cs="Arial"/>
        </w:rPr>
        <w:t>31 July</w:t>
      </w:r>
      <w:r w:rsidR="00537C23">
        <w:rPr>
          <w:rFonts w:ascii="Arial" w:hAnsi="Arial" w:cs="Arial"/>
        </w:rPr>
        <w:t xml:space="preserve"> 201</w:t>
      </w:r>
      <w:r w:rsidR="00ED3297">
        <w:rPr>
          <w:rFonts w:ascii="Arial" w:hAnsi="Arial" w:cs="Arial"/>
        </w:rPr>
        <w:t>3</w:t>
      </w:r>
      <w:r w:rsidR="00537C23">
        <w:rPr>
          <w:rFonts w:ascii="Arial" w:hAnsi="Arial" w:cs="Arial"/>
        </w:rPr>
        <w:t>.</w:t>
      </w:r>
    </w:p>
    <w:p w:rsidR="00A2776E" w:rsidRDefault="00A2776E" w:rsidP="007338A7">
      <w:pPr>
        <w:jc w:val="both"/>
        <w:rPr>
          <w:rFonts w:ascii="Arial" w:hAnsi="Arial" w:cs="Arial"/>
        </w:rPr>
      </w:pPr>
    </w:p>
    <w:p w:rsidR="000F1A75" w:rsidRDefault="000F1A75" w:rsidP="007338A7">
      <w:pPr>
        <w:jc w:val="both"/>
        <w:rPr>
          <w:rFonts w:ascii="Arial" w:hAnsi="Arial" w:cs="Arial"/>
        </w:rPr>
      </w:pPr>
    </w:p>
    <w:p w:rsidR="000F1A75" w:rsidRDefault="000F1A75" w:rsidP="007338A7">
      <w:pPr>
        <w:jc w:val="both"/>
        <w:rPr>
          <w:rFonts w:ascii="Arial" w:hAnsi="Arial" w:cs="Arial"/>
        </w:rPr>
      </w:pPr>
    </w:p>
    <w:p w:rsidR="007338A7" w:rsidRDefault="007338A7" w:rsidP="007338A7">
      <w:pPr>
        <w:jc w:val="both"/>
        <w:rPr>
          <w:rFonts w:ascii="Arial" w:hAnsi="Arial" w:cs="Arial"/>
          <w:b/>
        </w:rPr>
      </w:pPr>
      <w:r>
        <w:rPr>
          <w:rFonts w:ascii="Arial" w:hAnsi="Arial" w:cs="Arial"/>
          <w:b/>
        </w:rPr>
        <w:t>Recommendation</w:t>
      </w:r>
    </w:p>
    <w:p w:rsidR="007338A7" w:rsidRDefault="007338A7" w:rsidP="007338A7">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7338A7" w:rsidRDefault="007338A7" w:rsidP="007338A7">
      <w:pPr>
        <w:jc w:val="both"/>
        <w:rPr>
          <w:rFonts w:ascii="Arial" w:hAnsi="Arial" w:cs="Arial"/>
        </w:rPr>
      </w:pPr>
    </w:p>
    <w:p w:rsidR="007338A7" w:rsidRDefault="007338A7" w:rsidP="007338A7">
      <w:pPr>
        <w:jc w:val="both"/>
        <w:rPr>
          <w:rFonts w:ascii="Arial" w:hAnsi="Arial" w:cs="Arial"/>
        </w:rPr>
      </w:pPr>
      <w:r>
        <w:rPr>
          <w:rFonts w:ascii="Arial" w:hAnsi="Arial" w:cs="Arial"/>
        </w:rPr>
        <w:t xml:space="preserve">The Board is asked to comment on and approve the Quarter </w:t>
      </w:r>
      <w:r w:rsidR="003145DD">
        <w:rPr>
          <w:rFonts w:ascii="Arial" w:hAnsi="Arial" w:cs="Arial"/>
        </w:rPr>
        <w:t>1</w:t>
      </w:r>
      <w:r w:rsidR="00780788">
        <w:rPr>
          <w:rFonts w:ascii="Arial" w:hAnsi="Arial" w:cs="Arial"/>
        </w:rPr>
        <w:t xml:space="preserve"> submission to Monitor.</w:t>
      </w:r>
    </w:p>
    <w:p w:rsidR="00780788" w:rsidRDefault="00780788" w:rsidP="007338A7">
      <w:pPr>
        <w:jc w:val="both"/>
        <w:rPr>
          <w:rFonts w:ascii="Arial" w:hAnsi="Arial" w:cs="Arial"/>
        </w:rPr>
      </w:pPr>
    </w:p>
    <w:p w:rsidR="00780788" w:rsidRDefault="00780788" w:rsidP="007338A7">
      <w:pPr>
        <w:jc w:val="both"/>
        <w:rPr>
          <w:rFonts w:ascii="Arial" w:hAnsi="Arial" w:cs="Arial"/>
        </w:rPr>
      </w:pPr>
      <w:r>
        <w:rPr>
          <w:rFonts w:ascii="Arial" w:hAnsi="Arial" w:cs="Arial"/>
        </w:rPr>
        <w:t xml:space="preserve">As part of the </w:t>
      </w:r>
      <w:r w:rsidR="00022B45">
        <w:rPr>
          <w:rFonts w:ascii="Arial" w:hAnsi="Arial" w:cs="Arial"/>
        </w:rPr>
        <w:t xml:space="preserve">Quarter </w:t>
      </w:r>
      <w:r w:rsidR="003145DD">
        <w:rPr>
          <w:rFonts w:ascii="Arial" w:hAnsi="Arial" w:cs="Arial"/>
        </w:rPr>
        <w:t>1</w:t>
      </w:r>
      <w:r w:rsidR="000F1A75">
        <w:rPr>
          <w:rFonts w:ascii="Arial" w:hAnsi="Arial" w:cs="Arial"/>
        </w:rPr>
        <w:t xml:space="preserve"> </w:t>
      </w:r>
      <w:r>
        <w:rPr>
          <w:rFonts w:ascii="Arial" w:hAnsi="Arial" w:cs="Arial"/>
        </w:rPr>
        <w:t xml:space="preserve">submission, the Board is asked to </w:t>
      </w:r>
      <w:r w:rsidR="000F1A75">
        <w:rPr>
          <w:rFonts w:ascii="Arial" w:hAnsi="Arial" w:cs="Arial"/>
        </w:rPr>
        <w:t>confirm the following statements:-</w:t>
      </w:r>
    </w:p>
    <w:p w:rsidR="000F1A75" w:rsidRPr="000F1A75" w:rsidRDefault="000F1A75" w:rsidP="000F1A75">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rust will continue to maintain a financial risk rating of at l</w:t>
      </w:r>
      <w:r>
        <w:rPr>
          <w:rFonts w:ascii="Arial" w:hAnsi="Arial" w:cs="Arial"/>
        </w:rPr>
        <w:t>east 3 over the next 12 months.</w:t>
      </w:r>
    </w:p>
    <w:p w:rsidR="000F1A75" w:rsidRPr="00593399" w:rsidRDefault="000F1A75" w:rsidP="000F1A75">
      <w:pPr>
        <w:pStyle w:val="ListParagraph"/>
        <w:numPr>
          <w:ilvl w:val="0"/>
          <w:numId w:val="20"/>
        </w:numPr>
        <w:jc w:val="both"/>
        <w:rPr>
          <w:rFonts w:ascii="Arial" w:hAnsi="Arial" w:cs="Arial"/>
        </w:rPr>
      </w:pPr>
      <w:r>
        <w:rPr>
          <w:rFonts w:ascii="Arial" w:hAnsi="Arial" w:cs="Arial"/>
        </w:rPr>
        <w:lastRenderedPageBreak/>
        <w:t>The Board is satisfied that plans in place are sufficient to ensure ongoing compliance with all existing targets (after the application of thresholds) and a commitment to comply with all known targets going forwards.</w:t>
      </w:r>
    </w:p>
    <w:p w:rsidR="000F1A75" w:rsidRDefault="000F1A75" w:rsidP="007338A7">
      <w:pPr>
        <w:jc w:val="both"/>
        <w:rPr>
          <w:rFonts w:ascii="Arial" w:hAnsi="Arial" w:cs="Arial"/>
        </w:rPr>
      </w:pP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t xml:space="preserve">Justinian Habner, Trust Secretary </w:t>
      </w:r>
    </w:p>
    <w:p w:rsidR="007338A7" w:rsidRPr="002712E4" w:rsidRDefault="007338A7" w:rsidP="007338A7">
      <w:pPr>
        <w:jc w:val="both"/>
        <w:rPr>
          <w:rFonts w:ascii="Arial" w:hAnsi="Arial" w:cs="Arial"/>
        </w:rPr>
      </w:pPr>
      <w:r>
        <w:rPr>
          <w:rFonts w:ascii="Arial" w:hAnsi="Arial" w:cs="Arial"/>
          <w:b/>
        </w:rPr>
        <w:t>Lead Executive Director:</w:t>
      </w:r>
      <w:r>
        <w:rPr>
          <w:rFonts w:ascii="Arial" w:hAnsi="Arial" w:cs="Arial"/>
          <w:b/>
        </w:rPr>
        <w:tab/>
      </w:r>
      <w:r>
        <w:rPr>
          <w:rFonts w:ascii="Arial" w:hAnsi="Arial" w:cs="Arial"/>
        </w:rPr>
        <w:t>Mike McEnaney, Director of Finance</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0F1A75" w:rsidRDefault="000F1A75">
      <w:pPr>
        <w:rPr>
          <w:rFonts w:ascii="Arial" w:hAnsi="Arial" w:cs="Arial"/>
        </w:rPr>
      </w:pPr>
      <w:r>
        <w:rPr>
          <w:rFonts w:ascii="Arial" w:hAnsi="Arial" w:cs="Arial"/>
        </w:rPr>
        <w:br w:type="page"/>
      </w:r>
    </w:p>
    <w:p w:rsidR="007338A7" w:rsidRDefault="007338A7" w:rsidP="00537C23">
      <w:pPr>
        <w:jc w:val="both"/>
        <w:rPr>
          <w:rFonts w:ascii="Arial" w:hAnsi="Arial" w:cs="Arial"/>
        </w:rPr>
      </w:pPr>
    </w:p>
    <w:p w:rsidR="00537C23" w:rsidRDefault="00537C23" w:rsidP="00537C23">
      <w:pPr>
        <w:jc w:val="both"/>
        <w:rPr>
          <w:rFonts w:ascii="Arial" w:hAnsi="Arial" w:cs="Arial"/>
        </w:rPr>
      </w:pPr>
    </w:p>
    <w:p w:rsidR="00537C23" w:rsidRPr="006557FC" w:rsidRDefault="003145DD" w:rsidP="007338A7">
      <w:pPr>
        <w:numPr>
          <w:ilvl w:val="0"/>
          <w:numId w:val="14"/>
        </w:numPr>
        <w:ind w:hanging="720"/>
        <w:jc w:val="both"/>
        <w:rPr>
          <w:rFonts w:ascii="Arial" w:hAnsi="Arial" w:cs="Arial"/>
          <w:b/>
        </w:rPr>
      </w:pPr>
      <w:r>
        <w:rPr>
          <w:rFonts w:ascii="Arial" w:hAnsi="Arial" w:cs="Arial"/>
          <w:b/>
        </w:rPr>
        <w:t>2013/14</w:t>
      </w:r>
      <w:r w:rsidR="00537C23">
        <w:rPr>
          <w:rFonts w:ascii="Arial" w:hAnsi="Arial" w:cs="Arial"/>
          <w:b/>
        </w:rPr>
        <w:t xml:space="preserve"> Monitoring </w:t>
      </w:r>
      <w:r w:rsidR="00593399">
        <w:rPr>
          <w:rFonts w:ascii="Arial" w:hAnsi="Arial" w:cs="Arial"/>
          <w:b/>
        </w:rPr>
        <w:t>Requirements</w:t>
      </w:r>
    </w:p>
    <w:p w:rsidR="005F2E83" w:rsidRDefault="005F2E83" w:rsidP="00537C23">
      <w:pPr>
        <w:jc w:val="both"/>
        <w:rPr>
          <w:rFonts w:ascii="Arial" w:hAnsi="Arial" w:cs="Arial"/>
        </w:rPr>
      </w:pPr>
      <w:r>
        <w:rPr>
          <w:rFonts w:ascii="Arial" w:hAnsi="Arial" w:cs="Arial"/>
        </w:rPr>
        <w:t xml:space="preserve">Under the Compliance Framework </w:t>
      </w:r>
      <w:r w:rsidR="003145DD">
        <w:rPr>
          <w:rFonts w:ascii="Arial" w:hAnsi="Arial" w:cs="Arial"/>
        </w:rPr>
        <w:t>2013/14 (copy attached)</w:t>
      </w:r>
      <w:r>
        <w:rPr>
          <w:rFonts w:ascii="Arial" w:hAnsi="Arial" w:cs="Arial"/>
        </w:rPr>
        <w:t>, FTs are required to make the following in-year submissions</w:t>
      </w:r>
      <w:r w:rsidR="003145DD">
        <w:rPr>
          <w:rFonts w:ascii="Arial" w:hAnsi="Arial" w:cs="Arial"/>
        </w:rPr>
        <w:t xml:space="preserve"> (see Appendix D)</w:t>
      </w:r>
      <w:r>
        <w:rPr>
          <w:rFonts w:ascii="Arial" w:hAnsi="Arial" w:cs="Arial"/>
        </w:rPr>
        <w:t>:-</w:t>
      </w:r>
    </w:p>
    <w:p w:rsidR="005F2E83" w:rsidRDefault="005F2E83" w:rsidP="005F2E83">
      <w:pPr>
        <w:pStyle w:val="ListParagraph"/>
        <w:numPr>
          <w:ilvl w:val="0"/>
          <w:numId w:val="19"/>
        </w:numPr>
        <w:jc w:val="both"/>
        <w:rPr>
          <w:rFonts w:ascii="Arial" w:hAnsi="Arial" w:cs="Arial"/>
        </w:rPr>
      </w:pPr>
      <w:r>
        <w:rPr>
          <w:rFonts w:ascii="Arial" w:hAnsi="Arial" w:cs="Arial"/>
        </w:rPr>
        <w:t>Quarterly financials</w:t>
      </w:r>
      <w:r w:rsidR="0042776F">
        <w:rPr>
          <w:rFonts w:ascii="Arial" w:hAnsi="Arial" w:cs="Arial"/>
        </w:rPr>
        <w:t>.</w:t>
      </w:r>
    </w:p>
    <w:p w:rsidR="005F2E83" w:rsidRDefault="005F2E83" w:rsidP="005F2E83">
      <w:pPr>
        <w:pStyle w:val="ListParagraph"/>
        <w:numPr>
          <w:ilvl w:val="0"/>
          <w:numId w:val="19"/>
        </w:numPr>
        <w:jc w:val="both"/>
        <w:rPr>
          <w:rFonts w:ascii="Arial" w:hAnsi="Arial" w:cs="Arial"/>
        </w:rPr>
      </w:pPr>
      <w:r>
        <w:rPr>
          <w:rFonts w:ascii="Arial" w:hAnsi="Arial" w:cs="Arial"/>
        </w:rPr>
        <w:t>Year-to-date financials</w:t>
      </w:r>
      <w:r w:rsidR="0042776F">
        <w:rPr>
          <w:rFonts w:ascii="Arial" w:hAnsi="Arial" w:cs="Arial"/>
        </w:rPr>
        <w:t>.</w:t>
      </w:r>
    </w:p>
    <w:p w:rsidR="005F2E83" w:rsidRDefault="005F2E83" w:rsidP="005F2E83">
      <w:pPr>
        <w:pStyle w:val="ListParagraph"/>
        <w:numPr>
          <w:ilvl w:val="0"/>
          <w:numId w:val="19"/>
        </w:numPr>
        <w:jc w:val="both"/>
        <w:rPr>
          <w:rFonts w:ascii="Arial" w:hAnsi="Arial" w:cs="Arial"/>
        </w:rPr>
      </w:pPr>
      <w:r>
        <w:rPr>
          <w:rFonts w:ascii="Arial" w:hAnsi="Arial" w:cs="Arial"/>
        </w:rPr>
        <w:t>Statement from the board certifying compliance with two specific board statements</w:t>
      </w:r>
      <w:r w:rsidR="0042776F">
        <w:rPr>
          <w:rFonts w:ascii="Arial" w:hAnsi="Arial" w:cs="Arial"/>
        </w:rPr>
        <w:t>.</w:t>
      </w:r>
    </w:p>
    <w:p w:rsidR="0042776F" w:rsidRDefault="0042776F" w:rsidP="005F2E83">
      <w:pPr>
        <w:pStyle w:val="ListParagraph"/>
        <w:numPr>
          <w:ilvl w:val="0"/>
          <w:numId w:val="19"/>
        </w:numPr>
        <w:jc w:val="both"/>
        <w:rPr>
          <w:rFonts w:ascii="Arial" w:hAnsi="Arial" w:cs="Arial"/>
        </w:rPr>
      </w:pPr>
      <w:r>
        <w:rPr>
          <w:rFonts w:ascii="Arial" w:hAnsi="Arial" w:cs="Arial"/>
        </w:rPr>
        <w:t xml:space="preserve">Exception reports at any time </w:t>
      </w:r>
      <w:r w:rsidR="00593399">
        <w:rPr>
          <w:rFonts w:ascii="Arial" w:hAnsi="Arial" w:cs="Arial"/>
        </w:rPr>
        <w:t>on</w:t>
      </w:r>
      <w:r>
        <w:rPr>
          <w:rFonts w:ascii="Arial" w:hAnsi="Arial" w:cs="Arial"/>
        </w:rPr>
        <w:t xml:space="preserve"> relevant issue arises.</w:t>
      </w:r>
    </w:p>
    <w:p w:rsidR="0042776F" w:rsidRDefault="0042776F" w:rsidP="0042776F">
      <w:pPr>
        <w:pStyle w:val="ListParagraph"/>
        <w:numPr>
          <w:ilvl w:val="0"/>
          <w:numId w:val="19"/>
        </w:numPr>
        <w:jc w:val="both"/>
        <w:rPr>
          <w:rFonts w:ascii="Arial" w:hAnsi="Arial" w:cs="Arial"/>
        </w:rPr>
      </w:pPr>
      <w:r>
        <w:rPr>
          <w:rFonts w:ascii="Arial" w:hAnsi="Arial" w:cs="Arial"/>
        </w:rPr>
        <w:t xml:space="preserve">Results of Governor </w:t>
      </w:r>
      <w:proofErr w:type="gramStart"/>
      <w:r>
        <w:rPr>
          <w:rFonts w:ascii="Arial" w:hAnsi="Arial" w:cs="Arial"/>
        </w:rPr>
        <w:t>elections</w:t>
      </w:r>
      <w:proofErr w:type="gramEnd"/>
      <w:r>
        <w:rPr>
          <w:rFonts w:ascii="Arial" w:hAnsi="Arial" w:cs="Arial"/>
        </w:rPr>
        <w:t>.</w:t>
      </w:r>
    </w:p>
    <w:p w:rsidR="005F2E83" w:rsidRDefault="005F2E83" w:rsidP="00537C23">
      <w:pPr>
        <w:jc w:val="both"/>
        <w:rPr>
          <w:rFonts w:ascii="Arial" w:hAnsi="Arial" w:cs="Arial"/>
        </w:rPr>
      </w:pPr>
    </w:p>
    <w:p w:rsidR="0042776F" w:rsidRDefault="0042776F" w:rsidP="00537C23">
      <w:pPr>
        <w:jc w:val="both"/>
        <w:rPr>
          <w:rFonts w:ascii="Arial" w:hAnsi="Arial" w:cs="Arial"/>
        </w:rPr>
      </w:pPr>
      <w:r>
        <w:rPr>
          <w:rFonts w:ascii="Arial" w:hAnsi="Arial" w:cs="Arial"/>
          <w:b/>
          <w:i/>
        </w:rPr>
        <w:t>Quarterly Submissions</w:t>
      </w:r>
    </w:p>
    <w:p w:rsidR="0042776F" w:rsidRDefault="0042776F" w:rsidP="00537C23">
      <w:pPr>
        <w:jc w:val="both"/>
        <w:rPr>
          <w:rFonts w:ascii="Arial" w:hAnsi="Arial" w:cs="Arial"/>
        </w:rPr>
      </w:pPr>
      <w:r>
        <w:rPr>
          <w:rFonts w:ascii="Arial" w:hAnsi="Arial" w:cs="Arial"/>
        </w:rPr>
        <w:t>On a quarterly basis, Monitor issues templates which se</w:t>
      </w:r>
      <w:r w:rsidR="00593399">
        <w:rPr>
          <w:rFonts w:ascii="Arial" w:hAnsi="Arial" w:cs="Arial"/>
        </w:rPr>
        <w:t>t out what FTs should report on, including board statements, financial information, and performance against targets and indicators.</w:t>
      </w:r>
    </w:p>
    <w:p w:rsidR="00266710" w:rsidRDefault="00266710" w:rsidP="00537C23">
      <w:pPr>
        <w:jc w:val="both"/>
        <w:rPr>
          <w:rFonts w:ascii="Arial" w:hAnsi="Arial" w:cs="Arial"/>
        </w:rPr>
      </w:pPr>
    </w:p>
    <w:p w:rsidR="00266710" w:rsidRDefault="00266710" w:rsidP="00537C23">
      <w:pPr>
        <w:jc w:val="both"/>
        <w:rPr>
          <w:rFonts w:ascii="Arial" w:hAnsi="Arial" w:cs="Arial"/>
        </w:rPr>
      </w:pPr>
      <w:r>
        <w:rPr>
          <w:rFonts w:ascii="Arial" w:hAnsi="Arial" w:cs="Arial"/>
        </w:rPr>
        <w:t>Pages 15-21 of the Compliance Framework set out the elements of the in-year submission and what Board’s need to take account of; further detail is set out in the Appendices.  Elements of the submission include:-</w:t>
      </w:r>
    </w:p>
    <w:p w:rsidR="0042776F" w:rsidRDefault="0042776F" w:rsidP="00537C23">
      <w:pPr>
        <w:jc w:val="both"/>
        <w:rPr>
          <w:rFonts w:ascii="Arial" w:hAnsi="Arial" w:cs="Arial"/>
        </w:rPr>
      </w:pPr>
    </w:p>
    <w:p w:rsidR="00593399" w:rsidRPr="00780788" w:rsidRDefault="00593399" w:rsidP="00780788">
      <w:pPr>
        <w:pStyle w:val="ListParagraph"/>
        <w:numPr>
          <w:ilvl w:val="0"/>
          <w:numId w:val="26"/>
        </w:numPr>
        <w:jc w:val="both"/>
        <w:rPr>
          <w:rFonts w:ascii="Arial" w:hAnsi="Arial" w:cs="Arial"/>
        </w:rPr>
      </w:pPr>
      <w:r w:rsidRPr="00780788">
        <w:rPr>
          <w:rFonts w:ascii="Arial" w:hAnsi="Arial" w:cs="Arial"/>
          <w:i/>
        </w:rPr>
        <w:t>Board statements:</w:t>
      </w:r>
    </w:p>
    <w:p w:rsidR="00593399" w:rsidRDefault="00593399" w:rsidP="00537C23">
      <w:pPr>
        <w:jc w:val="both"/>
        <w:rPr>
          <w:rFonts w:ascii="Arial" w:hAnsi="Arial" w:cs="Arial"/>
        </w:rPr>
      </w:pPr>
      <w:r>
        <w:rPr>
          <w:rFonts w:ascii="Arial" w:hAnsi="Arial" w:cs="Arial"/>
        </w:rPr>
        <w:t>FTs are required to confirm the following board statements (no supporting details are required unless compliance cannot be confirmed).</w:t>
      </w:r>
    </w:p>
    <w:p w:rsidR="00593399" w:rsidRDefault="00593399" w:rsidP="00537C23">
      <w:pPr>
        <w:jc w:val="both"/>
        <w:rPr>
          <w:rFonts w:ascii="Arial" w:hAnsi="Arial" w:cs="Arial"/>
        </w:rPr>
      </w:pPr>
    </w:p>
    <w:p w:rsidR="00593399" w:rsidRDefault="00593399" w:rsidP="00593399">
      <w:pPr>
        <w:pStyle w:val="ListParagraph"/>
        <w:numPr>
          <w:ilvl w:val="0"/>
          <w:numId w:val="20"/>
        </w:numPr>
        <w:jc w:val="both"/>
        <w:rPr>
          <w:rFonts w:ascii="Arial" w:hAnsi="Arial" w:cs="Arial"/>
        </w:rPr>
      </w:pPr>
      <w:r w:rsidRPr="00593399">
        <w:rPr>
          <w:rFonts w:ascii="Arial" w:hAnsi="Arial" w:cs="Arial"/>
        </w:rPr>
        <w:t>For finance that: “The board anticipates that the trust will continue to maintain a financial risk rating of at least 3 over the next 12 months.”</w:t>
      </w:r>
    </w:p>
    <w:p w:rsidR="00593399" w:rsidRDefault="00593399" w:rsidP="00593399">
      <w:pPr>
        <w:jc w:val="both"/>
        <w:rPr>
          <w:rFonts w:ascii="Arial" w:hAnsi="Arial" w:cs="Arial"/>
        </w:rPr>
      </w:pPr>
    </w:p>
    <w:p w:rsidR="00593399" w:rsidRPr="00593399" w:rsidRDefault="00593399" w:rsidP="00593399">
      <w:pPr>
        <w:pStyle w:val="ListParagraph"/>
        <w:numPr>
          <w:ilvl w:val="0"/>
          <w:numId w:val="20"/>
        </w:numPr>
        <w:jc w:val="both"/>
        <w:rPr>
          <w:rFonts w:ascii="Arial" w:hAnsi="Arial" w:cs="Arial"/>
        </w:rPr>
      </w:pPr>
      <w:r>
        <w:rPr>
          <w:rFonts w:ascii="Arial" w:hAnsi="Arial" w:cs="Arial"/>
        </w:rPr>
        <w:t>For governance that: “The board is satisfied that plans in place are sufficient to ensure ongoing compliance with all existing targets (after the application of thresholds) and a commitment to comply with all known targets going forwards.”</w:t>
      </w:r>
    </w:p>
    <w:p w:rsidR="00593399" w:rsidRPr="009C058B" w:rsidRDefault="00593399" w:rsidP="009C058B">
      <w:pPr>
        <w:jc w:val="both"/>
        <w:rPr>
          <w:rFonts w:ascii="Arial" w:hAnsi="Arial" w:cs="Arial"/>
        </w:rPr>
      </w:pPr>
    </w:p>
    <w:p w:rsidR="009C058B" w:rsidRPr="00266710" w:rsidRDefault="00582ACF" w:rsidP="00780788">
      <w:pPr>
        <w:pStyle w:val="Default"/>
        <w:numPr>
          <w:ilvl w:val="0"/>
          <w:numId w:val="26"/>
        </w:numPr>
        <w:jc w:val="both"/>
        <w:rPr>
          <w:i/>
        </w:rPr>
      </w:pPr>
      <w:r w:rsidRPr="009C058B">
        <w:rPr>
          <w:bCs/>
          <w:i/>
        </w:rPr>
        <w:t>Non-exhaustive list of item</w:t>
      </w:r>
      <w:r w:rsidR="00780788">
        <w:rPr>
          <w:bCs/>
          <w:i/>
        </w:rPr>
        <w:t>s requiring exception reporting:</w:t>
      </w:r>
    </w:p>
    <w:p w:rsidR="00582ACF" w:rsidRPr="00780788" w:rsidRDefault="00582ACF" w:rsidP="00780788">
      <w:pPr>
        <w:pStyle w:val="Default"/>
        <w:jc w:val="both"/>
      </w:pPr>
      <w:r w:rsidRPr="00780788">
        <w:rPr>
          <w:iCs/>
        </w:rPr>
        <w:t xml:space="preserve">Finance </w:t>
      </w:r>
    </w:p>
    <w:p w:rsidR="00582ACF" w:rsidRPr="009C058B" w:rsidRDefault="00582ACF" w:rsidP="00780788">
      <w:pPr>
        <w:pStyle w:val="Default"/>
        <w:numPr>
          <w:ilvl w:val="0"/>
          <w:numId w:val="21"/>
        </w:numPr>
        <w:jc w:val="both"/>
      </w:pPr>
      <w:r w:rsidRPr="009C058B">
        <w:t>Unplanned significant reduction(s) in income or si</w:t>
      </w:r>
      <w:r w:rsidR="009C058B">
        <w:t>gnificant increase(s) in costs.</w:t>
      </w:r>
    </w:p>
    <w:p w:rsidR="009C058B" w:rsidRDefault="00582ACF" w:rsidP="00780788">
      <w:pPr>
        <w:pStyle w:val="Default"/>
        <w:numPr>
          <w:ilvl w:val="0"/>
          <w:numId w:val="21"/>
        </w:numPr>
        <w:jc w:val="both"/>
      </w:pPr>
      <w:r w:rsidRPr="009C058B">
        <w:t>Requirement for working capital in breach</w:t>
      </w:r>
      <w:r w:rsidR="009C058B">
        <w:t xml:space="preserve"> of Prudential Borrowing Limits.</w:t>
      </w:r>
    </w:p>
    <w:p w:rsidR="009C058B" w:rsidRDefault="009C058B" w:rsidP="00780788">
      <w:pPr>
        <w:pStyle w:val="Default"/>
        <w:numPr>
          <w:ilvl w:val="0"/>
          <w:numId w:val="21"/>
        </w:numPr>
        <w:jc w:val="both"/>
      </w:pPr>
      <w:r>
        <w:t>F</w:t>
      </w:r>
      <w:r w:rsidR="00582ACF" w:rsidRPr="009C058B">
        <w:t xml:space="preserve">ailure to comply with the </w:t>
      </w:r>
      <w:r w:rsidR="00582ACF" w:rsidRPr="009C058B">
        <w:rPr>
          <w:i/>
          <w:iCs/>
        </w:rPr>
        <w:t>NHS Foundation Trust Annual Reporting Manual</w:t>
      </w:r>
      <w:r>
        <w:t>.</w:t>
      </w:r>
    </w:p>
    <w:p w:rsidR="00582ACF" w:rsidRPr="009C058B" w:rsidRDefault="00582ACF" w:rsidP="00780788">
      <w:pPr>
        <w:pStyle w:val="Default"/>
        <w:numPr>
          <w:ilvl w:val="0"/>
          <w:numId w:val="21"/>
        </w:numPr>
        <w:jc w:val="both"/>
      </w:pPr>
      <w:r w:rsidRPr="009C058B">
        <w:t xml:space="preserve">Discussions with external auditors which may lead to a qualified audit report. </w:t>
      </w:r>
    </w:p>
    <w:p w:rsidR="000F1A75" w:rsidRPr="00780788" w:rsidRDefault="000F1A75" w:rsidP="00780788">
      <w:pPr>
        <w:pStyle w:val="Default"/>
        <w:jc w:val="both"/>
        <w:rPr>
          <w:iCs/>
        </w:rPr>
      </w:pPr>
    </w:p>
    <w:p w:rsidR="009C058B" w:rsidRPr="00780788" w:rsidRDefault="00582ACF" w:rsidP="00780788">
      <w:pPr>
        <w:pStyle w:val="Default"/>
        <w:jc w:val="both"/>
      </w:pPr>
      <w:r w:rsidRPr="00780788">
        <w:rPr>
          <w:iCs/>
        </w:rPr>
        <w:t xml:space="preserve">Governance </w:t>
      </w:r>
    </w:p>
    <w:p w:rsidR="00582ACF" w:rsidRDefault="00266710" w:rsidP="00266710">
      <w:pPr>
        <w:pStyle w:val="Default"/>
        <w:numPr>
          <w:ilvl w:val="0"/>
          <w:numId w:val="22"/>
        </w:numPr>
        <w:jc w:val="both"/>
      </w:pPr>
      <w:r>
        <w:t>Removal of director(s) for significant contractual or non-contractual dispute with another NHS body.</w:t>
      </w:r>
    </w:p>
    <w:p w:rsidR="00266710" w:rsidRDefault="00266710" w:rsidP="00266710">
      <w:pPr>
        <w:pStyle w:val="Default"/>
        <w:numPr>
          <w:ilvl w:val="0"/>
          <w:numId w:val="22"/>
        </w:numPr>
        <w:jc w:val="both"/>
      </w:pPr>
      <w:r>
        <w:lastRenderedPageBreak/>
        <w:t>Adverse report from internal auditors.</w:t>
      </w:r>
    </w:p>
    <w:p w:rsidR="00266710" w:rsidRDefault="00266710" w:rsidP="00266710">
      <w:pPr>
        <w:pStyle w:val="Default"/>
        <w:numPr>
          <w:ilvl w:val="0"/>
          <w:numId w:val="22"/>
        </w:numPr>
        <w:jc w:val="both"/>
      </w:pPr>
      <w:r w:rsidRPr="00266710">
        <w:t>Risk of a failure to maintain registration w</w:t>
      </w:r>
      <w:r>
        <w:t>ith the Care Quality Commission.</w:t>
      </w:r>
    </w:p>
    <w:p w:rsidR="00266710" w:rsidRDefault="00266710" w:rsidP="00266710">
      <w:pPr>
        <w:pStyle w:val="Default"/>
        <w:numPr>
          <w:ilvl w:val="0"/>
          <w:numId w:val="22"/>
        </w:numPr>
        <w:jc w:val="both"/>
      </w:pPr>
      <w:r w:rsidRPr="00266710">
        <w:t>Significant third party investigations that suggest material issues with governance e.g. fraud or Care Quality Commission rep</w:t>
      </w:r>
      <w:r>
        <w:t>orts of “significant failings”.</w:t>
      </w:r>
    </w:p>
    <w:p w:rsidR="00266710" w:rsidRDefault="00266710" w:rsidP="00266710">
      <w:pPr>
        <w:pStyle w:val="Default"/>
        <w:numPr>
          <w:ilvl w:val="0"/>
          <w:numId w:val="22"/>
        </w:numPr>
        <w:jc w:val="both"/>
      </w:pPr>
      <w:r w:rsidRPr="00266710">
        <w:t>Care Quality Commission</w:t>
      </w:r>
      <w:r>
        <w:t xml:space="preserve"> responsive or planned reviews.</w:t>
      </w:r>
    </w:p>
    <w:p w:rsidR="00266710" w:rsidRDefault="00266710" w:rsidP="00266710">
      <w:pPr>
        <w:pStyle w:val="Default"/>
        <w:numPr>
          <w:ilvl w:val="0"/>
          <w:numId w:val="22"/>
        </w:numPr>
        <w:jc w:val="both"/>
      </w:pPr>
      <w:r w:rsidRPr="00266710">
        <w:t>Outcomes or findings of Care Quality Commissio</w:t>
      </w:r>
      <w:r>
        <w:t>n responsive or planned reviews.</w:t>
      </w:r>
    </w:p>
    <w:p w:rsidR="00266710" w:rsidRDefault="00266710" w:rsidP="00266710">
      <w:pPr>
        <w:pStyle w:val="Default"/>
        <w:numPr>
          <w:ilvl w:val="0"/>
          <w:numId w:val="22"/>
        </w:numPr>
        <w:jc w:val="both"/>
      </w:pPr>
      <w:r w:rsidRPr="00266710">
        <w:t xml:space="preserve">Other patient safety issues which reflect quality governance </w:t>
      </w:r>
      <w:r>
        <w:t>issues (e.g. serious incidents).</w:t>
      </w:r>
    </w:p>
    <w:p w:rsidR="00266710" w:rsidRPr="00266710" w:rsidRDefault="00266710" w:rsidP="00266710">
      <w:pPr>
        <w:pStyle w:val="Default"/>
        <w:numPr>
          <w:ilvl w:val="0"/>
          <w:numId w:val="22"/>
        </w:numPr>
        <w:jc w:val="both"/>
      </w:pPr>
      <w:r w:rsidRPr="00266710">
        <w:t>Performance penalties to commissioners</w:t>
      </w:r>
      <w:r>
        <w:t>.</w:t>
      </w:r>
    </w:p>
    <w:p w:rsidR="00266710" w:rsidRPr="009C058B" w:rsidRDefault="00266710" w:rsidP="00780788">
      <w:pPr>
        <w:pStyle w:val="Default"/>
        <w:jc w:val="both"/>
      </w:pPr>
    </w:p>
    <w:p w:rsidR="00266710" w:rsidRPr="00266710" w:rsidRDefault="00266710" w:rsidP="00266710">
      <w:pPr>
        <w:autoSpaceDE w:val="0"/>
        <w:autoSpaceDN w:val="0"/>
        <w:adjustRightInd w:val="0"/>
        <w:jc w:val="both"/>
        <w:rPr>
          <w:rFonts w:ascii="Arial" w:hAnsi="Arial" w:cs="Arial"/>
          <w:color w:val="000000"/>
          <w:lang w:val="en-GB" w:eastAsia="en-GB"/>
        </w:rPr>
      </w:pPr>
      <w:r w:rsidRPr="00266710">
        <w:rPr>
          <w:rFonts w:ascii="Arial" w:hAnsi="Arial" w:cs="Arial"/>
          <w:color w:val="000000"/>
          <w:lang w:val="en-GB" w:eastAsia="en-GB"/>
        </w:rPr>
        <w:t>Other Risks</w:t>
      </w:r>
    </w:p>
    <w:p w:rsidR="00266710" w:rsidRDefault="00266710" w:rsidP="00266710">
      <w:pPr>
        <w:pStyle w:val="ListParagraph"/>
        <w:numPr>
          <w:ilvl w:val="0"/>
          <w:numId w:val="27"/>
        </w:numPr>
        <w:autoSpaceDE w:val="0"/>
        <w:autoSpaceDN w:val="0"/>
        <w:adjustRightInd w:val="0"/>
        <w:jc w:val="both"/>
        <w:rPr>
          <w:rFonts w:ascii="Arial" w:hAnsi="Arial" w:cs="Arial"/>
          <w:color w:val="000000"/>
          <w:lang w:val="en-GB" w:eastAsia="en-GB"/>
        </w:rPr>
      </w:pPr>
      <w:r w:rsidRPr="00266710">
        <w:rPr>
          <w:rFonts w:ascii="Arial" w:hAnsi="Arial" w:cs="Arial"/>
          <w:color w:val="000000"/>
          <w:lang w:val="en-GB" w:eastAsia="en-GB"/>
        </w:rPr>
        <w:t>Enforcement notices from other bodies implying potential or actual breach of any other</w:t>
      </w:r>
      <w:r>
        <w:rPr>
          <w:rFonts w:ascii="Arial" w:hAnsi="Arial" w:cs="Arial"/>
          <w:color w:val="000000"/>
          <w:lang w:val="en-GB" w:eastAsia="en-GB"/>
        </w:rPr>
        <w:t xml:space="preserve"> </w:t>
      </w:r>
      <w:r w:rsidRPr="00266710">
        <w:rPr>
          <w:rFonts w:ascii="Arial" w:hAnsi="Arial" w:cs="Arial"/>
          <w:color w:val="000000"/>
          <w:lang w:val="en-GB" w:eastAsia="en-GB"/>
        </w:rPr>
        <w:t>re</w:t>
      </w:r>
      <w:r>
        <w:rPr>
          <w:rFonts w:ascii="Arial" w:hAnsi="Arial" w:cs="Arial"/>
          <w:color w:val="000000"/>
          <w:lang w:val="en-GB" w:eastAsia="en-GB"/>
        </w:rPr>
        <w:t>quirement of the licence, e.g.:</w:t>
      </w:r>
    </w:p>
    <w:p w:rsidR="00266710" w:rsidRDefault="00266710" w:rsidP="00266710">
      <w:pPr>
        <w:pStyle w:val="ListParagraph"/>
        <w:numPr>
          <w:ilvl w:val="1"/>
          <w:numId w:val="27"/>
        </w:numPr>
        <w:autoSpaceDE w:val="0"/>
        <w:autoSpaceDN w:val="0"/>
        <w:adjustRightInd w:val="0"/>
        <w:jc w:val="both"/>
        <w:rPr>
          <w:rFonts w:ascii="Arial" w:hAnsi="Arial" w:cs="Arial"/>
          <w:color w:val="000000"/>
          <w:lang w:val="en-GB" w:eastAsia="en-GB"/>
        </w:rPr>
      </w:pPr>
      <w:r w:rsidRPr="00266710">
        <w:rPr>
          <w:rFonts w:ascii="Arial" w:hAnsi="Arial" w:cs="Arial"/>
          <w:color w:val="000000"/>
          <w:lang w:val="en-GB" w:eastAsia="en-GB"/>
        </w:rPr>
        <w:t>Health and Safety Exec</w:t>
      </w:r>
      <w:r>
        <w:rPr>
          <w:rFonts w:ascii="Arial" w:hAnsi="Arial" w:cs="Arial"/>
          <w:color w:val="000000"/>
          <w:lang w:val="en-GB" w:eastAsia="en-GB"/>
        </w:rPr>
        <w:t>utive or fire authority notices.</w:t>
      </w:r>
    </w:p>
    <w:p w:rsidR="00266710" w:rsidRDefault="00266710" w:rsidP="00266710">
      <w:pPr>
        <w:pStyle w:val="ListParagraph"/>
        <w:numPr>
          <w:ilvl w:val="1"/>
          <w:numId w:val="27"/>
        </w:numPr>
        <w:autoSpaceDE w:val="0"/>
        <w:autoSpaceDN w:val="0"/>
        <w:adjustRightInd w:val="0"/>
        <w:jc w:val="both"/>
        <w:rPr>
          <w:rFonts w:ascii="Arial" w:hAnsi="Arial" w:cs="Arial"/>
          <w:color w:val="000000"/>
          <w:lang w:val="en-GB" w:eastAsia="en-GB"/>
        </w:rPr>
      </w:pPr>
      <w:r w:rsidRPr="00266710">
        <w:rPr>
          <w:rFonts w:ascii="Arial" w:hAnsi="Arial" w:cs="Arial"/>
          <w:color w:val="000000"/>
          <w:lang w:val="en-GB" w:eastAsia="en-GB"/>
        </w:rPr>
        <w:t xml:space="preserve">Material issues impacting the </w:t>
      </w:r>
      <w:r>
        <w:rPr>
          <w:rFonts w:ascii="Arial" w:hAnsi="Arial" w:cs="Arial"/>
          <w:color w:val="000000"/>
          <w:lang w:val="en-GB" w:eastAsia="en-GB"/>
        </w:rPr>
        <w:t>FT’s reputation.</w:t>
      </w:r>
    </w:p>
    <w:p w:rsidR="00266710" w:rsidRPr="00266710" w:rsidRDefault="00266710" w:rsidP="00266710">
      <w:pPr>
        <w:pStyle w:val="ListParagraph"/>
        <w:numPr>
          <w:ilvl w:val="1"/>
          <w:numId w:val="27"/>
        </w:numPr>
        <w:autoSpaceDE w:val="0"/>
        <w:autoSpaceDN w:val="0"/>
        <w:adjustRightInd w:val="0"/>
        <w:jc w:val="both"/>
        <w:rPr>
          <w:rFonts w:ascii="Arial" w:hAnsi="Arial" w:cs="Arial"/>
          <w:color w:val="000000"/>
          <w:lang w:val="en-GB" w:eastAsia="en-GB"/>
        </w:rPr>
      </w:pPr>
      <w:r w:rsidRPr="00266710">
        <w:rPr>
          <w:rFonts w:ascii="Arial" w:hAnsi="Arial" w:cs="Arial"/>
          <w:color w:val="000000"/>
          <w:lang w:val="en-GB" w:eastAsia="en-GB"/>
        </w:rPr>
        <w:t>Adverse reports from overview and scrutiny</w:t>
      </w:r>
      <w:r>
        <w:rPr>
          <w:rFonts w:ascii="Arial" w:hAnsi="Arial" w:cs="Arial"/>
          <w:color w:val="000000"/>
          <w:lang w:val="en-GB" w:eastAsia="en-GB"/>
        </w:rPr>
        <w:t>.</w:t>
      </w:r>
      <w:r w:rsidRPr="00266710">
        <w:rPr>
          <w:rFonts w:ascii="Arial" w:hAnsi="Arial" w:cs="Arial"/>
          <w:color w:val="000000"/>
          <w:lang w:val="en-GB" w:eastAsia="en-GB"/>
        </w:rPr>
        <w:t xml:space="preserve"> </w:t>
      </w:r>
    </w:p>
    <w:p w:rsidR="00537C23" w:rsidRDefault="00537C23" w:rsidP="00537C23">
      <w:pPr>
        <w:jc w:val="both"/>
        <w:rPr>
          <w:rFonts w:ascii="Arial" w:hAnsi="Arial" w:cs="Arial"/>
        </w:rPr>
      </w:pPr>
    </w:p>
    <w:p w:rsidR="00780788" w:rsidRPr="00780788" w:rsidRDefault="00780788" w:rsidP="00780788">
      <w:pPr>
        <w:pStyle w:val="ListParagraph"/>
        <w:numPr>
          <w:ilvl w:val="0"/>
          <w:numId w:val="26"/>
        </w:numPr>
        <w:jc w:val="both"/>
        <w:rPr>
          <w:rFonts w:ascii="Arial" w:hAnsi="Arial" w:cs="Arial"/>
          <w:i/>
        </w:rPr>
      </w:pPr>
      <w:r w:rsidRPr="00780788">
        <w:rPr>
          <w:rFonts w:ascii="Arial" w:hAnsi="Arial" w:cs="Arial"/>
          <w:i/>
        </w:rPr>
        <w:t>Targets and Indictors</w:t>
      </w:r>
      <w:r>
        <w:rPr>
          <w:rFonts w:ascii="Arial" w:hAnsi="Arial" w:cs="Arial"/>
          <w:i/>
        </w:rPr>
        <w:t>:</w:t>
      </w:r>
    </w:p>
    <w:p w:rsidR="00537C23" w:rsidRDefault="00A80D21" w:rsidP="00537C23">
      <w:pPr>
        <w:jc w:val="both"/>
        <w:rPr>
          <w:rFonts w:ascii="Arial" w:hAnsi="Arial" w:cs="Arial"/>
        </w:rPr>
      </w:pPr>
      <w:r>
        <w:rPr>
          <w:rFonts w:ascii="Arial" w:hAnsi="Arial" w:cs="Arial"/>
        </w:rPr>
        <w:t>For a complete list of the targets and indicators that FTs must report against see Appendix B of the Compliance Framework.</w:t>
      </w:r>
    </w:p>
    <w:p w:rsidR="003145DD" w:rsidRDefault="003145DD" w:rsidP="00537C23">
      <w:pPr>
        <w:jc w:val="both"/>
        <w:rPr>
          <w:rFonts w:ascii="Arial" w:hAnsi="Arial" w:cs="Arial"/>
        </w:rPr>
      </w:pPr>
    </w:p>
    <w:p w:rsidR="003145DD" w:rsidRDefault="003145DD" w:rsidP="00537C23">
      <w:pPr>
        <w:jc w:val="both"/>
        <w:rPr>
          <w:rFonts w:ascii="Arial" w:hAnsi="Arial" w:cs="Arial"/>
        </w:rPr>
      </w:pPr>
    </w:p>
    <w:p w:rsidR="00780788" w:rsidRDefault="00780788" w:rsidP="00780788">
      <w:pPr>
        <w:jc w:val="both"/>
        <w:rPr>
          <w:rFonts w:ascii="Arial" w:hAnsi="Arial" w:cs="Arial"/>
        </w:rPr>
      </w:pPr>
      <w:r>
        <w:rPr>
          <w:rFonts w:ascii="Arial" w:hAnsi="Arial" w:cs="Arial"/>
        </w:rPr>
        <w:t xml:space="preserve">Please consult the Compliance Framework </w:t>
      </w:r>
      <w:r w:rsidR="003145DD">
        <w:rPr>
          <w:rFonts w:ascii="Arial" w:hAnsi="Arial" w:cs="Arial"/>
        </w:rPr>
        <w:t>2013/14</w:t>
      </w:r>
      <w:r>
        <w:rPr>
          <w:rFonts w:ascii="Arial" w:hAnsi="Arial" w:cs="Arial"/>
        </w:rPr>
        <w:t xml:space="preserve"> published by Monitor on </w:t>
      </w:r>
      <w:r w:rsidR="003145DD">
        <w:rPr>
          <w:rFonts w:ascii="Arial" w:hAnsi="Arial" w:cs="Arial"/>
        </w:rPr>
        <w:t>28 March 2013</w:t>
      </w:r>
      <w:r>
        <w:rPr>
          <w:rFonts w:ascii="Arial" w:hAnsi="Arial" w:cs="Arial"/>
        </w:rPr>
        <w:t xml:space="preserve"> for more detail on required submissions.</w:t>
      </w:r>
    </w:p>
    <w:p w:rsidR="00780788" w:rsidRDefault="00780788" w:rsidP="00780788">
      <w:pPr>
        <w:jc w:val="both"/>
        <w:rPr>
          <w:rFonts w:ascii="Arial" w:hAnsi="Arial" w:cs="Arial"/>
        </w:rPr>
      </w:pPr>
    </w:p>
    <w:p w:rsidR="002712E4" w:rsidRDefault="002712E4" w:rsidP="00537C23">
      <w:pPr>
        <w:jc w:val="both"/>
        <w:rPr>
          <w:rFonts w:ascii="Arial" w:hAnsi="Arial" w:cs="Arial"/>
          <w:b/>
        </w:rPr>
      </w:pPr>
    </w:p>
    <w:p w:rsidR="00537C23" w:rsidRDefault="00780788" w:rsidP="007338A7">
      <w:pPr>
        <w:numPr>
          <w:ilvl w:val="0"/>
          <w:numId w:val="14"/>
        </w:numPr>
        <w:ind w:hanging="720"/>
        <w:jc w:val="both"/>
        <w:rPr>
          <w:rFonts w:ascii="Arial" w:hAnsi="Arial" w:cs="Arial"/>
          <w:b/>
        </w:rPr>
      </w:pPr>
      <w:r>
        <w:rPr>
          <w:rFonts w:ascii="Arial" w:hAnsi="Arial" w:cs="Arial"/>
          <w:b/>
        </w:rPr>
        <w:t xml:space="preserve">Proposed </w:t>
      </w:r>
      <w:r w:rsidR="00537C23">
        <w:rPr>
          <w:rFonts w:ascii="Arial" w:hAnsi="Arial" w:cs="Arial"/>
          <w:b/>
        </w:rPr>
        <w:t xml:space="preserve">Submissions for Quarter </w:t>
      </w:r>
      <w:r w:rsidR="00190F92">
        <w:rPr>
          <w:rFonts w:ascii="Arial" w:hAnsi="Arial" w:cs="Arial"/>
          <w:b/>
        </w:rPr>
        <w:t>1</w:t>
      </w:r>
    </w:p>
    <w:p w:rsidR="000F1A75" w:rsidRDefault="00ED3297" w:rsidP="0038018C">
      <w:pPr>
        <w:jc w:val="both"/>
        <w:rPr>
          <w:rFonts w:ascii="Arial" w:hAnsi="Arial" w:cs="Arial"/>
        </w:rPr>
      </w:pPr>
      <w:r>
        <w:rPr>
          <w:rFonts w:ascii="Arial" w:hAnsi="Arial" w:cs="Arial"/>
        </w:rPr>
        <w:t xml:space="preserve">In </w:t>
      </w:r>
      <w:r w:rsidR="00A80D21">
        <w:rPr>
          <w:rFonts w:ascii="Arial" w:hAnsi="Arial" w:cs="Arial"/>
        </w:rPr>
        <w:t xml:space="preserve">July </w:t>
      </w:r>
      <w:r>
        <w:rPr>
          <w:rFonts w:ascii="Arial" w:hAnsi="Arial" w:cs="Arial"/>
        </w:rPr>
        <w:t>2013</w:t>
      </w:r>
      <w:r w:rsidR="000F1A75">
        <w:rPr>
          <w:rFonts w:ascii="Arial" w:hAnsi="Arial" w:cs="Arial"/>
        </w:rPr>
        <w:t xml:space="preserve">, </w:t>
      </w:r>
      <w:r w:rsidR="00537C23">
        <w:rPr>
          <w:rFonts w:ascii="Arial" w:hAnsi="Arial" w:cs="Arial"/>
        </w:rPr>
        <w:t xml:space="preserve">Monitor issued to the Trust the </w:t>
      </w:r>
      <w:r w:rsidR="00E22A07">
        <w:rPr>
          <w:rFonts w:ascii="Arial" w:hAnsi="Arial" w:cs="Arial"/>
        </w:rPr>
        <w:t xml:space="preserve">update </w:t>
      </w:r>
      <w:r w:rsidR="00537C23">
        <w:rPr>
          <w:rFonts w:ascii="Arial" w:hAnsi="Arial" w:cs="Arial"/>
        </w:rPr>
        <w:t xml:space="preserve">template to be completed </w:t>
      </w:r>
      <w:r w:rsidR="00022B45">
        <w:rPr>
          <w:rFonts w:ascii="Arial" w:hAnsi="Arial" w:cs="Arial"/>
        </w:rPr>
        <w:t xml:space="preserve">for the </w:t>
      </w:r>
      <w:r w:rsidR="00A80D21">
        <w:rPr>
          <w:rFonts w:ascii="Arial" w:hAnsi="Arial" w:cs="Arial"/>
        </w:rPr>
        <w:t>Quarter 1</w:t>
      </w:r>
      <w:r w:rsidR="006C4992">
        <w:rPr>
          <w:rFonts w:ascii="Arial" w:hAnsi="Arial" w:cs="Arial"/>
        </w:rPr>
        <w:t xml:space="preserve"> in-year report</w:t>
      </w:r>
      <w:r w:rsidR="00537C23">
        <w:rPr>
          <w:rFonts w:ascii="Arial" w:hAnsi="Arial" w:cs="Arial"/>
        </w:rPr>
        <w:t>.</w:t>
      </w:r>
      <w:r w:rsidR="008663FA">
        <w:rPr>
          <w:rFonts w:ascii="Arial" w:hAnsi="Arial" w:cs="Arial"/>
        </w:rPr>
        <w:t xml:space="preserve">  </w:t>
      </w:r>
      <w:r w:rsidR="008663FA" w:rsidRPr="004602F2">
        <w:rPr>
          <w:rFonts w:ascii="Arial" w:hAnsi="Arial" w:cs="Arial"/>
        </w:rPr>
        <w:t xml:space="preserve">The Executive discussed the proposed submission at its meeting on </w:t>
      </w:r>
      <w:r w:rsidR="00022B45">
        <w:rPr>
          <w:rFonts w:ascii="Arial" w:hAnsi="Arial" w:cs="Arial"/>
        </w:rPr>
        <w:t xml:space="preserve">9 </w:t>
      </w:r>
      <w:r w:rsidR="00A80D21">
        <w:rPr>
          <w:rFonts w:ascii="Arial" w:hAnsi="Arial" w:cs="Arial"/>
        </w:rPr>
        <w:t xml:space="preserve">July </w:t>
      </w:r>
      <w:r>
        <w:rPr>
          <w:rFonts w:ascii="Arial" w:hAnsi="Arial" w:cs="Arial"/>
        </w:rPr>
        <w:t>2013.</w:t>
      </w:r>
    </w:p>
    <w:p w:rsidR="000F1A75" w:rsidRDefault="000F1A75" w:rsidP="0038018C">
      <w:pPr>
        <w:jc w:val="both"/>
        <w:rPr>
          <w:rFonts w:ascii="Arial" w:hAnsi="Arial" w:cs="Arial"/>
        </w:rPr>
      </w:pPr>
    </w:p>
    <w:p w:rsidR="008663FA" w:rsidRDefault="008663FA" w:rsidP="0038018C">
      <w:pPr>
        <w:jc w:val="both"/>
        <w:rPr>
          <w:rFonts w:ascii="Arial" w:hAnsi="Arial" w:cs="Arial"/>
        </w:rPr>
      </w:pPr>
      <w:r>
        <w:rPr>
          <w:rFonts w:ascii="Arial" w:hAnsi="Arial" w:cs="Arial"/>
        </w:rPr>
        <w:t>On the Board statements, it is p</w:t>
      </w:r>
      <w:r w:rsidR="00ED3297">
        <w:rPr>
          <w:rFonts w:ascii="Arial" w:hAnsi="Arial" w:cs="Arial"/>
        </w:rPr>
        <w:t xml:space="preserve">roposed that the response for </w:t>
      </w:r>
      <w:r w:rsidR="00A80D21">
        <w:rPr>
          <w:rFonts w:ascii="Arial" w:hAnsi="Arial" w:cs="Arial"/>
        </w:rPr>
        <w:t>Quarter 1</w:t>
      </w:r>
      <w:r>
        <w:rPr>
          <w:rFonts w:ascii="Arial" w:hAnsi="Arial" w:cs="Arial"/>
        </w:rPr>
        <w:t xml:space="preserve"> is as follows:-</w:t>
      </w:r>
    </w:p>
    <w:p w:rsidR="008663FA" w:rsidRPr="004602F2" w:rsidRDefault="008663FA" w:rsidP="008663FA">
      <w:pPr>
        <w:pStyle w:val="ListParagraph"/>
        <w:numPr>
          <w:ilvl w:val="0"/>
          <w:numId w:val="20"/>
        </w:numPr>
        <w:jc w:val="both"/>
        <w:rPr>
          <w:rFonts w:ascii="Arial" w:hAnsi="Arial" w:cs="Arial"/>
        </w:rPr>
      </w:pPr>
      <w:r w:rsidRPr="004602F2">
        <w:rPr>
          <w:rFonts w:ascii="Arial" w:hAnsi="Arial" w:cs="Arial"/>
        </w:rPr>
        <w:t xml:space="preserve">The Board anticipates that the Trust will continue to maintain a financial risk rating of at least 3 over the next 12 months – </w:t>
      </w:r>
      <w:r w:rsidRPr="004602F2">
        <w:rPr>
          <w:rFonts w:ascii="Arial" w:hAnsi="Arial" w:cs="Arial"/>
          <w:u w:val="single"/>
        </w:rPr>
        <w:t xml:space="preserve">CONFIRMED </w:t>
      </w:r>
    </w:p>
    <w:p w:rsidR="008663FA" w:rsidRPr="000F1A75" w:rsidRDefault="008663FA" w:rsidP="008663FA">
      <w:pPr>
        <w:pStyle w:val="ListParagraph"/>
        <w:jc w:val="both"/>
        <w:rPr>
          <w:rFonts w:ascii="Arial" w:hAnsi="Arial" w:cs="Arial"/>
        </w:rPr>
      </w:pPr>
    </w:p>
    <w:p w:rsidR="008663FA" w:rsidRPr="004602F2" w:rsidRDefault="008663FA" w:rsidP="008663FA">
      <w:pPr>
        <w:pStyle w:val="ListParagraph"/>
        <w:numPr>
          <w:ilvl w:val="0"/>
          <w:numId w:val="20"/>
        </w:numPr>
        <w:jc w:val="both"/>
        <w:rPr>
          <w:rFonts w:ascii="Arial" w:hAnsi="Arial" w:cs="Arial"/>
        </w:rPr>
      </w:pPr>
      <w:r>
        <w:rPr>
          <w:rFonts w:ascii="Arial" w:hAnsi="Arial" w:cs="Arial"/>
        </w:rPr>
        <w:t xml:space="preserve"> </w:t>
      </w:r>
      <w:r w:rsidRPr="004602F2">
        <w:rPr>
          <w:rFonts w:ascii="Arial" w:hAnsi="Arial" w:cs="Arial"/>
        </w:rPr>
        <w:t xml:space="preserve">The Board is satisfied that plans in place are sufficient to ensure ongoing compliance with all existing targets (after the application of thresholds) and a commitment to comply with all known targets going forwards – </w:t>
      </w:r>
      <w:r w:rsidRPr="004602F2">
        <w:rPr>
          <w:rFonts w:ascii="Arial" w:hAnsi="Arial" w:cs="Arial"/>
          <w:u w:val="single"/>
        </w:rPr>
        <w:t>CONFIRMED</w:t>
      </w:r>
    </w:p>
    <w:p w:rsidR="006C4992" w:rsidRDefault="006C4992" w:rsidP="0038018C">
      <w:pPr>
        <w:jc w:val="both"/>
        <w:rPr>
          <w:rFonts w:ascii="Arial" w:hAnsi="Arial" w:cs="Arial"/>
        </w:rPr>
      </w:pPr>
    </w:p>
    <w:p w:rsidR="008663FA" w:rsidRDefault="008663FA" w:rsidP="0038018C">
      <w:pPr>
        <w:jc w:val="both"/>
        <w:rPr>
          <w:rFonts w:ascii="Arial" w:hAnsi="Arial" w:cs="Arial"/>
        </w:rPr>
      </w:pPr>
    </w:p>
    <w:p w:rsidR="00190F92" w:rsidRDefault="00190F92" w:rsidP="0038018C">
      <w:pPr>
        <w:jc w:val="both"/>
        <w:rPr>
          <w:rFonts w:ascii="Arial" w:hAnsi="Arial" w:cs="Arial"/>
        </w:rPr>
      </w:pPr>
    </w:p>
    <w:p w:rsidR="00190F92" w:rsidRDefault="00190F92" w:rsidP="0038018C">
      <w:pPr>
        <w:jc w:val="both"/>
        <w:rPr>
          <w:rFonts w:ascii="Arial" w:hAnsi="Arial" w:cs="Arial"/>
        </w:rPr>
      </w:pPr>
    </w:p>
    <w:p w:rsidR="006C4992" w:rsidRDefault="006C4992" w:rsidP="0038018C">
      <w:pPr>
        <w:jc w:val="both"/>
        <w:rPr>
          <w:rFonts w:ascii="Arial" w:hAnsi="Arial" w:cs="Arial"/>
        </w:rPr>
      </w:pPr>
      <w:r>
        <w:rPr>
          <w:rFonts w:ascii="Arial" w:hAnsi="Arial" w:cs="Arial"/>
          <w:i/>
        </w:rPr>
        <w:lastRenderedPageBreak/>
        <w:t xml:space="preserve">Financial </w:t>
      </w:r>
      <w:r w:rsidR="008663FA">
        <w:rPr>
          <w:rFonts w:ascii="Arial" w:hAnsi="Arial" w:cs="Arial"/>
          <w:i/>
        </w:rPr>
        <w:t>Risk Rating</w:t>
      </w:r>
      <w:r>
        <w:rPr>
          <w:rFonts w:ascii="Arial" w:hAnsi="Arial" w:cs="Arial"/>
          <w:i/>
        </w:rPr>
        <w:t>:</w:t>
      </w:r>
    </w:p>
    <w:p w:rsidR="006C4992" w:rsidRDefault="008663FA" w:rsidP="0038018C">
      <w:pPr>
        <w:jc w:val="both"/>
        <w:rPr>
          <w:rFonts w:ascii="Arial" w:hAnsi="Arial" w:cs="Arial"/>
        </w:rPr>
      </w:pPr>
      <w:r>
        <w:rPr>
          <w:rFonts w:ascii="Arial" w:hAnsi="Arial" w:cs="Arial"/>
        </w:rPr>
        <w:t>The information to support this statement is set out in the Finance Report presented to each Board meeting.  The Director of Finance will provide an overview on this item at the Board meeting and will explain what financial matters w</w:t>
      </w:r>
      <w:r w:rsidR="00ED3297">
        <w:rPr>
          <w:rFonts w:ascii="Arial" w:hAnsi="Arial" w:cs="Arial"/>
        </w:rPr>
        <w:t xml:space="preserve">ill be reported to </w:t>
      </w:r>
      <w:proofErr w:type="gramStart"/>
      <w:r w:rsidR="00ED3297">
        <w:rPr>
          <w:rFonts w:ascii="Arial" w:hAnsi="Arial" w:cs="Arial"/>
        </w:rPr>
        <w:t>Monitor</w:t>
      </w:r>
      <w:proofErr w:type="gramEnd"/>
      <w:r w:rsidR="00ED3297">
        <w:rPr>
          <w:rFonts w:ascii="Arial" w:hAnsi="Arial" w:cs="Arial"/>
        </w:rPr>
        <w:t xml:space="preserve"> in </w:t>
      </w:r>
      <w:r w:rsidR="00A80D21">
        <w:rPr>
          <w:rFonts w:ascii="Arial" w:hAnsi="Arial" w:cs="Arial"/>
        </w:rPr>
        <w:t>Quarter 1</w:t>
      </w:r>
      <w:r>
        <w:rPr>
          <w:rFonts w:ascii="Arial" w:hAnsi="Arial" w:cs="Arial"/>
        </w:rPr>
        <w:t>.</w:t>
      </w:r>
    </w:p>
    <w:p w:rsidR="008663FA" w:rsidRDefault="008663FA" w:rsidP="0038018C">
      <w:pPr>
        <w:jc w:val="both"/>
        <w:rPr>
          <w:rFonts w:ascii="Arial" w:hAnsi="Arial" w:cs="Arial"/>
        </w:rPr>
      </w:pPr>
    </w:p>
    <w:p w:rsidR="008663FA" w:rsidRPr="008663FA" w:rsidRDefault="008663FA" w:rsidP="0038018C">
      <w:pPr>
        <w:jc w:val="both"/>
        <w:rPr>
          <w:rFonts w:ascii="Arial" w:hAnsi="Arial" w:cs="Arial"/>
        </w:rPr>
      </w:pPr>
      <w:r>
        <w:rPr>
          <w:rFonts w:ascii="Arial" w:hAnsi="Arial" w:cs="Arial"/>
          <w:i/>
        </w:rPr>
        <w:t>Targets and Indicators:</w:t>
      </w:r>
    </w:p>
    <w:p w:rsidR="008663FA" w:rsidRDefault="008663FA" w:rsidP="0038018C">
      <w:pPr>
        <w:jc w:val="both"/>
        <w:rPr>
          <w:rFonts w:ascii="Arial" w:hAnsi="Arial" w:cs="Arial"/>
        </w:rPr>
      </w:pPr>
      <w:r>
        <w:rPr>
          <w:rFonts w:ascii="Arial" w:hAnsi="Arial" w:cs="Arial"/>
        </w:rPr>
        <w:t xml:space="preserve">The information to support this statement is set out in the Quality and Performance Report, and Quality and Safety Report presented to each Board meeting.  The Director of Finance, and Director of Nursing and Clinical Standards will provide an overview on this item at the Board meeting.  </w:t>
      </w:r>
    </w:p>
    <w:p w:rsidR="008663FA" w:rsidRDefault="008663FA" w:rsidP="0038018C">
      <w:pPr>
        <w:jc w:val="both"/>
        <w:rPr>
          <w:rFonts w:ascii="Arial" w:hAnsi="Arial" w:cs="Arial"/>
        </w:rPr>
      </w:pPr>
    </w:p>
    <w:p w:rsidR="008663FA" w:rsidRPr="00ED3297" w:rsidRDefault="00E00DF0" w:rsidP="0038018C">
      <w:pPr>
        <w:jc w:val="both"/>
        <w:rPr>
          <w:rFonts w:ascii="Arial" w:hAnsi="Arial" w:cs="Arial"/>
        </w:rPr>
      </w:pPr>
      <w:r>
        <w:rPr>
          <w:rFonts w:ascii="Arial" w:hAnsi="Arial" w:cs="Arial"/>
        </w:rPr>
        <w:t>All</w:t>
      </w:r>
      <w:r w:rsidR="008663FA" w:rsidRPr="004602F2">
        <w:rPr>
          <w:rFonts w:ascii="Arial" w:hAnsi="Arial" w:cs="Arial"/>
        </w:rPr>
        <w:t xml:space="preserve"> targets and indic</w:t>
      </w:r>
      <w:r w:rsidR="00ED3297">
        <w:rPr>
          <w:rFonts w:ascii="Arial" w:hAnsi="Arial" w:cs="Arial"/>
        </w:rPr>
        <w:t>ators have been met</w:t>
      </w:r>
      <w:r>
        <w:rPr>
          <w:rFonts w:ascii="Arial" w:hAnsi="Arial" w:cs="Arial"/>
        </w:rPr>
        <w:t xml:space="preserve"> at the end of the Quarter. </w:t>
      </w:r>
    </w:p>
    <w:p w:rsidR="0038018C" w:rsidRPr="004602F2" w:rsidRDefault="0038018C" w:rsidP="0038018C">
      <w:pPr>
        <w:jc w:val="both"/>
        <w:rPr>
          <w:rFonts w:ascii="Arial" w:hAnsi="Arial" w:cs="Arial"/>
        </w:rPr>
      </w:pPr>
    </w:p>
    <w:p w:rsidR="00AF3193" w:rsidRDefault="00E00DF0" w:rsidP="00537C23">
      <w:pPr>
        <w:jc w:val="both"/>
        <w:rPr>
          <w:rFonts w:ascii="Arial" w:hAnsi="Arial" w:cs="Arial"/>
          <w:color w:val="FFFFFF"/>
          <w:lang w:val="en-GB" w:eastAsia="en-GB"/>
        </w:rPr>
      </w:pPr>
      <w:r>
        <w:rPr>
          <w:rFonts w:ascii="Arial" w:hAnsi="Arial" w:cs="Arial"/>
          <w:color w:val="FFFFFF"/>
          <w:lang w:val="en-GB" w:eastAsia="en-GB"/>
        </w:rPr>
        <w:t>=</w:t>
      </w:r>
    </w:p>
    <w:p w:rsidR="000F1A75" w:rsidRPr="00AF3193" w:rsidRDefault="000F1A75" w:rsidP="00AF3193">
      <w:pPr>
        <w:pStyle w:val="ListParagraph"/>
        <w:numPr>
          <w:ilvl w:val="0"/>
          <w:numId w:val="14"/>
        </w:numPr>
        <w:ind w:hanging="720"/>
        <w:jc w:val="both"/>
        <w:rPr>
          <w:rFonts w:ascii="Arial" w:hAnsi="Arial" w:cs="Arial"/>
          <w:b/>
        </w:rPr>
      </w:pPr>
      <w:r w:rsidRPr="00AF3193">
        <w:rPr>
          <w:rFonts w:ascii="Arial" w:hAnsi="Arial" w:cs="Arial"/>
          <w:b/>
        </w:rPr>
        <w:t>Recommendation</w:t>
      </w:r>
    </w:p>
    <w:p w:rsidR="000F1A75" w:rsidRDefault="000F1A75" w:rsidP="000F1A75">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0F1A75" w:rsidRDefault="000F1A75" w:rsidP="000F1A75">
      <w:pPr>
        <w:jc w:val="both"/>
        <w:rPr>
          <w:rFonts w:ascii="Arial" w:hAnsi="Arial" w:cs="Arial"/>
        </w:rPr>
      </w:pPr>
    </w:p>
    <w:p w:rsidR="000F1A75" w:rsidRDefault="000F1A75" w:rsidP="000F1A75">
      <w:pPr>
        <w:jc w:val="both"/>
        <w:rPr>
          <w:rFonts w:ascii="Arial" w:hAnsi="Arial" w:cs="Arial"/>
        </w:rPr>
      </w:pPr>
      <w:r>
        <w:rPr>
          <w:rFonts w:ascii="Arial" w:hAnsi="Arial" w:cs="Arial"/>
        </w:rPr>
        <w:t>The Board is asked to comm</w:t>
      </w:r>
      <w:r w:rsidR="00E22A07">
        <w:rPr>
          <w:rFonts w:ascii="Arial" w:hAnsi="Arial" w:cs="Arial"/>
        </w:rPr>
        <w:t xml:space="preserve">ent on and approve the Quarter </w:t>
      </w:r>
      <w:r w:rsidR="00A80D21">
        <w:rPr>
          <w:rFonts w:ascii="Arial" w:hAnsi="Arial" w:cs="Arial"/>
        </w:rPr>
        <w:t>1</w:t>
      </w:r>
      <w:r>
        <w:rPr>
          <w:rFonts w:ascii="Arial" w:hAnsi="Arial" w:cs="Arial"/>
        </w:rPr>
        <w:t xml:space="preserve"> submission to Monitor.</w:t>
      </w:r>
    </w:p>
    <w:p w:rsidR="000F1A75" w:rsidRDefault="000F1A75" w:rsidP="000F1A75">
      <w:pPr>
        <w:jc w:val="both"/>
        <w:rPr>
          <w:rFonts w:ascii="Arial" w:hAnsi="Arial" w:cs="Arial"/>
        </w:rPr>
      </w:pPr>
    </w:p>
    <w:p w:rsidR="000F1A75" w:rsidRPr="004602F2" w:rsidRDefault="00E22A07" w:rsidP="000F1A75">
      <w:pPr>
        <w:jc w:val="both"/>
        <w:rPr>
          <w:rFonts w:ascii="Arial" w:hAnsi="Arial" w:cs="Arial"/>
        </w:rPr>
      </w:pPr>
      <w:r w:rsidRPr="004602F2">
        <w:rPr>
          <w:rFonts w:ascii="Arial" w:hAnsi="Arial" w:cs="Arial"/>
        </w:rPr>
        <w:t xml:space="preserve">As part of the Quarter </w:t>
      </w:r>
      <w:r w:rsidR="00A80D21">
        <w:rPr>
          <w:rFonts w:ascii="Arial" w:hAnsi="Arial" w:cs="Arial"/>
        </w:rPr>
        <w:t>1</w:t>
      </w:r>
      <w:r w:rsidRPr="004602F2">
        <w:rPr>
          <w:rFonts w:ascii="Arial" w:hAnsi="Arial" w:cs="Arial"/>
        </w:rPr>
        <w:t xml:space="preserve"> </w:t>
      </w:r>
      <w:r w:rsidR="000F1A75" w:rsidRPr="004602F2">
        <w:rPr>
          <w:rFonts w:ascii="Arial" w:hAnsi="Arial" w:cs="Arial"/>
        </w:rPr>
        <w:t>submission, the Board is asked to confirm the following statements:-</w:t>
      </w:r>
    </w:p>
    <w:p w:rsidR="000F1A75" w:rsidRPr="004602F2" w:rsidRDefault="000F1A75" w:rsidP="000F1A75">
      <w:pPr>
        <w:pStyle w:val="ListParagraph"/>
        <w:numPr>
          <w:ilvl w:val="0"/>
          <w:numId w:val="20"/>
        </w:numPr>
        <w:jc w:val="both"/>
        <w:rPr>
          <w:rFonts w:ascii="Arial" w:hAnsi="Arial" w:cs="Arial"/>
        </w:rPr>
      </w:pPr>
      <w:r w:rsidRPr="004602F2">
        <w:rPr>
          <w:rFonts w:ascii="Arial" w:hAnsi="Arial" w:cs="Arial"/>
        </w:rPr>
        <w:t>The Board anticipates that the Trust will continue to maintain a financial risk rating of at least 3 over the next 12 months.</w:t>
      </w:r>
    </w:p>
    <w:p w:rsidR="000F1A75" w:rsidRPr="004602F2" w:rsidRDefault="000F1A75" w:rsidP="000F1A75">
      <w:pPr>
        <w:pStyle w:val="ListParagraph"/>
        <w:numPr>
          <w:ilvl w:val="0"/>
          <w:numId w:val="20"/>
        </w:numPr>
        <w:jc w:val="both"/>
        <w:rPr>
          <w:rFonts w:ascii="Arial" w:hAnsi="Arial" w:cs="Arial"/>
        </w:rPr>
      </w:pPr>
      <w:r w:rsidRPr="004602F2">
        <w:rPr>
          <w:rFonts w:ascii="Arial" w:hAnsi="Arial" w:cs="Arial"/>
        </w:rPr>
        <w:t xml:space="preserve"> The Board is satisfied that plans in place are sufficient to ensure ongoing compliance with all existing targets (after the application of thresholds) and a commitment to comply with all known targets going forwards.</w:t>
      </w:r>
    </w:p>
    <w:p w:rsidR="005D3499" w:rsidRDefault="005D3499">
      <w:pPr>
        <w:jc w:val="both"/>
        <w:rPr>
          <w:rFonts w:ascii="Arial" w:hAnsi="Arial" w:cs="Arial"/>
          <w:b/>
        </w:rPr>
      </w:pP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710" w:rsidRDefault="00266710" w:rsidP="005B3E3C">
      <w:r>
        <w:separator/>
      </w:r>
    </w:p>
  </w:endnote>
  <w:endnote w:type="continuationSeparator" w:id="0">
    <w:p w:rsidR="00266710" w:rsidRDefault="00266710"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10" w:rsidRDefault="007A3DEA">
    <w:pPr>
      <w:pStyle w:val="Footer"/>
      <w:jc w:val="center"/>
    </w:pPr>
    <w:fldSimple w:instr=" PAGE   \* MERGEFORMAT ">
      <w:r w:rsidR="00983DAC">
        <w:rPr>
          <w:noProof/>
        </w:rPr>
        <w:t>1</w:t>
      </w:r>
    </w:fldSimple>
  </w:p>
  <w:p w:rsidR="00266710" w:rsidRDefault="00266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710" w:rsidRDefault="00266710" w:rsidP="005B3E3C">
      <w:r>
        <w:separator/>
      </w:r>
    </w:p>
  </w:footnote>
  <w:footnote w:type="continuationSeparator" w:id="0">
    <w:p w:rsidR="00266710" w:rsidRDefault="00266710"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10" w:rsidRPr="005B3E3C" w:rsidRDefault="00266710"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3"/>
  </w:num>
  <w:num w:numId="4">
    <w:abstractNumId w:val="2"/>
  </w:num>
  <w:num w:numId="5">
    <w:abstractNumId w:val="9"/>
  </w:num>
  <w:num w:numId="6">
    <w:abstractNumId w:val="4"/>
  </w:num>
  <w:num w:numId="7">
    <w:abstractNumId w:val="12"/>
  </w:num>
  <w:num w:numId="8">
    <w:abstractNumId w:val="25"/>
  </w:num>
  <w:num w:numId="9">
    <w:abstractNumId w:val="8"/>
  </w:num>
  <w:num w:numId="10">
    <w:abstractNumId w:val="11"/>
  </w:num>
  <w:num w:numId="11">
    <w:abstractNumId w:val="3"/>
  </w:num>
  <w:num w:numId="12">
    <w:abstractNumId w:val="22"/>
  </w:num>
  <w:num w:numId="13">
    <w:abstractNumId w:val="6"/>
  </w:num>
  <w:num w:numId="14">
    <w:abstractNumId w:val="5"/>
  </w:num>
  <w:num w:numId="15">
    <w:abstractNumId w:val="21"/>
  </w:num>
  <w:num w:numId="16">
    <w:abstractNumId w:val="1"/>
  </w:num>
  <w:num w:numId="17">
    <w:abstractNumId w:val="17"/>
  </w:num>
  <w:num w:numId="18">
    <w:abstractNumId w:val="18"/>
  </w:num>
  <w:num w:numId="19">
    <w:abstractNumId w:val="0"/>
  </w:num>
  <w:num w:numId="20">
    <w:abstractNumId w:val="10"/>
  </w:num>
  <w:num w:numId="21">
    <w:abstractNumId w:val="14"/>
  </w:num>
  <w:num w:numId="22">
    <w:abstractNumId w:val="16"/>
  </w:num>
  <w:num w:numId="23">
    <w:abstractNumId w:val="20"/>
  </w:num>
  <w:num w:numId="24">
    <w:abstractNumId w:val="26"/>
  </w:num>
  <w:num w:numId="25">
    <w:abstractNumId w:val="23"/>
  </w:num>
  <w:num w:numId="26">
    <w:abstractNumId w:val="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38913"/>
  </w:hdrShapeDefaults>
  <w:footnotePr>
    <w:footnote w:id="-1"/>
    <w:footnote w:id="0"/>
  </w:footnotePr>
  <w:endnotePr>
    <w:endnote w:id="-1"/>
    <w:endnote w:id="0"/>
  </w:endnotePr>
  <w:compat/>
  <w:rsids>
    <w:rsidRoot w:val="002A73E8"/>
    <w:rsid w:val="00022B45"/>
    <w:rsid w:val="00025441"/>
    <w:rsid w:val="000C32A2"/>
    <w:rsid w:val="000C58B3"/>
    <w:rsid w:val="000F1A75"/>
    <w:rsid w:val="001329F1"/>
    <w:rsid w:val="00166CF1"/>
    <w:rsid w:val="00182E47"/>
    <w:rsid w:val="00190F92"/>
    <w:rsid w:val="001A5E95"/>
    <w:rsid w:val="001C14A1"/>
    <w:rsid w:val="001D5B24"/>
    <w:rsid w:val="001F76ED"/>
    <w:rsid w:val="00220EAE"/>
    <w:rsid w:val="00224FA8"/>
    <w:rsid w:val="00227FCE"/>
    <w:rsid w:val="00237CB4"/>
    <w:rsid w:val="00245ED8"/>
    <w:rsid w:val="002619EF"/>
    <w:rsid w:val="00266710"/>
    <w:rsid w:val="002712E4"/>
    <w:rsid w:val="00275246"/>
    <w:rsid w:val="002821F8"/>
    <w:rsid w:val="00292613"/>
    <w:rsid w:val="002A73E8"/>
    <w:rsid w:val="002C2F97"/>
    <w:rsid w:val="002E59FA"/>
    <w:rsid w:val="002E6FC6"/>
    <w:rsid w:val="002F150E"/>
    <w:rsid w:val="003145DD"/>
    <w:rsid w:val="0033327E"/>
    <w:rsid w:val="00376B7B"/>
    <w:rsid w:val="0038018C"/>
    <w:rsid w:val="003971F6"/>
    <w:rsid w:val="0042776F"/>
    <w:rsid w:val="004326BB"/>
    <w:rsid w:val="004602F2"/>
    <w:rsid w:val="004F196D"/>
    <w:rsid w:val="004F4BBA"/>
    <w:rsid w:val="005233AA"/>
    <w:rsid w:val="00537C23"/>
    <w:rsid w:val="00551B0F"/>
    <w:rsid w:val="00554ECC"/>
    <w:rsid w:val="005659FB"/>
    <w:rsid w:val="00582ACF"/>
    <w:rsid w:val="00593399"/>
    <w:rsid w:val="00596556"/>
    <w:rsid w:val="005A1195"/>
    <w:rsid w:val="005B3E3C"/>
    <w:rsid w:val="005B71DA"/>
    <w:rsid w:val="005C3FC1"/>
    <w:rsid w:val="005D3499"/>
    <w:rsid w:val="005E2583"/>
    <w:rsid w:val="005E72B7"/>
    <w:rsid w:val="005F2E83"/>
    <w:rsid w:val="0061684E"/>
    <w:rsid w:val="00625264"/>
    <w:rsid w:val="00640E74"/>
    <w:rsid w:val="0067677F"/>
    <w:rsid w:val="006B4ABF"/>
    <w:rsid w:val="006C4992"/>
    <w:rsid w:val="007338A7"/>
    <w:rsid w:val="0073522A"/>
    <w:rsid w:val="007769CD"/>
    <w:rsid w:val="0078032B"/>
    <w:rsid w:val="00780788"/>
    <w:rsid w:val="007976E7"/>
    <w:rsid w:val="007A3DEA"/>
    <w:rsid w:val="007F5749"/>
    <w:rsid w:val="008038A2"/>
    <w:rsid w:val="00811FE8"/>
    <w:rsid w:val="00824214"/>
    <w:rsid w:val="00850DBD"/>
    <w:rsid w:val="0086436B"/>
    <w:rsid w:val="008663FA"/>
    <w:rsid w:val="00894B97"/>
    <w:rsid w:val="008D72C9"/>
    <w:rsid w:val="008E7E7E"/>
    <w:rsid w:val="00907E70"/>
    <w:rsid w:val="00946E6E"/>
    <w:rsid w:val="00983DAC"/>
    <w:rsid w:val="009C058B"/>
    <w:rsid w:val="009D6F5C"/>
    <w:rsid w:val="009E4327"/>
    <w:rsid w:val="00A1210D"/>
    <w:rsid w:val="00A2776E"/>
    <w:rsid w:val="00A80D21"/>
    <w:rsid w:val="00A85311"/>
    <w:rsid w:val="00AC3814"/>
    <w:rsid w:val="00AF0562"/>
    <w:rsid w:val="00AF3193"/>
    <w:rsid w:val="00B26E1A"/>
    <w:rsid w:val="00B403C8"/>
    <w:rsid w:val="00B46BD5"/>
    <w:rsid w:val="00B50D5E"/>
    <w:rsid w:val="00B6269D"/>
    <w:rsid w:val="00B928E2"/>
    <w:rsid w:val="00BA3B3E"/>
    <w:rsid w:val="00BF5367"/>
    <w:rsid w:val="00C07817"/>
    <w:rsid w:val="00C11AA2"/>
    <w:rsid w:val="00C135CD"/>
    <w:rsid w:val="00C13B89"/>
    <w:rsid w:val="00C87D3A"/>
    <w:rsid w:val="00CB32C4"/>
    <w:rsid w:val="00CC7ED3"/>
    <w:rsid w:val="00D07064"/>
    <w:rsid w:val="00D279FC"/>
    <w:rsid w:val="00D3552F"/>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4113A"/>
    <w:rsid w:val="00F42EFB"/>
    <w:rsid w:val="00F57119"/>
    <w:rsid w:val="00F7034F"/>
    <w:rsid w:val="00F87B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s>
</file>

<file path=word/webSettings.xml><?xml version="1.0" encoding="utf-8"?>
<w:webSettings xmlns:r="http://schemas.openxmlformats.org/officeDocument/2006/relationships" xmlns:w="http://schemas.openxmlformats.org/wordprocessingml/2006/main">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80EC2-3B0C-4938-BEF5-1C0D97BE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2012-04-18T09:26:00Z</cp:lastPrinted>
  <dcterms:created xsi:type="dcterms:W3CDTF">2013-08-12T08:41:00Z</dcterms:created>
  <dcterms:modified xsi:type="dcterms:W3CDTF">2013-08-12T08:41:00Z</dcterms:modified>
</cp:coreProperties>
</file>