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5D3499" w:rsidP="0086436B">
      <w:pPr>
        <w:ind w:right="-900"/>
        <w:jc w:val="right"/>
        <w:rPr>
          <w:lang w:val="en-GB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9B4CBB">
        <w:rPr>
          <w:sz w:val="28"/>
          <w:u w:val="none"/>
        </w:rPr>
        <w:t>of the Oxford</w:t>
      </w:r>
      <w:r w:rsidR="00B50D5E">
        <w:rPr>
          <w:sz w:val="28"/>
          <w:u w:val="none"/>
        </w:rPr>
        <w:t xml:space="preserve"> Health NHS </w:t>
      </w:r>
      <w:r w:rsidR="002821F8">
        <w:rPr>
          <w:sz w:val="28"/>
          <w:u w:val="none"/>
        </w:rPr>
        <w:t xml:space="preserve">Foundation Trust </w:t>
      </w:r>
      <w:r>
        <w:rPr>
          <w:sz w:val="28"/>
          <w:u w:val="none"/>
        </w:rPr>
        <w:t>Board</w:t>
      </w:r>
      <w:r w:rsidR="008A702C">
        <w:rPr>
          <w:sz w:val="28"/>
          <w:u w:val="none"/>
        </w:rPr>
        <w:t xml:space="preserve"> of Directors</w:t>
      </w:r>
    </w:p>
    <w:p w:rsidR="005D3499" w:rsidRDefault="005D3499" w:rsidP="00894B97">
      <w:pPr>
        <w:rPr>
          <w:rFonts w:ascii="Arial" w:hAnsi="Arial" w:cs="Arial"/>
          <w:b/>
        </w:rPr>
      </w:pPr>
    </w:p>
    <w:p w:rsidR="005D3499" w:rsidRDefault="008A7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25ED1">
        <w:rPr>
          <w:rFonts w:ascii="Arial" w:hAnsi="Arial" w:cs="Arial"/>
          <w:b/>
        </w:rPr>
        <w:t>5</w:t>
      </w:r>
      <w:r w:rsidR="007F1EFE" w:rsidRPr="007F1EFE">
        <w:rPr>
          <w:rFonts w:ascii="Arial" w:hAnsi="Arial" w:cs="Arial"/>
          <w:b/>
          <w:vertAlign w:val="superscript"/>
        </w:rPr>
        <w:t>th</w:t>
      </w:r>
      <w:r w:rsidR="007F1EFE">
        <w:rPr>
          <w:rFonts w:ascii="Arial" w:hAnsi="Arial" w:cs="Arial"/>
          <w:b/>
        </w:rPr>
        <w:t xml:space="preserve"> </w:t>
      </w:r>
      <w:r w:rsidR="00C25ED1">
        <w:rPr>
          <w:rFonts w:ascii="Arial" w:hAnsi="Arial" w:cs="Arial"/>
          <w:b/>
        </w:rPr>
        <w:t>September</w:t>
      </w:r>
      <w:r w:rsidR="007F1EFE">
        <w:rPr>
          <w:rFonts w:ascii="Arial" w:hAnsi="Arial" w:cs="Arial"/>
          <w:b/>
        </w:rPr>
        <w:t xml:space="preserve"> 201</w:t>
      </w:r>
      <w:r w:rsidR="00C25ED1">
        <w:rPr>
          <w:rFonts w:ascii="Arial" w:hAnsi="Arial" w:cs="Arial"/>
          <w:b/>
        </w:rPr>
        <w:t>3</w:t>
      </w:r>
      <w:r w:rsidR="007F1EFE">
        <w:rPr>
          <w:rFonts w:ascii="Arial" w:hAnsi="Arial" w:cs="Arial"/>
          <w:b/>
        </w:rPr>
        <w:t xml:space="preserve"> </w:t>
      </w:r>
    </w:p>
    <w:p w:rsidR="009B4CBB" w:rsidRDefault="009B4CBB">
      <w:pPr>
        <w:jc w:val="center"/>
        <w:rPr>
          <w:rFonts w:ascii="Arial" w:hAnsi="Arial" w:cs="Arial"/>
          <w:b/>
        </w:rPr>
      </w:pPr>
    </w:p>
    <w:p w:rsidR="00D6107E" w:rsidRDefault="009B4C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BB5643">
        <w:rPr>
          <w:rFonts w:ascii="Arial" w:hAnsi="Arial" w:cs="Arial"/>
          <w:b/>
        </w:rPr>
        <w:t>Decision</w:t>
      </w:r>
    </w:p>
    <w:p w:rsidR="009D4C01" w:rsidRDefault="009D4C01">
      <w:pPr>
        <w:jc w:val="center"/>
        <w:rPr>
          <w:rFonts w:ascii="Arial" w:hAnsi="Arial" w:cs="Arial"/>
          <w:b/>
        </w:rPr>
      </w:pPr>
    </w:p>
    <w:p w:rsidR="004F578F" w:rsidRDefault="004F578F">
      <w:pPr>
        <w:jc w:val="center"/>
        <w:rPr>
          <w:rFonts w:ascii="Arial" w:hAnsi="Arial" w:cs="Arial"/>
          <w:b/>
        </w:rPr>
      </w:pPr>
    </w:p>
    <w:p w:rsidR="004F578F" w:rsidRDefault="004F578F">
      <w:pPr>
        <w:jc w:val="center"/>
        <w:rPr>
          <w:rFonts w:ascii="Arial" w:hAnsi="Arial" w:cs="Arial"/>
          <w:b/>
        </w:rPr>
      </w:pPr>
    </w:p>
    <w:p w:rsidR="005D3499" w:rsidRDefault="000227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 Staff</w:t>
      </w:r>
      <w:r w:rsidR="00BB5643">
        <w:rPr>
          <w:rFonts w:ascii="Arial" w:hAnsi="Arial" w:cs="Arial"/>
          <w:b/>
        </w:rPr>
        <w:t xml:space="preserve"> </w:t>
      </w:r>
      <w:r w:rsidR="001C14C7">
        <w:rPr>
          <w:rFonts w:ascii="Arial" w:hAnsi="Arial" w:cs="Arial"/>
          <w:b/>
        </w:rPr>
        <w:t xml:space="preserve">Employer Based </w:t>
      </w:r>
      <w:r w:rsidR="00BB5643">
        <w:rPr>
          <w:rFonts w:ascii="Arial" w:hAnsi="Arial" w:cs="Arial"/>
          <w:b/>
        </w:rPr>
        <w:t>Clinical Excellence Awards 201</w:t>
      </w:r>
      <w:r w:rsidR="006F5E9D">
        <w:rPr>
          <w:rFonts w:ascii="Arial" w:hAnsi="Arial" w:cs="Arial"/>
          <w:b/>
        </w:rPr>
        <w:t>3</w:t>
      </w:r>
    </w:p>
    <w:p w:rsidR="00E15075" w:rsidRDefault="00E15075">
      <w:pPr>
        <w:jc w:val="center"/>
        <w:rPr>
          <w:rFonts w:ascii="Arial" w:hAnsi="Arial" w:cs="Arial"/>
          <w:b/>
        </w:rPr>
      </w:pPr>
    </w:p>
    <w:p w:rsidR="009D4C01" w:rsidRDefault="009D4C01">
      <w:pPr>
        <w:jc w:val="center"/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</w:rPr>
      </w:pPr>
      <w:r>
        <w:rPr>
          <w:rFonts w:ascii="Arial" w:hAnsi="Arial" w:cs="Arial"/>
          <w:b/>
        </w:rPr>
        <w:t>Executive Summary</w:t>
      </w:r>
    </w:p>
    <w:p w:rsidR="00A126FD" w:rsidRDefault="00A126FD">
      <w:pPr>
        <w:rPr>
          <w:rFonts w:ascii="Arial" w:hAnsi="Arial" w:cs="Arial"/>
        </w:rPr>
      </w:pPr>
    </w:p>
    <w:p w:rsidR="00A126FD" w:rsidRPr="00A126FD" w:rsidRDefault="00A126FD" w:rsidP="00A126FD">
      <w:pPr>
        <w:jc w:val="both"/>
        <w:rPr>
          <w:rFonts w:ascii="Arial" w:hAnsi="Arial" w:cs="Arial"/>
        </w:rPr>
      </w:pPr>
      <w:r w:rsidRPr="00802CB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Board</w:t>
      </w:r>
      <w:r w:rsidRPr="00802CBE">
        <w:rPr>
          <w:rFonts w:ascii="Arial" w:hAnsi="Arial" w:cs="Arial"/>
        </w:rPr>
        <w:t xml:space="preserve"> </w:t>
      </w:r>
      <w:r w:rsidR="00C32A3B">
        <w:rPr>
          <w:rFonts w:ascii="Arial" w:hAnsi="Arial" w:cs="Arial"/>
        </w:rPr>
        <w:t xml:space="preserve">of Directors </w:t>
      </w:r>
      <w:r w:rsidRPr="00802CBE">
        <w:rPr>
          <w:rFonts w:ascii="Arial" w:hAnsi="Arial" w:cs="Arial"/>
        </w:rPr>
        <w:t xml:space="preserve">is asked to </w:t>
      </w:r>
      <w:r>
        <w:rPr>
          <w:rFonts w:ascii="Arial" w:hAnsi="Arial" w:cs="Arial"/>
        </w:rPr>
        <w:t>con</w:t>
      </w:r>
      <w:r w:rsidR="00083944">
        <w:rPr>
          <w:rFonts w:ascii="Arial" w:hAnsi="Arial" w:cs="Arial"/>
        </w:rPr>
        <w:t>sider</w:t>
      </w:r>
      <w:r w:rsidR="007F61D3">
        <w:rPr>
          <w:rFonts w:ascii="Arial" w:hAnsi="Arial" w:cs="Arial"/>
        </w:rPr>
        <w:t xml:space="preserve"> whether</w:t>
      </w:r>
      <w:r>
        <w:rPr>
          <w:rFonts w:ascii="Arial" w:hAnsi="Arial" w:cs="Arial"/>
        </w:rPr>
        <w:t xml:space="preserve"> </w:t>
      </w:r>
      <w:r w:rsidR="001C14C7">
        <w:rPr>
          <w:rFonts w:ascii="Arial" w:hAnsi="Arial" w:cs="Arial"/>
        </w:rPr>
        <w:t xml:space="preserve">employer based </w:t>
      </w:r>
      <w:r>
        <w:rPr>
          <w:rFonts w:ascii="Arial" w:hAnsi="Arial" w:cs="Arial"/>
        </w:rPr>
        <w:t xml:space="preserve">Clinical Excellence Awards </w:t>
      </w:r>
      <w:r w:rsidR="00083944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be offered to consultant </w:t>
      </w:r>
      <w:r w:rsidR="009D0AAA">
        <w:rPr>
          <w:rFonts w:ascii="Arial" w:hAnsi="Arial" w:cs="Arial"/>
        </w:rPr>
        <w:t>medical staff</w:t>
      </w:r>
      <w:r>
        <w:rPr>
          <w:rFonts w:ascii="Arial" w:hAnsi="Arial" w:cs="Arial"/>
        </w:rPr>
        <w:t xml:space="preserve"> in 201</w:t>
      </w:r>
      <w:r w:rsidR="006F5E9D">
        <w:rPr>
          <w:rFonts w:ascii="Arial" w:hAnsi="Arial" w:cs="Arial"/>
        </w:rPr>
        <w:t>3</w:t>
      </w:r>
      <w:r w:rsidR="00E41C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A126FD" w:rsidRDefault="00A126FD">
      <w:pPr>
        <w:rPr>
          <w:rFonts w:ascii="Arial" w:hAnsi="Arial" w:cs="Arial"/>
          <w:b/>
        </w:rPr>
      </w:pPr>
    </w:p>
    <w:p w:rsidR="00A126FD" w:rsidRDefault="00A126FD" w:rsidP="00A1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Background </w:t>
      </w:r>
    </w:p>
    <w:p w:rsidR="00A126FD" w:rsidRPr="00A460CA" w:rsidRDefault="00A126FD" w:rsidP="00A126FD">
      <w:pPr>
        <w:rPr>
          <w:rFonts w:ascii="Arial" w:hAnsi="Arial" w:cs="Arial"/>
          <w:b/>
        </w:rPr>
      </w:pPr>
    </w:p>
    <w:p w:rsidR="00F1556D" w:rsidRDefault="00F1556D" w:rsidP="005C69B1">
      <w:pPr>
        <w:jc w:val="both"/>
        <w:rPr>
          <w:rFonts w:ascii="Arial" w:hAnsi="Arial" w:cs="Arial"/>
        </w:rPr>
      </w:pPr>
      <w:r w:rsidRPr="00F719E5">
        <w:rPr>
          <w:rFonts w:ascii="Arial" w:hAnsi="Arial" w:cs="Arial"/>
        </w:rPr>
        <w:t>Clinical Excellence Awards</w:t>
      </w:r>
      <w:r>
        <w:rPr>
          <w:rFonts w:ascii="Arial" w:hAnsi="Arial" w:cs="Arial"/>
        </w:rPr>
        <w:t xml:space="preserve"> </w:t>
      </w:r>
      <w:r w:rsidR="001C14C7">
        <w:rPr>
          <w:rFonts w:ascii="Arial" w:hAnsi="Arial" w:cs="Arial"/>
        </w:rPr>
        <w:t xml:space="preserve">(CEAs) </w:t>
      </w:r>
      <w:r w:rsidRPr="00F719E5">
        <w:rPr>
          <w:rFonts w:ascii="Arial" w:hAnsi="Arial" w:cs="Arial"/>
        </w:rPr>
        <w:t xml:space="preserve">“recognise and reward” </w:t>
      </w:r>
      <w:r>
        <w:rPr>
          <w:rFonts w:ascii="Arial" w:hAnsi="Arial" w:cs="Arial"/>
        </w:rPr>
        <w:t>consultant</w:t>
      </w:r>
      <w:r w:rsidR="00C32A3B">
        <w:rPr>
          <w:rFonts w:ascii="Arial" w:hAnsi="Arial" w:cs="Arial"/>
        </w:rPr>
        <w:t xml:space="preserve"> medical staff</w:t>
      </w:r>
      <w:r>
        <w:rPr>
          <w:rFonts w:ascii="Arial" w:hAnsi="Arial" w:cs="Arial"/>
        </w:rPr>
        <w:t xml:space="preserve"> “who perform ’</w:t>
      </w:r>
      <w:r w:rsidRPr="00F719E5">
        <w:rPr>
          <w:rFonts w:ascii="Arial" w:hAnsi="Arial" w:cs="Arial"/>
        </w:rPr>
        <w:t>over and above</w:t>
      </w:r>
      <w:r>
        <w:rPr>
          <w:rFonts w:ascii="Arial" w:hAnsi="Arial" w:cs="Arial"/>
        </w:rPr>
        <w:t>’</w:t>
      </w:r>
      <w:r w:rsidRPr="00F719E5">
        <w:rPr>
          <w:rFonts w:ascii="Arial" w:hAnsi="Arial" w:cs="Arial"/>
        </w:rPr>
        <w:t xml:space="preserve"> the standard </w:t>
      </w:r>
      <w:r>
        <w:rPr>
          <w:rFonts w:ascii="Arial" w:hAnsi="Arial" w:cs="Arial"/>
        </w:rPr>
        <w:t xml:space="preserve">expected of their role”.  </w:t>
      </w:r>
      <w:r w:rsidRPr="00F719E5">
        <w:rPr>
          <w:rFonts w:ascii="Arial" w:hAnsi="Arial" w:cs="Arial"/>
        </w:rPr>
        <w:t>To be considered for an award, a</w:t>
      </w:r>
      <w:r w:rsidR="00C32A3B">
        <w:rPr>
          <w:rFonts w:ascii="Arial" w:hAnsi="Arial" w:cs="Arial"/>
        </w:rPr>
        <w:t>n</w:t>
      </w:r>
      <w:r w:rsidRPr="00F719E5">
        <w:rPr>
          <w:rFonts w:ascii="Arial" w:hAnsi="Arial" w:cs="Arial"/>
        </w:rPr>
        <w:t xml:space="preserve"> NHS consultant or academic consultant </w:t>
      </w:r>
      <w:r w:rsidR="005C69B1">
        <w:rPr>
          <w:rFonts w:ascii="Arial" w:hAnsi="Arial" w:cs="Arial"/>
        </w:rPr>
        <w:t>has</w:t>
      </w:r>
      <w:r w:rsidRPr="00F719E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“</w:t>
      </w:r>
      <w:r w:rsidRPr="00F719E5">
        <w:rPr>
          <w:rFonts w:ascii="Arial" w:hAnsi="Arial" w:cs="Arial"/>
        </w:rPr>
        <w:t>demonstrate a</w:t>
      </w:r>
      <w:r>
        <w:rPr>
          <w:rFonts w:ascii="Arial" w:hAnsi="Arial" w:cs="Arial"/>
        </w:rPr>
        <w:t xml:space="preserve">chievements in developing and delivering high quality patient care, and </w:t>
      </w:r>
      <w:r w:rsidRPr="00F719E5">
        <w:rPr>
          <w:rFonts w:ascii="Arial" w:hAnsi="Arial" w:cs="Arial"/>
        </w:rPr>
        <w:t>commitment to the continuous improvement of the NHS”.</w:t>
      </w:r>
      <w:r>
        <w:rPr>
          <w:rFonts w:ascii="Arial" w:hAnsi="Arial" w:cs="Arial"/>
        </w:rPr>
        <w:t xml:space="preserve">  </w:t>
      </w:r>
      <w:r w:rsidR="001C14C7">
        <w:rPr>
          <w:rFonts w:ascii="Arial" w:hAnsi="Arial" w:cs="Arial"/>
        </w:rPr>
        <w:t>There are different l</w:t>
      </w:r>
      <w:r w:rsidR="003A4744">
        <w:rPr>
          <w:rFonts w:ascii="Arial" w:hAnsi="Arial" w:cs="Arial"/>
        </w:rPr>
        <w:t>evels of employer based A</w:t>
      </w:r>
      <w:r w:rsidR="001C14C7">
        <w:rPr>
          <w:rFonts w:ascii="Arial" w:hAnsi="Arial" w:cs="Arial"/>
        </w:rPr>
        <w:t>ward (1-9</w:t>
      </w:r>
      <w:r w:rsidR="000752FF">
        <w:rPr>
          <w:rFonts w:ascii="Arial" w:hAnsi="Arial" w:cs="Arial"/>
        </w:rPr>
        <w:t>,</w:t>
      </w:r>
      <w:r w:rsidR="007F61D3" w:rsidRPr="007F61D3">
        <w:rPr>
          <w:rFonts w:ascii="Arial" w:hAnsi="Arial" w:cs="Arial"/>
        </w:rPr>
        <w:t xml:space="preserve"> </w:t>
      </w:r>
      <w:r w:rsidR="007F61D3">
        <w:rPr>
          <w:rFonts w:ascii="Arial" w:hAnsi="Arial" w:cs="Arial"/>
        </w:rPr>
        <w:t>awarded incrementally</w:t>
      </w:r>
      <w:r w:rsidR="001C14C7">
        <w:rPr>
          <w:rFonts w:ascii="Arial" w:hAnsi="Arial" w:cs="Arial"/>
        </w:rPr>
        <w:t>)</w:t>
      </w:r>
      <w:r w:rsidR="003A4744">
        <w:rPr>
          <w:rFonts w:ascii="Arial" w:hAnsi="Arial" w:cs="Arial"/>
        </w:rPr>
        <w:t>, as well as national awards (which are not administered by the Trust)</w:t>
      </w:r>
      <w:r w:rsidR="001C14C7">
        <w:rPr>
          <w:rFonts w:ascii="Arial" w:hAnsi="Arial" w:cs="Arial"/>
        </w:rPr>
        <w:t>.</w:t>
      </w:r>
      <w:r w:rsidR="003A4744" w:rsidRPr="003A4744">
        <w:rPr>
          <w:rFonts w:ascii="Arial" w:hAnsi="Arial" w:cs="Arial"/>
        </w:rPr>
        <w:t xml:space="preserve"> </w:t>
      </w:r>
      <w:r w:rsidR="003A4744">
        <w:rPr>
          <w:rFonts w:ascii="Arial" w:hAnsi="Arial" w:cs="Arial"/>
        </w:rPr>
        <w:t xml:space="preserve"> </w:t>
      </w:r>
    </w:p>
    <w:p w:rsidR="00F1556D" w:rsidRDefault="00F1556D" w:rsidP="00A126FD">
      <w:pPr>
        <w:jc w:val="both"/>
        <w:rPr>
          <w:rFonts w:ascii="Arial" w:hAnsi="Arial" w:cs="Arial"/>
        </w:rPr>
      </w:pPr>
    </w:p>
    <w:p w:rsidR="00A126FD" w:rsidRPr="00B92F64" w:rsidRDefault="009C49F4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 the end of July 2013 t</w:t>
      </w:r>
      <w:r w:rsidR="00A126FD" w:rsidRPr="00B92F64">
        <w:rPr>
          <w:rFonts w:ascii="Arial" w:hAnsi="Arial" w:cs="Arial"/>
        </w:rPr>
        <w:t xml:space="preserve">he national Advisory Committee for Clinical Excellence Awards (ACCEA) </w:t>
      </w:r>
      <w:r>
        <w:rPr>
          <w:rFonts w:ascii="Arial" w:hAnsi="Arial" w:cs="Arial"/>
        </w:rPr>
        <w:t>opened the</w:t>
      </w:r>
      <w:r w:rsidR="00B92F64">
        <w:rPr>
          <w:rFonts w:ascii="Arial" w:hAnsi="Arial" w:cs="Arial"/>
        </w:rPr>
        <w:t xml:space="preserve"> National CEA</w:t>
      </w:r>
      <w:r>
        <w:rPr>
          <w:rFonts w:ascii="Arial" w:hAnsi="Arial" w:cs="Arial"/>
        </w:rPr>
        <w:t xml:space="preserve"> round for</w:t>
      </w:r>
      <w:r w:rsidR="00B92F6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</w:t>
      </w:r>
      <w:r w:rsidR="00B92F64">
        <w:rPr>
          <w:rFonts w:ascii="Arial" w:hAnsi="Arial" w:cs="Arial"/>
        </w:rPr>
        <w:t xml:space="preserve">.  </w:t>
      </w:r>
    </w:p>
    <w:p w:rsidR="001C14C7" w:rsidRDefault="001C14C7" w:rsidP="00A126FD">
      <w:pPr>
        <w:jc w:val="both"/>
        <w:rPr>
          <w:rFonts w:ascii="Arial" w:hAnsi="Arial" w:cs="Arial"/>
        </w:rPr>
      </w:pPr>
    </w:p>
    <w:p w:rsidR="008506FE" w:rsidRDefault="00EC7A5B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Trust has a robust procedure for awarding </w:t>
      </w:r>
      <w:r w:rsidR="003A4744">
        <w:rPr>
          <w:rFonts w:ascii="Arial" w:hAnsi="Arial" w:cs="Arial"/>
        </w:rPr>
        <w:t xml:space="preserve">employer based </w:t>
      </w:r>
      <w:r>
        <w:rPr>
          <w:rFonts w:ascii="Arial" w:hAnsi="Arial" w:cs="Arial"/>
        </w:rPr>
        <w:t xml:space="preserve">CEAs, with </w:t>
      </w:r>
      <w:r w:rsidR="003A4744">
        <w:rPr>
          <w:rFonts w:ascii="Arial" w:hAnsi="Arial" w:cs="Arial"/>
        </w:rPr>
        <w:t xml:space="preserve">clear guidance and </w:t>
      </w:r>
      <w:r>
        <w:rPr>
          <w:rFonts w:ascii="Arial" w:hAnsi="Arial" w:cs="Arial"/>
        </w:rPr>
        <w:t>strong Board of Directors input</w:t>
      </w:r>
      <w:r w:rsidR="003A47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A4744">
        <w:rPr>
          <w:rFonts w:ascii="Arial" w:hAnsi="Arial" w:cs="Arial"/>
        </w:rPr>
        <w:t xml:space="preserve">The formula used for the </w:t>
      </w:r>
      <w:r w:rsidR="003A4744" w:rsidRPr="00B92F64">
        <w:rPr>
          <w:rFonts w:ascii="Arial" w:hAnsi="Arial" w:cs="Arial"/>
        </w:rPr>
        <w:t xml:space="preserve">number of CEAs to be awarded </w:t>
      </w:r>
      <w:r w:rsidR="001E29BF">
        <w:rPr>
          <w:rFonts w:ascii="Arial" w:hAnsi="Arial" w:cs="Arial"/>
        </w:rPr>
        <w:t>last year w</w:t>
      </w:r>
      <w:r w:rsidR="003A4744">
        <w:rPr>
          <w:rFonts w:ascii="Arial" w:hAnsi="Arial" w:cs="Arial"/>
        </w:rPr>
        <w:t xml:space="preserve">as </w:t>
      </w:r>
      <w:r w:rsidR="003A4744" w:rsidRPr="00B92F64">
        <w:rPr>
          <w:rFonts w:ascii="Arial" w:hAnsi="Arial" w:cs="Arial"/>
        </w:rPr>
        <w:t>0.2 awards per eligible consultant</w:t>
      </w:r>
      <w:r w:rsidR="00E048AC">
        <w:rPr>
          <w:rFonts w:ascii="Arial" w:hAnsi="Arial" w:cs="Arial"/>
        </w:rPr>
        <w:t xml:space="preserve"> which is in line with national guidance</w:t>
      </w:r>
      <w:r w:rsidR="003A4744" w:rsidRPr="00B92F64">
        <w:rPr>
          <w:rFonts w:ascii="Arial" w:hAnsi="Arial" w:cs="Arial"/>
        </w:rPr>
        <w:t>.</w:t>
      </w:r>
      <w:r w:rsidR="003A4744">
        <w:rPr>
          <w:rFonts w:ascii="Arial" w:hAnsi="Arial" w:cs="Arial"/>
        </w:rPr>
        <w:t xml:space="preserve">  In</w:t>
      </w:r>
      <w:r w:rsidR="00D6107E">
        <w:rPr>
          <w:rFonts w:ascii="Arial" w:hAnsi="Arial" w:cs="Arial"/>
        </w:rPr>
        <w:t xml:space="preserve"> 201</w:t>
      </w:r>
      <w:r w:rsidR="009C49F4">
        <w:rPr>
          <w:rFonts w:ascii="Arial" w:hAnsi="Arial" w:cs="Arial"/>
        </w:rPr>
        <w:t>2</w:t>
      </w:r>
      <w:r w:rsidR="007B17A3">
        <w:rPr>
          <w:rFonts w:ascii="Arial" w:hAnsi="Arial" w:cs="Arial"/>
        </w:rPr>
        <w:t xml:space="preserve">, </w:t>
      </w:r>
      <w:r w:rsidR="007B17A3" w:rsidRPr="00E048AC">
        <w:rPr>
          <w:rFonts w:ascii="Arial" w:hAnsi="Arial" w:cs="Arial"/>
        </w:rPr>
        <w:t>1</w:t>
      </w:r>
      <w:r w:rsidR="00D6107E" w:rsidRPr="00E048AC">
        <w:rPr>
          <w:rFonts w:ascii="Arial" w:hAnsi="Arial" w:cs="Arial"/>
        </w:rPr>
        <w:t>9</w:t>
      </w:r>
      <w:r w:rsidR="00D6107E">
        <w:rPr>
          <w:rFonts w:ascii="Arial" w:hAnsi="Arial" w:cs="Arial"/>
        </w:rPr>
        <w:t xml:space="preserve"> new CEAs were awarded </w:t>
      </w:r>
      <w:r w:rsidR="001E29BF">
        <w:rPr>
          <w:rFonts w:ascii="Arial" w:hAnsi="Arial" w:cs="Arial"/>
        </w:rPr>
        <w:t xml:space="preserve">to 18 consultants (of 35 applicants), </w:t>
      </w:r>
      <w:r w:rsidR="00D6107E">
        <w:rPr>
          <w:rFonts w:ascii="Arial" w:hAnsi="Arial" w:cs="Arial"/>
        </w:rPr>
        <w:t>at a total cost of £</w:t>
      </w:r>
      <w:r w:rsidR="00391522">
        <w:rPr>
          <w:rFonts w:ascii="Arial" w:hAnsi="Arial" w:cs="Arial"/>
        </w:rPr>
        <w:t>6</w:t>
      </w:r>
      <w:r w:rsidR="009C49F4">
        <w:rPr>
          <w:rFonts w:ascii="Arial" w:hAnsi="Arial" w:cs="Arial"/>
        </w:rPr>
        <w:t>2</w:t>
      </w:r>
      <w:r w:rsidR="00D6107E">
        <w:rPr>
          <w:rFonts w:ascii="Arial" w:hAnsi="Arial" w:cs="Arial"/>
        </w:rPr>
        <w:t>,</w:t>
      </w:r>
      <w:r w:rsidR="009C49F4">
        <w:rPr>
          <w:rFonts w:ascii="Arial" w:hAnsi="Arial" w:cs="Arial"/>
        </w:rPr>
        <w:t>838</w:t>
      </w:r>
      <w:r w:rsidR="00D6107E">
        <w:rPr>
          <w:rFonts w:ascii="Arial" w:hAnsi="Arial" w:cs="Arial"/>
        </w:rPr>
        <w:t xml:space="preserve">.  </w:t>
      </w:r>
      <w:r w:rsidR="002D251F">
        <w:rPr>
          <w:rFonts w:ascii="Arial" w:hAnsi="Arial" w:cs="Arial"/>
        </w:rPr>
        <w:t>However, d</w:t>
      </w:r>
      <w:r w:rsidR="003A4744">
        <w:rPr>
          <w:rFonts w:ascii="Arial" w:hAnsi="Arial" w:cs="Arial"/>
        </w:rPr>
        <w:t xml:space="preserve">ue to the retirement of 4 longstanding consultants holding CEAs (value £70,968) this represented a reduction in </w:t>
      </w:r>
      <w:r w:rsidR="00616092">
        <w:rPr>
          <w:rFonts w:ascii="Arial" w:hAnsi="Arial" w:cs="Arial"/>
        </w:rPr>
        <w:t xml:space="preserve">recurrent </w:t>
      </w:r>
      <w:r w:rsidR="003A4744">
        <w:rPr>
          <w:rFonts w:ascii="Arial" w:hAnsi="Arial" w:cs="Arial"/>
        </w:rPr>
        <w:t xml:space="preserve">consultant </w:t>
      </w:r>
      <w:r w:rsidR="00E048AC">
        <w:rPr>
          <w:rFonts w:ascii="Arial" w:hAnsi="Arial" w:cs="Arial"/>
        </w:rPr>
        <w:t>spend</w:t>
      </w:r>
      <w:r w:rsidR="003A4744">
        <w:rPr>
          <w:rFonts w:ascii="Arial" w:hAnsi="Arial" w:cs="Arial"/>
        </w:rPr>
        <w:t xml:space="preserve"> of £8,130.  </w:t>
      </w:r>
      <w:r w:rsidR="00391522">
        <w:rPr>
          <w:rFonts w:ascii="Arial" w:hAnsi="Arial" w:cs="Arial"/>
        </w:rPr>
        <w:t>One award, value £2,957, was carried over to 201</w:t>
      </w:r>
      <w:r w:rsidR="003A4744">
        <w:rPr>
          <w:rFonts w:ascii="Arial" w:hAnsi="Arial" w:cs="Arial"/>
        </w:rPr>
        <w:t>3</w:t>
      </w:r>
      <w:r w:rsidR="0039152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The whole CEA system is under national consideration and there may be major changes in 201</w:t>
      </w:r>
      <w:r w:rsidR="00E048A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C49F4">
        <w:rPr>
          <w:rFonts w:ascii="Arial" w:hAnsi="Arial" w:cs="Arial"/>
        </w:rPr>
        <w:t xml:space="preserve"> </w:t>
      </w:r>
    </w:p>
    <w:p w:rsidR="000A7997" w:rsidRDefault="000A7997" w:rsidP="008506FE">
      <w:pPr>
        <w:rPr>
          <w:rFonts w:ascii="Arial" w:hAnsi="Arial" w:cs="Arial"/>
          <w:b/>
        </w:rPr>
      </w:pPr>
    </w:p>
    <w:p w:rsidR="009D4C01" w:rsidRDefault="009D4C01" w:rsidP="008506FE">
      <w:pPr>
        <w:rPr>
          <w:rFonts w:ascii="Arial" w:hAnsi="Arial" w:cs="Arial"/>
          <w:b/>
        </w:rPr>
      </w:pPr>
    </w:p>
    <w:p w:rsidR="009D4C01" w:rsidRDefault="009D4C01" w:rsidP="008506FE">
      <w:pPr>
        <w:rPr>
          <w:rFonts w:ascii="Arial" w:hAnsi="Arial" w:cs="Arial"/>
          <w:b/>
        </w:rPr>
      </w:pPr>
    </w:p>
    <w:p w:rsidR="009D4C01" w:rsidRDefault="009D4C01" w:rsidP="008506FE">
      <w:pPr>
        <w:rPr>
          <w:rFonts w:ascii="Arial" w:hAnsi="Arial" w:cs="Arial"/>
          <w:b/>
        </w:rPr>
      </w:pPr>
    </w:p>
    <w:p w:rsidR="008506FE" w:rsidRPr="007C7E7F" w:rsidRDefault="008506FE" w:rsidP="008506FE">
      <w:pPr>
        <w:rPr>
          <w:rFonts w:ascii="Arial" w:hAnsi="Arial" w:cs="Arial"/>
          <w:b/>
        </w:rPr>
      </w:pPr>
      <w:r w:rsidRPr="007C7E7F">
        <w:rPr>
          <w:rFonts w:ascii="Arial" w:hAnsi="Arial" w:cs="Arial"/>
          <w:b/>
        </w:rPr>
        <w:lastRenderedPageBreak/>
        <w:t>Options for 201</w:t>
      </w:r>
      <w:r w:rsidR="00E048AC">
        <w:rPr>
          <w:rFonts w:ascii="Arial" w:hAnsi="Arial" w:cs="Arial"/>
          <w:b/>
        </w:rPr>
        <w:t>3</w:t>
      </w:r>
    </w:p>
    <w:p w:rsidR="008506FE" w:rsidRDefault="008506FE" w:rsidP="008506FE">
      <w:pPr>
        <w:rPr>
          <w:rFonts w:ascii="Arial" w:hAnsi="Arial" w:cs="Arial"/>
        </w:rPr>
      </w:pPr>
    </w:p>
    <w:p w:rsidR="008506FE" w:rsidRDefault="008506FE" w:rsidP="007F6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391522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options for the Trust in relation to consultant CEAs for 201</w:t>
      </w:r>
      <w:r w:rsidR="009C49F4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:rsidR="008506FE" w:rsidRDefault="008506FE" w:rsidP="007F61D3">
      <w:pPr>
        <w:jc w:val="both"/>
        <w:rPr>
          <w:rFonts w:ascii="Arial" w:hAnsi="Arial" w:cs="Arial"/>
        </w:rPr>
      </w:pPr>
    </w:p>
    <w:p w:rsidR="008506FE" w:rsidRDefault="001E29BF" w:rsidP="0039152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 in previous years, c</w:t>
      </w:r>
      <w:r w:rsidR="008506FE">
        <w:rPr>
          <w:rFonts w:ascii="Arial" w:hAnsi="Arial" w:cs="Arial"/>
        </w:rPr>
        <w:t xml:space="preserve">ommit to the </w:t>
      </w:r>
      <w:r w:rsidR="008506FE" w:rsidRPr="003A13BF">
        <w:rPr>
          <w:rFonts w:ascii="Arial" w:hAnsi="Arial" w:cs="Arial"/>
          <w:b/>
        </w:rPr>
        <w:t>number of awards</w:t>
      </w:r>
      <w:r w:rsidR="008506FE">
        <w:rPr>
          <w:rFonts w:ascii="Arial" w:hAnsi="Arial" w:cs="Arial"/>
        </w:rPr>
        <w:t xml:space="preserve"> recommended by ACCEA’s guidance (</w:t>
      </w:r>
      <w:r>
        <w:rPr>
          <w:rFonts w:ascii="Arial" w:hAnsi="Arial" w:cs="Arial"/>
        </w:rPr>
        <w:t xml:space="preserve">currently </w:t>
      </w:r>
      <w:r w:rsidR="008506FE">
        <w:rPr>
          <w:rFonts w:ascii="Arial" w:hAnsi="Arial" w:cs="Arial"/>
        </w:rPr>
        <w:t xml:space="preserve">0.20 x eligible consultants), </w:t>
      </w:r>
      <w:r w:rsidR="007F61D3">
        <w:rPr>
          <w:rFonts w:ascii="Arial" w:hAnsi="Arial" w:cs="Arial"/>
        </w:rPr>
        <w:t>i.e.</w:t>
      </w:r>
      <w:r w:rsidR="008506FE">
        <w:rPr>
          <w:rFonts w:ascii="Arial" w:hAnsi="Arial" w:cs="Arial"/>
        </w:rPr>
        <w:t xml:space="preserve"> </w:t>
      </w:r>
      <w:r w:rsidR="00616092">
        <w:rPr>
          <w:rFonts w:ascii="Arial" w:hAnsi="Arial" w:cs="Arial"/>
        </w:rPr>
        <w:t xml:space="preserve">19 </w:t>
      </w:r>
      <w:r w:rsidR="008506FE">
        <w:rPr>
          <w:rFonts w:ascii="Arial" w:hAnsi="Arial" w:cs="Arial"/>
        </w:rPr>
        <w:t>CEAs</w:t>
      </w:r>
      <w:r w:rsidR="00391522">
        <w:rPr>
          <w:rFonts w:ascii="Arial" w:hAnsi="Arial" w:cs="Arial"/>
        </w:rPr>
        <w:t>, plus one carried over from 201</w:t>
      </w:r>
      <w:r w:rsidR="002D251F">
        <w:rPr>
          <w:rFonts w:ascii="Arial" w:hAnsi="Arial" w:cs="Arial"/>
        </w:rPr>
        <w:t>2</w:t>
      </w:r>
      <w:r w:rsidR="00391522">
        <w:rPr>
          <w:rFonts w:ascii="Arial" w:hAnsi="Arial" w:cs="Arial"/>
        </w:rPr>
        <w:t>,</w:t>
      </w:r>
      <w:r w:rsidR="00452C0C">
        <w:rPr>
          <w:rFonts w:ascii="Arial" w:hAnsi="Arial" w:cs="Arial"/>
        </w:rPr>
        <w:t xml:space="preserve"> at a minimum salary value</w:t>
      </w:r>
      <w:r w:rsidR="008506FE">
        <w:rPr>
          <w:rFonts w:ascii="Arial" w:hAnsi="Arial" w:cs="Arial"/>
        </w:rPr>
        <w:t xml:space="preserve"> of £</w:t>
      </w:r>
      <w:r w:rsidR="00616092">
        <w:rPr>
          <w:rFonts w:ascii="Arial" w:hAnsi="Arial" w:cs="Arial"/>
        </w:rPr>
        <w:t>59,140</w:t>
      </w:r>
      <w:r w:rsidR="009D4C01">
        <w:rPr>
          <w:rFonts w:ascii="Arial" w:hAnsi="Arial" w:cs="Arial"/>
        </w:rPr>
        <w:t xml:space="preserve"> (net cost &lt;~£5.000 – see below)</w:t>
      </w:r>
      <w:r w:rsidR="00BE3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</w:t>
      </w:r>
      <w:r w:rsidR="00BE3537">
        <w:rPr>
          <w:rFonts w:ascii="Arial" w:hAnsi="Arial" w:cs="Arial"/>
        </w:rPr>
        <w:t xml:space="preserve"> all were awarded</w:t>
      </w:r>
      <w:r w:rsidR="00391522">
        <w:rPr>
          <w:rFonts w:ascii="Arial" w:hAnsi="Arial" w:cs="Arial"/>
        </w:rPr>
        <w:t xml:space="preserve"> (including c</w:t>
      </w:r>
      <w:r w:rsidR="00C32A3B">
        <w:rPr>
          <w:rFonts w:ascii="Arial" w:hAnsi="Arial" w:cs="Arial"/>
        </w:rPr>
        <w:t>arried over</w:t>
      </w:r>
      <w:r w:rsidR="00391522">
        <w:rPr>
          <w:rFonts w:ascii="Arial" w:hAnsi="Arial" w:cs="Arial"/>
        </w:rPr>
        <w:t xml:space="preserve"> award)</w:t>
      </w:r>
      <w:r w:rsidR="008506FE">
        <w:rPr>
          <w:rFonts w:ascii="Arial" w:hAnsi="Arial" w:cs="Arial"/>
        </w:rPr>
        <w:t>.</w:t>
      </w:r>
    </w:p>
    <w:p w:rsidR="008506FE" w:rsidRDefault="008506FE" w:rsidP="00391522">
      <w:pPr>
        <w:jc w:val="both"/>
        <w:rPr>
          <w:rFonts w:ascii="Arial" w:hAnsi="Arial" w:cs="Arial"/>
        </w:rPr>
      </w:pPr>
    </w:p>
    <w:p w:rsidR="008506FE" w:rsidRDefault="008506FE" w:rsidP="0039152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 w:rsidRPr="003A13BF">
        <w:rPr>
          <w:rFonts w:ascii="Arial" w:hAnsi="Arial" w:cs="Arial"/>
          <w:b/>
        </w:rPr>
        <w:t>no awards</w:t>
      </w:r>
      <w:r>
        <w:rPr>
          <w:rFonts w:ascii="Arial" w:hAnsi="Arial" w:cs="Arial"/>
        </w:rPr>
        <w:t xml:space="preserve">, recognising the financial constraints facing the Trust </w:t>
      </w:r>
      <w:r w:rsidR="000A7997">
        <w:rPr>
          <w:rFonts w:ascii="Arial" w:hAnsi="Arial" w:cs="Arial"/>
        </w:rPr>
        <w:t>and consider alternative methods of recognition.  A system for 5 year reviews would still be needed</w:t>
      </w:r>
      <w:r>
        <w:rPr>
          <w:rFonts w:ascii="Arial" w:hAnsi="Arial" w:cs="Arial"/>
        </w:rPr>
        <w:t>.</w:t>
      </w:r>
    </w:p>
    <w:p w:rsidR="008506FE" w:rsidRDefault="008506FE" w:rsidP="00391522">
      <w:pPr>
        <w:jc w:val="both"/>
        <w:rPr>
          <w:rFonts w:ascii="Arial" w:hAnsi="Arial" w:cs="Arial"/>
        </w:rPr>
      </w:pPr>
    </w:p>
    <w:p w:rsidR="008506FE" w:rsidRDefault="008506FE" w:rsidP="0039152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 an </w:t>
      </w:r>
      <w:r w:rsidRPr="003A13BF">
        <w:rPr>
          <w:rFonts w:ascii="Arial" w:hAnsi="Arial" w:cs="Arial"/>
          <w:b/>
        </w:rPr>
        <w:t>intermediate formula</w:t>
      </w:r>
      <w:r>
        <w:rPr>
          <w:rFonts w:ascii="Arial" w:hAnsi="Arial" w:cs="Arial"/>
        </w:rPr>
        <w:t xml:space="preserve"> which identifies a maximum number of CEAs to be awarded</w:t>
      </w:r>
      <w:r w:rsidR="00452C0C">
        <w:rPr>
          <w:rFonts w:ascii="Arial" w:hAnsi="Arial" w:cs="Arial"/>
        </w:rPr>
        <w:t xml:space="preserve"> (&lt; 0.20 x eligible consultants)</w:t>
      </w:r>
      <w:r w:rsidR="007F61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506FE" w:rsidRDefault="008506FE" w:rsidP="008506FE">
      <w:pPr>
        <w:rPr>
          <w:rFonts w:ascii="Arial" w:hAnsi="Arial" w:cs="Arial"/>
        </w:rPr>
      </w:pPr>
    </w:p>
    <w:p w:rsidR="005D3499" w:rsidRDefault="00241E39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Medical Staff Committee and Local Negotiating Committee have strongly requested that the local awards process proceeds.  </w:t>
      </w:r>
      <w:r w:rsidR="008506FE">
        <w:rPr>
          <w:rFonts w:ascii="Arial" w:hAnsi="Arial" w:cs="Arial"/>
        </w:rPr>
        <w:t xml:space="preserve">It is possible that a decision to award </w:t>
      </w:r>
      <w:r w:rsidR="000752FF">
        <w:rPr>
          <w:rFonts w:ascii="Arial" w:hAnsi="Arial" w:cs="Arial"/>
        </w:rPr>
        <w:t>less</w:t>
      </w:r>
      <w:r w:rsidR="008506FE">
        <w:rPr>
          <w:rFonts w:ascii="Arial" w:hAnsi="Arial" w:cs="Arial"/>
        </w:rPr>
        <w:t xml:space="preserve"> than the minimum recommended by ACCEA</w:t>
      </w:r>
      <w:r w:rsidR="001F071C">
        <w:rPr>
          <w:rFonts w:ascii="Arial" w:hAnsi="Arial" w:cs="Arial"/>
        </w:rPr>
        <w:t xml:space="preserve"> </w:t>
      </w:r>
      <w:r w:rsidR="008506FE">
        <w:rPr>
          <w:rFonts w:ascii="Arial" w:hAnsi="Arial" w:cs="Arial"/>
        </w:rPr>
        <w:t xml:space="preserve">will demoralise </w:t>
      </w:r>
      <w:r w:rsidR="000A7997">
        <w:rPr>
          <w:rFonts w:ascii="Arial" w:hAnsi="Arial" w:cs="Arial"/>
        </w:rPr>
        <w:t>many</w:t>
      </w:r>
      <w:r w:rsidR="008506FE">
        <w:rPr>
          <w:rFonts w:ascii="Arial" w:hAnsi="Arial" w:cs="Arial"/>
        </w:rPr>
        <w:t xml:space="preserve"> medical staff at a time when their clinical leadership is essential for delivery of the Trust’s quality and </w:t>
      </w:r>
      <w:r w:rsidR="000A7997">
        <w:rPr>
          <w:rFonts w:ascii="Arial" w:hAnsi="Arial" w:cs="Arial"/>
        </w:rPr>
        <w:t xml:space="preserve">cost improvement </w:t>
      </w:r>
      <w:r w:rsidR="008506FE">
        <w:rPr>
          <w:rFonts w:ascii="Arial" w:hAnsi="Arial" w:cs="Arial"/>
        </w:rPr>
        <w:t>agenda</w:t>
      </w:r>
      <w:r w:rsidR="00E90C8B">
        <w:rPr>
          <w:rFonts w:ascii="Arial" w:hAnsi="Arial" w:cs="Arial"/>
        </w:rPr>
        <w:t xml:space="preserve"> (as well as damage to reputation</w:t>
      </w:r>
      <w:r w:rsidR="004F578F">
        <w:rPr>
          <w:rFonts w:ascii="Arial" w:hAnsi="Arial" w:cs="Arial"/>
        </w:rPr>
        <w:t>, recruitment</w:t>
      </w:r>
      <w:r w:rsidR="00E90C8B">
        <w:rPr>
          <w:rFonts w:ascii="Arial" w:hAnsi="Arial" w:cs="Arial"/>
        </w:rPr>
        <w:t xml:space="preserve"> and possible withdrawal of discretionary effort)</w:t>
      </w:r>
      <w:r w:rsidR="008506FE">
        <w:rPr>
          <w:rFonts w:ascii="Arial" w:hAnsi="Arial" w:cs="Arial"/>
        </w:rPr>
        <w:t>.  Conversely the award of CEAs to consultants at this time of constraint and efficiencies</w:t>
      </w:r>
      <w:r w:rsidR="00C32A3B">
        <w:rPr>
          <w:rFonts w:ascii="Arial" w:hAnsi="Arial" w:cs="Arial"/>
        </w:rPr>
        <w:t xml:space="preserve"> </w:t>
      </w:r>
      <w:r w:rsidR="001C6AD2">
        <w:rPr>
          <w:rFonts w:ascii="Arial" w:hAnsi="Arial" w:cs="Arial"/>
        </w:rPr>
        <w:t>could</w:t>
      </w:r>
      <w:r w:rsidR="008506FE">
        <w:rPr>
          <w:rFonts w:ascii="Arial" w:hAnsi="Arial" w:cs="Arial"/>
        </w:rPr>
        <w:t xml:space="preserve"> alienate other staff groups for whom no equivalent rewards </w:t>
      </w:r>
      <w:r w:rsidR="00BE3537">
        <w:rPr>
          <w:rFonts w:ascii="Arial" w:hAnsi="Arial" w:cs="Arial"/>
        </w:rPr>
        <w:t>remain</w:t>
      </w:r>
      <w:r w:rsidR="008506FE">
        <w:rPr>
          <w:rFonts w:ascii="Arial" w:hAnsi="Arial" w:cs="Arial"/>
        </w:rPr>
        <w:t xml:space="preserve"> available</w:t>
      </w:r>
      <w:r w:rsidR="00452C0C">
        <w:rPr>
          <w:rFonts w:ascii="Arial" w:hAnsi="Arial" w:cs="Arial"/>
        </w:rPr>
        <w:t xml:space="preserve"> (an issue that should perhaps be separately and further considered)</w:t>
      </w:r>
      <w:r w:rsidR="001C6AD2">
        <w:rPr>
          <w:rFonts w:ascii="Arial" w:hAnsi="Arial" w:cs="Arial"/>
        </w:rPr>
        <w:t>, although this has not seemingly been the case in the past as it is accepted that CEAs are part of the consultants’ pay system</w:t>
      </w:r>
      <w:r w:rsidR="008506FE">
        <w:rPr>
          <w:rFonts w:ascii="Arial" w:hAnsi="Arial" w:cs="Arial"/>
        </w:rPr>
        <w:t>.</w:t>
      </w:r>
      <w:r w:rsidR="000A7997">
        <w:rPr>
          <w:rFonts w:ascii="Arial" w:hAnsi="Arial" w:cs="Arial"/>
        </w:rPr>
        <w:t xml:space="preserve">  </w:t>
      </w:r>
    </w:p>
    <w:p w:rsidR="00EC7A5B" w:rsidRDefault="00EC7A5B" w:rsidP="00A126FD">
      <w:pPr>
        <w:jc w:val="both"/>
        <w:rPr>
          <w:rFonts w:ascii="Arial" w:hAnsi="Arial" w:cs="Arial"/>
        </w:rPr>
      </w:pPr>
    </w:p>
    <w:p w:rsidR="00EC7A5B" w:rsidRDefault="00EC7A5B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CEA round </w:t>
      </w:r>
      <w:r w:rsidR="00241E39">
        <w:rPr>
          <w:rFonts w:ascii="Arial" w:hAnsi="Arial" w:cs="Arial"/>
        </w:rPr>
        <w:t xml:space="preserve">it is relevant that </w:t>
      </w:r>
      <w:r w:rsidR="007D5E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consultants </w:t>
      </w:r>
      <w:r w:rsidR="00241E39">
        <w:rPr>
          <w:rFonts w:ascii="Arial" w:hAnsi="Arial" w:cs="Arial"/>
        </w:rPr>
        <w:t xml:space="preserve">with </w:t>
      </w:r>
      <w:r w:rsidR="002705B0">
        <w:rPr>
          <w:rFonts w:ascii="Arial" w:hAnsi="Arial" w:cs="Arial"/>
        </w:rPr>
        <w:t xml:space="preserve">local </w:t>
      </w:r>
      <w:r w:rsidR="00241E39">
        <w:rPr>
          <w:rFonts w:ascii="Arial" w:hAnsi="Arial" w:cs="Arial"/>
        </w:rPr>
        <w:t xml:space="preserve">CEAs </w:t>
      </w:r>
      <w:r>
        <w:rPr>
          <w:rFonts w:ascii="Arial" w:hAnsi="Arial" w:cs="Arial"/>
        </w:rPr>
        <w:t>have retired</w:t>
      </w:r>
      <w:r w:rsidR="002705B0">
        <w:rPr>
          <w:rFonts w:ascii="Arial" w:hAnsi="Arial" w:cs="Arial"/>
        </w:rPr>
        <w:t xml:space="preserve"> or left the Trust, 2 consultants have been awarded national CEAs and 3 of the newly appointed consultants </w:t>
      </w:r>
      <w:r w:rsidR="007D5EC4">
        <w:rPr>
          <w:rFonts w:ascii="Arial" w:hAnsi="Arial" w:cs="Arial"/>
        </w:rPr>
        <w:t xml:space="preserve">had </w:t>
      </w:r>
      <w:r w:rsidR="002705B0">
        <w:rPr>
          <w:rFonts w:ascii="Arial" w:hAnsi="Arial" w:cs="Arial"/>
        </w:rPr>
        <w:t>CEAs</w:t>
      </w:r>
      <w:r>
        <w:rPr>
          <w:rFonts w:ascii="Arial" w:hAnsi="Arial" w:cs="Arial"/>
        </w:rPr>
        <w:t xml:space="preserve">. </w:t>
      </w:r>
      <w:r w:rsidR="002705B0">
        <w:rPr>
          <w:rFonts w:ascii="Arial" w:hAnsi="Arial" w:cs="Arial"/>
        </w:rPr>
        <w:t xml:space="preserve"> </w:t>
      </w:r>
      <w:r w:rsidR="007D5EC4">
        <w:rPr>
          <w:rFonts w:ascii="Arial" w:hAnsi="Arial" w:cs="Arial"/>
        </w:rPr>
        <w:t>The net release of local CEA monies as a result is £58,444.  T</w:t>
      </w:r>
      <w:r>
        <w:rPr>
          <w:rFonts w:ascii="Arial" w:hAnsi="Arial" w:cs="Arial"/>
        </w:rPr>
        <w:t>he</w:t>
      </w:r>
      <w:r w:rsidR="00241E39">
        <w:rPr>
          <w:rFonts w:ascii="Arial" w:hAnsi="Arial" w:cs="Arial"/>
        </w:rPr>
        <w:t>refore</w:t>
      </w:r>
      <w:r w:rsidR="007D5EC4">
        <w:rPr>
          <w:rFonts w:ascii="Arial" w:hAnsi="Arial" w:cs="Arial"/>
        </w:rPr>
        <w:t>,</w:t>
      </w:r>
      <w:r w:rsidR="00241E39">
        <w:rPr>
          <w:rFonts w:ascii="Arial" w:hAnsi="Arial" w:cs="Arial"/>
        </w:rPr>
        <w:t xml:space="preserve"> even if all possible CEAs were awarded this year, there </w:t>
      </w:r>
      <w:r w:rsidR="004F578F">
        <w:rPr>
          <w:rFonts w:ascii="Arial" w:hAnsi="Arial" w:cs="Arial"/>
        </w:rPr>
        <w:t>w</w:t>
      </w:r>
      <w:r w:rsidR="007D5EC4">
        <w:rPr>
          <w:rFonts w:ascii="Arial" w:hAnsi="Arial" w:cs="Arial"/>
        </w:rPr>
        <w:t>ould</w:t>
      </w:r>
      <w:r w:rsidR="00452C0C">
        <w:rPr>
          <w:rFonts w:ascii="Arial" w:hAnsi="Arial" w:cs="Arial"/>
        </w:rPr>
        <w:t xml:space="preserve"> only a small cost</w:t>
      </w:r>
      <w:r w:rsidR="004F578F">
        <w:rPr>
          <w:rFonts w:ascii="Arial" w:hAnsi="Arial" w:cs="Arial"/>
        </w:rPr>
        <w:t xml:space="preserve"> (</w:t>
      </w:r>
      <w:r w:rsidR="00616092">
        <w:rPr>
          <w:rFonts w:ascii="Arial" w:hAnsi="Arial" w:cs="Arial"/>
        </w:rPr>
        <w:t xml:space="preserve">between </w:t>
      </w:r>
      <w:r w:rsidR="009D4C01">
        <w:rPr>
          <w:rFonts w:ascii="Arial" w:hAnsi="Arial" w:cs="Arial"/>
        </w:rPr>
        <w:t>~</w:t>
      </w:r>
      <w:r w:rsidR="00616092">
        <w:rPr>
          <w:rFonts w:ascii="Arial" w:hAnsi="Arial" w:cs="Arial"/>
        </w:rPr>
        <w:t>£1</w:t>
      </w:r>
      <w:r w:rsidR="009D4C01">
        <w:rPr>
          <w:rFonts w:ascii="Arial" w:hAnsi="Arial" w:cs="Arial"/>
        </w:rPr>
        <w:t>,</w:t>
      </w:r>
      <w:r w:rsidR="00616092">
        <w:rPr>
          <w:rFonts w:ascii="Arial" w:hAnsi="Arial" w:cs="Arial"/>
        </w:rPr>
        <w:t xml:space="preserve">000 - </w:t>
      </w:r>
      <w:r w:rsidR="004F578F">
        <w:rPr>
          <w:rFonts w:ascii="Arial" w:hAnsi="Arial" w:cs="Arial"/>
        </w:rPr>
        <w:t>£5</w:t>
      </w:r>
      <w:r w:rsidR="009D4C01">
        <w:rPr>
          <w:rFonts w:ascii="Arial" w:hAnsi="Arial" w:cs="Arial"/>
        </w:rPr>
        <w:t>,</w:t>
      </w:r>
      <w:r w:rsidR="004F578F">
        <w:rPr>
          <w:rFonts w:ascii="Arial" w:hAnsi="Arial" w:cs="Arial"/>
        </w:rPr>
        <w:t>000)</w:t>
      </w:r>
      <w:r w:rsidR="00616092">
        <w:rPr>
          <w:rFonts w:ascii="Arial" w:hAnsi="Arial" w:cs="Arial"/>
        </w:rPr>
        <w:t xml:space="preserve"> which would not exceed the recurrent saving from the previous year</w:t>
      </w:r>
      <w:r w:rsidR="00241E39">
        <w:rPr>
          <w:rFonts w:ascii="Arial" w:hAnsi="Arial" w:cs="Arial"/>
        </w:rPr>
        <w:t>.</w:t>
      </w:r>
    </w:p>
    <w:p w:rsidR="00E90C8B" w:rsidRDefault="00E90C8B" w:rsidP="00A126FD">
      <w:pPr>
        <w:jc w:val="both"/>
        <w:rPr>
          <w:rFonts w:ascii="Arial" w:hAnsi="Arial" w:cs="Arial"/>
        </w:rPr>
      </w:pPr>
    </w:p>
    <w:p w:rsidR="00E90C8B" w:rsidRDefault="00E90C8B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 decision was taken to not award CEAs, </w:t>
      </w:r>
      <w:r w:rsidR="001C6AD2">
        <w:rPr>
          <w:rFonts w:ascii="Arial" w:hAnsi="Arial" w:cs="Arial"/>
        </w:rPr>
        <w:t xml:space="preserve">previous </w:t>
      </w:r>
      <w:r>
        <w:rPr>
          <w:rFonts w:ascii="Arial" w:hAnsi="Arial" w:cs="Arial"/>
        </w:rPr>
        <w:t xml:space="preserve">advice from NHS Employers suggests that there may be contractual implications and legal advice would need to be sought, incurring legal fees, as to the likelihood that </w:t>
      </w:r>
      <w:r w:rsidR="00452C0C">
        <w:rPr>
          <w:rFonts w:ascii="Arial" w:hAnsi="Arial" w:cs="Arial"/>
        </w:rPr>
        <w:t xml:space="preserve">potential multiple </w:t>
      </w:r>
      <w:r>
        <w:rPr>
          <w:rFonts w:ascii="Arial" w:hAnsi="Arial" w:cs="Arial"/>
        </w:rPr>
        <w:t>claims for damages for breach of contract would be successful.</w:t>
      </w:r>
    </w:p>
    <w:p w:rsidR="00E90C8B" w:rsidRDefault="00E90C8B" w:rsidP="00A126FD">
      <w:pPr>
        <w:jc w:val="both"/>
        <w:rPr>
          <w:rFonts w:ascii="Arial" w:hAnsi="Arial" w:cs="Arial"/>
        </w:rPr>
      </w:pPr>
    </w:p>
    <w:p w:rsidR="00E90C8B" w:rsidRDefault="00E90C8B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Recent communication with other Trusts in the area suggests that </w:t>
      </w:r>
      <w:r w:rsidR="001C6AD2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intend to award CEAs this year.</w:t>
      </w:r>
    </w:p>
    <w:p w:rsidR="007F61D3" w:rsidRDefault="007F61D3" w:rsidP="00A126FD">
      <w:pPr>
        <w:jc w:val="both"/>
        <w:rPr>
          <w:rFonts w:ascii="Arial" w:hAnsi="Arial" w:cs="Arial"/>
        </w:rPr>
      </w:pPr>
    </w:p>
    <w:p w:rsidR="00C32A3B" w:rsidRDefault="00391522" w:rsidP="00C32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awards </w:t>
      </w:r>
      <w:r w:rsidR="00EC7A5B">
        <w:rPr>
          <w:rFonts w:ascii="Arial" w:hAnsi="Arial" w:cs="Arial"/>
        </w:rPr>
        <w:t xml:space="preserve">made </w:t>
      </w:r>
      <w:r>
        <w:rPr>
          <w:rFonts w:ascii="Arial" w:hAnsi="Arial" w:cs="Arial"/>
        </w:rPr>
        <w:t xml:space="preserve">would </w:t>
      </w:r>
      <w:r w:rsidR="00EC7A5B">
        <w:rPr>
          <w:rFonts w:ascii="Arial" w:hAnsi="Arial" w:cs="Arial"/>
        </w:rPr>
        <w:t xml:space="preserve">again </w:t>
      </w:r>
      <w:r>
        <w:rPr>
          <w:rFonts w:ascii="Arial" w:hAnsi="Arial" w:cs="Arial"/>
        </w:rPr>
        <w:t xml:space="preserve">be based upon the </w:t>
      </w:r>
      <w:r w:rsidR="00BE3537">
        <w:rPr>
          <w:rFonts w:ascii="Arial" w:hAnsi="Arial" w:cs="Arial"/>
        </w:rPr>
        <w:t xml:space="preserve">strengthened </w:t>
      </w:r>
      <w:r w:rsidR="001F071C">
        <w:rPr>
          <w:rFonts w:ascii="Arial" w:hAnsi="Arial" w:cs="Arial"/>
        </w:rPr>
        <w:t xml:space="preserve">processes </w:t>
      </w:r>
      <w:r w:rsidR="00BE3537">
        <w:rPr>
          <w:rFonts w:ascii="Arial" w:hAnsi="Arial" w:cs="Arial"/>
        </w:rPr>
        <w:t xml:space="preserve">and </w:t>
      </w:r>
      <w:r w:rsidR="007F61D3">
        <w:rPr>
          <w:rFonts w:ascii="Arial" w:hAnsi="Arial" w:cs="Arial"/>
        </w:rPr>
        <w:t>strict criteria</w:t>
      </w:r>
      <w:r w:rsidR="001F071C">
        <w:rPr>
          <w:rFonts w:ascii="Arial" w:hAnsi="Arial" w:cs="Arial"/>
        </w:rPr>
        <w:t xml:space="preserve">/indicators </w:t>
      </w:r>
      <w:r>
        <w:rPr>
          <w:rFonts w:ascii="Arial" w:hAnsi="Arial" w:cs="Arial"/>
        </w:rPr>
        <w:t>used last year</w:t>
      </w:r>
      <w:r w:rsidR="007F61D3">
        <w:rPr>
          <w:rFonts w:ascii="Arial" w:hAnsi="Arial" w:cs="Arial"/>
        </w:rPr>
        <w:t xml:space="preserve"> to ensure that each recipient has demonstrated a tangible </w:t>
      </w:r>
      <w:r w:rsidR="000A7997">
        <w:rPr>
          <w:rFonts w:ascii="Arial" w:hAnsi="Arial" w:cs="Arial"/>
        </w:rPr>
        <w:t xml:space="preserve">substantial </w:t>
      </w:r>
      <w:r w:rsidR="007F61D3">
        <w:rPr>
          <w:rFonts w:ascii="Arial" w:hAnsi="Arial" w:cs="Arial"/>
        </w:rPr>
        <w:t>contribution to improving the quality (safety, effectiveness, experience) of patient care and other QIPP priorities.</w:t>
      </w:r>
      <w:r w:rsidR="001F071C">
        <w:rPr>
          <w:rFonts w:ascii="Arial" w:hAnsi="Arial" w:cs="Arial"/>
        </w:rPr>
        <w:t xml:space="preserve"> </w:t>
      </w:r>
    </w:p>
    <w:p w:rsidR="00241E39" w:rsidRDefault="00241E39" w:rsidP="00C32A3B">
      <w:pPr>
        <w:jc w:val="both"/>
        <w:rPr>
          <w:rFonts w:ascii="Arial" w:hAnsi="Arial" w:cs="Arial"/>
        </w:rPr>
      </w:pPr>
    </w:p>
    <w:p w:rsidR="009D4C01" w:rsidRDefault="009D4C01">
      <w:pPr>
        <w:jc w:val="both"/>
        <w:rPr>
          <w:rFonts w:ascii="Arial" w:hAnsi="Arial" w:cs="Arial"/>
          <w:b/>
        </w:rPr>
      </w:pPr>
    </w:p>
    <w:p w:rsidR="005D3499" w:rsidRDefault="00391522">
      <w:pPr>
        <w:jc w:val="both"/>
        <w:rPr>
          <w:rFonts w:ascii="Arial" w:hAnsi="Arial" w:cs="Arial"/>
        </w:rPr>
      </w:pPr>
      <w:r w:rsidRPr="000A7997">
        <w:rPr>
          <w:rFonts w:ascii="Arial" w:hAnsi="Arial" w:cs="Arial"/>
          <w:b/>
        </w:rPr>
        <w:lastRenderedPageBreak/>
        <w:t xml:space="preserve">The Board </w:t>
      </w:r>
      <w:r w:rsidR="00C32A3B">
        <w:rPr>
          <w:rFonts w:ascii="Arial" w:hAnsi="Arial" w:cs="Arial"/>
          <w:b/>
        </w:rPr>
        <w:t xml:space="preserve">of Directors </w:t>
      </w:r>
      <w:r w:rsidRPr="000A7997">
        <w:rPr>
          <w:rFonts w:ascii="Arial" w:hAnsi="Arial" w:cs="Arial"/>
          <w:b/>
        </w:rPr>
        <w:t xml:space="preserve">is requested to decide </w:t>
      </w:r>
      <w:r w:rsidR="000A7997">
        <w:rPr>
          <w:rFonts w:ascii="Arial" w:hAnsi="Arial" w:cs="Arial"/>
          <w:b/>
        </w:rPr>
        <w:t>what</w:t>
      </w:r>
      <w:r w:rsidRPr="000A7997">
        <w:rPr>
          <w:rFonts w:ascii="Arial" w:hAnsi="Arial" w:cs="Arial"/>
          <w:b/>
        </w:rPr>
        <w:t xml:space="preserve"> option should be </w:t>
      </w:r>
      <w:r w:rsidR="00C32A3B">
        <w:rPr>
          <w:rFonts w:ascii="Arial" w:hAnsi="Arial" w:cs="Arial"/>
          <w:b/>
        </w:rPr>
        <w:t>pursued for the 201</w:t>
      </w:r>
      <w:r w:rsidR="001C6AD2">
        <w:rPr>
          <w:rFonts w:ascii="Arial" w:hAnsi="Arial" w:cs="Arial"/>
          <w:b/>
        </w:rPr>
        <w:t>3</w:t>
      </w:r>
      <w:r w:rsidR="00C32A3B">
        <w:rPr>
          <w:rFonts w:ascii="Arial" w:hAnsi="Arial" w:cs="Arial"/>
          <w:b/>
        </w:rPr>
        <w:t xml:space="preserve"> CEA round</w:t>
      </w:r>
      <w:r w:rsidR="00B45786" w:rsidRPr="000A7997">
        <w:rPr>
          <w:rFonts w:ascii="Arial" w:hAnsi="Arial" w:cs="Arial"/>
          <w:b/>
        </w:rPr>
        <w:t>.</w:t>
      </w:r>
      <w:r w:rsidR="009D4C01">
        <w:rPr>
          <w:rFonts w:ascii="Arial" w:hAnsi="Arial" w:cs="Arial"/>
          <w:b/>
        </w:rPr>
        <w:t xml:space="preserve"> </w:t>
      </w:r>
      <w:r w:rsidR="004F578F">
        <w:rPr>
          <w:rFonts w:ascii="Arial" w:hAnsi="Arial" w:cs="Arial"/>
          <w:b/>
        </w:rPr>
        <w:t xml:space="preserve"> </w:t>
      </w:r>
      <w:r w:rsidR="004F578F">
        <w:rPr>
          <w:rFonts w:ascii="Arial" w:hAnsi="Arial" w:cs="Arial"/>
        </w:rPr>
        <w:t>I recommend Option 1.</w:t>
      </w:r>
    </w:p>
    <w:p w:rsidR="009D4C01" w:rsidRDefault="009D4C01">
      <w:pPr>
        <w:jc w:val="both"/>
        <w:rPr>
          <w:rFonts w:ascii="Arial" w:hAnsi="Arial" w:cs="Arial"/>
        </w:rPr>
      </w:pPr>
    </w:p>
    <w:p w:rsidR="009D4C01" w:rsidRPr="004F578F" w:rsidRDefault="009D4C01">
      <w:pPr>
        <w:jc w:val="both"/>
        <w:rPr>
          <w:rFonts w:ascii="Arial" w:hAnsi="Arial" w:cs="Arial"/>
        </w:rPr>
      </w:pPr>
    </w:p>
    <w:p w:rsidR="000A7997" w:rsidRPr="000A7997" w:rsidRDefault="000A7997" w:rsidP="0073522A">
      <w:pPr>
        <w:ind w:left="1440" w:hanging="1440"/>
        <w:jc w:val="both"/>
        <w:rPr>
          <w:rFonts w:ascii="Arial" w:hAnsi="Arial" w:cs="Arial"/>
        </w:rPr>
      </w:pPr>
    </w:p>
    <w:p w:rsidR="00F81E12" w:rsidRDefault="00F81E12" w:rsidP="0073522A">
      <w:pPr>
        <w:ind w:left="1440" w:hanging="1440"/>
        <w:jc w:val="both"/>
        <w:rPr>
          <w:rFonts w:ascii="Arial" w:hAnsi="Arial" w:cs="Arial"/>
          <w:b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A022F">
        <w:rPr>
          <w:rFonts w:ascii="Arial" w:hAnsi="Arial" w:cs="Arial"/>
        </w:rPr>
        <w:tab/>
        <w:t xml:space="preserve">Dr </w:t>
      </w:r>
      <w:r w:rsidR="00471008">
        <w:rPr>
          <w:rFonts w:ascii="Arial" w:hAnsi="Arial" w:cs="Arial"/>
        </w:rPr>
        <w:t>Clive Meux</w:t>
      </w:r>
      <w:r w:rsidR="002A022F">
        <w:rPr>
          <w:rFonts w:ascii="Arial" w:hAnsi="Arial" w:cs="Arial"/>
        </w:rPr>
        <w:t>, Medical Director</w:t>
      </w:r>
    </w:p>
    <w:p w:rsidR="002343D9" w:rsidRPr="00B40764" w:rsidRDefault="0073522A" w:rsidP="00D610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A022F">
        <w:rPr>
          <w:rFonts w:ascii="Arial" w:hAnsi="Arial" w:cs="Arial"/>
          <w:b/>
        </w:rPr>
        <w:t xml:space="preserve">Dr </w:t>
      </w:r>
      <w:r w:rsidR="00471008">
        <w:rPr>
          <w:rFonts w:ascii="Arial" w:hAnsi="Arial" w:cs="Arial"/>
          <w:b/>
        </w:rPr>
        <w:t>Clive Meux</w:t>
      </w:r>
      <w:r w:rsidR="002A022F">
        <w:rPr>
          <w:rFonts w:ascii="Arial" w:hAnsi="Arial" w:cs="Arial"/>
          <w:b/>
        </w:rPr>
        <w:t>, Medical Director</w:t>
      </w:r>
    </w:p>
    <w:sectPr w:rsidR="002343D9" w:rsidRPr="00B40764" w:rsidSect="00140AEA">
      <w:headerReference w:type="default" r:id="rId8"/>
      <w:footerReference w:type="default" r:id="rId9"/>
      <w:headerReference w:type="first" r:id="rId10"/>
      <w:pgSz w:w="12240" w:h="15840" w:code="1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1F" w:rsidRDefault="002D251F" w:rsidP="005B3E3C">
      <w:r>
        <w:separator/>
      </w:r>
    </w:p>
  </w:endnote>
  <w:endnote w:type="continuationSeparator" w:id="0">
    <w:p w:rsidR="002D251F" w:rsidRDefault="002D251F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1F" w:rsidRDefault="00D97177">
    <w:pPr>
      <w:pStyle w:val="Footer"/>
      <w:jc w:val="center"/>
    </w:pPr>
    <w:fldSimple w:instr=" PAGE   \* MERGEFORMAT ">
      <w:r w:rsidR="00C93E4D">
        <w:rPr>
          <w:noProof/>
        </w:rPr>
        <w:t>3</w:t>
      </w:r>
    </w:fldSimple>
  </w:p>
  <w:p w:rsidR="002D251F" w:rsidRDefault="002D251F" w:rsidP="009115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1F" w:rsidRDefault="002D251F" w:rsidP="005B3E3C">
      <w:r>
        <w:separator/>
      </w:r>
    </w:p>
  </w:footnote>
  <w:footnote w:type="continuationSeparator" w:id="0">
    <w:p w:rsidR="002D251F" w:rsidRDefault="002D251F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1F" w:rsidRPr="005B3E3C" w:rsidRDefault="002D251F" w:rsidP="009B4CBB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Confidential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1F" w:rsidRDefault="00C93E4D" w:rsidP="00140AEA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2552065" cy="501015"/>
          <wp:effectExtent l="19050" t="0" r="63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4F0"/>
    <w:multiLevelType w:val="hybridMultilevel"/>
    <w:tmpl w:val="0E226FEE"/>
    <w:lvl w:ilvl="0" w:tplc="97400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571A0"/>
    <w:multiLevelType w:val="hybridMultilevel"/>
    <w:tmpl w:val="22207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550A"/>
    <w:multiLevelType w:val="hybridMultilevel"/>
    <w:tmpl w:val="D0F0F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07C7"/>
    <w:multiLevelType w:val="hybridMultilevel"/>
    <w:tmpl w:val="2D2C3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139EC"/>
    <w:multiLevelType w:val="hybridMultilevel"/>
    <w:tmpl w:val="F8045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7E87"/>
    <w:multiLevelType w:val="hybridMultilevel"/>
    <w:tmpl w:val="E46CAE2E"/>
    <w:lvl w:ilvl="0" w:tplc="B532E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637A0B"/>
    <w:multiLevelType w:val="hybridMultilevel"/>
    <w:tmpl w:val="291A5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554AA2"/>
    <w:multiLevelType w:val="hybridMultilevel"/>
    <w:tmpl w:val="E8EE7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2274B"/>
    <w:rsid w:val="000752FF"/>
    <w:rsid w:val="00083944"/>
    <w:rsid w:val="000877F6"/>
    <w:rsid w:val="000A559D"/>
    <w:rsid w:val="000A7997"/>
    <w:rsid w:val="0013494B"/>
    <w:rsid w:val="00140AEA"/>
    <w:rsid w:val="001A151D"/>
    <w:rsid w:val="001C14C7"/>
    <w:rsid w:val="001C6AD2"/>
    <w:rsid w:val="001E29BF"/>
    <w:rsid w:val="001F071C"/>
    <w:rsid w:val="001F76ED"/>
    <w:rsid w:val="00217689"/>
    <w:rsid w:val="002343D9"/>
    <w:rsid w:val="00241E39"/>
    <w:rsid w:val="002619EF"/>
    <w:rsid w:val="002705B0"/>
    <w:rsid w:val="002728E0"/>
    <w:rsid w:val="0027395D"/>
    <w:rsid w:val="002821F8"/>
    <w:rsid w:val="002A022F"/>
    <w:rsid w:val="002A73E8"/>
    <w:rsid w:val="002C2F97"/>
    <w:rsid w:val="002D251F"/>
    <w:rsid w:val="003133C6"/>
    <w:rsid w:val="0033354F"/>
    <w:rsid w:val="003844E6"/>
    <w:rsid w:val="0038570A"/>
    <w:rsid w:val="00391522"/>
    <w:rsid w:val="003971F6"/>
    <w:rsid w:val="003A4744"/>
    <w:rsid w:val="003D2425"/>
    <w:rsid w:val="004326BB"/>
    <w:rsid w:val="00452C0C"/>
    <w:rsid w:val="004673FF"/>
    <w:rsid w:val="00471008"/>
    <w:rsid w:val="00471CF7"/>
    <w:rsid w:val="004818CB"/>
    <w:rsid w:val="004C2124"/>
    <w:rsid w:val="004F4BBA"/>
    <w:rsid w:val="004F578F"/>
    <w:rsid w:val="0052081E"/>
    <w:rsid w:val="005233AA"/>
    <w:rsid w:val="00551B0F"/>
    <w:rsid w:val="0058069F"/>
    <w:rsid w:val="005B3E3C"/>
    <w:rsid w:val="005C3FC1"/>
    <w:rsid w:val="005C69B1"/>
    <w:rsid w:val="005D3499"/>
    <w:rsid w:val="00616092"/>
    <w:rsid w:val="00642388"/>
    <w:rsid w:val="006F4119"/>
    <w:rsid w:val="006F5E9D"/>
    <w:rsid w:val="00710673"/>
    <w:rsid w:val="007207F5"/>
    <w:rsid w:val="007240C8"/>
    <w:rsid w:val="0073522A"/>
    <w:rsid w:val="00740378"/>
    <w:rsid w:val="007A3A8C"/>
    <w:rsid w:val="007A6235"/>
    <w:rsid w:val="007B17A3"/>
    <w:rsid w:val="007D5EC4"/>
    <w:rsid w:val="007F1EFE"/>
    <w:rsid w:val="007F61D3"/>
    <w:rsid w:val="008506FE"/>
    <w:rsid w:val="0086436B"/>
    <w:rsid w:val="00894B97"/>
    <w:rsid w:val="008A4C3D"/>
    <w:rsid w:val="008A702C"/>
    <w:rsid w:val="008B497B"/>
    <w:rsid w:val="008C7D2F"/>
    <w:rsid w:val="008D7E0E"/>
    <w:rsid w:val="009115BB"/>
    <w:rsid w:val="009A77D2"/>
    <w:rsid w:val="009B4CBB"/>
    <w:rsid w:val="009C49F4"/>
    <w:rsid w:val="009D0AAA"/>
    <w:rsid w:val="009D4C01"/>
    <w:rsid w:val="00A126FD"/>
    <w:rsid w:val="00A723AA"/>
    <w:rsid w:val="00AB64E5"/>
    <w:rsid w:val="00AC3814"/>
    <w:rsid w:val="00AC65E4"/>
    <w:rsid w:val="00AD36E5"/>
    <w:rsid w:val="00AF0562"/>
    <w:rsid w:val="00B20EBF"/>
    <w:rsid w:val="00B26E1A"/>
    <w:rsid w:val="00B35BD4"/>
    <w:rsid w:val="00B40764"/>
    <w:rsid w:val="00B45786"/>
    <w:rsid w:val="00B50D5E"/>
    <w:rsid w:val="00B92F64"/>
    <w:rsid w:val="00BB5643"/>
    <w:rsid w:val="00BB6A02"/>
    <w:rsid w:val="00BE3537"/>
    <w:rsid w:val="00BF5367"/>
    <w:rsid w:val="00C25ED1"/>
    <w:rsid w:val="00C32A3B"/>
    <w:rsid w:val="00C33E99"/>
    <w:rsid w:val="00C34159"/>
    <w:rsid w:val="00C57993"/>
    <w:rsid w:val="00C93E4D"/>
    <w:rsid w:val="00C970F1"/>
    <w:rsid w:val="00CC55AC"/>
    <w:rsid w:val="00D07064"/>
    <w:rsid w:val="00D30F4B"/>
    <w:rsid w:val="00D337DE"/>
    <w:rsid w:val="00D3456C"/>
    <w:rsid w:val="00D40A7B"/>
    <w:rsid w:val="00D4105C"/>
    <w:rsid w:val="00D50C85"/>
    <w:rsid w:val="00D55ADD"/>
    <w:rsid w:val="00D6107E"/>
    <w:rsid w:val="00D61B14"/>
    <w:rsid w:val="00D97177"/>
    <w:rsid w:val="00DA0FA6"/>
    <w:rsid w:val="00DA5827"/>
    <w:rsid w:val="00DC1752"/>
    <w:rsid w:val="00DD33DF"/>
    <w:rsid w:val="00DE1293"/>
    <w:rsid w:val="00E048AC"/>
    <w:rsid w:val="00E15075"/>
    <w:rsid w:val="00E2204D"/>
    <w:rsid w:val="00E41CC4"/>
    <w:rsid w:val="00E75E73"/>
    <w:rsid w:val="00E83694"/>
    <w:rsid w:val="00E90C8B"/>
    <w:rsid w:val="00EA3E87"/>
    <w:rsid w:val="00EC7A5B"/>
    <w:rsid w:val="00ED53E1"/>
    <w:rsid w:val="00F1556D"/>
    <w:rsid w:val="00F31B7E"/>
    <w:rsid w:val="00F8012B"/>
    <w:rsid w:val="00F81E12"/>
    <w:rsid w:val="00FD1120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D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7D2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7D2F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1A15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151D"/>
    <w:rPr>
      <w:lang w:val="en-US" w:eastAsia="en-US"/>
    </w:rPr>
  </w:style>
  <w:style w:type="character" w:styleId="FootnoteReference">
    <w:name w:val="footnote reference"/>
    <w:basedOn w:val="DefaultParagraphFont"/>
    <w:rsid w:val="001A15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4A0F-8B81-4FFD-BB98-A40D06B7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2012-06-07T08:15:00Z</cp:lastPrinted>
  <dcterms:created xsi:type="dcterms:W3CDTF">2013-09-18T09:15:00Z</dcterms:created>
  <dcterms:modified xsi:type="dcterms:W3CDTF">2013-09-18T09:15:00Z</dcterms:modified>
</cp:coreProperties>
</file>