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250FE"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5D3499">
      <w:pPr>
        <w:jc w:val="center"/>
        <w:rPr>
          <w:rFonts w:ascii="Frutiger" w:hAnsi="Frutiger"/>
        </w:rPr>
      </w:pPr>
      <w:r>
        <w:rPr>
          <w:noProof/>
          <w:sz w:val="20"/>
        </w:rPr>
        <w:pict>
          <v:rect id="_x0000_s1034" style="position:absolute;left:0;text-align:left;margin-left:324pt;margin-top:4.05pt;width:108pt;height:45pt;z-index:251657728">
            <v:textbox inset="0,0,0,0">
              <w:txbxContent>
                <w:p w:rsidR="007976E7" w:rsidRDefault="007976E7">
                  <w:pPr>
                    <w:pStyle w:val="Heading1"/>
                    <w:jc w:val="center"/>
                    <w:rPr>
                      <w:sz w:val="24"/>
                      <w:u w:val="none"/>
                    </w:rPr>
                  </w:pPr>
                  <w:r>
                    <w:rPr>
                      <w:sz w:val="24"/>
                      <w:u w:val="none"/>
                    </w:rPr>
                    <w:t>PAPER</w:t>
                  </w:r>
                </w:p>
                <w:p w:rsidR="007976E7" w:rsidRDefault="004250FE">
                  <w:pPr>
                    <w:pStyle w:val="BodyText"/>
                    <w:rPr>
                      <w:sz w:val="22"/>
                    </w:rPr>
                  </w:pPr>
                  <w:r>
                    <w:rPr>
                      <w:sz w:val="22"/>
                    </w:rPr>
                    <w:t>BOD 08/2013</w:t>
                  </w:r>
                </w:p>
                <w:p w:rsidR="007976E7" w:rsidRDefault="007976E7">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B7021">
      <w:pPr>
        <w:jc w:val="center"/>
        <w:rPr>
          <w:rFonts w:ascii="Arial" w:hAnsi="Arial" w:cs="Arial"/>
          <w:b/>
        </w:rPr>
      </w:pPr>
      <w:r>
        <w:rPr>
          <w:rFonts w:ascii="Arial" w:hAnsi="Arial" w:cs="Arial"/>
          <w:b/>
        </w:rPr>
        <w:t>29 January</w:t>
      </w:r>
      <w:r w:rsidR="004326BB">
        <w:rPr>
          <w:rFonts w:ascii="Arial" w:hAnsi="Arial" w:cs="Arial"/>
          <w:b/>
        </w:rPr>
        <w:t xml:space="preserve"> 20</w:t>
      </w:r>
      <w:r w:rsidR="00D07064">
        <w:rPr>
          <w:rFonts w:ascii="Arial" w:hAnsi="Arial" w:cs="Arial"/>
          <w:b/>
        </w:rPr>
        <w:t>1</w:t>
      </w:r>
      <w:r>
        <w:rPr>
          <w:rFonts w:ascii="Arial" w:hAnsi="Arial" w:cs="Arial"/>
          <w:b/>
        </w:rPr>
        <w:t>4</w:t>
      </w:r>
    </w:p>
    <w:p w:rsidR="005D3499" w:rsidRDefault="005D3499">
      <w:pPr>
        <w:jc w:val="center"/>
        <w:rPr>
          <w:rFonts w:ascii="Arial" w:hAnsi="Arial" w:cs="Arial"/>
          <w:b/>
        </w:rPr>
      </w:pPr>
    </w:p>
    <w:p w:rsidR="00AB7021" w:rsidRPr="00AB7021" w:rsidRDefault="00AB7021" w:rsidP="00AB7021">
      <w:pPr>
        <w:pStyle w:val="Heading1"/>
        <w:jc w:val="center"/>
        <w:rPr>
          <w:sz w:val="24"/>
          <w:szCs w:val="24"/>
          <w:u w:val="none"/>
        </w:rPr>
      </w:pPr>
      <w:r w:rsidRPr="00AB7021">
        <w:rPr>
          <w:sz w:val="24"/>
          <w:szCs w:val="24"/>
          <w:u w:val="none"/>
        </w:rPr>
        <w:t>Buckinghamshire Health and Wellbeing Campus</w:t>
      </w:r>
    </w:p>
    <w:p w:rsidR="00AB7021" w:rsidRPr="00AB7021" w:rsidRDefault="00AB7021" w:rsidP="00AB7021">
      <w:pPr>
        <w:pStyle w:val="Heading1"/>
        <w:jc w:val="center"/>
        <w:rPr>
          <w:sz w:val="24"/>
          <w:szCs w:val="24"/>
          <w:u w:val="none"/>
        </w:rPr>
      </w:pPr>
      <w:r w:rsidRPr="00AB7021">
        <w:rPr>
          <w:sz w:val="24"/>
          <w:szCs w:val="24"/>
          <w:u w:val="none"/>
        </w:rPr>
        <w:t>Whiteleaf Centre Update</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Information</w:t>
      </w:r>
      <w:r>
        <w:rPr>
          <w:rFonts w:ascii="Arial" w:hAnsi="Arial" w:cs="Arial"/>
        </w:rPr>
        <w:t xml:space="preserve"> </w:t>
      </w:r>
    </w:p>
    <w:p w:rsidR="00292613" w:rsidRDefault="00292613">
      <w:pPr>
        <w:rPr>
          <w:rFonts w:ascii="Arial" w:hAnsi="Arial" w:cs="Arial"/>
          <w:b/>
        </w:rPr>
      </w:pPr>
    </w:p>
    <w:p w:rsidR="005C3FC1" w:rsidRDefault="005C3FC1" w:rsidP="0073522A">
      <w:pPr>
        <w:jc w:val="both"/>
        <w:rPr>
          <w:rFonts w:ascii="Arial" w:hAnsi="Arial" w:cs="Arial"/>
          <w:b/>
        </w:rPr>
      </w:pPr>
    </w:p>
    <w:p w:rsidR="00BA3B3E" w:rsidRDefault="00BA3B3E" w:rsidP="0073522A">
      <w:pPr>
        <w:jc w:val="both"/>
        <w:rPr>
          <w:rFonts w:ascii="Arial" w:hAnsi="Arial" w:cs="Arial"/>
        </w:rPr>
      </w:pPr>
      <w:r>
        <w:rPr>
          <w:rFonts w:ascii="Arial" w:hAnsi="Arial" w:cs="Arial"/>
          <w:b/>
        </w:rPr>
        <w:t>Report</w:t>
      </w:r>
    </w:p>
    <w:p w:rsidR="00EB6EF2" w:rsidRPr="00AB7021" w:rsidRDefault="00EB6EF2" w:rsidP="00AE1E23">
      <w:pPr>
        <w:rPr>
          <w:rFonts w:ascii="Arial" w:hAnsi="Arial" w:cs="Arial"/>
        </w:rPr>
      </w:pPr>
      <w:r w:rsidRPr="00AB7021">
        <w:rPr>
          <w:rFonts w:ascii="Arial" w:hAnsi="Arial" w:cs="Arial"/>
        </w:rPr>
        <w:t xml:space="preserve">This report is to provide a high level update </w:t>
      </w:r>
      <w:r w:rsidR="00AE1E23">
        <w:rPr>
          <w:rFonts w:ascii="Arial" w:hAnsi="Arial" w:cs="Arial"/>
        </w:rPr>
        <w:t>to the Board of Directors on Whiteleaf Centre Project</w:t>
      </w:r>
      <w:r w:rsidRPr="00AB7021">
        <w:rPr>
          <w:rFonts w:ascii="Arial" w:hAnsi="Arial" w:cs="Arial"/>
        </w:rPr>
        <w:t xml:space="preserve">.   </w:t>
      </w: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EB6EF2" w:rsidRPr="00296478" w:rsidRDefault="00EB6EF2" w:rsidP="00EB6EF2">
      <w:pPr>
        <w:jc w:val="both"/>
        <w:rPr>
          <w:rFonts w:ascii="Segoe UI" w:hAnsi="Segoe UI" w:cs="Segoe UI"/>
          <w:sz w:val="22"/>
          <w:szCs w:val="22"/>
        </w:rPr>
      </w:pPr>
      <w:r w:rsidRPr="00EB6EF2">
        <w:rPr>
          <w:rFonts w:ascii="Arial" w:hAnsi="Arial" w:cs="Arial"/>
        </w:rPr>
        <w:t>Th</w:t>
      </w:r>
      <w:r w:rsidR="00AE1E23">
        <w:rPr>
          <w:rFonts w:ascii="Arial" w:hAnsi="Arial" w:cs="Arial"/>
        </w:rPr>
        <w:t>is updat</w:t>
      </w:r>
      <w:r w:rsidRPr="00EB6EF2">
        <w:rPr>
          <w:rFonts w:ascii="Arial" w:hAnsi="Arial" w:cs="Arial"/>
        </w:rPr>
        <w:t xml:space="preserve">e </w:t>
      </w:r>
      <w:r w:rsidR="00AE1E23">
        <w:rPr>
          <w:rFonts w:ascii="Arial" w:hAnsi="Arial" w:cs="Arial"/>
        </w:rPr>
        <w:t xml:space="preserve">is for </w:t>
      </w:r>
      <w:r w:rsidRPr="00EB6EF2">
        <w:rPr>
          <w:rFonts w:ascii="Arial" w:hAnsi="Arial" w:cs="Arial"/>
        </w:rPr>
        <w:t xml:space="preserve">information </w:t>
      </w:r>
      <w:r w:rsidR="00AE1E23">
        <w:rPr>
          <w:rFonts w:ascii="Arial" w:hAnsi="Arial" w:cs="Arial"/>
        </w:rPr>
        <w:t xml:space="preserve">only and </w:t>
      </w:r>
      <w:r w:rsidRPr="00EB6EF2">
        <w:rPr>
          <w:rFonts w:ascii="Arial" w:hAnsi="Arial" w:cs="Arial"/>
        </w:rPr>
        <w:t xml:space="preserve">the Board </w:t>
      </w:r>
      <w:r w:rsidR="00AE1E23">
        <w:rPr>
          <w:rFonts w:ascii="Arial" w:hAnsi="Arial" w:cs="Arial"/>
        </w:rPr>
        <w:t>is asked to note it</w:t>
      </w:r>
      <w:r w:rsidRPr="00EB6EF2">
        <w:rPr>
          <w:rFonts w:ascii="Arial" w:hAnsi="Arial" w:cs="Arial"/>
        </w:rPr>
        <w:t>.</w:t>
      </w:r>
    </w:p>
    <w:p w:rsidR="005D3499" w:rsidRDefault="005D3499">
      <w:pPr>
        <w:jc w:val="both"/>
        <w:rPr>
          <w:rFonts w:ascii="Arial" w:hAnsi="Arial" w:cs="Arial"/>
          <w:b/>
        </w:rPr>
      </w:pPr>
    </w:p>
    <w:p w:rsidR="00AE1E23" w:rsidRDefault="002619EF" w:rsidP="00AE1E23">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AE1E23">
        <w:rPr>
          <w:rFonts w:ascii="Arial" w:hAnsi="Arial" w:cs="Arial"/>
        </w:rPr>
        <w:t>Ian Brown/Chris Turner, PDir</w:t>
      </w:r>
    </w:p>
    <w:p w:rsidR="00AB7021" w:rsidRDefault="00AB7021" w:rsidP="00AB7021">
      <w:pPr>
        <w:ind w:left="3600" w:hanging="1440"/>
        <w:jc w:val="both"/>
        <w:rPr>
          <w:rFonts w:ascii="Arial" w:hAnsi="Arial" w:cs="Arial"/>
        </w:rPr>
      </w:pPr>
      <w:r w:rsidRPr="00AB7021">
        <w:rPr>
          <w:rFonts w:ascii="Arial" w:hAnsi="Arial" w:cs="Arial"/>
        </w:rPr>
        <w:t>Ros Alstead, Director of Nursing</w:t>
      </w:r>
      <w:r w:rsidR="00AE1E23">
        <w:rPr>
          <w:rFonts w:ascii="Arial" w:hAnsi="Arial" w:cs="Arial"/>
        </w:rPr>
        <w:t xml:space="preserve"> and Clinical Standards</w:t>
      </w:r>
    </w:p>
    <w:p w:rsidR="00AB7021" w:rsidRPr="00AB7021" w:rsidRDefault="00AB7021" w:rsidP="00AB7021">
      <w:pPr>
        <w:ind w:left="3600" w:hanging="1440"/>
        <w:jc w:val="both"/>
        <w:rPr>
          <w:rFonts w:ascii="Arial" w:hAnsi="Arial" w:cs="Arial"/>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B7021">
        <w:rPr>
          <w:rFonts w:ascii="Arial" w:hAnsi="Arial" w:cs="Arial"/>
          <w:b/>
        </w:rPr>
        <w:t>Ros Alstead</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EB6EF2" w:rsidRDefault="00EB6EF2" w:rsidP="00EB6EF2">
      <w:pPr>
        <w:jc w:val="both"/>
        <w:rPr>
          <w:rFonts w:ascii="Arial" w:hAnsi="Arial" w:cs="Arial"/>
          <w:i/>
          <w:sz w:val="20"/>
          <w:szCs w:val="20"/>
        </w:rPr>
      </w:pPr>
    </w:p>
    <w:p w:rsidR="00EB6EF2" w:rsidRDefault="00EB6EF2" w:rsidP="00EB6EF2">
      <w:pPr>
        <w:numPr>
          <w:ilvl w:val="0"/>
          <w:numId w:val="2"/>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p>
    <w:p w:rsidR="00EB6EF2" w:rsidRDefault="00EB6EF2" w:rsidP="00EB6EF2">
      <w:pPr>
        <w:numPr>
          <w:ilvl w:val="0"/>
          <w:numId w:val="4"/>
        </w:numPr>
        <w:jc w:val="both"/>
        <w:rPr>
          <w:rFonts w:ascii="Arial" w:hAnsi="Arial" w:cs="Arial"/>
          <w:i/>
          <w:sz w:val="20"/>
          <w:szCs w:val="20"/>
        </w:rPr>
      </w:pPr>
      <w:r>
        <w:rPr>
          <w:rFonts w:ascii="Arial" w:hAnsi="Arial" w:cs="Arial"/>
          <w:i/>
          <w:sz w:val="20"/>
          <w:szCs w:val="20"/>
        </w:rPr>
        <w:t>THIS PAPER MAY BE PUBLISHED UNDER FOI</w:t>
      </w:r>
    </w:p>
    <w:p w:rsidR="00EB6EF2" w:rsidRPr="0073522A" w:rsidRDefault="00EB6EF2" w:rsidP="00EB6EF2">
      <w:pPr>
        <w:jc w:val="both"/>
        <w:rPr>
          <w:rFonts w:ascii="Arial" w:hAnsi="Arial" w:cs="Arial"/>
          <w:i/>
          <w:sz w:val="20"/>
          <w:szCs w:val="20"/>
        </w:rPr>
      </w:pPr>
    </w:p>
    <w:p w:rsidR="005D3499" w:rsidRPr="00AF0562" w:rsidRDefault="004F4BBA">
      <w:pPr>
        <w:numPr>
          <w:ilvl w:val="0"/>
          <w:numId w:val="2"/>
        </w:numPr>
        <w:jc w:val="both"/>
        <w:rPr>
          <w:rFonts w:ascii="Arial" w:hAnsi="Arial" w:cs="Arial"/>
          <w:sz w:val="20"/>
          <w:szCs w:val="20"/>
        </w:rPr>
      </w:pPr>
      <w:r w:rsidRPr="0073522A">
        <w:rPr>
          <w:rFonts w:ascii="Arial" w:hAnsi="Arial" w:cs="Arial"/>
          <w:i/>
          <w:sz w:val="20"/>
          <w:szCs w:val="20"/>
        </w:rPr>
        <w:t>This paper provides assurance and evidence against the</w:t>
      </w:r>
      <w:r w:rsidR="00946E6E">
        <w:rPr>
          <w:rFonts w:ascii="Arial" w:hAnsi="Arial" w:cs="Arial"/>
          <w:i/>
          <w:sz w:val="20"/>
          <w:szCs w:val="20"/>
        </w:rPr>
        <w:t xml:space="preserve"> Care Quality Commission Outcome:</w:t>
      </w:r>
      <w:r w:rsidR="00AB7021">
        <w:rPr>
          <w:rFonts w:ascii="Arial" w:hAnsi="Arial" w:cs="Arial"/>
          <w:i/>
          <w:sz w:val="20"/>
          <w:szCs w:val="20"/>
        </w:rPr>
        <w:t>4 and 10</w:t>
      </w:r>
      <w:r w:rsidR="00946E6E">
        <w:rPr>
          <w:rFonts w:ascii="Arial" w:hAnsi="Arial" w:cs="Arial"/>
          <w:i/>
          <w:sz w:val="20"/>
          <w:szCs w:val="20"/>
        </w:rPr>
        <w:t xml:space="preserve"> </w:t>
      </w:r>
    </w:p>
    <w:p w:rsidR="00AF0562" w:rsidRDefault="00AF0562" w:rsidP="00AF0562">
      <w:pPr>
        <w:ind w:left="720"/>
        <w:jc w:val="both"/>
        <w:rPr>
          <w:rFonts w:ascii="Arial" w:hAnsi="Arial" w:cs="Arial"/>
          <w:sz w:val="20"/>
          <w:szCs w:val="20"/>
        </w:rPr>
      </w:pPr>
    </w:p>
    <w:p w:rsidR="00EB6EF2" w:rsidRDefault="00EB6EF2" w:rsidP="00AF0562">
      <w:pPr>
        <w:ind w:left="720"/>
        <w:jc w:val="both"/>
        <w:rPr>
          <w:rFonts w:ascii="Arial" w:hAnsi="Arial" w:cs="Arial"/>
          <w:sz w:val="20"/>
          <w:szCs w:val="20"/>
        </w:rPr>
      </w:pPr>
    </w:p>
    <w:p w:rsidR="00EB6EF2" w:rsidRDefault="00EB6EF2" w:rsidP="00AF0562">
      <w:pPr>
        <w:ind w:left="720"/>
        <w:jc w:val="both"/>
        <w:rPr>
          <w:rFonts w:ascii="Arial" w:hAnsi="Arial" w:cs="Arial"/>
          <w:sz w:val="20"/>
          <w:szCs w:val="20"/>
        </w:rPr>
      </w:pPr>
    </w:p>
    <w:p w:rsidR="00EB6EF2" w:rsidRDefault="00EB6EF2" w:rsidP="00AF0562">
      <w:pPr>
        <w:ind w:left="720"/>
        <w:jc w:val="both"/>
        <w:rPr>
          <w:rFonts w:ascii="Arial" w:hAnsi="Arial" w:cs="Arial"/>
          <w:sz w:val="20"/>
          <w:szCs w:val="20"/>
        </w:rPr>
      </w:pPr>
    </w:p>
    <w:p w:rsidR="00AB7021" w:rsidRDefault="00AB7021" w:rsidP="00AB7021">
      <w:pPr>
        <w:pStyle w:val="Heading1"/>
        <w:jc w:val="center"/>
        <w:rPr>
          <w:sz w:val="24"/>
          <w:szCs w:val="24"/>
        </w:rPr>
      </w:pPr>
    </w:p>
    <w:p w:rsidR="00AB7021" w:rsidRPr="00EB6EF2" w:rsidRDefault="00AB7021" w:rsidP="00AB7021">
      <w:pPr>
        <w:pStyle w:val="Heading1"/>
        <w:jc w:val="center"/>
        <w:rPr>
          <w:sz w:val="24"/>
          <w:szCs w:val="24"/>
          <w:u w:val="none"/>
        </w:rPr>
      </w:pPr>
      <w:r w:rsidRPr="00EB6EF2">
        <w:rPr>
          <w:sz w:val="24"/>
          <w:szCs w:val="24"/>
          <w:u w:val="none"/>
        </w:rPr>
        <w:t>Buckinghamshire Health and Wellbeing Campus</w:t>
      </w:r>
    </w:p>
    <w:p w:rsidR="00AB7021" w:rsidRPr="00EB6EF2" w:rsidRDefault="00AB7021" w:rsidP="00AB7021">
      <w:pPr>
        <w:pStyle w:val="Heading1"/>
        <w:jc w:val="center"/>
        <w:rPr>
          <w:sz w:val="24"/>
          <w:szCs w:val="24"/>
          <w:u w:val="none"/>
        </w:rPr>
      </w:pPr>
      <w:r w:rsidRPr="00EB6EF2">
        <w:rPr>
          <w:sz w:val="24"/>
          <w:szCs w:val="24"/>
          <w:u w:val="none"/>
        </w:rPr>
        <w:t>Whiteleaf Centre Update</w:t>
      </w:r>
    </w:p>
    <w:p w:rsidR="00AB7021" w:rsidRDefault="00AB7021" w:rsidP="00AB7021">
      <w:pPr>
        <w:jc w:val="center"/>
        <w:rPr>
          <w:rFonts w:ascii="Arial" w:hAnsi="Arial" w:cs="Arial"/>
          <w:sz w:val="22"/>
          <w:szCs w:val="22"/>
        </w:rPr>
      </w:pPr>
    </w:p>
    <w:p w:rsidR="00AB7021" w:rsidRPr="00D860B7" w:rsidRDefault="00AB7021" w:rsidP="00AB7021">
      <w:pPr>
        <w:jc w:val="center"/>
        <w:rPr>
          <w:rFonts w:ascii="Arial" w:hAnsi="Arial" w:cs="Arial"/>
          <w:sz w:val="22"/>
          <w:szCs w:val="22"/>
        </w:rPr>
      </w:pPr>
    </w:p>
    <w:p w:rsidR="00AB7021" w:rsidRPr="00AB7021" w:rsidRDefault="00AB7021" w:rsidP="00AB7021">
      <w:pPr>
        <w:pStyle w:val="Default"/>
        <w:numPr>
          <w:ilvl w:val="0"/>
          <w:numId w:val="3"/>
        </w:numPr>
        <w:spacing w:after="120"/>
        <w:rPr>
          <w:rFonts w:ascii="Arial" w:hAnsi="Arial" w:cs="Arial"/>
          <w:b/>
          <w:bCs/>
          <w:color w:val="auto"/>
        </w:rPr>
      </w:pPr>
      <w:r w:rsidRPr="00AB7021">
        <w:rPr>
          <w:rFonts w:ascii="Arial" w:hAnsi="Arial" w:cs="Arial"/>
          <w:b/>
          <w:bCs/>
          <w:color w:val="auto"/>
        </w:rPr>
        <w:t>Description</w:t>
      </w:r>
    </w:p>
    <w:p w:rsidR="00AB7021" w:rsidRPr="00AB7021" w:rsidRDefault="00AB7021" w:rsidP="00AB7021">
      <w:pPr>
        <w:pStyle w:val="CM62"/>
        <w:spacing w:after="240"/>
        <w:rPr>
          <w:rFonts w:ascii="Arial" w:hAnsi="Arial" w:cs="Arial"/>
        </w:rPr>
      </w:pPr>
      <w:r w:rsidRPr="00AB7021">
        <w:rPr>
          <w:rFonts w:ascii="Arial" w:hAnsi="Arial" w:cs="Arial"/>
        </w:rPr>
        <w:t xml:space="preserve">The Buckinghamshire Health and Wellbeing Campus development (re-named as the Whiteleaf Centre) in Aylesbury provides an integrated health and social care campus facility replacing  Adult, Older Adult mental health services currently based at the Tindal Centre and Cambridge House in Aylesbury, and the John Hampden Unit in Stoke Mandeville. </w:t>
      </w:r>
    </w:p>
    <w:p w:rsidR="00AB7021" w:rsidRPr="00AB7021" w:rsidRDefault="00AB7021" w:rsidP="00AB7021">
      <w:pPr>
        <w:pStyle w:val="CM62"/>
        <w:spacing w:after="240"/>
        <w:rPr>
          <w:rFonts w:ascii="Arial" w:hAnsi="Arial" w:cs="Arial"/>
        </w:rPr>
      </w:pPr>
      <w:r w:rsidRPr="00AB7021">
        <w:rPr>
          <w:rFonts w:ascii="Arial" w:hAnsi="Arial" w:cs="Arial"/>
        </w:rPr>
        <w:t xml:space="preserve">This includes the decommissioning of the associated properties for subsequent disposal by sale or lease termination. </w:t>
      </w:r>
    </w:p>
    <w:p w:rsidR="00AB7021" w:rsidRPr="00AB7021" w:rsidRDefault="00AB7021" w:rsidP="00AB7021">
      <w:pPr>
        <w:pStyle w:val="CM62"/>
        <w:numPr>
          <w:ilvl w:val="0"/>
          <w:numId w:val="3"/>
        </w:numPr>
        <w:spacing w:after="120"/>
        <w:rPr>
          <w:rFonts w:ascii="Arial" w:hAnsi="Arial" w:cs="Arial"/>
          <w:b/>
        </w:rPr>
      </w:pPr>
      <w:r w:rsidRPr="00AB7021">
        <w:rPr>
          <w:rFonts w:ascii="Arial" w:hAnsi="Arial" w:cs="Arial"/>
          <w:b/>
        </w:rPr>
        <w:t>Purpose of Report</w:t>
      </w:r>
    </w:p>
    <w:p w:rsidR="00AB7021" w:rsidRPr="00AB7021" w:rsidRDefault="00AB7021" w:rsidP="00AB7021">
      <w:pPr>
        <w:pStyle w:val="CM62"/>
        <w:spacing w:after="240"/>
        <w:rPr>
          <w:rFonts w:ascii="Arial" w:hAnsi="Arial" w:cs="Arial"/>
        </w:rPr>
      </w:pPr>
      <w:r w:rsidRPr="00AB7021">
        <w:rPr>
          <w:rFonts w:ascii="Arial" w:hAnsi="Arial" w:cs="Arial"/>
        </w:rPr>
        <w:t xml:space="preserve">This report is to provide a high level update on activity since the last report in August and in preparation for handover and commissioning the new services.   The new Campus will be the primary site in North Buckinghamshire for inpatient and community mental health services which have been remodelled to become integrated pathways. These will improve patients experience and outcomes of care. </w:t>
      </w:r>
    </w:p>
    <w:p w:rsidR="00AB7021" w:rsidRPr="00AB7021" w:rsidRDefault="00AB7021" w:rsidP="00AB7021">
      <w:pPr>
        <w:numPr>
          <w:ilvl w:val="0"/>
          <w:numId w:val="3"/>
        </w:numPr>
        <w:spacing w:after="120"/>
        <w:rPr>
          <w:rFonts w:ascii="Arial" w:hAnsi="Arial" w:cs="Arial"/>
          <w:b/>
        </w:rPr>
      </w:pPr>
      <w:r w:rsidRPr="00AB7021">
        <w:rPr>
          <w:rFonts w:ascii="Arial" w:hAnsi="Arial" w:cs="Arial"/>
          <w:b/>
        </w:rPr>
        <w:t>Site Progress</w:t>
      </w:r>
    </w:p>
    <w:p w:rsidR="00AB7021" w:rsidRPr="00AB7021" w:rsidRDefault="00AB7021" w:rsidP="00AB7021">
      <w:pPr>
        <w:pStyle w:val="CM62"/>
        <w:spacing w:after="240"/>
        <w:rPr>
          <w:rFonts w:ascii="Arial" w:hAnsi="Arial" w:cs="Arial"/>
        </w:rPr>
      </w:pPr>
      <w:r w:rsidRPr="00AB7021">
        <w:rPr>
          <w:rFonts w:ascii="Arial" w:hAnsi="Arial" w:cs="Arial"/>
        </w:rPr>
        <w:t>Handover from Kier was due on the 25</w:t>
      </w:r>
      <w:r w:rsidRPr="00AB7021">
        <w:rPr>
          <w:rFonts w:ascii="Arial" w:hAnsi="Arial" w:cs="Arial"/>
          <w:vertAlign w:val="superscript"/>
        </w:rPr>
        <w:t>th</w:t>
      </w:r>
      <w:r w:rsidRPr="00AB7021">
        <w:rPr>
          <w:rFonts w:ascii="Arial" w:hAnsi="Arial" w:cs="Arial"/>
        </w:rPr>
        <w:t xml:space="preserve">November, and despite the project being significantly advanced leading up to this date the number of ‘snags’ meant that Completion was not achieved before Christmas. </w:t>
      </w:r>
    </w:p>
    <w:p w:rsidR="00AB7021" w:rsidRPr="00AB7021" w:rsidRDefault="00AB7021" w:rsidP="00AB7021">
      <w:pPr>
        <w:pStyle w:val="CM62"/>
        <w:spacing w:after="240"/>
        <w:rPr>
          <w:rFonts w:ascii="Arial" w:hAnsi="Arial" w:cs="Arial"/>
        </w:rPr>
      </w:pPr>
      <w:r w:rsidRPr="00AB7021">
        <w:rPr>
          <w:rFonts w:ascii="Arial" w:hAnsi="Arial" w:cs="Arial"/>
        </w:rPr>
        <w:t>In the interviewing period, and following an escalation process with Kier the ‘snags’ have been reduced to a minimum. Longer ‘lead time’ items such as flooring and windows are scheduled to either be complete next week or be subject to a method statement and access agreement to allow subsequent correction.</w:t>
      </w:r>
    </w:p>
    <w:p w:rsidR="00AB7021" w:rsidRDefault="00AB7021" w:rsidP="00AB7021">
      <w:pPr>
        <w:pStyle w:val="CM62"/>
        <w:spacing w:after="240"/>
        <w:rPr>
          <w:rFonts w:ascii="Arial" w:hAnsi="Arial" w:cs="Arial"/>
        </w:rPr>
      </w:pPr>
      <w:r w:rsidRPr="00AB7021">
        <w:rPr>
          <w:rFonts w:ascii="Arial" w:hAnsi="Arial" w:cs="Arial"/>
        </w:rPr>
        <w:t>The building is of a high quality standard and handover and completion occurred by 17</w:t>
      </w:r>
      <w:r w:rsidRPr="00AB7021">
        <w:rPr>
          <w:rFonts w:ascii="Arial" w:hAnsi="Arial" w:cs="Arial"/>
          <w:vertAlign w:val="superscript"/>
        </w:rPr>
        <w:t>th</w:t>
      </w:r>
      <w:r w:rsidRPr="00AB7021">
        <w:rPr>
          <w:rFonts w:ascii="Arial" w:hAnsi="Arial" w:cs="Arial"/>
        </w:rPr>
        <w:t xml:space="preserve"> January 2014. Insurances and security arrangements have been amended to meet this date and with the exception of a few minor agreed items the building we receive will be defect free.</w:t>
      </w:r>
    </w:p>
    <w:p w:rsidR="00AB7021" w:rsidRPr="00AB7021" w:rsidRDefault="00AB7021" w:rsidP="00AB7021">
      <w:pPr>
        <w:numPr>
          <w:ilvl w:val="0"/>
          <w:numId w:val="3"/>
        </w:numPr>
        <w:spacing w:after="120"/>
        <w:rPr>
          <w:rFonts w:ascii="Arial" w:hAnsi="Arial" w:cs="Arial"/>
          <w:b/>
        </w:rPr>
      </w:pPr>
      <w:r w:rsidRPr="00AB7021">
        <w:rPr>
          <w:rFonts w:ascii="Arial" w:hAnsi="Arial" w:cs="Arial"/>
          <w:b/>
        </w:rPr>
        <w:t>Programme</w:t>
      </w:r>
    </w:p>
    <w:p w:rsidR="00AB7021" w:rsidRPr="00AB7021" w:rsidRDefault="00AB7021" w:rsidP="00AB7021">
      <w:pPr>
        <w:pStyle w:val="CM62"/>
        <w:spacing w:after="240"/>
        <w:rPr>
          <w:rFonts w:ascii="Arial" w:hAnsi="Arial" w:cs="Arial"/>
        </w:rPr>
      </w:pPr>
      <w:r w:rsidRPr="00AB7021">
        <w:rPr>
          <w:rFonts w:ascii="Arial" w:hAnsi="Arial" w:cs="Arial"/>
        </w:rPr>
        <w:t xml:space="preserve">The construction programme is complete. The commissioning programme is currently being reviewed and subject to Project Board approval, it is likely that commissioning and full service occupation should be complete by the end of March and patient moves will take place on a phased basis throughout March. The decommissioning programme has also commenced. </w:t>
      </w:r>
    </w:p>
    <w:p w:rsidR="00AB7021" w:rsidRPr="00AB7021" w:rsidRDefault="00AB7021" w:rsidP="00AB7021">
      <w:pPr>
        <w:numPr>
          <w:ilvl w:val="0"/>
          <w:numId w:val="3"/>
        </w:numPr>
        <w:spacing w:after="120"/>
        <w:rPr>
          <w:rFonts w:ascii="Arial" w:hAnsi="Arial" w:cs="Arial"/>
          <w:b/>
        </w:rPr>
      </w:pPr>
      <w:r w:rsidRPr="00AB7021">
        <w:rPr>
          <w:rFonts w:ascii="Arial" w:hAnsi="Arial" w:cs="Arial"/>
          <w:b/>
        </w:rPr>
        <w:lastRenderedPageBreak/>
        <w:t>Financial Review</w:t>
      </w:r>
    </w:p>
    <w:p w:rsidR="00AB7021" w:rsidRPr="00AB7021" w:rsidRDefault="00AB7021" w:rsidP="00AB7021">
      <w:pPr>
        <w:spacing w:after="240"/>
        <w:rPr>
          <w:rFonts w:ascii="Arial" w:hAnsi="Arial" w:cs="Arial"/>
          <w:highlight w:val="yellow"/>
        </w:rPr>
      </w:pPr>
      <w:r w:rsidRPr="00AB7021">
        <w:rPr>
          <w:rFonts w:ascii="Arial" w:hAnsi="Arial" w:cs="Arial"/>
        </w:rPr>
        <w:t xml:space="preserve">Project finances remain good and savings generated as a result of productive and efficient ways of working remain stable at </w:t>
      </w:r>
      <w:r w:rsidRPr="00AB7021">
        <w:rPr>
          <w:rFonts w:ascii="Arial" w:hAnsi="Arial" w:cs="Arial"/>
          <w:b/>
        </w:rPr>
        <w:t>£437K</w:t>
      </w:r>
      <w:r w:rsidRPr="00AB7021">
        <w:rPr>
          <w:rFonts w:ascii="Arial" w:hAnsi="Arial" w:cs="Arial"/>
        </w:rPr>
        <w:t xml:space="preserve">. Following Project Board a final review of the construction risk register is likely to result in further savings against the project.  </w:t>
      </w:r>
    </w:p>
    <w:p w:rsidR="00AB7021" w:rsidRPr="00AB7021" w:rsidRDefault="00AB7021" w:rsidP="00AB7021">
      <w:pPr>
        <w:numPr>
          <w:ilvl w:val="0"/>
          <w:numId w:val="3"/>
        </w:numPr>
        <w:spacing w:after="120"/>
        <w:rPr>
          <w:rFonts w:ascii="Arial" w:hAnsi="Arial" w:cs="Arial"/>
          <w:b/>
        </w:rPr>
      </w:pPr>
      <w:r w:rsidRPr="00AB7021">
        <w:rPr>
          <w:rFonts w:ascii="Arial" w:hAnsi="Arial" w:cs="Arial"/>
          <w:b/>
        </w:rPr>
        <w:t>Planning Permission &amp; Associated S106 Agreement for Surplus Land and Alternative Accommodation</w:t>
      </w:r>
    </w:p>
    <w:p w:rsidR="00AB7021" w:rsidRPr="00AB7021" w:rsidRDefault="00AB7021" w:rsidP="00AB7021">
      <w:pPr>
        <w:spacing w:after="240"/>
        <w:rPr>
          <w:rFonts w:ascii="Arial" w:hAnsi="Arial" w:cs="Arial"/>
        </w:rPr>
      </w:pPr>
      <w:r w:rsidRPr="00AB7021">
        <w:rPr>
          <w:rFonts w:ascii="Arial" w:hAnsi="Arial" w:cs="Arial"/>
        </w:rPr>
        <w:t>Following discussions at previous FIC meetings a paper was presented to the Board on the 27th November 2013 and these issues are now under the management of the Director of Estates and Facilities.</w:t>
      </w:r>
    </w:p>
    <w:p w:rsidR="00AB7021" w:rsidRPr="00AB7021" w:rsidRDefault="00AB7021" w:rsidP="00AB7021">
      <w:pPr>
        <w:numPr>
          <w:ilvl w:val="0"/>
          <w:numId w:val="3"/>
        </w:numPr>
        <w:spacing w:after="120"/>
        <w:rPr>
          <w:rFonts w:ascii="Arial" w:hAnsi="Arial" w:cs="Arial"/>
          <w:b/>
        </w:rPr>
      </w:pPr>
      <w:r w:rsidRPr="00AB7021">
        <w:rPr>
          <w:rFonts w:ascii="Arial" w:hAnsi="Arial" w:cs="Arial"/>
          <w:b/>
        </w:rPr>
        <w:t>Gateway Review</w:t>
      </w:r>
    </w:p>
    <w:p w:rsidR="00AB7021" w:rsidRPr="00AB7021" w:rsidRDefault="00AB7021" w:rsidP="00AB7021">
      <w:pPr>
        <w:spacing w:after="120"/>
        <w:rPr>
          <w:rFonts w:ascii="Arial" w:hAnsi="Arial" w:cs="Arial"/>
          <w:b/>
        </w:rPr>
      </w:pPr>
      <w:r w:rsidRPr="00AB7021">
        <w:rPr>
          <w:rFonts w:ascii="Arial" w:hAnsi="Arial" w:cs="Arial"/>
        </w:rPr>
        <w:t>The project received an excellent GREEN rating on the DH Gateway Review carried out in December 2013 and is subject to a separate report to FIC. This is a good outcome; the report is enclosed in Appendix 1. Recommendations will be implemented and reviewed by Programme Board.</w:t>
      </w:r>
    </w:p>
    <w:p w:rsidR="00AB7021" w:rsidRPr="00AB7021" w:rsidRDefault="00AB7021" w:rsidP="00AB7021">
      <w:pPr>
        <w:spacing w:after="120"/>
        <w:rPr>
          <w:rFonts w:ascii="Arial" w:hAnsi="Arial" w:cs="Arial"/>
          <w:b/>
        </w:rPr>
      </w:pPr>
    </w:p>
    <w:p w:rsidR="00AB7021" w:rsidRPr="00AB7021" w:rsidRDefault="00AB7021" w:rsidP="00AB7021">
      <w:pPr>
        <w:numPr>
          <w:ilvl w:val="0"/>
          <w:numId w:val="3"/>
        </w:numPr>
        <w:spacing w:after="120"/>
        <w:rPr>
          <w:rFonts w:ascii="Arial" w:hAnsi="Arial" w:cs="Arial"/>
          <w:b/>
        </w:rPr>
      </w:pPr>
      <w:r w:rsidRPr="00AB7021">
        <w:rPr>
          <w:rFonts w:ascii="Arial" w:hAnsi="Arial" w:cs="Arial"/>
          <w:b/>
        </w:rPr>
        <w:t xml:space="preserve">Conclusion </w:t>
      </w:r>
    </w:p>
    <w:p w:rsidR="00AB7021" w:rsidRPr="00AB7021" w:rsidRDefault="00AB7021" w:rsidP="00AB7021">
      <w:pPr>
        <w:spacing w:after="240"/>
        <w:rPr>
          <w:rFonts w:ascii="Arial" w:hAnsi="Arial" w:cs="Arial"/>
        </w:rPr>
      </w:pPr>
      <w:r w:rsidRPr="00AB7021">
        <w:rPr>
          <w:rFonts w:ascii="Arial" w:hAnsi="Arial" w:cs="Arial"/>
        </w:rPr>
        <w:t>The programme had built in some flexibility over the commissioning and move in period.  Now handover has been achieved, a final programme will be approved by the Programme Board to achieve move in and occupation of the Whiteleaf Centre before the end of March 2014.</w:t>
      </w:r>
    </w:p>
    <w:p w:rsidR="00AB7021" w:rsidRPr="00AB7021" w:rsidRDefault="00AB7021" w:rsidP="00AB7021">
      <w:pPr>
        <w:ind w:left="720"/>
        <w:jc w:val="both"/>
        <w:rPr>
          <w:rFonts w:ascii="Arial" w:hAnsi="Arial" w:cs="Arial"/>
        </w:rPr>
      </w:pPr>
    </w:p>
    <w:sectPr w:rsidR="00AB7021" w:rsidRPr="00AB7021">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9F" w:rsidRDefault="006C4D9F" w:rsidP="005B3E3C">
      <w:r>
        <w:separator/>
      </w:r>
    </w:p>
  </w:endnote>
  <w:endnote w:type="continuationSeparator" w:id="0">
    <w:p w:rsidR="006C4D9F" w:rsidRDefault="006C4D9F"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utiger">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9F" w:rsidRDefault="006C4D9F" w:rsidP="005B3E3C">
      <w:r>
        <w:separator/>
      </w:r>
    </w:p>
  </w:footnote>
  <w:footnote w:type="continuationSeparator" w:id="0">
    <w:p w:rsidR="006C4D9F" w:rsidRDefault="006C4D9F"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E7" w:rsidRPr="005B3E3C" w:rsidRDefault="007976E7"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F836551"/>
    <w:multiLevelType w:val="hybridMultilevel"/>
    <w:tmpl w:val="621EB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2A73E8"/>
    <w:rsid w:val="001F76ED"/>
    <w:rsid w:val="00227FCE"/>
    <w:rsid w:val="002619EF"/>
    <w:rsid w:val="002821F8"/>
    <w:rsid w:val="00292613"/>
    <w:rsid w:val="002A73E8"/>
    <w:rsid w:val="002C2F97"/>
    <w:rsid w:val="002D71EA"/>
    <w:rsid w:val="002E6FC6"/>
    <w:rsid w:val="00306C20"/>
    <w:rsid w:val="003971F6"/>
    <w:rsid w:val="004250FE"/>
    <w:rsid w:val="004326BB"/>
    <w:rsid w:val="004F4BBA"/>
    <w:rsid w:val="005233AA"/>
    <w:rsid w:val="00551B0F"/>
    <w:rsid w:val="005659FB"/>
    <w:rsid w:val="005B3E3C"/>
    <w:rsid w:val="005C3FC1"/>
    <w:rsid w:val="005D3499"/>
    <w:rsid w:val="005E2583"/>
    <w:rsid w:val="0061684E"/>
    <w:rsid w:val="006C4D9F"/>
    <w:rsid w:val="0073522A"/>
    <w:rsid w:val="007769CD"/>
    <w:rsid w:val="0078032B"/>
    <w:rsid w:val="007976E7"/>
    <w:rsid w:val="008038A2"/>
    <w:rsid w:val="00811FE8"/>
    <w:rsid w:val="00830C1A"/>
    <w:rsid w:val="0086436B"/>
    <w:rsid w:val="00894B97"/>
    <w:rsid w:val="00946E6E"/>
    <w:rsid w:val="00A85311"/>
    <w:rsid w:val="00AB7021"/>
    <w:rsid w:val="00AC3814"/>
    <w:rsid w:val="00AE1E23"/>
    <w:rsid w:val="00AF0562"/>
    <w:rsid w:val="00B26E1A"/>
    <w:rsid w:val="00B50D5E"/>
    <w:rsid w:val="00BA3B3E"/>
    <w:rsid w:val="00BF5367"/>
    <w:rsid w:val="00C07817"/>
    <w:rsid w:val="00C11AA2"/>
    <w:rsid w:val="00C84960"/>
    <w:rsid w:val="00D07064"/>
    <w:rsid w:val="00D279FC"/>
    <w:rsid w:val="00D55ADD"/>
    <w:rsid w:val="00D8544F"/>
    <w:rsid w:val="00DA0FA6"/>
    <w:rsid w:val="00DD33DF"/>
    <w:rsid w:val="00DE1293"/>
    <w:rsid w:val="00E827C5"/>
    <w:rsid w:val="00EB6EF2"/>
    <w:rsid w:val="00F57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link w:val="Footer"/>
    <w:rsid w:val="005B3E3C"/>
    <w:rPr>
      <w:sz w:val="24"/>
      <w:szCs w:val="24"/>
      <w:lang w:val="en-US" w:eastAsia="en-US"/>
    </w:rPr>
  </w:style>
  <w:style w:type="paragraph" w:customStyle="1" w:styleId="Default">
    <w:name w:val="Default"/>
    <w:basedOn w:val="Normal"/>
    <w:uiPriority w:val="99"/>
    <w:rsid w:val="00AB7021"/>
    <w:pPr>
      <w:autoSpaceDE w:val="0"/>
      <w:autoSpaceDN w:val="0"/>
    </w:pPr>
    <w:rPr>
      <w:rFonts w:ascii="Myriad Pro" w:eastAsia="Calibri" w:hAnsi="Myriad Pro"/>
      <w:color w:val="000000"/>
      <w:lang w:val="en-GB" w:eastAsia="en-GB"/>
    </w:rPr>
  </w:style>
  <w:style w:type="paragraph" w:customStyle="1" w:styleId="CM62">
    <w:name w:val="CM62"/>
    <w:basedOn w:val="Normal"/>
    <w:uiPriority w:val="99"/>
    <w:rsid w:val="00AB7021"/>
    <w:pPr>
      <w:autoSpaceDE w:val="0"/>
      <w:autoSpaceDN w:val="0"/>
      <w:spacing w:after="180"/>
    </w:pPr>
    <w:rPr>
      <w:rFonts w:ascii="Myriad Pro" w:eastAsia="Calibri" w:hAnsi="Myriad Pro"/>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2014-01-22T13:37:00Z</dcterms:created>
  <dcterms:modified xsi:type="dcterms:W3CDTF">2014-01-22T13:37:00Z</dcterms:modified>
</cp:coreProperties>
</file>