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7B6D77" w:rsidP="0086436B">
      <w:pPr>
        <w:ind w:right="-900"/>
        <w:jc w:val="right"/>
        <w:rPr>
          <w:lang w:val="en-GB"/>
        </w:rPr>
      </w:pPr>
      <w:bookmarkStart w:id="0" w:name="_GoBack"/>
      <w:bookmarkEnd w:id="0"/>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043DBD">
      <w:pPr>
        <w:jc w:val="center"/>
        <w:rPr>
          <w:rFonts w:ascii="Frutiger" w:hAnsi="Frutiger"/>
        </w:rPr>
      </w:pPr>
      <w:r w:rsidRPr="00043DBD">
        <w:rPr>
          <w:noProof/>
          <w:sz w:val="20"/>
          <w:lang w:val="en-GB" w:eastAsia="en-GB"/>
        </w:rPr>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781566">
                  <w:pPr>
                    <w:pStyle w:val="Heading1"/>
                    <w:jc w:val="center"/>
                    <w:rPr>
                      <w:sz w:val="24"/>
                      <w:u w:val="none"/>
                    </w:rPr>
                  </w:pPr>
                  <w:r>
                    <w:rPr>
                      <w:sz w:val="24"/>
                      <w:u w:val="none"/>
                    </w:rPr>
                    <w:t>PAPER</w:t>
                  </w:r>
                </w:p>
                <w:p w:rsidR="00781566" w:rsidRDefault="00624058">
                  <w:pPr>
                    <w:pStyle w:val="BodyText"/>
                    <w:rPr>
                      <w:sz w:val="22"/>
                    </w:rPr>
                  </w:pPr>
                  <w:r>
                    <w:rPr>
                      <w:sz w:val="22"/>
                    </w:rPr>
                    <w:t>BOD 10/2014</w:t>
                  </w:r>
                </w:p>
                <w:p w:rsidR="00781566" w:rsidRDefault="00781566">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892E8E">
      <w:pPr>
        <w:jc w:val="center"/>
        <w:rPr>
          <w:rFonts w:ascii="Arial" w:hAnsi="Arial" w:cs="Arial"/>
          <w:b/>
        </w:rPr>
      </w:pPr>
      <w:r>
        <w:rPr>
          <w:rFonts w:ascii="Arial" w:hAnsi="Arial" w:cs="Arial"/>
          <w:b/>
        </w:rPr>
        <w:t>29 January</w:t>
      </w:r>
      <w:r w:rsidR="004326BB">
        <w:rPr>
          <w:rFonts w:ascii="Arial" w:hAnsi="Arial" w:cs="Arial"/>
          <w:b/>
        </w:rPr>
        <w:t xml:space="preserve"> 20</w:t>
      </w:r>
      <w:r w:rsidR="00D07064">
        <w:rPr>
          <w:rFonts w:ascii="Arial" w:hAnsi="Arial" w:cs="Arial"/>
          <w:b/>
        </w:rPr>
        <w:t>1</w:t>
      </w:r>
      <w:r w:rsidR="007B6D77">
        <w:rPr>
          <w:rFonts w:ascii="Arial" w:hAnsi="Arial" w:cs="Arial"/>
          <w:b/>
        </w:rPr>
        <w:t>4</w:t>
      </w:r>
    </w:p>
    <w:p w:rsidR="005D3499" w:rsidRDefault="005D3499">
      <w:pPr>
        <w:jc w:val="center"/>
        <w:rPr>
          <w:rFonts w:ascii="Arial" w:hAnsi="Arial" w:cs="Arial"/>
          <w:b/>
        </w:rPr>
      </w:pPr>
    </w:p>
    <w:p w:rsidR="00C26DB6" w:rsidRDefault="00C26DB6" w:rsidP="00C26DB6">
      <w:pPr>
        <w:jc w:val="center"/>
        <w:rPr>
          <w:rFonts w:ascii="Arial" w:hAnsi="Arial" w:cs="Arial"/>
          <w:b/>
        </w:rPr>
      </w:pPr>
      <w:r>
        <w:rPr>
          <w:rFonts w:ascii="Arial" w:hAnsi="Arial" w:cs="Arial"/>
          <w:b/>
        </w:rPr>
        <w:t>Annual Plan 2013/14 Quarter 3</w:t>
      </w:r>
      <w:r w:rsidRPr="00112604">
        <w:rPr>
          <w:rFonts w:ascii="Arial" w:hAnsi="Arial" w:cs="Arial"/>
          <w:b/>
        </w:rPr>
        <w:t xml:space="preserve"> </w:t>
      </w:r>
      <w:r>
        <w:rPr>
          <w:rFonts w:ascii="Arial" w:hAnsi="Arial" w:cs="Arial"/>
          <w:b/>
        </w:rPr>
        <w:t>R</w:t>
      </w:r>
      <w:r w:rsidRPr="00112604">
        <w:rPr>
          <w:rFonts w:ascii="Arial" w:hAnsi="Arial" w:cs="Arial"/>
          <w:b/>
        </w:rPr>
        <w:t>eport</w:t>
      </w: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w:t>
      </w:r>
      <w:r w:rsidR="003C4C5A">
        <w:rPr>
          <w:rFonts w:ascii="Arial" w:hAnsi="Arial" w:cs="Arial"/>
          <w:b/>
          <w:u w:val="single"/>
        </w:rPr>
        <w:t>Information</w:t>
      </w:r>
    </w:p>
    <w:p w:rsidR="00292613" w:rsidRDefault="00292613">
      <w:pPr>
        <w:rPr>
          <w:rFonts w:ascii="Arial" w:hAnsi="Arial" w:cs="Arial"/>
          <w:b/>
        </w:rPr>
      </w:pPr>
    </w:p>
    <w:p w:rsidR="00C26DB6" w:rsidRDefault="00C26DB6">
      <w:pPr>
        <w:jc w:val="both"/>
        <w:rPr>
          <w:rFonts w:ascii="Arial" w:hAnsi="Arial" w:cs="Arial"/>
        </w:rPr>
      </w:pPr>
      <w:r w:rsidRPr="00C26DB6">
        <w:rPr>
          <w:rFonts w:ascii="Arial" w:hAnsi="Arial" w:cs="Arial"/>
        </w:rPr>
        <w:t xml:space="preserve">The Board of Directors receives a quarterly report summarising the progress of the Trust’s Annual Plan. This report is for Quarter 3 2013/14 (October – December 2013). </w:t>
      </w:r>
    </w:p>
    <w:p w:rsidR="00C26DB6" w:rsidRDefault="00C26DB6">
      <w:pPr>
        <w:jc w:val="both"/>
        <w:rPr>
          <w:rFonts w:ascii="Arial" w:hAnsi="Arial" w:cs="Arial"/>
        </w:rPr>
      </w:pPr>
    </w:p>
    <w:p w:rsidR="005D3499" w:rsidRDefault="00C26DB6" w:rsidP="00C26DB6">
      <w:pPr>
        <w:jc w:val="both"/>
        <w:rPr>
          <w:rFonts w:ascii="Arial" w:hAnsi="Arial" w:cs="Arial"/>
        </w:rPr>
      </w:pPr>
      <w:r>
        <w:rPr>
          <w:rFonts w:ascii="Arial" w:hAnsi="Arial" w:cs="Arial"/>
        </w:rPr>
        <w:t>Th</w:t>
      </w:r>
      <w:r w:rsidR="0077631B">
        <w:rPr>
          <w:rFonts w:ascii="Arial" w:hAnsi="Arial" w:cs="Arial"/>
        </w:rPr>
        <w:t>e content of this report has been approved by Executive Leads</w:t>
      </w:r>
      <w:r w:rsidR="00A34E51">
        <w:rPr>
          <w:rFonts w:ascii="Arial" w:hAnsi="Arial" w:cs="Arial"/>
        </w:rPr>
        <w:t xml:space="preserve"> and approved by the Director of Finance.</w:t>
      </w:r>
    </w:p>
    <w:p w:rsidR="005C3FC1" w:rsidRDefault="005C3FC1" w:rsidP="0073522A">
      <w:pPr>
        <w:jc w:val="both"/>
        <w:rPr>
          <w:rFonts w:ascii="Arial" w:hAnsi="Arial" w:cs="Arial"/>
          <w:b/>
        </w:rPr>
      </w:pPr>
    </w:p>
    <w:p w:rsidR="00BA3B3E" w:rsidRDefault="00BA3B3E" w:rsidP="0073522A">
      <w:pPr>
        <w:jc w:val="both"/>
        <w:rPr>
          <w:rFonts w:ascii="Arial" w:hAnsi="Arial" w:cs="Arial"/>
          <w:b/>
        </w:rPr>
      </w:pPr>
      <w:r>
        <w:rPr>
          <w:rFonts w:ascii="Arial" w:hAnsi="Arial" w:cs="Arial"/>
          <w:b/>
        </w:rPr>
        <w:t>Report</w:t>
      </w:r>
    </w:p>
    <w:p w:rsidR="00C26DB6" w:rsidRDefault="00C26DB6" w:rsidP="0073522A">
      <w:pPr>
        <w:jc w:val="both"/>
        <w:rPr>
          <w:rFonts w:ascii="Arial" w:hAnsi="Arial" w:cs="Arial"/>
          <w:b/>
        </w:rPr>
      </w:pPr>
    </w:p>
    <w:p w:rsidR="00C26DB6" w:rsidRDefault="00A34E51" w:rsidP="0073522A">
      <w:pPr>
        <w:jc w:val="both"/>
        <w:rPr>
          <w:rFonts w:ascii="Arial" w:hAnsi="Arial" w:cs="Arial"/>
        </w:rPr>
      </w:pPr>
      <w:r>
        <w:rPr>
          <w:rFonts w:ascii="Arial" w:hAnsi="Arial" w:cs="Arial"/>
        </w:rPr>
        <w:t xml:space="preserve">Following feedback and comments on previous quarterly reports we </w:t>
      </w:r>
      <w:r w:rsidR="00C26DB6" w:rsidRPr="00C26DB6">
        <w:rPr>
          <w:rFonts w:ascii="Arial" w:hAnsi="Arial" w:cs="Arial"/>
        </w:rPr>
        <w:t>have developed this as a paperless report</w:t>
      </w:r>
      <w:r w:rsidR="0077631B">
        <w:rPr>
          <w:rFonts w:ascii="Arial" w:hAnsi="Arial" w:cs="Arial"/>
        </w:rPr>
        <w:t xml:space="preserve"> but it </w:t>
      </w:r>
      <w:r w:rsidR="00C26DB6" w:rsidRPr="00C26DB6">
        <w:rPr>
          <w:rFonts w:ascii="Arial" w:hAnsi="Arial" w:cs="Arial"/>
        </w:rPr>
        <w:t>may not be compatible with iPads.</w:t>
      </w:r>
      <w:r w:rsidR="0077631B">
        <w:rPr>
          <w:rFonts w:ascii="Arial" w:hAnsi="Arial" w:cs="Arial"/>
        </w:rPr>
        <w:t xml:space="preserve">  A printable pdf version of the report is </w:t>
      </w:r>
      <w:r>
        <w:rPr>
          <w:rFonts w:ascii="Arial" w:hAnsi="Arial" w:cs="Arial"/>
        </w:rPr>
        <w:t xml:space="preserve">also </w:t>
      </w:r>
      <w:r w:rsidR="0077631B">
        <w:rPr>
          <w:rFonts w:ascii="Arial" w:hAnsi="Arial" w:cs="Arial"/>
        </w:rPr>
        <w:t>available.</w:t>
      </w:r>
    </w:p>
    <w:p w:rsidR="00C26DB6" w:rsidRDefault="00C26DB6" w:rsidP="0073522A">
      <w:pPr>
        <w:jc w:val="both"/>
        <w:rPr>
          <w:rFonts w:ascii="Arial" w:hAnsi="Arial" w:cs="Arial"/>
        </w:rPr>
      </w:pPr>
    </w:p>
    <w:p w:rsidR="00C26DB6" w:rsidRDefault="003C4C5A" w:rsidP="0073522A">
      <w:pPr>
        <w:jc w:val="both"/>
        <w:rPr>
          <w:rFonts w:ascii="Arial" w:hAnsi="Arial" w:cs="Arial"/>
        </w:rPr>
      </w:pPr>
      <w:r>
        <w:rPr>
          <w:rFonts w:ascii="Arial" w:hAnsi="Arial" w:cs="Arial"/>
        </w:rPr>
        <w:t>Updates have been received from project leads for Quarter 3 for all of the projects in the Trust annual plan. These are organized according to the strategic drivers and enablers.</w:t>
      </w:r>
    </w:p>
    <w:p w:rsidR="003C4C5A" w:rsidRDefault="003C4C5A" w:rsidP="0073522A">
      <w:pPr>
        <w:jc w:val="both"/>
        <w:rPr>
          <w:rFonts w:ascii="Arial" w:hAnsi="Arial" w:cs="Arial"/>
        </w:rPr>
      </w:pPr>
    </w:p>
    <w:p w:rsidR="003C4C5A" w:rsidRDefault="003C4C5A" w:rsidP="0073522A">
      <w:pPr>
        <w:jc w:val="both"/>
        <w:rPr>
          <w:rFonts w:ascii="Arial" w:hAnsi="Arial" w:cs="Arial"/>
        </w:rPr>
      </w:pPr>
      <w:r>
        <w:rPr>
          <w:rFonts w:ascii="Arial" w:hAnsi="Arial" w:cs="Arial"/>
        </w:rPr>
        <w:t>The commentary in the report outlines key achievements for Quarter 3 for each project. If there are any risks, changes or concerns associated with any of the milestones, this has been indicated.</w:t>
      </w:r>
      <w:r w:rsidR="00A76416">
        <w:rPr>
          <w:rFonts w:ascii="Arial" w:hAnsi="Arial" w:cs="Arial"/>
        </w:rPr>
        <w:t xml:space="preserve"> </w:t>
      </w:r>
      <w:r>
        <w:rPr>
          <w:rFonts w:ascii="Arial" w:hAnsi="Arial" w:cs="Arial"/>
        </w:rPr>
        <w:t xml:space="preserve">The milestone maps show </w:t>
      </w:r>
      <w:r w:rsidR="0077631B">
        <w:rPr>
          <w:rFonts w:ascii="Arial" w:hAnsi="Arial" w:cs="Arial"/>
        </w:rPr>
        <w:t xml:space="preserve">plans and </w:t>
      </w:r>
      <w:r>
        <w:rPr>
          <w:rFonts w:ascii="Arial" w:hAnsi="Arial" w:cs="Arial"/>
        </w:rPr>
        <w:t>progress for each of the projects.  Where projects have been delayed, new anticipated start and end dates have been provided, and any actions taken to mitigate any slippage are outlined in the commentary.</w:t>
      </w:r>
    </w:p>
    <w:p w:rsidR="00A76416" w:rsidRDefault="00A76416" w:rsidP="0073522A">
      <w:pPr>
        <w:jc w:val="both"/>
        <w:rPr>
          <w:rFonts w:ascii="Arial" w:hAnsi="Arial" w:cs="Arial"/>
        </w:rPr>
      </w:pPr>
    </w:p>
    <w:p w:rsidR="0001456D" w:rsidRPr="00A76416" w:rsidRDefault="0001456D" w:rsidP="0073522A">
      <w:pPr>
        <w:jc w:val="both"/>
        <w:rPr>
          <w:rFonts w:ascii="Arial" w:hAnsi="Arial" w:cs="Arial"/>
          <w:u w:val="single"/>
        </w:rPr>
      </w:pPr>
      <w:r w:rsidRPr="00A76416">
        <w:rPr>
          <w:rFonts w:ascii="Arial" w:hAnsi="Arial" w:cs="Arial"/>
          <w:u w:val="single"/>
        </w:rPr>
        <w:t>Driving Quality Improvement</w:t>
      </w:r>
    </w:p>
    <w:p w:rsidR="003D6432" w:rsidRDefault="003D6432" w:rsidP="0073522A">
      <w:pPr>
        <w:jc w:val="both"/>
        <w:rPr>
          <w:rFonts w:ascii="Arial" w:hAnsi="Arial" w:cs="Arial"/>
          <w:b/>
        </w:rPr>
      </w:pPr>
    </w:p>
    <w:p w:rsidR="003D6432" w:rsidRPr="003D6432" w:rsidRDefault="003D6432" w:rsidP="003D6432">
      <w:pPr>
        <w:pStyle w:val="Default"/>
      </w:pPr>
      <w:r>
        <w:rPr>
          <w:rFonts w:ascii="Arial" w:hAnsi="Arial" w:cs="Arial"/>
        </w:rPr>
        <w:lastRenderedPageBreak/>
        <w:t>Please note the slippage in project DQI 4 (Reducing ligature risks, improving privacy and dignity on wards) due to the delay in the construction period of Manor House. Revised dates have been provided.</w:t>
      </w:r>
    </w:p>
    <w:p w:rsidR="003D6432" w:rsidRPr="0001456D" w:rsidRDefault="003D6432" w:rsidP="0073522A">
      <w:pPr>
        <w:jc w:val="both"/>
        <w:rPr>
          <w:rFonts w:ascii="Arial" w:hAnsi="Arial" w:cs="Arial"/>
          <w:b/>
        </w:rPr>
      </w:pPr>
    </w:p>
    <w:p w:rsidR="0001456D" w:rsidRPr="00A76416" w:rsidRDefault="0001456D" w:rsidP="0073522A">
      <w:pPr>
        <w:jc w:val="both"/>
        <w:rPr>
          <w:rFonts w:ascii="Arial" w:hAnsi="Arial" w:cs="Arial"/>
          <w:u w:val="single"/>
        </w:rPr>
      </w:pPr>
      <w:r w:rsidRPr="00A76416">
        <w:rPr>
          <w:rFonts w:ascii="Arial" w:hAnsi="Arial" w:cs="Arial"/>
          <w:u w:val="single"/>
        </w:rPr>
        <w:t xml:space="preserve">Delivering Operational Excellence </w:t>
      </w:r>
    </w:p>
    <w:p w:rsidR="003D6432" w:rsidRDefault="003D6432" w:rsidP="0073522A">
      <w:pPr>
        <w:jc w:val="both"/>
        <w:rPr>
          <w:rFonts w:ascii="Arial" w:hAnsi="Arial" w:cs="Arial"/>
          <w:b/>
        </w:rPr>
      </w:pPr>
    </w:p>
    <w:p w:rsidR="003D6432" w:rsidRPr="003D6432" w:rsidRDefault="003D6432" w:rsidP="0073522A">
      <w:pPr>
        <w:jc w:val="both"/>
        <w:rPr>
          <w:rFonts w:ascii="Arial" w:hAnsi="Arial" w:cs="Arial"/>
        </w:rPr>
      </w:pPr>
      <w:r w:rsidRPr="003D6432">
        <w:rPr>
          <w:rFonts w:ascii="Arial" w:hAnsi="Arial" w:cs="Arial"/>
        </w:rPr>
        <w:t>DOE 3.1 (Review of inpatient services for older adults) and DOE 3.3 (Integrated pathway for people with dementia)</w:t>
      </w:r>
      <w:r>
        <w:rPr>
          <w:rFonts w:ascii="Arial" w:hAnsi="Arial" w:cs="Arial"/>
        </w:rPr>
        <w:t xml:space="preserve"> –The opening of the Whiteleaf building has required the Buckinghamshire remodeling to be completed ahead of the Oxon services. It was originally envisaged that the Oxfordshire services would be remodeled first.  The Buckinghamshire consultation is </w:t>
      </w:r>
      <w:r w:rsidR="007D5D6B">
        <w:rPr>
          <w:rFonts w:ascii="Arial" w:hAnsi="Arial" w:cs="Arial"/>
        </w:rPr>
        <w:t xml:space="preserve">now </w:t>
      </w:r>
      <w:r>
        <w:rPr>
          <w:rFonts w:ascii="Arial" w:hAnsi="Arial" w:cs="Arial"/>
        </w:rPr>
        <w:t>complete, with the Oxfordshire consultation work delayed.</w:t>
      </w:r>
    </w:p>
    <w:p w:rsidR="003D6432" w:rsidRDefault="003D6432" w:rsidP="003D6432">
      <w:pPr>
        <w:pStyle w:val="Default"/>
      </w:pPr>
    </w:p>
    <w:p w:rsidR="003D6432" w:rsidRDefault="003D6432" w:rsidP="0073522A">
      <w:pPr>
        <w:jc w:val="both"/>
        <w:rPr>
          <w:rFonts w:ascii="Arial" w:hAnsi="Arial" w:cs="Arial"/>
          <w:b/>
        </w:rPr>
      </w:pPr>
      <w:r>
        <w:rPr>
          <w:rFonts w:ascii="Arial" w:hAnsi="Arial" w:cs="Arial"/>
        </w:rPr>
        <w:t>There is a risk to further delays in completion of DOE 3.5 (SPA Phase 2), as work cannot progress until the OCC review of pathways is released.</w:t>
      </w:r>
    </w:p>
    <w:p w:rsidR="003D6432" w:rsidRPr="00A76416" w:rsidRDefault="003D6432" w:rsidP="0073522A">
      <w:pPr>
        <w:jc w:val="both"/>
        <w:rPr>
          <w:rFonts w:ascii="Arial" w:hAnsi="Arial" w:cs="Arial"/>
          <w:u w:val="single"/>
        </w:rPr>
      </w:pPr>
    </w:p>
    <w:p w:rsidR="0001456D" w:rsidRPr="00A76416" w:rsidRDefault="0001456D" w:rsidP="0073522A">
      <w:pPr>
        <w:jc w:val="both"/>
        <w:rPr>
          <w:rFonts w:ascii="Arial" w:hAnsi="Arial" w:cs="Arial"/>
          <w:u w:val="single"/>
        </w:rPr>
      </w:pPr>
      <w:r w:rsidRPr="00A76416">
        <w:rPr>
          <w:rFonts w:ascii="Arial" w:hAnsi="Arial" w:cs="Arial"/>
          <w:u w:val="single"/>
        </w:rPr>
        <w:t>Delivering Innovation, Learning &amp; Teaching</w:t>
      </w:r>
    </w:p>
    <w:p w:rsidR="003D6432" w:rsidRPr="00A76416" w:rsidRDefault="003D6432" w:rsidP="0073522A">
      <w:pPr>
        <w:jc w:val="both"/>
        <w:rPr>
          <w:rFonts w:ascii="Arial" w:hAnsi="Arial" w:cs="Arial"/>
          <w:b/>
        </w:rPr>
      </w:pPr>
    </w:p>
    <w:p w:rsidR="003D6432" w:rsidRPr="00A76416" w:rsidRDefault="003D6432" w:rsidP="003D6432">
      <w:pPr>
        <w:pStyle w:val="Default"/>
        <w:rPr>
          <w:rFonts w:ascii="Arial" w:hAnsi="Arial" w:cs="Arial"/>
        </w:rPr>
      </w:pPr>
      <w:r w:rsidRPr="00A76416">
        <w:rPr>
          <w:rFonts w:ascii="Arial" w:hAnsi="Arial" w:cs="Arial"/>
        </w:rPr>
        <w:t>Please note that funding letters for the AHSN clinical streams have been released</w:t>
      </w:r>
      <w:r w:rsidR="00B105A7" w:rsidRPr="00A76416">
        <w:rPr>
          <w:rFonts w:ascii="Arial" w:hAnsi="Arial" w:cs="Arial"/>
        </w:rPr>
        <w:t>, with leads identified for each. Membership of the CLAHRC Management Board and Exec is agreed, and the contract signed. Budgets</w:t>
      </w:r>
      <w:r w:rsidR="00DC53CB">
        <w:rPr>
          <w:rFonts w:ascii="Arial" w:hAnsi="Arial" w:cs="Arial"/>
        </w:rPr>
        <w:t xml:space="preserve"> were</w:t>
      </w:r>
      <w:r w:rsidR="00B105A7" w:rsidRPr="00A76416">
        <w:rPr>
          <w:rFonts w:ascii="Arial" w:hAnsi="Arial" w:cs="Arial"/>
        </w:rPr>
        <w:t xml:space="preserve"> rel</w:t>
      </w:r>
      <w:r w:rsidR="007D5D6B">
        <w:rPr>
          <w:rFonts w:ascii="Arial" w:hAnsi="Arial" w:cs="Arial"/>
        </w:rPr>
        <w:t>eased to the theme leads in Jan-</w:t>
      </w:r>
      <w:r w:rsidR="00B105A7" w:rsidRPr="00A76416">
        <w:rPr>
          <w:rFonts w:ascii="Arial" w:hAnsi="Arial" w:cs="Arial"/>
        </w:rPr>
        <w:t>14. The Oxford AHSC has now been designated.</w:t>
      </w:r>
    </w:p>
    <w:p w:rsidR="003D6432" w:rsidRPr="00A76416" w:rsidRDefault="003D6432" w:rsidP="0073522A">
      <w:pPr>
        <w:jc w:val="both"/>
        <w:rPr>
          <w:rFonts w:ascii="Arial" w:hAnsi="Arial" w:cs="Arial"/>
          <w:u w:val="single"/>
        </w:rPr>
      </w:pPr>
    </w:p>
    <w:p w:rsidR="0001456D" w:rsidRPr="00A76416" w:rsidRDefault="0001456D" w:rsidP="0073522A">
      <w:pPr>
        <w:jc w:val="both"/>
        <w:rPr>
          <w:rFonts w:ascii="Arial" w:hAnsi="Arial" w:cs="Arial"/>
          <w:u w:val="single"/>
        </w:rPr>
      </w:pPr>
      <w:r w:rsidRPr="00A76416">
        <w:rPr>
          <w:rFonts w:ascii="Arial" w:hAnsi="Arial" w:cs="Arial"/>
          <w:u w:val="single"/>
        </w:rPr>
        <w:t>Developing our Business</w:t>
      </w:r>
    </w:p>
    <w:p w:rsidR="00A76416" w:rsidRDefault="00A76416" w:rsidP="0073522A">
      <w:pPr>
        <w:jc w:val="both"/>
        <w:rPr>
          <w:rFonts w:ascii="Arial" w:hAnsi="Arial" w:cs="Arial"/>
          <w:b/>
        </w:rPr>
      </w:pPr>
    </w:p>
    <w:p w:rsidR="00A76416" w:rsidRPr="00A76416" w:rsidRDefault="00A76416" w:rsidP="0073522A">
      <w:pPr>
        <w:jc w:val="both"/>
        <w:rPr>
          <w:rFonts w:ascii="Arial" w:hAnsi="Arial" w:cs="Arial"/>
        </w:rPr>
      </w:pPr>
      <w:r w:rsidRPr="00A76416">
        <w:rPr>
          <w:rFonts w:ascii="Arial" w:hAnsi="Arial" w:cs="Arial"/>
        </w:rPr>
        <w:t>A new Head of Communications and Engagement has been appointed.</w:t>
      </w:r>
      <w:r>
        <w:rPr>
          <w:rFonts w:ascii="Arial" w:hAnsi="Arial" w:cs="Arial"/>
        </w:rPr>
        <w:t xml:space="preserve"> Work to develop a marketing programme and strategy for the Trust and other opportunities for long-term commercial development are progressing well.</w:t>
      </w:r>
    </w:p>
    <w:p w:rsidR="003D6432" w:rsidRPr="0001456D" w:rsidRDefault="003D6432" w:rsidP="0073522A">
      <w:pPr>
        <w:jc w:val="both"/>
        <w:rPr>
          <w:rFonts w:ascii="Arial" w:hAnsi="Arial" w:cs="Arial"/>
          <w:b/>
        </w:rPr>
      </w:pPr>
    </w:p>
    <w:p w:rsidR="0001456D" w:rsidRPr="00A76416" w:rsidRDefault="0001456D" w:rsidP="0073522A">
      <w:pPr>
        <w:jc w:val="both"/>
        <w:rPr>
          <w:rFonts w:ascii="Arial" w:hAnsi="Arial" w:cs="Arial"/>
          <w:u w:val="single"/>
        </w:rPr>
      </w:pPr>
      <w:r w:rsidRPr="00A76416">
        <w:rPr>
          <w:rFonts w:ascii="Arial" w:hAnsi="Arial" w:cs="Arial"/>
          <w:u w:val="single"/>
        </w:rPr>
        <w:t>Developing Leadership, People &amp; Culture</w:t>
      </w:r>
    </w:p>
    <w:p w:rsidR="00A76416" w:rsidRDefault="00A76416" w:rsidP="0073522A">
      <w:pPr>
        <w:jc w:val="both"/>
        <w:rPr>
          <w:rFonts w:ascii="Arial" w:hAnsi="Arial" w:cs="Arial"/>
          <w:b/>
        </w:rPr>
      </w:pPr>
    </w:p>
    <w:p w:rsidR="00A76416" w:rsidRPr="00A76416" w:rsidRDefault="00A76416" w:rsidP="0073522A">
      <w:pPr>
        <w:jc w:val="both"/>
        <w:rPr>
          <w:rFonts w:ascii="Arial" w:hAnsi="Arial" w:cs="Arial"/>
        </w:rPr>
      </w:pPr>
      <w:r>
        <w:rPr>
          <w:rFonts w:ascii="Arial" w:hAnsi="Arial" w:cs="Arial"/>
        </w:rPr>
        <w:t>A delay in the publication of the NHS Leadership Competencies has caused slippage in the Management Development and Aston team-based working projects. Completion is anticipated in Q4. No other significant delays or risks reported.</w:t>
      </w:r>
    </w:p>
    <w:p w:rsidR="003D6432" w:rsidRPr="0001456D" w:rsidRDefault="003D6432" w:rsidP="0073522A">
      <w:pPr>
        <w:jc w:val="both"/>
        <w:rPr>
          <w:rFonts w:ascii="Arial" w:hAnsi="Arial" w:cs="Arial"/>
          <w:b/>
        </w:rPr>
      </w:pPr>
    </w:p>
    <w:p w:rsidR="0001456D" w:rsidRDefault="0001456D" w:rsidP="0073522A">
      <w:pPr>
        <w:jc w:val="both"/>
        <w:rPr>
          <w:rFonts w:ascii="Arial" w:hAnsi="Arial" w:cs="Arial"/>
          <w:u w:val="single"/>
        </w:rPr>
      </w:pPr>
      <w:r w:rsidRPr="00A76416">
        <w:rPr>
          <w:rFonts w:ascii="Arial" w:hAnsi="Arial" w:cs="Arial"/>
          <w:u w:val="single"/>
        </w:rPr>
        <w:t>Getting the Most out of Technology</w:t>
      </w:r>
    </w:p>
    <w:p w:rsidR="00A76416" w:rsidRDefault="00A76416" w:rsidP="0073522A">
      <w:pPr>
        <w:jc w:val="both"/>
        <w:rPr>
          <w:rFonts w:ascii="Arial" w:hAnsi="Arial" w:cs="Arial"/>
          <w:u w:val="single"/>
        </w:rPr>
      </w:pPr>
    </w:p>
    <w:p w:rsidR="00A76416" w:rsidRPr="00A76416" w:rsidRDefault="00A76416" w:rsidP="0073522A">
      <w:pPr>
        <w:jc w:val="both"/>
        <w:rPr>
          <w:rFonts w:ascii="Arial" w:hAnsi="Arial" w:cs="Arial"/>
        </w:rPr>
      </w:pPr>
      <w:r w:rsidRPr="00A76416">
        <w:rPr>
          <w:rFonts w:ascii="Arial" w:hAnsi="Arial" w:cs="Arial"/>
        </w:rPr>
        <w:t>A risk has been reported concerning the impact of the IT team capacity on lifestyle management work.</w:t>
      </w:r>
      <w:r>
        <w:rPr>
          <w:rFonts w:ascii="Arial" w:hAnsi="Arial" w:cs="Arial"/>
        </w:rPr>
        <w:t xml:space="preserve"> Procurement of a new Electronic Heal</w:t>
      </w:r>
      <w:r w:rsidR="007D5D6B">
        <w:rPr>
          <w:rFonts w:ascii="Arial" w:hAnsi="Arial" w:cs="Arial"/>
        </w:rPr>
        <w:t>th Record is delayed to April-</w:t>
      </w:r>
      <w:r>
        <w:rPr>
          <w:rFonts w:ascii="Arial" w:hAnsi="Arial" w:cs="Arial"/>
        </w:rPr>
        <w:t>14 but progressing well.</w:t>
      </w:r>
    </w:p>
    <w:p w:rsidR="003D6432" w:rsidRPr="00A76416" w:rsidRDefault="003D6432" w:rsidP="0073522A">
      <w:pPr>
        <w:jc w:val="both"/>
        <w:rPr>
          <w:rFonts w:ascii="Arial" w:hAnsi="Arial" w:cs="Arial"/>
          <w:u w:val="single"/>
        </w:rPr>
      </w:pPr>
    </w:p>
    <w:p w:rsidR="0001456D" w:rsidRPr="00A76416" w:rsidRDefault="0001456D" w:rsidP="0073522A">
      <w:pPr>
        <w:jc w:val="both"/>
        <w:rPr>
          <w:rFonts w:ascii="Arial" w:hAnsi="Arial" w:cs="Arial"/>
          <w:u w:val="single"/>
        </w:rPr>
      </w:pPr>
      <w:r w:rsidRPr="00A76416">
        <w:rPr>
          <w:rFonts w:ascii="Arial" w:hAnsi="Arial" w:cs="Arial"/>
          <w:u w:val="single"/>
        </w:rPr>
        <w:t>Using our Estate Efficiently</w:t>
      </w:r>
    </w:p>
    <w:p w:rsidR="0001456D" w:rsidRDefault="0001456D" w:rsidP="0073522A">
      <w:pPr>
        <w:jc w:val="both"/>
        <w:rPr>
          <w:rFonts w:ascii="Arial" w:hAnsi="Arial" w:cs="Arial"/>
        </w:rPr>
      </w:pPr>
    </w:p>
    <w:p w:rsidR="00BA3B3E" w:rsidRPr="007D5D6B" w:rsidRDefault="007D5D6B" w:rsidP="0073522A">
      <w:pPr>
        <w:jc w:val="both"/>
        <w:rPr>
          <w:rFonts w:ascii="Arial" w:hAnsi="Arial" w:cs="Arial"/>
        </w:rPr>
      </w:pPr>
      <w:r>
        <w:rPr>
          <w:rFonts w:ascii="Arial" w:hAnsi="Arial" w:cs="Arial"/>
        </w:rPr>
        <w:lastRenderedPageBreak/>
        <w:t>A new Strategic Projects Manager is expected to be in post</w:t>
      </w:r>
      <w:r w:rsidR="00A34E51">
        <w:rPr>
          <w:rFonts w:ascii="Arial" w:hAnsi="Arial" w:cs="Arial"/>
        </w:rPr>
        <w:t xml:space="preserve"> to lead the development of an effective environmental strategy</w:t>
      </w:r>
      <w:r>
        <w:rPr>
          <w:rFonts w:ascii="Arial" w:hAnsi="Arial" w:cs="Arial"/>
        </w:rPr>
        <w:t xml:space="preserve"> in March-14.</w:t>
      </w:r>
    </w:p>
    <w:p w:rsidR="007D5D6B" w:rsidRDefault="007D5D6B"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3C4C5A" w:rsidP="0073522A">
      <w:pPr>
        <w:jc w:val="both"/>
        <w:rPr>
          <w:rFonts w:ascii="Arial" w:hAnsi="Arial" w:cs="Arial"/>
        </w:rPr>
      </w:pPr>
      <w:r>
        <w:rPr>
          <w:rFonts w:ascii="Arial" w:hAnsi="Arial" w:cs="Arial"/>
        </w:rPr>
        <w:t>The Board is asked to note the Quarter 3 position.</w:t>
      </w: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3C4C5A">
        <w:rPr>
          <w:rFonts w:ascii="Arial" w:hAnsi="Arial" w:cs="Arial"/>
        </w:rPr>
        <w:t>Sarah Wilson, Strategy and Business Planning Manager</w:t>
      </w:r>
    </w:p>
    <w:p w:rsidR="0073522A" w:rsidRPr="003C4C5A" w:rsidRDefault="0073522A" w:rsidP="0073522A">
      <w:pPr>
        <w:jc w:val="both"/>
        <w:rPr>
          <w:rFonts w:ascii="Arial" w:hAnsi="Arial" w:cs="Arial"/>
        </w:rPr>
      </w:pPr>
      <w:r>
        <w:rPr>
          <w:rFonts w:ascii="Arial" w:hAnsi="Arial" w:cs="Arial"/>
          <w:b/>
        </w:rPr>
        <w:t>Lead Executive Director:</w:t>
      </w:r>
      <w:r>
        <w:rPr>
          <w:rFonts w:ascii="Arial" w:hAnsi="Arial" w:cs="Arial"/>
          <w:b/>
        </w:rPr>
        <w:tab/>
      </w:r>
      <w:r w:rsidR="003C4C5A" w:rsidRPr="003C4C5A">
        <w:rPr>
          <w:rFonts w:ascii="Arial" w:hAnsi="Arial" w:cs="Arial"/>
        </w:rPr>
        <w:t>Mike McEnaney, Director of Finance</w:t>
      </w:r>
    </w:p>
    <w:p w:rsidR="0073522A" w:rsidRDefault="0073522A">
      <w:pPr>
        <w:jc w:val="both"/>
        <w:rPr>
          <w:rFonts w:ascii="Arial" w:hAnsi="Arial" w:cs="Arial"/>
          <w:b/>
        </w:rPr>
      </w:pP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 [</w:t>
      </w:r>
      <w:r w:rsidRPr="00781566">
        <w:rPr>
          <w:rFonts w:ascii="Arial" w:hAnsi="Arial" w:cs="Arial"/>
          <w:i/>
          <w:sz w:val="20"/>
          <w:szCs w:val="20"/>
          <w:u w:val="single"/>
        </w:rPr>
        <w:t>delete as appropriate</w:t>
      </w:r>
      <w:r>
        <w:rPr>
          <w:rFonts w:ascii="Arial" w:hAnsi="Arial" w:cs="Arial"/>
          <w:i/>
          <w:sz w:val="20"/>
          <w:szCs w:val="20"/>
        </w:rPr>
        <w:t>]</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781566" w:rsidRDefault="00781566" w:rsidP="00781566">
      <w:pPr>
        <w:jc w:val="both"/>
        <w:rPr>
          <w:rFonts w:ascii="Arial" w:hAnsi="Arial" w:cs="Arial"/>
          <w:i/>
          <w:sz w:val="20"/>
          <w:szCs w:val="20"/>
        </w:rPr>
      </w:pPr>
    </w:p>
    <w:p w:rsidR="00781566" w:rsidRDefault="00781566" w:rsidP="00781566">
      <w:pPr>
        <w:ind w:left="720"/>
        <w:jc w:val="both"/>
        <w:rPr>
          <w:rFonts w:ascii="Arial" w:hAnsi="Arial" w:cs="Arial"/>
          <w:i/>
          <w:sz w:val="20"/>
          <w:szCs w:val="20"/>
        </w:rPr>
      </w:pPr>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Frutiger">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66" w:rsidRPr="005B3E3C" w:rsidRDefault="00781566" w:rsidP="005B3E3C">
    <w:pPr>
      <w:pStyle w:val="Header"/>
      <w:jc w:val="center"/>
      <w:rPr>
        <w:rFonts w:ascii="Arial" w:hAnsi="Arial" w:cs="Arial"/>
      </w:rPr>
    </w:pPr>
    <w:r>
      <w:rPr>
        <w:rFonts w:ascii="Arial" w:hAnsi="Arial" w:cs="Arial"/>
      </w:rPr>
      <w:t>[</w:t>
    </w:r>
    <w:r>
      <w:rPr>
        <w:rFonts w:ascii="Arial" w:hAnsi="Arial" w:cs="Arial"/>
        <w:b/>
        <w:i/>
      </w:rPr>
      <w:t>PUBLIC</w:t>
    </w:r>
    <w:r w:rsidR="003C4C5A">
      <w:rPr>
        <w:rFonts w:ascii="Arial" w:hAnsi="Arial" w:cs="Arial"/>
        <w:b/>
      </w:rPr>
      <w:t>]</w:t>
    </w:r>
    <w:r>
      <w:rPr>
        <w:rFonts w:ascii="Arial" w:hAnsi="Arial" w:cs="Arial"/>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20481"/>
  </w:hdrShapeDefaults>
  <w:footnotePr>
    <w:footnote w:id="-1"/>
    <w:footnote w:id="0"/>
  </w:footnotePr>
  <w:endnotePr>
    <w:endnote w:id="-1"/>
    <w:endnote w:id="0"/>
  </w:endnotePr>
  <w:compat/>
  <w:rsids>
    <w:rsidRoot w:val="002A73E8"/>
    <w:rsid w:val="0001456D"/>
    <w:rsid w:val="00043DBD"/>
    <w:rsid w:val="001F76ED"/>
    <w:rsid w:val="00227FCE"/>
    <w:rsid w:val="002619EF"/>
    <w:rsid w:val="002821F8"/>
    <w:rsid w:val="00292613"/>
    <w:rsid w:val="002A73E8"/>
    <w:rsid w:val="002C2F97"/>
    <w:rsid w:val="002E6FC6"/>
    <w:rsid w:val="003971F6"/>
    <w:rsid w:val="003C4C5A"/>
    <w:rsid w:val="003D6432"/>
    <w:rsid w:val="004326BB"/>
    <w:rsid w:val="00475799"/>
    <w:rsid w:val="004F4BBA"/>
    <w:rsid w:val="005233AA"/>
    <w:rsid w:val="00551B0F"/>
    <w:rsid w:val="005659FB"/>
    <w:rsid w:val="005B3E3C"/>
    <w:rsid w:val="005C3FC1"/>
    <w:rsid w:val="005D3499"/>
    <w:rsid w:val="005E2583"/>
    <w:rsid w:val="0061684E"/>
    <w:rsid w:val="00624058"/>
    <w:rsid w:val="0073522A"/>
    <w:rsid w:val="0077631B"/>
    <w:rsid w:val="007769CD"/>
    <w:rsid w:val="0078032B"/>
    <w:rsid w:val="00781566"/>
    <w:rsid w:val="007976E7"/>
    <w:rsid w:val="007B6D77"/>
    <w:rsid w:val="007D5D6B"/>
    <w:rsid w:val="00802701"/>
    <w:rsid w:val="008038A2"/>
    <w:rsid w:val="00811FE8"/>
    <w:rsid w:val="0086436B"/>
    <w:rsid w:val="00892E8E"/>
    <w:rsid w:val="00894B97"/>
    <w:rsid w:val="00946E6E"/>
    <w:rsid w:val="00A34E51"/>
    <w:rsid w:val="00A674FB"/>
    <w:rsid w:val="00A76416"/>
    <w:rsid w:val="00A85311"/>
    <w:rsid w:val="00AA0C3F"/>
    <w:rsid w:val="00AC3814"/>
    <w:rsid w:val="00AF0562"/>
    <w:rsid w:val="00B105A7"/>
    <w:rsid w:val="00B26E1A"/>
    <w:rsid w:val="00B26F2C"/>
    <w:rsid w:val="00B50D5E"/>
    <w:rsid w:val="00BA3B3E"/>
    <w:rsid w:val="00BF5367"/>
    <w:rsid w:val="00C057DD"/>
    <w:rsid w:val="00C07817"/>
    <w:rsid w:val="00C11AA2"/>
    <w:rsid w:val="00C26DB6"/>
    <w:rsid w:val="00D01D50"/>
    <w:rsid w:val="00D07064"/>
    <w:rsid w:val="00D279FC"/>
    <w:rsid w:val="00D55ADD"/>
    <w:rsid w:val="00D8544F"/>
    <w:rsid w:val="00DA0FA6"/>
    <w:rsid w:val="00DC53CB"/>
    <w:rsid w:val="00DD33DF"/>
    <w:rsid w:val="00DE1293"/>
    <w:rsid w:val="00E827C5"/>
    <w:rsid w:val="00F24EB2"/>
    <w:rsid w:val="00F50A07"/>
    <w:rsid w:val="00F57119"/>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92E8E"/>
    <w:rPr>
      <w:rFonts w:ascii="Tahoma" w:hAnsi="Tahoma" w:cs="Tahoma"/>
      <w:sz w:val="16"/>
      <w:szCs w:val="16"/>
    </w:rPr>
  </w:style>
  <w:style w:type="character" w:customStyle="1" w:styleId="BalloonTextChar">
    <w:name w:val="Balloon Text Char"/>
    <w:basedOn w:val="DefaultParagraphFont"/>
    <w:link w:val="BalloonText"/>
    <w:rsid w:val="00892E8E"/>
    <w:rPr>
      <w:rFonts w:ascii="Tahoma" w:hAnsi="Tahoma" w:cs="Tahoma"/>
      <w:sz w:val="16"/>
      <w:szCs w:val="16"/>
      <w:lang w:val="en-US" w:eastAsia="en-US"/>
    </w:rPr>
  </w:style>
  <w:style w:type="paragraph" w:customStyle="1" w:styleId="Default">
    <w:name w:val="Default"/>
    <w:rsid w:val="003D6432"/>
    <w:pPr>
      <w:autoSpaceDE w:val="0"/>
      <w:autoSpaceDN w:val="0"/>
      <w:adjustRightInd w:val="0"/>
    </w:pPr>
    <w:rPr>
      <w:rFonts w:ascii="Segoe UI" w:hAnsi="Segoe UI" w:cs="Segoe U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92E8E"/>
    <w:rPr>
      <w:rFonts w:ascii="Tahoma" w:hAnsi="Tahoma" w:cs="Tahoma"/>
      <w:sz w:val="16"/>
      <w:szCs w:val="16"/>
    </w:rPr>
  </w:style>
  <w:style w:type="character" w:customStyle="1" w:styleId="BalloonTextChar">
    <w:name w:val="Balloon Text Char"/>
    <w:basedOn w:val="DefaultParagraphFont"/>
    <w:link w:val="BalloonText"/>
    <w:rsid w:val="00892E8E"/>
    <w:rPr>
      <w:rFonts w:ascii="Tahoma" w:hAnsi="Tahoma" w:cs="Tahoma"/>
      <w:sz w:val="16"/>
      <w:szCs w:val="16"/>
      <w:lang w:val="en-US" w:eastAsia="en-US"/>
    </w:rPr>
  </w:style>
  <w:style w:type="paragraph" w:customStyle="1" w:styleId="Default">
    <w:name w:val="Default"/>
    <w:rsid w:val="003D6432"/>
    <w:pPr>
      <w:autoSpaceDE w:val="0"/>
      <w:autoSpaceDN w:val="0"/>
      <w:adjustRightInd w:val="0"/>
    </w:pPr>
    <w:rPr>
      <w:rFonts w:ascii="Segoe UI" w:hAnsi="Segoe UI" w:cs="Segoe U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3299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2005-05-11T11:48:00Z</cp:lastPrinted>
  <dcterms:created xsi:type="dcterms:W3CDTF">2014-01-22T13:29:00Z</dcterms:created>
  <dcterms:modified xsi:type="dcterms:W3CDTF">2014-01-22T13:29:00Z</dcterms:modified>
</cp:coreProperties>
</file>