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49474E">
      <w:pPr>
        <w:jc w:val="center"/>
        <w:rPr>
          <w:rFonts w:ascii="Frutiger" w:hAnsi="Frutiger"/>
        </w:rPr>
      </w:pPr>
      <w:r w:rsidRPr="0049474E">
        <w:rPr>
          <w:noProof/>
          <w:sz w:val="20"/>
        </w:rPr>
        <w:pict>
          <v:rect id="_x0000_s1034" style="position:absolute;left:0;text-align:left;margin-left:324pt;margin-top:4.05pt;width:108pt;height:45pt;z-index:251657728">
            <v:textbox inset="0,0,0,0">
              <w:txbxContent>
                <w:p w:rsidR="00CE4218" w:rsidRDefault="00CE4218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CE4218" w:rsidRDefault="002E65E2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12/2014</w:t>
                  </w:r>
                </w:p>
                <w:p w:rsidR="00CE4218" w:rsidRPr="002E65E2" w:rsidRDefault="002E65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(Agenda Item: 14)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7358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January</w:t>
      </w:r>
      <w:r w:rsidR="004326BB">
        <w:rPr>
          <w:rFonts w:ascii="Arial" w:hAnsi="Arial" w:cs="Arial"/>
          <w:b/>
        </w:rPr>
        <w:t xml:space="preserve"> 20</w:t>
      </w:r>
      <w:r w:rsidR="00D07064">
        <w:rPr>
          <w:rFonts w:ascii="Arial" w:hAnsi="Arial" w:cs="Arial"/>
          <w:b/>
        </w:rPr>
        <w:t>1</w:t>
      </w:r>
      <w:r w:rsidR="007B6D77">
        <w:rPr>
          <w:rFonts w:ascii="Arial" w:hAnsi="Arial" w:cs="Arial"/>
          <w:b/>
        </w:rPr>
        <w:t>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7358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Trust Constitution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Approval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A74B14" w:rsidRPr="007358E3" w:rsidRDefault="00A74B14" w:rsidP="00A74B14">
      <w:pPr>
        <w:rPr>
          <w:rFonts w:ascii="Arial" w:hAnsi="Arial" w:cs="Arial"/>
        </w:rPr>
      </w:pPr>
      <w:r w:rsidRPr="007358E3">
        <w:rPr>
          <w:rFonts w:ascii="Arial" w:hAnsi="Arial" w:cs="Arial"/>
        </w:rPr>
        <w:t xml:space="preserve">Attached is a copy of the Trust’s Constitution </w:t>
      </w:r>
      <w:r w:rsidR="007358E3">
        <w:rPr>
          <w:rFonts w:ascii="Arial" w:hAnsi="Arial" w:cs="Arial"/>
        </w:rPr>
        <w:t xml:space="preserve">with proposed changes tracked.  </w:t>
      </w:r>
      <w:r w:rsidRPr="007358E3">
        <w:rPr>
          <w:rFonts w:ascii="Arial" w:hAnsi="Arial" w:cs="Arial"/>
        </w:rPr>
        <w:t>Broadly, the proposed changes are in the following areas:-</w:t>
      </w:r>
    </w:p>
    <w:p w:rsidR="00A74B14" w:rsidRDefault="00A74B14" w:rsidP="00A74B1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358E3">
        <w:rPr>
          <w:rFonts w:ascii="Arial" w:hAnsi="Arial" w:cs="Arial"/>
        </w:rPr>
        <w:t>Updates required to duties / terminology a</w:t>
      </w:r>
      <w:r w:rsidR="007358E3">
        <w:rPr>
          <w:rFonts w:ascii="Arial" w:hAnsi="Arial" w:cs="Arial"/>
        </w:rPr>
        <w:t>s a consequence of the 2012 Act.</w:t>
      </w:r>
    </w:p>
    <w:p w:rsidR="007358E3" w:rsidRDefault="007358E3" w:rsidP="00A74B1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Removal </w:t>
      </w:r>
      <w:r w:rsidR="00CE4218">
        <w:rPr>
          <w:rFonts w:ascii="Arial" w:hAnsi="Arial" w:cs="Arial"/>
        </w:rPr>
        <w:t>of redundant provisions relating</w:t>
      </w:r>
      <w:r>
        <w:rPr>
          <w:rFonts w:ascii="Arial" w:hAnsi="Arial" w:cs="Arial"/>
        </w:rPr>
        <w:t xml:space="preserve"> to the transition from NHS trust to NHS foundation trust.</w:t>
      </w:r>
    </w:p>
    <w:p w:rsidR="007358E3" w:rsidRPr="007358E3" w:rsidRDefault="007358E3" w:rsidP="007358E3">
      <w:pPr>
        <w:pStyle w:val="PlainTex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t xml:space="preserve">Some amendments taking account of the best practice from other </w:t>
      </w:r>
      <w:r>
        <w:rPr>
          <w:rFonts w:ascii="Arial" w:hAnsi="Arial" w:cs="Arial"/>
          <w:sz w:val="24"/>
          <w:szCs w:val="24"/>
        </w:rPr>
        <w:t>NHS foundation trusts</w:t>
      </w:r>
      <w:r w:rsidRPr="007358E3">
        <w:rPr>
          <w:rFonts w:ascii="Arial" w:hAnsi="Arial" w:cs="Arial"/>
          <w:sz w:val="24"/>
          <w:szCs w:val="24"/>
        </w:rPr>
        <w:t xml:space="preserve"> and bodies</w:t>
      </w:r>
      <w:r>
        <w:rPr>
          <w:rFonts w:ascii="Arial" w:hAnsi="Arial" w:cs="Arial"/>
          <w:sz w:val="24"/>
          <w:szCs w:val="24"/>
        </w:rPr>
        <w:t>.</w:t>
      </w:r>
    </w:p>
    <w:p w:rsidR="00A74B14" w:rsidRPr="007358E3" w:rsidRDefault="00A74B14" w:rsidP="00A74B1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358E3">
        <w:rPr>
          <w:rFonts w:ascii="Arial" w:hAnsi="Arial" w:cs="Arial"/>
        </w:rPr>
        <w:t>Amending the Governor representation as follows:-</w:t>
      </w:r>
    </w:p>
    <w:p w:rsidR="00A74B14" w:rsidRPr="007358E3" w:rsidRDefault="00A74B14" w:rsidP="00A74B14">
      <w:pPr>
        <w:pStyle w:val="PlainTex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t>Retain the Public Constituency as currently constituted.</w:t>
      </w:r>
    </w:p>
    <w:p w:rsidR="00A74B14" w:rsidRPr="007358E3" w:rsidRDefault="00A74B14" w:rsidP="00A74B14">
      <w:pPr>
        <w:pStyle w:val="PlainTex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t>Retain the Patient</w:t>
      </w:r>
      <w:r w:rsidR="007358E3">
        <w:rPr>
          <w:rFonts w:ascii="Arial" w:hAnsi="Arial" w:cs="Arial"/>
          <w:sz w:val="24"/>
          <w:szCs w:val="24"/>
        </w:rPr>
        <w:t>s</w:t>
      </w:r>
      <w:r w:rsidR="00CE4218">
        <w:rPr>
          <w:rFonts w:ascii="Arial" w:hAnsi="Arial" w:cs="Arial"/>
          <w:sz w:val="24"/>
          <w:szCs w:val="24"/>
        </w:rPr>
        <w:t>’</w:t>
      </w:r>
      <w:r w:rsidRPr="007358E3">
        <w:rPr>
          <w:rFonts w:ascii="Arial" w:hAnsi="Arial" w:cs="Arial"/>
          <w:sz w:val="24"/>
          <w:szCs w:val="24"/>
        </w:rPr>
        <w:t xml:space="preserve"> Constituency but amend the Governor breakdown as follows (total number of Governors to remain the same):-</w:t>
      </w:r>
    </w:p>
    <w:p w:rsidR="00A74B14" w:rsidRPr="007358E3" w:rsidRDefault="00A74B14" w:rsidP="00A74B14">
      <w:pPr>
        <w:pStyle w:val="PlainText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t>Carers – 3</w:t>
      </w:r>
    </w:p>
    <w:p w:rsidR="00A74B14" w:rsidRPr="007358E3" w:rsidRDefault="00A74B14" w:rsidP="00A74B14">
      <w:pPr>
        <w:pStyle w:val="PlainText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t>Remove the vacant ‘Patient: Community Services Class’ (which has been vacant for 2 years</w:t>
      </w:r>
      <w:r w:rsidR="007358E3">
        <w:rPr>
          <w:rFonts w:ascii="Arial" w:hAnsi="Arial" w:cs="Arial"/>
          <w:sz w:val="24"/>
          <w:szCs w:val="24"/>
        </w:rPr>
        <w:t>)</w:t>
      </w:r>
      <w:r w:rsidRPr="007358E3">
        <w:rPr>
          <w:rFonts w:ascii="Arial" w:hAnsi="Arial" w:cs="Arial"/>
          <w:sz w:val="24"/>
          <w:szCs w:val="24"/>
        </w:rPr>
        <w:t xml:space="preserve"> and the ‘Service Users: Mental Health’ class, and replace with:-</w:t>
      </w:r>
    </w:p>
    <w:p w:rsidR="00A74B14" w:rsidRPr="007358E3" w:rsidRDefault="00A74B14" w:rsidP="00A74B14">
      <w:pPr>
        <w:pStyle w:val="PlainText"/>
        <w:numPr>
          <w:ilvl w:val="3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t xml:space="preserve">Service Users: Buckinghamshire &amp; other counties – 2 </w:t>
      </w:r>
    </w:p>
    <w:p w:rsidR="00A74B14" w:rsidRPr="007358E3" w:rsidRDefault="00A74B14" w:rsidP="00A74B14">
      <w:pPr>
        <w:pStyle w:val="PlainText"/>
        <w:numPr>
          <w:ilvl w:val="3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t xml:space="preserve">Service Users: Oxfordshire – 2 </w:t>
      </w:r>
    </w:p>
    <w:p w:rsidR="00A74B14" w:rsidRPr="007358E3" w:rsidRDefault="00A74B14" w:rsidP="00A74B14">
      <w:pPr>
        <w:pStyle w:val="PlainTex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t xml:space="preserve">Retain the overall current number of Staff Governors, but amend the Staff Constituency to have classes based on the </w:t>
      </w:r>
      <w:r w:rsidR="00AF1C6A">
        <w:rPr>
          <w:rFonts w:ascii="Arial" w:hAnsi="Arial" w:cs="Arial"/>
          <w:sz w:val="24"/>
          <w:szCs w:val="24"/>
        </w:rPr>
        <w:t xml:space="preserve">proposed </w:t>
      </w:r>
      <w:r w:rsidRPr="007358E3">
        <w:rPr>
          <w:rFonts w:ascii="Arial" w:hAnsi="Arial" w:cs="Arial"/>
          <w:sz w:val="24"/>
          <w:szCs w:val="24"/>
        </w:rPr>
        <w:t>new servic</w:t>
      </w:r>
      <w:r w:rsidR="00AF1C6A">
        <w:rPr>
          <w:rFonts w:ascii="Arial" w:hAnsi="Arial" w:cs="Arial"/>
          <w:sz w:val="24"/>
          <w:szCs w:val="24"/>
        </w:rPr>
        <w:t>e directorates.  The number of G</w:t>
      </w:r>
      <w:r w:rsidRPr="007358E3">
        <w:rPr>
          <w:rFonts w:ascii="Arial" w:hAnsi="Arial" w:cs="Arial"/>
          <w:sz w:val="24"/>
          <w:szCs w:val="24"/>
        </w:rPr>
        <w:t>overnors for each directorate is broadly commensurate with the number of staff (so that representation is broadly equal).</w:t>
      </w:r>
    </w:p>
    <w:p w:rsidR="00A74B14" w:rsidRPr="007358E3" w:rsidRDefault="00A74B14" w:rsidP="00A74B14">
      <w:pPr>
        <w:pStyle w:val="PlainTex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lastRenderedPageBreak/>
        <w:t>Retain both Oxfordshire and Buckinghamshire County Council Appointed Governors.</w:t>
      </w:r>
    </w:p>
    <w:p w:rsidR="00A74B14" w:rsidRPr="007358E3" w:rsidRDefault="00A74B14" w:rsidP="00A74B14">
      <w:pPr>
        <w:pStyle w:val="PlainTex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t>Remove the University of Oxford Appointed Governor (as this institution already has representation on the Board of Directors) and replace with Oxford Brookes University</w:t>
      </w:r>
      <w:r w:rsidR="00AF1C6A">
        <w:rPr>
          <w:rFonts w:ascii="Arial" w:hAnsi="Arial" w:cs="Arial"/>
          <w:sz w:val="24"/>
          <w:szCs w:val="24"/>
        </w:rPr>
        <w:t>.</w:t>
      </w:r>
    </w:p>
    <w:p w:rsidR="00A74B14" w:rsidRPr="007358E3" w:rsidRDefault="00A74B14" w:rsidP="00A74B14">
      <w:pPr>
        <w:pStyle w:val="PlainTex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58E3">
        <w:rPr>
          <w:rFonts w:ascii="Arial" w:hAnsi="Arial" w:cs="Arial"/>
          <w:sz w:val="24"/>
          <w:szCs w:val="24"/>
        </w:rPr>
        <w:t>Have 2 Appointed Governors representing Clinical Commissioning Groups – 1 from Oxfordshire CCG and 1 from either of the CCGs in Buckinghamshire.  The Chiltern CCG is proposed at is has the lead for mental health commissioning.</w:t>
      </w:r>
    </w:p>
    <w:p w:rsidR="007358E3" w:rsidRDefault="007358E3" w:rsidP="00AF1C6A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AF1C6A" w:rsidRDefault="00AF1C6A" w:rsidP="00AF1C6A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of Governors membership sub-group was involved in reviewing the Constitution and, in particular, the Governor representation.</w:t>
      </w:r>
    </w:p>
    <w:p w:rsidR="00AF1C6A" w:rsidRDefault="00AF1C6A" w:rsidP="00AF1C6A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AF1C6A" w:rsidRDefault="00AF1C6A" w:rsidP="00AF1C6A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Trust’s solicitors were instructed to reviewed the Constitution and propose amendments.</w:t>
      </w:r>
    </w:p>
    <w:p w:rsidR="00AF1C6A" w:rsidRDefault="00AF1C6A" w:rsidP="00AF1C6A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CE4218" w:rsidRDefault="00CE4218" w:rsidP="00AF1C6A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Board approval, the Constitution will be presented to the next meeting of the Council of Governors for final approval.</w:t>
      </w:r>
    </w:p>
    <w:p w:rsidR="00BA3B3E" w:rsidRPr="007358E3" w:rsidRDefault="00BA3B3E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CE4218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approve the proposed amendments to the Constitution before presentation to the Council of Governors for final approval.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7358E3">
        <w:rPr>
          <w:rFonts w:ascii="Arial" w:hAnsi="Arial" w:cs="Arial"/>
        </w:rPr>
        <w:tab/>
        <w:t>Justinian Habner, Trust Secretary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7358E3">
        <w:rPr>
          <w:rFonts w:ascii="Arial" w:hAnsi="Arial" w:cs="Arial"/>
          <w:b/>
        </w:rPr>
        <w:t>Stuart Bell, Chief Executive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 xml:space="preserve">A risk assessment has been undertaken around the legal issues that this paper presents and </w:t>
      </w:r>
      <w:r w:rsidR="007358E3" w:rsidRPr="007358E3">
        <w:rPr>
          <w:rFonts w:ascii="Arial" w:hAnsi="Arial" w:cs="Arial"/>
          <w:i/>
          <w:sz w:val="20"/>
          <w:szCs w:val="20"/>
          <w:u w:val="single"/>
        </w:rPr>
        <w:t>Trust solicitors were instructed</w:t>
      </w:r>
      <w:r w:rsidR="007358E3">
        <w:rPr>
          <w:rFonts w:ascii="Arial" w:hAnsi="Arial" w:cs="Arial"/>
          <w:i/>
          <w:sz w:val="20"/>
          <w:szCs w:val="20"/>
        </w:rPr>
        <w:t>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218" w:rsidRDefault="00CE4218" w:rsidP="005B3E3C">
      <w:r>
        <w:separator/>
      </w:r>
    </w:p>
  </w:endnote>
  <w:endnote w:type="continuationSeparator" w:id="0">
    <w:p w:rsidR="00CE4218" w:rsidRDefault="00CE4218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218" w:rsidRDefault="00CE4218" w:rsidP="005B3E3C">
      <w:r>
        <w:separator/>
      </w:r>
    </w:p>
  </w:footnote>
  <w:footnote w:type="continuationSeparator" w:id="0">
    <w:p w:rsidR="00CE4218" w:rsidRDefault="00CE4218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18" w:rsidRPr="005B3E3C" w:rsidRDefault="00CE4218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BE75CE"/>
    <w:multiLevelType w:val="hybridMultilevel"/>
    <w:tmpl w:val="7E2834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1F76ED"/>
    <w:rsid w:val="00227FCE"/>
    <w:rsid w:val="002619EF"/>
    <w:rsid w:val="002821F8"/>
    <w:rsid w:val="00292613"/>
    <w:rsid w:val="002A73E8"/>
    <w:rsid w:val="002C2F97"/>
    <w:rsid w:val="002E65E2"/>
    <w:rsid w:val="002E6FC6"/>
    <w:rsid w:val="003971F6"/>
    <w:rsid w:val="004326BB"/>
    <w:rsid w:val="0049474E"/>
    <w:rsid w:val="004F4BBA"/>
    <w:rsid w:val="005233AA"/>
    <w:rsid w:val="00551B0F"/>
    <w:rsid w:val="005659FB"/>
    <w:rsid w:val="005B3E3C"/>
    <w:rsid w:val="005C3FC1"/>
    <w:rsid w:val="005D3499"/>
    <w:rsid w:val="005E2583"/>
    <w:rsid w:val="0061684E"/>
    <w:rsid w:val="0073522A"/>
    <w:rsid w:val="007358E3"/>
    <w:rsid w:val="007769CD"/>
    <w:rsid w:val="0078032B"/>
    <w:rsid w:val="00781566"/>
    <w:rsid w:val="007976E7"/>
    <w:rsid w:val="007B6D77"/>
    <w:rsid w:val="00802701"/>
    <w:rsid w:val="008038A2"/>
    <w:rsid w:val="00811FE8"/>
    <w:rsid w:val="0086436B"/>
    <w:rsid w:val="00894B97"/>
    <w:rsid w:val="00946E6E"/>
    <w:rsid w:val="009D473C"/>
    <w:rsid w:val="00A674FB"/>
    <w:rsid w:val="00A74B14"/>
    <w:rsid w:val="00A85311"/>
    <w:rsid w:val="00AA0C3F"/>
    <w:rsid w:val="00AC3814"/>
    <w:rsid w:val="00AC608F"/>
    <w:rsid w:val="00AF0562"/>
    <w:rsid w:val="00AF1C6A"/>
    <w:rsid w:val="00B26E1A"/>
    <w:rsid w:val="00B26F2C"/>
    <w:rsid w:val="00B50D5E"/>
    <w:rsid w:val="00BA3B3E"/>
    <w:rsid w:val="00BF5367"/>
    <w:rsid w:val="00C07817"/>
    <w:rsid w:val="00C11AA2"/>
    <w:rsid w:val="00CE4218"/>
    <w:rsid w:val="00D07064"/>
    <w:rsid w:val="00D279FC"/>
    <w:rsid w:val="00D55ADD"/>
    <w:rsid w:val="00D8544F"/>
    <w:rsid w:val="00DA0FA6"/>
    <w:rsid w:val="00DD33DF"/>
    <w:rsid w:val="00DE1293"/>
    <w:rsid w:val="00E827C5"/>
    <w:rsid w:val="00F24EB2"/>
    <w:rsid w:val="00F50A07"/>
    <w:rsid w:val="00F57119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A74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B14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A74B14"/>
    <w:pPr>
      <w:spacing w:after="60"/>
    </w:pPr>
    <w:rPr>
      <w:rFonts w:eastAsiaTheme="minorHAnsi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A74B14"/>
    <w:rPr>
      <w:rFonts w:ascii="Calibri" w:eastAsiaTheme="minorHAnsi" w:hAnsi="Calibri"/>
      <w:sz w:val="22"/>
      <w:szCs w:val="22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14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5</cp:revision>
  <cp:lastPrinted>2005-05-11T11:48:00Z</cp:lastPrinted>
  <dcterms:created xsi:type="dcterms:W3CDTF">2014-01-20T11:41:00Z</dcterms:created>
  <dcterms:modified xsi:type="dcterms:W3CDTF">2014-01-22T10:52:00Z</dcterms:modified>
</cp:coreProperties>
</file>