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DA106A" w:rsidP="0086436B">
      <w:pPr>
        <w:ind w:right="-900"/>
        <w:jc w:val="right"/>
        <w:rPr>
          <w:lang w:val="en-GB"/>
        </w:rPr>
      </w:pPr>
      <w:r>
        <w:rPr>
          <w:noProof/>
          <w:lang w:val="en-GB" w:eastAsia="en-GB"/>
        </w:rPr>
        <w:drawing>
          <wp:inline distT="0" distB="0" distL="0" distR="0">
            <wp:extent cx="2552065" cy="499745"/>
            <wp:effectExtent l="19050" t="0" r="63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065" cy="499745"/>
                    </a:xfrm>
                    <a:prstGeom prst="rect">
                      <a:avLst/>
                    </a:prstGeom>
                    <a:noFill/>
                    <a:ln w="9525">
                      <a:noFill/>
                      <a:miter lim="800000"/>
                      <a:headEnd/>
                      <a:tailEnd/>
                    </a:ln>
                  </pic:spPr>
                </pic:pic>
              </a:graphicData>
            </a:graphic>
          </wp:inline>
        </w:drawing>
      </w:r>
    </w:p>
    <w:p w:rsidR="005D3499" w:rsidRDefault="005D3499"/>
    <w:p w:rsidR="005D3499" w:rsidRDefault="009E51A3">
      <w:pPr>
        <w:jc w:val="center"/>
        <w:rPr>
          <w:rFonts w:ascii="Frutiger" w:hAnsi="Frutiger"/>
        </w:rPr>
      </w:pPr>
      <w:r w:rsidRPr="009E51A3">
        <w:rPr>
          <w:rFonts w:ascii="Times New Roman" w:hAnsi="Times New Roman"/>
          <w:noProof/>
          <w:sz w:val="20"/>
          <w:lang w:val="en-GB" w:eastAsia="en-GB"/>
        </w:rPr>
        <w:pict>
          <v:rect id="Rectangle 10" o:spid="_x0000_s1026" style="position:absolute;left:0;text-align:left;margin-left:324pt;margin-top:-.4pt;width:120.05pt;height:76.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">
            <v:textbox inset="0,0,0,0">
              <w:txbxContent>
                <w:p w:rsidR="00CE32B2" w:rsidRDefault="00CE32B2">
                  <w:pPr>
                    <w:pStyle w:val="Heading1"/>
                    <w:jc w:val="center"/>
                    <w:rPr>
                      <w:u w:val="none"/>
                    </w:rPr>
                  </w:pPr>
                  <w:r>
                    <w:rPr>
                      <w:u w:val="none"/>
                    </w:rPr>
                    <w:t>PAPER</w:t>
                  </w:r>
                </w:p>
                <w:p w:rsidR="00CE32B2" w:rsidRDefault="003335F6">
                  <w:pPr>
                    <w:pStyle w:val="BodyText"/>
                    <w:rPr>
                      <w:sz w:val="22"/>
                    </w:rPr>
                  </w:pPr>
                  <w:r>
                    <w:rPr>
                      <w:sz w:val="22"/>
                    </w:rPr>
                    <w:t>BOD 13/2014</w:t>
                  </w:r>
                </w:p>
                <w:p w:rsidR="00CE32B2" w:rsidRDefault="00CE32B2">
                  <w:pPr>
                    <w:jc w:val="center"/>
                    <w:rPr>
                      <w:b/>
                    </w:rPr>
                  </w:pPr>
                </w:p>
              </w:txbxContent>
            </v:textbox>
          </v:rect>
        </w:pict>
      </w:r>
    </w:p>
    <w:p w:rsidR="005D3499" w:rsidRDefault="005D3499">
      <w:pPr>
        <w:pStyle w:val="Heading1"/>
      </w:pPr>
    </w:p>
    <w:p w:rsidR="005D3499" w:rsidRDefault="005D3499">
      <w:pPr>
        <w:pStyle w:val="Heading1"/>
      </w:pPr>
    </w:p>
    <w:p w:rsidR="005D3499" w:rsidRDefault="005D3499">
      <w:pPr>
        <w:pStyle w:val="Heading1"/>
      </w:pPr>
    </w:p>
    <w:p w:rsidR="005D3499" w:rsidRDefault="005D3499">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cs="Arial"/>
          <w:b/>
        </w:rPr>
      </w:pPr>
    </w:p>
    <w:p w:rsidR="005D3499" w:rsidRDefault="0031398F">
      <w:pPr>
        <w:jc w:val="center"/>
        <w:rPr>
          <w:rFonts w:cs="Arial"/>
          <w:b/>
        </w:rPr>
      </w:pPr>
      <w:r>
        <w:rPr>
          <w:rFonts w:cs="Arial"/>
          <w:b/>
        </w:rPr>
        <w:t xml:space="preserve">29 </w:t>
      </w:r>
      <w:r w:rsidR="00ED3AF1">
        <w:rPr>
          <w:rFonts w:cs="Arial"/>
          <w:b/>
        </w:rPr>
        <w:t>January 2014</w:t>
      </w:r>
    </w:p>
    <w:p w:rsidR="005D3499" w:rsidRDefault="005D3499">
      <w:pPr>
        <w:jc w:val="center"/>
        <w:rPr>
          <w:rFonts w:cs="Arial"/>
          <w:b/>
        </w:rPr>
      </w:pPr>
    </w:p>
    <w:p w:rsidR="005D3499" w:rsidRDefault="00B466A4">
      <w:pPr>
        <w:jc w:val="center"/>
        <w:rPr>
          <w:rFonts w:cs="Arial"/>
          <w:b/>
        </w:rPr>
      </w:pPr>
      <w:r>
        <w:rPr>
          <w:rFonts w:cs="Arial"/>
          <w:b/>
        </w:rPr>
        <w:t xml:space="preserve">Research and Development </w:t>
      </w:r>
      <w:r w:rsidR="00D936BB">
        <w:rPr>
          <w:rFonts w:cs="Arial"/>
          <w:b/>
        </w:rPr>
        <w:t>R</w:t>
      </w:r>
      <w:r>
        <w:rPr>
          <w:rFonts w:cs="Arial"/>
          <w:b/>
        </w:rPr>
        <w:t>eport</w:t>
      </w:r>
    </w:p>
    <w:p w:rsidR="005D3499" w:rsidRDefault="005D3499">
      <w:pPr>
        <w:rPr>
          <w:rFonts w:cs="Arial"/>
          <w:b/>
        </w:rPr>
      </w:pPr>
    </w:p>
    <w:p w:rsidR="005D3499" w:rsidRDefault="005D3499">
      <w:pPr>
        <w:rPr>
          <w:rFonts w:cs="Arial"/>
          <w:b/>
        </w:rPr>
      </w:pPr>
    </w:p>
    <w:p w:rsidR="00292613" w:rsidRPr="00B466A4" w:rsidRDefault="00292613" w:rsidP="00292613">
      <w:pPr>
        <w:rPr>
          <w:rFonts w:cs="Arial"/>
          <w:b/>
          <w:color w:val="548DD4" w:themeColor="text2" w:themeTint="99"/>
          <w:u w:val="single"/>
        </w:rPr>
      </w:pPr>
      <w:r w:rsidRPr="00292613">
        <w:rPr>
          <w:rFonts w:cs="Arial"/>
          <w:b/>
          <w:u w:val="single"/>
        </w:rPr>
        <w:t>For</w:t>
      </w:r>
      <w:r>
        <w:rPr>
          <w:rFonts w:cs="Arial"/>
          <w:b/>
          <w:u w:val="single"/>
        </w:rPr>
        <w:t>:</w:t>
      </w:r>
      <w:r w:rsidR="00A941AF">
        <w:rPr>
          <w:rFonts w:cs="Arial"/>
          <w:b/>
          <w:u w:val="single"/>
        </w:rPr>
        <w:t xml:space="preserve"> </w:t>
      </w:r>
      <w:r w:rsidRPr="00292613">
        <w:rPr>
          <w:rFonts w:cs="Arial"/>
          <w:b/>
          <w:u w:val="single"/>
        </w:rPr>
        <w:t>Information</w:t>
      </w:r>
      <w:r>
        <w:rPr>
          <w:rFonts w:cs="Arial"/>
        </w:rPr>
        <w:t xml:space="preserve"> </w:t>
      </w:r>
    </w:p>
    <w:p w:rsidR="00B466A4" w:rsidRDefault="00B466A4">
      <w:pPr>
        <w:rPr>
          <w:rFonts w:cs="Arial"/>
        </w:rPr>
      </w:pPr>
      <w:r w:rsidRPr="00B466A4">
        <w:rPr>
          <w:rFonts w:cs="Arial"/>
        </w:rPr>
        <w:t xml:space="preserve">This </w:t>
      </w:r>
      <w:r>
        <w:rPr>
          <w:rFonts w:cs="Arial"/>
        </w:rPr>
        <w:t xml:space="preserve">is the </w:t>
      </w:r>
      <w:r w:rsidR="00F36D7C">
        <w:rPr>
          <w:rFonts w:cs="Arial"/>
        </w:rPr>
        <w:t xml:space="preserve">second </w:t>
      </w:r>
      <w:r w:rsidR="00D80C7D">
        <w:rPr>
          <w:rFonts w:cs="Arial"/>
        </w:rPr>
        <w:t xml:space="preserve">6 monthly </w:t>
      </w:r>
      <w:r>
        <w:rPr>
          <w:rFonts w:cs="Arial"/>
        </w:rPr>
        <w:t xml:space="preserve">Research and Development (R&amp;D) </w:t>
      </w:r>
      <w:r w:rsidR="00CE32B2">
        <w:rPr>
          <w:rFonts w:cs="Arial"/>
        </w:rPr>
        <w:t>Report</w:t>
      </w:r>
      <w:r w:rsidR="00653AFF">
        <w:rPr>
          <w:rFonts w:cs="Arial"/>
        </w:rPr>
        <w:t xml:space="preserve"> being presented to the B</w:t>
      </w:r>
      <w:r>
        <w:rPr>
          <w:rFonts w:cs="Arial"/>
        </w:rPr>
        <w:t>oard</w:t>
      </w:r>
      <w:r w:rsidR="00653AFF">
        <w:rPr>
          <w:rFonts w:cs="Arial"/>
        </w:rPr>
        <w:t xml:space="preserve"> of Directors</w:t>
      </w:r>
      <w:r>
        <w:rPr>
          <w:rFonts w:cs="Arial"/>
        </w:rPr>
        <w:t>.  Its primary aim is to provide</w:t>
      </w:r>
      <w:r w:rsidR="00C91374">
        <w:rPr>
          <w:rFonts w:cs="Arial"/>
        </w:rPr>
        <w:t>,</w:t>
      </w:r>
      <w:r>
        <w:rPr>
          <w:rFonts w:cs="Arial"/>
        </w:rPr>
        <w:t xml:space="preserve"> </w:t>
      </w:r>
      <w:r w:rsidR="00D936BB">
        <w:rPr>
          <w:rFonts w:cs="Arial"/>
        </w:rPr>
        <w:t>for information</w:t>
      </w:r>
      <w:r w:rsidR="00C91374">
        <w:rPr>
          <w:rFonts w:cs="Arial"/>
        </w:rPr>
        <w:t>,</w:t>
      </w:r>
      <w:r w:rsidR="00D936BB">
        <w:rPr>
          <w:rFonts w:cs="Arial"/>
        </w:rPr>
        <w:t xml:space="preserve"> </w:t>
      </w:r>
      <w:r>
        <w:rPr>
          <w:rFonts w:cs="Arial"/>
        </w:rPr>
        <w:t>an overview of cu</w:t>
      </w:r>
      <w:r w:rsidR="00D936BB">
        <w:rPr>
          <w:rFonts w:cs="Arial"/>
        </w:rPr>
        <w:t xml:space="preserve">rrent R&amp;D </w:t>
      </w:r>
      <w:r w:rsidR="00C91374">
        <w:rPr>
          <w:rFonts w:cs="Arial"/>
        </w:rPr>
        <w:t xml:space="preserve">activity </w:t>
      </w:r>
      <w:r w:rsidR="00D936BB">
        <w:rPr>
          <w:rFonts w:cs="Arial"/>
        </w:rPr>
        <w:t>within the Trust.</w:t>
      </w:r>
    </w:p>
    <w:p w:rsidR="006D7D89" w:rsidRDefault="006D7D89" w:rsidP="0073522A">
      <w:pPr>
        <w:rPr>
          <w:rFonts w:cs="Arial"/>
          <w:b/>
          <w:sz w:val="28"/>
          <w:szCs w:val="28"/>
        </w:rPr>
      </w:pPr>
    </w:p>
    <w:p w:rsidR="00CE32B2" w:rsidRDefault="00CE32B2" w:rsidP="0073522A">
      <w:pPr>
        <w:rPr>
          <w:rFonts w:cs="Arial"/>
          <w:b/>
          <w:sz w:val="28"/>
          <w:szCs w:val="28"/>
        </w:rPr>
      </w:pPr>
    </w:p>
    <w:p w:rsidR="00CE32B2" w:rsidRDefault="00CE32B2" w:rsidP="0073522A">
      <w:pPr>
        <w:rPr>
          <w:rFonts w:cs="Arial"/>
          <w:b/>
          <w:sz w:val="28"/>
          <w:szCs w:val="28"/>
        </w:rPr>
      </w:pPr>
    </w:p>
    <w:p w:rsidR="00BA3B3E" w:rsidRPr="00A941AF" w:rsidRDefault="00BA3B3E" w:rsidP="0073522A">
      <w:pPr>
        <w:rPr>
          <w:rFonts w:cs="Arial"/>
          <w:sz w:val="28"/>
          <w:szCs w:val="28"/>
        </w:rPr>
      </w:pPr>
      <w:r w:rsidRPr="00A941AF">
        <w:rPr>
          <w:rFonts w:cs="Arial"/>
          <w:b/>
          <w:sz w:val="28"/>
          <w:szCs w:val="28"/>
        </w:rPr>
        <w:lastRenderedPageBreak/>
        <w:t>Report</w:t>
      </w:r>
    </w:p>
    <w:p w:rsidR="00BA3B3E" w:rsidRPr="00A51501" w:rsidRDefault="00B466A4" w:rsidP="00A51501">
      <w:pPr>
        <w:pStyle w:val="Heading1"/>
      </w:pPr>
      <w:r w:rsidRPr="00A941AF">
        <w:t>Clinical Quality and Care</w:t>
      </w:r>
    </w:p>
    <w:p w:rsidR="0069120C" w:rsidRPr="003F445B" w:rsidRDefault="00A941AF" w:rsidP="009B51DB">
      <w:pPr>
        <w:rPr>
          <w:lang w:val="en-GB"/>
        </w:rPr>
      </w:pPr>
      <w:r w:rsidRPr="00D74561">
        <w:rPr>
          <w:lang w:val="en-GB"/>
        </w:rPr>
        <w:t>It is increa</w:t>
      </w:r>
      <w:r>
        <w:rPr>
          <w:lang w:val="en-GB"/>
        </w:rPr>
        <w:t xml:space="preserve">singly recognised that participation in research produces widespread benefits for patients and, more generally, improvements in quality of care. </w:t>
      </w:r>
      <w:r w:rsidR="00236A0A">
        <w:rPr>
          <w:lang w:val="en-GB"/>
        </w:rPr>
        <w:t xml:space="preserve"> </w:t>
      </w:r>
      <w:r>
        <w:rPr>
          <w:lang w:val="en-GB"/>
        </w:rPr>
        <w:t xml:space="preserve">Research active clinical services are more likely both to generate and </w:t>
      </w:r>
      <w:r w:rsidR="00653AFF">
        <w:rPr>
          <w:lang w:val="en-GB"/>
        </w:rPr>
        <w:t>speed access</w:t>
      </w:r>
      <w:r>
        <w:rPr>
          <w:lang w:val="en-GB"/>
        </w:rPr>
        <w:t xml:space="preserve"> to innovations in health care</w:t>
      </w:r>
      <w:r w:rsidR="00653AFF">
        <w:rPr>
          <w:lang w:val="en-GB"/>
        </w:rPr>
        <w:t>.</w:t>
      </w:r>
      <w:r>
        <w:rPr>
          <w:lang w:val="en-GB"/>
        </w:rPr>
        <w:t xml:space="preserve"> </w:t>
      </w:r>
      <w:r w:rsidR="00236A0A">
        <w:rPr>
          <w:lang w:val="en-GB"/>
        </w:rPr>
        <w:t xml:space="preserve"> </w:t>
      </w:r>
      <w:r w:rsidR="00653AFF">
        <w:rPr>
          <w:lang w:val="en-GB"/>
        </w:rPr>
        <w:t>T</w:t>
      </w:r>
      <w:r>
        <w:rPr>
          <w:lang w:val="en-GB"/>
        </w:rPr>
        <w:t xml:space="preserve">he high levels of quality assurance required in research governance and ethical approval procedures can drive up the </w:t>
      </w:r>
      <w:r w:rsidR="009314B3">
        <w:rPr>
          <w:lang w:val="en-GB"/>
        </w:rPr>
        <w:t xml:space="preserve">rigour and </w:t>
      </w:r>
      <w:r>
        <w:rPr>
          <w:lang w:val="en-GB"/>
        </w:rPr>
        <w:t xml:space="preserve">quality of routine clinical care. </w:t>
      </w:r>
      <w:r w:rsidR="00236A0A">
        <w:rPr>
          <w:lang w:val="en-GB"/>
        </w:rPr>
        <w:t xml:space="preserve"> </w:t>
      </w:r>
      <w:r>
        <w:rPr>
          <w:lang w:val="en-GB"/>
        </w:rPr>
        <w:t>Research often requires cutting edge scientific infrastructure – for example brain imaging facilities - which can also be used for routine clinical care</w:t>
      </w:r>
      <w:r w:rsidR="00653AFF">
        <w:rPr>
          <w:lang w:val="en-GB"/>
        </w:rPr>
        <w:t xml:space="preserve">. </w:t>
      </w:r>
      <w:r w:rsidR="00236A0A">
        <w:rPr>
          <w:lang w:val="en-GB"/>
        </w:rPr>
        <w:t xml:space="preserve"> </w:t>
      </w:r>
      <w:r w:rsidR="00653AFF">
        <w:rPr>
          <w:lang w:val="en-GB"/>
        </w:rPr>
        <w:t xml:space="preserve">There is also evidence that more academic clinical organisations </w:t>
      </w:r>
      <w:r w:rsidR="009314B3">
        <w:rPr>
          <w:lang w:val="en-GB"/>
        </w:rPr>
        <w:t>are more successful in</w:t>
      </w:r>
      <w:r w:rsidR="00EC1754">
        <w:rPr>
          <w:lang w:val="en-GB"/>
        </w:rPr>
        <w:t xml:space="preserve"> effectively </w:t>
      </w:r>
      <w:r w:rsidR="00653AFF">
        <w:rPr>
          <w:lang w:val="en-GB"/>
        </w:rPr>
        <w:t>recruit</w:t>
      </w:r>
      <w:r w:rsidR="009314B3">
        <w:rPr>
          <w:lang w:val="en-GB"/>
        </w:rPr>
        <w:t>ing</w:t>
      </w:r>
      <w:r w:rsidR="00653AFF">
        <w:rPr>
          <w:lang w:val="en-GB"/>
        </w:rPr>
        <w:t xml:space="preserve"> </w:t>
      </w:r>
      <w:r w:rsidR="00EE7941">
        <w:rPr>
          <w:lang w:val="en-GB"/>
        </w:rPr>
        <w:t xml:space="preserve">and retaining </w:t>
      </w:r>
      <w:r w:rsidR="00653AFF">
        <w:rPr>
          <w:lang w:val="en-GB"/>
        </w:rPr>
        <w:t>high quality</w:t>
      </w:r>
      <w:r w:rsidR="00EC1754">
        <w:rPr>
          <w:lang w:val="en-GB"/>
        </w:rPr>
        <w:t xml:space="preserve"> staff</w:t>
      </w:r>
      <w:r w:rsidR="00653AFF">
        <w:rPr>
          <w:lang w:val="en-GB"/>
        </w:rPr>
        <w:t xml:space="preserve">. </w:t>
      </w:r>
      <w:r w:rsidR="00236A0A">
        <w:rPr>
          <w:lang w:val="en-GB"/>
        </w:rPr>
        <w:t xml:space="preserve"> </w:t>
      </w:r>
      <w:r w:rsidR="00516AE8">
        <w:rPr>
          <w:lang w:val="en-GB"/>
        </w:rPr>
        <w:t>Engagement in R&amp;D activity can increase staff morale, help attract and protect resources and improve the status and profile of a healthcare provider.</w:t>
      </w:r>
    </w:p>
    <w:p w:rsidR="009B51DB" w:rsidRPr="00A51501" w:rsidRDefault="009B51DB" w:rsidP="00A51501">
      <w:pPr>
        <w:pStyle w:val="Heading1"/>
      </w:pPr>
      <w:r w:rsidRPr="00A941AF">
        <w:t>Networks and Collaborations</w:t>
      </w:r>
    </w:p>
    <w:p w:rsidR="00EE7941" w:rsidRDefault="00F36D7C" w:rsidP="00A941AF">
      <w:pPr>
        <w:rPr>
          <w:lang w:val="en-GB"/>
        </w:rPr>
      </w:pPr>
      <w:r>
        <w:rPr>
          <w:lang w:val="en-GB"/>
        </w:rPr>
        <w:t>The Trust continues to engage in research activity, particularly within the area of mental health, where it is acknowledged we are in the top three nationally.  The Trust is looking at the remodelling of clinical services including</w:t>
      </w:r>
      <w:r w:rsidR="00EE7941">
        <w:rPr>
          <w:lang w:val="en-GB"/>
        </w:rPr>
        <w:t xml:space="preserve"> physical and integrated healthcare services. </w:t>
      </w:r>
      <w:r w:rsidR="00236A0A">
        <w:rPr>
          <w:lang w:val="en-GB"/>
        </w:rPr>
        <w:t xml:space="preserve"> </w:t>
      </w:r>
      <w:r w:rsidR="00EE7941">
        <w:rPr>
          <w:lang w:val="en-GB"/>
        </w:rPr>
        <w:t xml:space="preserve">In order to do this successfully, effective involvement in networks and collaborations is </w:t>
      </w:r>
      <w:proofErr w:type="gramStart"/>
      <w:r w:rsidR="00EE7941">
        <w:rPr>
          <w:lang w:val="en-GB"/>
        </w:rPr>
        <w:t>key</w:t>
      </w:r>
      <w:proofErr w:type="gramEnd"/>
      <w:r w:rsidR="00EE7941">
        <w:rPr>
          <w:lang w:val="en-GB"/>
        </w:rPr>
        <w:t>.</w:t>
      </w:r>
    </w:p>
    <w:p w:rsidR="009314B3" w:rsidRDefault="00A941AF" w:rsidP="00A941AF">
      <w:pPr>
        <w:rPr>
          <w:lang w:val="en-GB"/>
        </w:rPr>
      </w:pPr>
      <w:r>
        <w:rPr>
          <w:lang w:val="en-GB"/>
        </w:rPr>
        <w:t>There have been a number of major NHS initiatives aimed at increasing research productivity and accelerating the adoption and diffusion of innovation into clinical practice</w:t>
      </w:r>
      <w:r w:rsidR="009314B3">
        <w:rPr>
          <w:lang w:val="en-GB"/>
        </w:rPr>
        <w:t xml:space="preserve"> including:</w:t>
      </w:r>
    </w:p>
    <w:p w:rsidR="009314B3" w:rsidRPr="009314B3" w:rsidRDefault="009314B3" w:rsidP="009314B3">
      <w:pPr>
        <w:pStyle w:val="ListParagraph"/>
        <w:numPr>
          <w:ilvl w:val="0"/>
          <w:numId w:val="6"/>
        </w:numPr>
        <w:rPr>
          <w:lang w:val="en-GB"/>
        </w:rPr>
      </w:pPr>
      <w:r>
        <w:rPr>
          <w:lang w:val="en-GB"/>
        </w:rPr>
        <w:t>T</w:t>
      </w:r>
      <w:r w:rsidR="00A941AF" w:rsidRPr="009314B3">
        <w:rPr>
          <w:lang w:val="en-GB"/>
        </w:rPr>
        <w:t>he creation of Academic Health Sciences Networks</w:t>
      </w:r>
      <w:r>
        <w:rPr>
          <w:lang w:val="en-GB"/>
        </w:rPr>
        <w:t xml:space="preserve"> (AHSN), which followed</w:t>
      </w:r>
      <w:r w:rsidRPr="009314B3">
        <w:rPr>
          <w:lang w:val="en-GB"/>
        </w:rPr>
        <w:t xml:space="preserve"> the publication of </w:t>
      </w:r>
      <w:r w:rsidRPr="009314B3">
        <w:rPr>
          <w:i/>
          <w:lang w:val="en-GB"/>
        </w:rPr>
        <w:t>Innovation Health and Wealt</w:t>
      </w:r>
      <w:r>
        <w:rPr>
          <w:i/>
          <w:lang w:val="en-GB"/>
        </w:rPr>
        <w:t>h</w:t>
      </w:r>
      <w:r>
        <w:rPr>
          <w:lang w:val="en-GB"/>
        </w:rPr>
        <w:t xml:space="preserve">. </w:t>
      </w:r>
      <w:r w:rsidR="00236A0A">
        <w:rPr>
          <w:lang w:val="en-GB"/>
        </w:rPr>
        <w:t xml:space="preserve"> </w:t>
      </w:r>
      <w:r>
        <w:rPr>
          <w:lang w:val="en-GB"/>
        </w:rPr>
        <w:t xml:space="preserve">The </w:t>
      </w:r>
      <w:r w:rsidR="006F36A4">
        <w:rPr>
          <w:lang w:val="en-GB"/>
        </w:rPr>
        <w:t>Oxford</w:t>
      </w:r>
      <w:r>
        <w:rPr>
          <w:lang w:val="en-GB"/>
        </w:rPr>
        <w:t xml:space="preserve"> AHSN has recently </w:t>
      </w:r>
      <w:r w:rsidR="00EE7941">
        <w:rPr>
          <w:lang w:val="en-GB"/>
        </w:rPr>
        <w:t xml:space="preserve">successfully </w:t>
      </w:r>
      <w:r>
        <w:rPr>
          <w:lang w:val="en-GB"/>
        </w:rPr>
        <w:t>been authorised</w:t>
      </w:r>
      <w:r w:rsidR="00237382">
        <w:rPr>
          <w:lang w:val="en-GB"/>
        </w:rPr>
        <w:t xml:space="preserve"> and the Trust is closely involved in the Network</w:t>
      </w:r>
      <w:r w:rsidR="00EE7941">
        <w:rPr>
          <w:lang w:val="en-GB"/>
        </w:rPr>
        <w:t xml:space="preserve"> which brings a range of new opportunities</w:t>
      </w:r>
      <w:r>
        <w:rPr>
          <w:lang w:val="en-GB"/>
        </w:rPr>
        <w:t>.</w:t>
      </w:r>
    </w:p>
    <w:p w:rsidR="009314B3" w:rsidRDefault="00EE7941" w:rsidP="009314B3">
      <w:pPr>
        <w:pStyle w:val="ListParagraph"/>
        <w:numPr>
          <w:ilvl w:val="0"/>
          <w:numId w:val="6"/>
        </w:numPr>
        <w:rPr>
          <w:lang w:val="en-GB"/>
        </w:rPr>
      </w:pPr>
      <w:r>
        <w:rPr>
          <w:lang w:val="en-GB"/>
        </w:rPr>
        <w:t xml:space="preserve">The creation of </w:t>
      </w:r>
      <w:r w:rsidR="00A941AF" w:rsidRPr="009314B3">
        <w:rPr>
          <w:lang w:val="en-GB"/>
        </w:rPr>
        <w:t>Collaboration for Leadership in Applied Health Research and Care</w:t>
      </w:r>
      <w:r w:rsidR="009314B3">
        <w:rPr>
          <w:lang w:val="en-GB"/>
        </w:rPr>
        <w:t xml:space="preserve"> (CLAHRC)</w:t>
      </w:r>
      <w:r>
        <w:rPr>
          <w:lang w:val="en-GB"/>
        </w:rPr>
        <w:t xml:space="preserve"> centres</w:t>
      </w:r>
      <w:r w:rsidR="00A941AF" w:rsidRPr="009314B3">
        <w:rPr>
          <w:lang w:val="en-GB"/>
        </w:rPr>
        <w:t>.</w:t>
      </w:r>
      <w:r w:rsidR="00236A0A">
        <w:rPr>
          <w:lang w:val="en-GB"/>
        </w:rPr>
        <w:t xml:space="preserve"> </w:t>
      </w:r>
      <w:r w:rsidR="00A941AF" w:rsidRPr="009314B3">
        <w:rPr>
          <w:lang w:val="en-GB"/>
        </w:rPr>
        <w:t xml:space="preserve"> </w:t>
      </w:r>
      <w:r>
        <w:rPr>
          <w:lang w:val="en-GB"/>
        </w:rPr>
        <w:t xml:space="preserve">The Trust </w:t>
      </w:r>
      <w:r w:rsidR="00CE32B2">
        <w:rPr>
          <w:lang w:val="en-GB"/>
        </w:rPr>
        <w:t>is the lead Trust</w:t>
      </w:r>
      <w:r w:rsidRPr="009314B3">
        <w:rPr>
          <w:lang w:val="en-GB"/>
        </w:rPr>
        <w:t xml:space="preserve"> for an Oxford</w:t>
      </w:r>
      <w:r w:rsidR="00CE32B2">
        <w:rPr>
          <w:lang w:val="en-GB"/>
        </w:rPr>
        <w:t xml:space="preserve"> CLAHRC which has recently</w:t>
      </w:r>
      <w:r>
        <w:rPr>
          <w:lang w:val="en-GB"/>
        </w:rPr>
        <w:t xml:space="preserve"> been </w:t>
      </w:r>
      <w:r w:rsidR="00F36D7C">
        <w:rPr>
          <w:lang w:val="en-GB"/>
        </w:rPr>
        <w:t>awarded</w:t>
      </w:r>
      <w:r>
        <w:rPr>
          <w:lang w:val="en-GB"/>
        </w:rPr>
        <w:t>.</w:t>
      </w:r>
    </w:p>
    <w:p w:rsidR="00F36D7C" w:rsidRPr="00112658" w:rsidRDefault="00F36D7C" w:rsidP="009314B3">
      <w:pPr>
        <w:pStyle w:val="ListParagraph"/>
        <w:numPr>
          <w:ilvl w:val="0"/>
          <w:numId w:val="6"/>
        </w:numPr>
        <w:rPr>
          <w:lang w:val="en-GB"/>
        </w:rPr>
      </w:pPr>
      <w:r>
        <w:rPr>
          <w:lang w:val="en-GB"/>
        </w:rPr>
        <w:t>The creation of four new</w:t>
      </w:r>
      <w:r w:rsidRPr="00F36D7C">
        <w:rPr>
          <w:rFonts w:cs="Arial"/>
          <w:color w:val="000000"/>
        </w:rPr>
        <w:t xml:space="preserve"> </w:t>
      </w:r>
      <w:r>
        <w:rPr>
          <w:rFonts w:cs="Arial"/>
          <w:color w:val="000000"/>
        </w:rPr>
        <w:t>Diagnostic Evidence Co-operatives (DEC) to improve the way diseases are diagnosed.  The Trust has been awarded one of the four</w:t>
      </w:r>
    </w:p>
    <w:p w:rsidR="006F36A4" w:rsidRPr="00D67B8D" w:rsidRDefault="00E56B5A" w:rsidP="006D7D89">
      <w:pPr>
        <w:pStyle w:val="Heading2"/>
      </w:pPr>
      <w:r w:rsidRPr="00D67B8D">
        <w:t>Opportunities for further Collaborations include:</w:t>
      </w:r>
    </w:p>
    <w:p w:rsidR="00CE32B2" w:rsidRPr="00CE32B2" w:rsidRDefault="00CE32B2">
      <w:pPr>
        <w:pStyle w:val="ListParagraph"/>
        <w:numPr>
          <w:ilvl w:val="0"/>
          <w:numId w:val="6"/>
        </w:numPr>
        <w:spacing w:after="29"/>
        <w:rPr>
          <w:sz w:val="22"/>
          <w:szCs w:val="22"/>
        </w:rPr>
      </w:pPr>
      <w:r>
        <w:rPr>
          <w:lang w:val="en-GB"/>
        </w:rPr>
        <w:t>The Trust has played an important role in the development of the Oxford Academic Health Consortium (OAHC) which has fed into the proposed Oxford Academic Health Sciences Centre.</w:t>
      </w:r>
    </w:p>
    <w:p w:rsidR="00D67B8D" w:rsidRDefault="006F36A4">
      <w:pPr>
        <w:pStyle w:val="ListParagraph"/>
        <w:numPr>
          <w:ilvl w:val="0"/>
          <w:numId w:val="6"/>
        </w:numPr>
        <w:spacing w:after="29"/>
        <w:rPr>
          <w:sz w:val="22"/>
          <w:szCs w:val="22"/>
        </w:rPr>
      </w:pPr>
      <w:r w:rsidRPr="009314B3">
        <w:rPr>
          <w:lang w:val="en-GB"/>
        </w:rPr>
        <w:t xml:space="preserve">The </w:t>
      </w:r>
      <w:r>
        <w:rPr>
          <w:lang w:val="en-GB"/>
        </w:rPr>
        <w:t xml:space="preserve">Oxford </w:t>
      </w:r>
      <w:r w:rsidR="00CE32B2">
        <w:rPr>
          <w:lang w:val="en-GB"/>
        </w:rPr>
        <w:t>Academic Health Sciences Centre</w:t>
      </w:r>
      <w:r>
        <w:rPr>
          <w:lang w:val="en-GB"/>
        </w:rPr>
        <w:t xml:space="preserve"> (AHSC)</w:t>
      </w:r>
      <w:r w:rsidRPr="009314B3">
        <w:rPr>
          <w:lang w:val="en-GB"/>
        </w:rPr>
        <w:t>.</w:t>
      </w:r>
      <w:r>
        <w:rPr>
          <w:lang w:val="en-GB"/>
        </w:rPr>
        <w:t xml:space="preserve"> The Trust has played an important role in the recently submitted AHSC application</w:t>
      </w:r>
      <w:r w:rsidR="00503868">
        <w:rPr>
          <w:lang w:val="en-GB"/>
        </w:rPr>
        <w:t xml:space="preserve"> which was shortlisted and interviewed</w:t>
      </w:r>
      <w:r>
        <w:rPr>
          <w:lang w:val="en-GB"/>
        </w:rPr>
        <w:t>.</w:t>
      </w:r>
      <w:r w:rsidR="004028CD">
        <w:rPr>
          <w:lang w:val="en-GB"/>
        </w:rPr>
        <w:t xml:space="preserve">  The process now is: </w:t>
      </w:r>
    </w:p>
    <w:p w:rsidR="00D67B8D" w:rsidRPr="00D67B8D" w:rsidRDefault="00CE32B2" w:rsidP="00D67B8D">
      <w:pPr>
        <w:pStyle w:val="ListParagraph"/>
        <w:numPr>
          <w:ilvl w:val="1"/>
          <w:numId w:val="6"/>
        </w:numPr>
      </w:pPr>
      <w:r>
        <w:lastRenderedPageBreak/>
        <w:t>The Designation Panel has reviewed</w:t>
      </w:r>
      <w:r w:rsidR="00E56B5A" w:rsidRPr="00D67B8D">
        <w:t xml:space="preserve"> </w:t>
      </w:r>
      <w:r>
        <w:t>full applications and interviewed</w:t>
      </w:r>
      <w:r w:rsidR="00E56B5A" w:rsidRPr="00D67B8D">
        <w:t xml:space="preserve"> shortlisted NHS provider/university partnerships before making recommendations on AHSC designations to the Department of Health; </w:t>
      </w:r>
    </w:p>
    <w:p w:rsidR="00D67B8D" w:rsidRPr="00D67B8D" w:rsidRDefault="004028CD" w:rsidP="00D67B8D">
      <w:pPr>
        <w:pStyle w:val="ListParagraph"/>
        <w:numPr>
          <w:ilvl w:val="1"/>
          <w:numId w:val="6"/>
        </w:numPr>
      </w:pPr>
      <w:r w:rsidRPr="00D67B8D">
        <w:t xml:space="preserve">November/December 2013: Department of Health confirms selected AHSCs; </w:t>
      </w:r>
    </w:p>
    <w:p w:rsidR="00D67B8D" w:rsidRPr="00D67B8D" w:rsidRDefault="004028CD" w:rsidP="00D67B8D">
      <w:pPr>
        <w:pStyle w:val="ListParagraph"/>
        <w:numPr>
          <w:ilvl w:val="1"/>
          <w:numId w:val="6"/>
        </w:numPr>
      </w:pPr>
      <w:r w:rsidRPr="00D67B8D">
        <w:t xml:space="preserve">April 2014: New designation for selected AHSCs commences. </w:t>
      </w:r>
    </w:p>
    <w:p w:rsidR="0069120C" w:rsidRDefault="004028CD" w:rsidP="003F445B">
      <w:pPr>
        <w:pStyle w:val="ListParagraph"/>
        <w:numPr>
          <w:ilvl w:val="0"/>
          <w:numId w:val="6"/>
        </w:numPr>
      </w:pPr>
      <w:r>
        <w:t>The Trust has been approach by Berkshire</w:t>
      </w:r>
      <w:r w:rsidR="00232337">
        <w:t xml:space="preserve"> NHS Foundation Trust and Bath University to consider some form of collaboration. Meetings will take place later in the year to look into the options. </w:t>
      </w:r>
    </w:p>
    <w:p w:rsidR="009131A4" w:rsidRDefault="009131A4" w:rsidP="009131A4">
      <w:pPr>
        <w:pStyle w:val="Heading2"/>
      </w:pPr>
      <w:r>
        <w:t>NIHR Networks</w:t>
      </w:r>
      <w:r w:rsidRPr="009131A4">
        <w:t xml:space="preserve"> </w:t>
      </w:r>
    </w:p>
    <w:p w:rsidR="009131A4" w:rsidRPr="009131A4" w:rsidRDefault="009131A4" w:rsidP="009131A4">
      <w:r w:rsidRPr="009131A4">
        <w:t xml:space="preserve">The NIHR infrastructure </w:t>
      </w:r>
      <w:r>
        <w:t xml:space="preserve">in England </w:t>
      </w:r>
      <w:r w:rsidRPr="009131A4">
        <w:t xml:space="preserve">is due to change.  Currently there are 25 Comprehensive Local Research Networks in addition to various topic specific </w:t>
      </w:r>
      <w:r>
        <w:t>networks</w:t>
      </w:r>
      <w:r w:rsidRPr="009131A4">
        <w:t xml:space="preserve"> for cancer, medicines for children, stroke, diabetes, primary care,</w:t>
      </w:r>
      <w:r>
        <w:t xml:space="preserve"> d</w:t>
      </w:r>
      <w:r w:rsidRPr="009131A4">
        <w:t xml:space="preserve">ementias and </w:t>
      </w:r>
      <w:r>
        <w:t>n</w:t>
      </w:r>
      <w:r w:rsidRPr="009131A4">
        <w:t xml:space="preserve">eurodegenerative </w:t>
      </w:r>
      <w:r>
        <w:t>d</w:t>
      </w:r>
      <w:r w:rsidRPr="009131A4">
        <w:t xml:space="preserve">iseases </w:t>
      </w:r>
      <w:r>
        <w:t xml:space="preserve">and mental health.  From April 2014 these will be replaced by 15 NIHR Local Clinical Research Networks (LCRN) and be responsible for the distribution of £280 million of NIHR funding per year.  </w:t>
      </w:r>
      <w:r w:rsidR="006C27DA">
        <w:t xml:space="preserve">These LCRNs will have boundary alignment with the AHSN areas.  </w:t>
      </w:r>
      <w:r>
        <w:t xml:space="preserve">The Thames Valley LCRN </w:t>
      </w:r>
      <w:r w:rsidR="006C27DA">
        <w:t xml:space="preserve">is within the Oxford AHSN area and </w:t>
      </w:r>
      <w:r>
        <w:t>will be hosted by Oxford University Hospitals NHS Trust</w:t>
      </w:r>
      <w:r w:rsidR="002E1562">
        <w:t>, with anticipated funding of £13milion</w:t>
      </w:r>
      <w:r w:rsidR="00EE615E">
        <w:t>.  Each of the NIHR LCRN</w:t>
      </w:r>
      <w:r w:rsidR="002E1562">
        <w:t>s</w:t>
      </w:r>
      <w:r w:rsidR="00EE615E">
        <w:t xml:space="preserve"> will </w:t>
      </w:r>
      <w:r w:rsidR="002E1562">
        <w:t>now cover all therapy areas</w:t>
      </w:r>
      <w:r w:rsidR="006C27DA">
        <w:t xml:space="preserve"> and allow flexible deployment of resources</w:t>
      </w:r>
      <w:r w:rsidR="002E1562">
        <w:t>.</w:t>
      </w:r>
    </w:p>
    <w:p w:rsidR="00D03AD6" w:rsidRDefault="00D03AD6" w:rsidP="00D03AD6">
      <w:pPr>
        <w:pStyle w:val="Heading1"/>
      </w:pPr>
      <w:proofErr w:type="gramStart"/>
      <w:r w:rsidRPr="006D7D89">
        <w:t>Research  Governance</w:t>
      </w:r>
      <w:proofErr w:type="gramEnd"/>
    </w:p>
    <w:p w:rsidR="00EE615E" w:rsidRPr="009D6E3B" w:rsidRDefault="00787469" w:rsidP="00EE615E">
      <w:r>
        <w:t xml:space="preserve">Currently R&amp;D reports into the Clinical Effectiveness Committee.  </w:t>
      </w:r>
      <w:r w:rsidR="00EE615E">
        <w:t>The R&amp;D Committee is currently under review in relation to remit, terms of reference and membership.  New sub-committees/meetings are being developed that will report into the R&amp;D Committee, including, CRF Board, Finance, Study Review Panel, Monitoring and Auditing, CRF Users</w:t>
      </w:r>
      <w:r>
        <w:t xml:space="preserve"> and Participant Recruitment</w:t>
      </w:r>
      <w:r w:rsidRPr="00787469">
        <w:t xml:space="preserve"> </w:t>
      </w:r>
      <w:r>
        <w:t>Groups</w:t>
      </w:r>
      <w:r w:rsidR="00503868">
        <w:t>. The future of governance for R &amp; D needs further discussion as the trust develops further in this area.</w:t>
      </w:r>
    </w:p>
    <w:p w:rsidR="00D03AD6" w:rsidRPr="00D03AD6" w:rsidRDefault="009B51DB" w:rsidP="006D7D89">
      <w:pPr>
        <w:pStyle w:val="Heading1"/>
      </w:pPr>
      <w:r w:rsidRPr="00A51501">
        <w:t>Studies and Participant Recruitment</w:t>
      </w:r>
    </w:p>
    <w:p w:rsidR="002D0EB2" w:rsidRDefault="009B51DB" w:rsidP="0069120C">
      <w:pPr>
        <w:rPr>
          <w:lang w:val="en-GB"/>
        </w:rPr>
      </w:pPr>
      <w:r>
        <w:rPr>
          <w:lang w:val="en-GB"/>
        </w:rPr>
        <w:t xml:space="preserve">The Trust </w:t>
      </w:r>
      <w:r w:rsidR="006E23DA">
        <w:rPr>
          <w:lang w:val="en-GB"/>
        </w:rPr>
        <w:t xml:space="preserve">currently </w:t>
      </w:r>
      <w:r>
        <w:rPr>
          <w:lang w:val="en-GB"/>
        </w:rPr>
        <w:t>hosts a number of different research studies, from small student projects to complex commercially sponsored CTIMPs.</w:t>
      </w:r>
    </w:p>
    <w:p w:rsidR="0087117D" w:rsidRDefault="0087117D" w:rsidP="0087117D">
      <w:pPr>
        <w:tabs>
          <w:tab w:val="left" w:pos="7853"/>
        </w:tabs>
        <w:rPr>
          <w:lang w:val="en-GB"/>
        </w:rPr>
      </w:pPr>
      <w:r>
        <w:rPr>
          <w:lang w:val="en-GB"/>
        </w:rPr>
        <w:t>The table below shows current research activity ongoing within the Trust. The figures are transient due to projects starting and completing at different times.</w:t>
      </w:r>
    </w:p>
    <w:p w:rsidR="00112658" w:rsidRDefault="006D7D89" w:rsidP="0087117D">
      <w:pPr>
        <w:tabs>
          <w:tab w:val="left" w:pos="7853"/>
        </w:tabs>
        <w:rPr>
          <w:lang w:val="en-GB"/>
        </w:rPr>
      </w:pPr>
      <w:r w:rsidRPr="006D7D89">
        <w:rPr>
          <w:noProof/>
          <w:lang w:val="en-GB" w:eastAsia="en-GB"/>
        </w:rPr>
        <w:drawing>
          <wp:inline distT="0" distB="0" distL="0" distR="0">
            <wp:extent cx="6332220" cy="1263652"/>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332220" cy="1263652"/>
                    </a:xfrm>
                    <a:prstGeom prst="rect">
                      <a:avLst/>
                    </a:prstGeom>
                    <a:noFill/>
                    <a:ln w="9525">
                      <a:noFill/>
                      <a:miter lim="800000"/>
                      <a:headEnd/>
                      <a:tailEnd/>
                    </a:ln>
                  </pic:spPr>
                </pic:pic>
              </a:graphicData>
            </a:graphic>
          </wp:inline>
        </w:drawing>
      </w:r>
    </w:p>
    <w:p w:rsidR="0087117D" w:rsidRPr="0087117D" w:rsidRDefault="0087117D" w:rsidP="00A941AF">
      <w:pPr>
        <w:tabs>
          <w:tab w:val="left" w:pos="7853"/>
        </w:tabs>
        <w:spacing w:before="0" w:after="0"/>
        <w:jc w:val="left"/>
        <w:rPr>
          <w:sz w:val="16"/>
          <w:szCs w:val="16"/>
          <w:lang w:val="en-GB"/>
        </w:rPr>
      </w:pPr>
      <w:r w:rsidRPr="0087117D">
        <w:rPr>
          <w:sz w:val="16"/>
          <w:szCs w:val="16"/>
          <w:lang w:val="en-GB"/>
        </w:rPr>
        <w:lastRenderedPageBreak/>
        <w:t>Key:</w:t>
      </w:r>
      <w:r w:rsidR="00A941AF">
        <w:rPr>
          <w:sz w:val="16"/>
          <w:szCs w:val="16"/>
          <w:lang w:val="en-GB"/>
        </w:rPr>
        <w:t xml:space="preserve">  </w:t>
      </w:r>
      <w:r w:rsidRPr="0087117D">
        <w:rPr>
          <w:sz w:val="16"/>
          <w:szCs w:val="16"/>
          <w:lang w:val="en-GB"/>
        </w:rPr>
        <w:t>PIC – Participant identification centre</w:t>
      </w:r>
    </w:p>
    <w:p w:rsidR="0087117D" w:rsidRPr="0087117D" w:rsidRDefault="00A941AF" w:rsidP="00A941AF">
      <w:pPr>
        <w:tabs>
          <w:tab w:val="left" w:pos="7853"/>
        </w:tabs>
        <w:spacing w:before="0" w:after="0"/>
        <w:jc w:val="left"/>
        <w:rPr>
          <w:sz w:val="16"/>
          <w:szCs w:val="16"/>
          <w:lang w:val="en-GB"/>
        </w:rPr>
      </w:pPr>
      <w:r>
        <w:rPr>
          <w:sz w:val="16"/>
          <w:szCs w:val="16"/>
          <w:lang w:val="en-GB"/>
        </w:rPr>
        <w:t xml:space="preserve">          </w:t>
      </w:r>
      <w:r w:rsidR="0087117D" w:rsidRPr="0087117D">
        <w:rPr>
          <w:sz w:val="16"/>
          <w:szCs w:val="16"/>
          <w:lang w:val="en-GB"/>
        </w:rPr>
        <w:t>CTIMP – Clinical Trial of Investigational Medicinal Product</w:t>
      </w:r>
    </w:p>
    <w:p w:rsidR="0087117D" w:rsidRPr="0087117D" w:rsidRDefault="00A941AF" w:rsidP="00A941AF">
      <w:pPr>
        <w:tabs>
          <w:tab w:val="left" w:pos="7853"/>
        </w:tabs>
        <w:spacing w:before="0" w:after="0"/>
        <w:jc w:val="left"/>
        <w:rPr>
          <w:sz w:val="16"/>
          <w:szCs w:val="16"/>
          <w:lang w:val="en-GB"/>
        </w:rPr>
      </w:pPr>
      <w:r>
        <w:rPr>
          <w:sz w:val="16"/>
          <w:szCs w:val="16"/>
          <w:lang w:val="en-GB"/>
        </w:rPr>
        <w:t xml:space="preserve">          </w:t>
      </w:r>
      <w:r w:rsidR="0087117D" w:rsidRPr="0087117D">
        <w:rPr>
          <w:sz w:val="16"/>
          <w:szCs w:val="16"/>
          <w:lang w:val="en-GB"/>
        </w:rPr>
        <w:t>NIHR –</w:t>
      </w:r>
      <w:r w:rsidR="0087117D">
        <w:rPr>
          <w:sz w:val="16"/>
          <w:szCs w:val="16"/>
          <w:lang w:val="en-GB"/>
        </w:rPr>
        <w:t xml:space="preserve"> N</w:t>
      </w:r>
      <w:r w:rsidR="0087117D" w:rsidRPr="0087117D">
        <w:rPr>
          <w:sz w:val="16"/>
          <w:szCs w:val="16"/>
          <w:lang w:val="en-GB"/>
        </w:rPr>
        <w:t>ational Institute for Health Research</w:t>
      </w:r>
    </w:p>
    <w:p w:rsidR="0087117D" w:rsidRDefault="00A941AF" w:rsidP="00A941AF">
      <w:pPr>
        <w:tabs>
          <w:tab w:val="left" w:pos="7853"/>
        </w:tabs>
        <w:spacing w:before="0" w:after="0"/>
        <w:jc w:val="left"/>
        <w:rPr>
          <w:sz w:val="16"/>
          <w:szCs w:val="16"/>
          <w:lang w:val="en-GB"/>
        </w:rPr>
      </w:pPr>
      <w:r>
        <w:rPr>
          <w:sz w:val="16"/>
          <w:szCs w:val="16"/>
          <w:lang w:val="en-GB"/>
        </w:rPr>
        <w:t xml:space="preserve">          </w:t>
      </w:r>
      <w:r w:rsidR="0087117D" w:rsidRPr="0087117D">
        <w:rPr>
          <w:sz w:val="16"/>
          <w:szCs w:val="16"/>
          <w:lang w:val="en-GB"/>
        </w:rPr>
        <w:t>UKCRN – UK Clinical Research Network</w:t>
      </w:r>
    </w:p>
    <w:p w:rsidR="0087117D" w:rsidRDefault="00A941AF" w:rsidP="00A941AF">
      <w:pPr>
        <w:tabs>
          <w:tab w:val="left" w:pos="7853"/>
        </w:tabs>
        <w:spacing w:before="0" w:after="0"/>
        <w:jc w:val="left"/>
        <w:rPr>
          <w:sz w:val="16"/>
          <w:szCs w:val="16"/>
          <w:lang w:val="en-GB"/>
        </w:rPr>
      </w:pPr>
      <w:r>
        <w:rPr>
          <w:sz w:val="16"/>
          <w:szCs w:val="16"/>
          <w:lang w:val="en-GB"/>
        </w:rPr>
        <w:t xml:space="preserve">          </w:t>
      </w:r>
      <w:r w:rsidR="0087117D">
        <w:rPr>
          <w:sz w:val="16"/>
          <w:szCs w:val="16"/>
          <w:lang w:val="en-GB"/>
        </w:rPr>
        <w:t>CSP – Coordinated System for gaining NHS Permission</w:t>
      </w:r>
    </w:p>
    <w:p w:rsidR="000963FE" w:rsidRDefault="00112658" w:rsidP="0087117D">
      <w:pPr>
        <w:rPr>
          <w:lang w:val="en-GB"/>
        </w:rPr>
      </w:pPr>
      <w:r>
        <w:rPr>
          <w:lang w:val="en-GB"/>
        </w:rPr>
        <w:t xml:space="preserve">Within the Trust there is a transient flow of research studies which is </w:t>
      </w:r>
      <w:r w:rsidR="0087117D">
        <w:rPr>
          <w:lang w:val="en-GB"/>
        </w:rPr>
        <w:t>typi</w:t>
      </w:r>
      <w:r>
        <w:rPr>
          <w:lang w:val="en-GB"/>
        </w:rPr>
        <w:t>cally around</w:t>
      </w:r>
      <w:r w:rsidR="0087117D">
        <w:rPr>
          <w:lang w:val="en-GB"/>
        </w:rPr>
        <w:t xml:space="preserve"> 100 at any one time.</w:t>
      </w:r>
      <w:r w:rsidR="00236A0A">
        <w:rPr>
          <w:lang w:val="en-GB"/>
        </w:rPr>
        <w:t xml:space="preserve"> </w:t>
      </w:r>
      <w:r w:rsidR="0087117D">
        <w:rPr>
          <w:lang w:val="en-GB"/>
        </w:rPr>
        <w:t xml:space="preserve"> </w:t>
      </w:r>
      <w:r w:rsidR="00F64089">
        <w:rPr>
          <w:lang w:val="en-GB"/>
        </w:rPr>
        <w:t xml:space="preserve">There has been an increase of 16 studies recruiting participants within the Trust over the last six months. </w:t>
      </w:r>
      <w:r w:rsidR="0087117D">
        <w:rPr>
          <w:lang w:val="en-GB"/>
        </w:rPr>
        <w:t xml:space="preserve">The number of NIHR portfolio adopted studies has increased </w:t>
      </w:r>
      <w:r w:rsidR="00F64089">
        <w:rPr>
          <w:lang w:val="en-GB"/>
        </w:rPr>
        <w:t xml:space="preserve">during the last six months from 50 to </w:t>
      </w:r>
      <w:proofErr w:type="gramStart"/>
      <w:r w:rsidR="00F64089">
        <w:rPr>
          <w:lang w:val="en-GB"/>
        </w:rPr>
        <w:t>65,</w:t>
      </w:r>
      <w:proofErr w:type="gramEnd"/>
      <w:r w:rsidR="00F64089">
        <w:rPr>
          <w:lang w:val="en-GB"/>
        </w:rPr>
        <w:t xml:space="preserve"> the Trust is the lead site for 24 or these studies, a </w:t>
      </w:r>
      <w:r w:rsidR="0018103A">
        <w:rPr>
          <w:lang w:val="en-GB"/>
        </w:rPr>
        <w:t xml:space="preserve">small </w:t>
      </w:r>
      <w:r w:rsidR="00F64089">
        <w:rPr>
          <w:lang w:val="en-GB"/>
        </w:rPr>
        <w:t xml:space="preserve">decrease over the past six months.  </w:t>
      </w:r>
      <w:r w:rsidR="000963FE">
        <w:rPr>
          <w:lang w:val="en-GB"/>
        </w:rPr>
        <w:t xml:space="preserve">  </w:t>
      </w:r>
    </w:p>
    <w:p w:rsidR="000963FE" w:rsidRDefault="000963FE" w:rsidP="0087117D">
      <w:pPr>
        <w:rPr>
          <w:lang w:val="en-GB"/>
        </w:rPr>
      </w:pPr>
      <w:r>
        <w:rPr>
          <w:lang w:val="en-GB"/>
        </w:rPr>
        <w:t xml:space="preserve">The number of participants (patients, carers, staff etc) recruited to studies ongoing within the Trust is </w:t>
      </w:r>
      <w:r w:rsidR="006E23DA">
        <w:rPr>
          <w:lang w:val="en-GB"/>
        </w:rPr>
        <w:t xml:space="preserve">a key issue and </w:t>
      </w:r>
      <w:r>
        <w:rPr>
          <w:lang w:val="en-GB"/>
        </w:rPr>
        <w:t>reasonably consistent at approximately 2000 as shown in the table below</w:t>
      </w:r>
      <w:r w:rsidR="006E23DA">
        <w:rPr>
          <w:lang w:val="en-GB"/>
        </w:rPr>
        <w:t>:</w:t>
      </w:r>
    </w:p>
    <w:tbl>
      <w:tblPr>
        <w:tblW w:w="7400" w:type="dxa"/>
        <w:tblInd w:w="98" w:type="dxa"/>
        <w:tblLook w:val="04A0"/>
      </w:tblPr>
      <w:tblGrid>
        <w:gridCol w:w="1383"/>
        <w:gridCol w:w="1437"/>
        <w:gridCol w:w="1203"/>
        <w:gridCol w:w="1203"/>
        <w:gridCol w:w="1203"/>
        <w:gridCol w:w="1203"/>
      </w:tblGrid>
      <w:tr w:rsidR="002D0EB2" w:rsidRPr="002D0EB2" w:rsidTr="002D0EB2">
        <w:trPr>
          <w:trHeight w:val="540"/>
        </w:trPr>
        <w:tc>
          <w:tcPr>
            <w:tcW w:w="7400" w:type="dxa"/>
            <w:gridSpan w:val="6"/>
            <w:tcBorders>
              <w:top w:val="single" w:sz="8" w:space="0" w:color="auto"/>
              <w:left w:val="single" w:sz="8" w:space="0" w:color="auto"/>
              <w:bottom w:val="single" w:sz="4" w:space="0" w:color="auto"/>
              <w:right w:val="single" w:sz="8" w:space="0" w:color="000000"/>
            </w:tcBorders>
            <w:shd w:val="clear" w:color="000000" w:fill="B8CCE4"/>
            <w:noWrap/>
            <w:vAlign w:val="center"/>
            <w:hideMark/>
          </w:tcPr>
          <w:p w:rsidR="002D0EB2" w:rsidRPr="002D0EB2" w:rsidRDefault="002D0EB2" w:rsidP="002D0EB2">
            <w:pPr>
              <w:spacing w:before="0" w:after="0"/>
              <w:jc w:val="center"/>
              <w:rPr>
                <w:rFonts w:ascii="Calibri" w:hAnsi="Calibri"/>
                <w:b/>
                <w:bCs/>
                <w:color w:val="000000"/>
                <w:sz w:val="22"/>
                <w:szCs w:val="22"/>
                <w:lang w:val="en-GB" w:eastAsia="en-GB"/>
              </w:rPr>
            </w:pPr>
            <w:r w:rsidRPr="002D0EB2">
              <w:rPr>
                <w:rFonts w:ascii="Calibri" w:hAnsi="Calibri"/>
                <w:b/>
                <w:bCs/>
                <w:color w:val="000000"/>
                <w:sz w:val="22"/>
                <w:szCs w:val="22"/>
                <w:lang w:val="en-GB" w:eastAsia="en-GB"/>
              </w:rPr>
              <w:t>All OHFT Site Studies - Recruitment</w:t>
            </w:r>
          </w:p>
        </w:tc>
      </w:tr>
      <w:tr w:rsidR="002D0EB2" w:rsidRPr="002D0EB2" w:rsidTr="002D0EB2">
        <w:trPr>
          <w:trHeight w:val="600"/>
        </w:trPr>
        <w:tc>
          <w:tcPr>
            <w:tcW w:w="1383" w:type="dxa"/>
            <w:tcBorders>
              <w:top w:val="nil"/>
              <w:left w:val="single" w:sz="8" w:space="0" w:color="auto"/>
              <w:bottom w:val="single" w:sz="4" w:space="0" w:color="auto"/>
              <w:right w:val="nil"/>
            </w:tcBorders>
            <w:shd w:val="clear" w:color="auto" w:fill="auto"/>
            <w:noWrap/>
            <w:vAlign w:val="bottom"/>
            <w:hideMark/>
          </w:tcPr>
          <w:p w:rsidR="002D0EB2" w:rsidRPr="002D0EB2" w:rsidRDefault="002D0EB2" w:rsidP="002D0EB2">
            <w:pPr>
              <w:spacing w:before="0" w:after="0"/>
              <w:jc w:val="left"/>
              <w:rPr>
                <w:rFonts w:ascii="Calibri" w:hAnsi="Calibri"/>
                <w:color w:val="000000"/>
                <w:sz w:val="22"/>
                <w:szCs w:val="22"/>
                <w:lang w:val="en-GB" w:eastAsia="en-GB"/>
              </w:rPr>
            </w:pPr>
            <w:r w:rsidRPr="002D0EB2">
              <w:rPr>
                <w:rFonts w:ascii="Calibri" w:hAnsi="Calibri"/>
                <w:color w:val="000000"/>
                <w:sz w:val="22"/>
                <w:szCs w:val="22"/>
                <w:lang w:val="en-GB" w:eastAsia="en-GB"/>
              </w:rPr>
              <w:t> </w:t>
            </w:r>
          </w:p>
        </w:tc>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2D0EB2" w:rsidRPr="002D0EB2" w:rsidRDefault="002D0EB2" w:rsidP="002D0EB2">
            <w:pPr>
              <w:spacing w:before="0" w:after="0"/>
              <w:jc w:val="center"/>
              <w:rPr>
                <w:rFonts w:ascii="Calibri" w:hAnsi="Calibri"/>
                <w:b/>
                <w:bCs/>
                <w:color w:val="000000"/>
                <w:sz w:val="22"/>
                <w:szCs w:val="22"/>
                <w:lang w:val="en-GB" w:eastAsia="en-GB"/>
              </w:rPr>
            </w:pPr>
            <w:r w:rsidRPr="002D0EB2">
              <w:rPr>
                <w:rFonts w:ascii="Calibri" w:hAnsi="Calibri"/>
                <w:b/>
                <w:bCs/>
                <w:color w:val="000000"/>
                <w:sz w:val="22"/>
                <w:szCs w:val="22"/>
                <w:lang w:val="en-GB" w:eastAsia="en-GB"/>
              </w:rPr>
              <w:t>2010/2011</w:t>
            </w:r>
          </w:p>
        </w:tc>
        <w:tc>
          <w:tcPr>
            <w:tcW w:w="1154" w:type="dxa"/>
            <w:tcBorders>
              <w:top w:val="nil"/>
              <w:left w:val="nil"/>
              <w:bottom w:val="single" w:sz="4" w:space="0" w:color="auto"/>
              <w:right w:val="single" w:sz="4" w:space="0" w:color="auto"/>
            </w:tcBorders>
            <w:shd w:val="clear" w:color="auto" w:fill="auto"/>
            <w:noWrap/>
            <w:vAlign w:val="center"/>
            <w:hideMark/>
          </w:tcPr>
          <w:p w:rsidR="002D0EB2" w:rsidRPr="002D0EB2" w:rsidRDefault="002D0EB2" w:rsidP="002D0EB2">
            <w:pPr>
              <w:spacing w:before="0" w:after="0"/>
              <w:jc w:val="center"/>
              <w:rPr>
                <w:rFonts w:ascii="Calibri" w:hAnsi="Calibri"/>
                <w:b/>
                <w:bCs/>
                <w:color w:val="000000"/>
                <w:sz w:val="22"/>
                <w:szCs w:val="22"/>
                <w:lang w:val="en-GB" w:eastAsia="en-GB"/>
              </w:rPr>
            </w:pPr>
            <w:r w:rsidRPr="002D0EB2">
              <w:rPr>
                <w:rFonts w:ascii="Calibri" w:hAnsi="Calibri"/>
                <w:b/>
                <w:bCs/>
                <w:color w:val="000000"/>
                <w:sz w:val="22"/>
                <w:szCs w:val="22"/>
                <w:lang w:val="en-GB" w:eastAsia="en-GB"/>
              </w:rPr>
              <w:t>2011/2012</w:t>
            </w:r>
          </w:p>
        </w:tc>
        <w:tc>
          <w:tcPr>
            <w:tcW w:w="1143" w:type="dxa"/>
            <w:tcBorders>
              <w:top w:val="nil"/>
              <w:left w:val="nil"/>
              <w:bottom w:val="single" w:sz="4" w:space="0" w:color="auto"/>
              <w:right w:val="single" w:sz="4" w:space="0" w:color="auto"/>
            </w:tcBorders>
            <w:shd w:val="clear" w:color="auto" w:fill="auto"/>
            <w:noWrap/>
            <w:vAlign w:val="center"/>
            <w:hideMark/>
          </w:tcPr>
          <w:p w:rsidR="002D0EB2" w:rsidRPr="002D0EB2" w:rsidRDefault="002D0EB2" w:rsidP="002D0EB2">
            <w:pPr>
              <w:spacing w:before="0" w:after="0"/>
              <w:jc w:val="center"/>
              <w:rPr>
                <w:rFonts w:ascii="Calibri" w:hAnsi="Calibri"/>
                <w:b/>
                <w:bCs/>
                <w:color w:val="000000"/>
                <w:sz w:val="22"/>
                <w:szCs w:val="22"/>
                <w:lang w:val="en-GB" w:eastAsia="en-GB"/>
              </w:rPr>
            </w:pPr>
            <w:r w:rsidRPr="002D0EB2">
              <w:rPr>
                <w:rFonts w:ascii="Calibri" w:hAnsi="Calibri"/>
                <w:b/>
                <w:bCs/>
                <w:color w:val="000000"/>
                <w:sz w:val="22"/>
                <w:szCs w:val="22"/>
                <w:lang w:val="en-GB" w:eastAsia="en-GB"/>
              </w:rPr>
              <w:t>2012/2013</w:t>
            </w:r>
          </w:p>
        </w:tc>
        <w:tc>
          <w:tcPr>
            <w:tcW w:w="1113" w:type="dxa"/>
            <w:tcBorders>
              <w:top w:val="nil"/>
              <w:left w:val="nil"/>
              <w:bottom w:val="single" w:sz="4" w:space="0" w:color="auto"/>
              <w:right w:val="single" w:sz="8" w:space="0" w:color="auto"/>
            </w:tcBorders>
            <w:shd w:val="clear" w:color="auto" w:fill="auto"/>
            <w:vAlign w:val="center"/>
            <w:hideMark/>
          </w:tcPr>
          <w:p w:rsidR="002D0EB2" w:rsidRPr="002D0EB2" w:rsidRDefault="002D0EB2" w:rsidP="002D0EB2">
            <w:pPr>
              <w:spacing w:before="0" w:after="0"/>
              <w:jc w:val="center"/>
              <w:rPr>
                <w:rFonts w:ascii="Calibri" w:hAnsi="Calibri"/>
                <w:b/>
                <w:bCs/>
                <w:color w:val="000000"/>
                <w:sz w:val="22"/>
                <w:szCs w:val="22"/>
                <w:lang w:val="en-GB" w:eastAsia="en-GB"/>
              </w:rPr>
            </w:pPr>
            <w:r w:rsidRPr="002D0EB2">
              <w:rPr>
                <w:rFonts w:ascii="Calibri" w:hAnsi="Calibri"/>
                <w:b/>
                <w:bCs/>
                <w:color w:val="000000"/>
                <w:sz w:val="22"/>
                <w:szCs w:val="22"/>
                <w:lang w:val="en-GB" w:eastAsia="en-GB"/>
              </w:rPr>
              <w:t>2013/2014</w:t>
            </w:r>
            <w:r w:rsidRPr="002D0EB2">
              <w:rPr>
                <w:rFonts w:ascii="Calibri" w:hAnsi="Calibri"/>
                <w:b/>
                <w:bCs/>
                <w:color w:val="000000"/>
                <w:sz w:val="22"/>
                <w:szCs w:val="22"/>
                <w:lang w:val="en-GB" w:eastAsia="en-GB"/>
              </w:rPr>
              <w:br/>
            </w:r>
            <w:r w:rsidRPr="002D0EB2">
              <w:rPr>
                <w:rFonts w:ascii="Calibri" w:hAnsi="Calibri"/>
                <w:b/>
                <w:bCs/>
                <w:color w:val="000000"/>
                <w:sz w:val="18"/>
                <w:szCs w:val="18"/>
                <w:lang w:val="en-GB" w:eastAsia="en-GB"/>
              </w:rPr>
              <w:t>Estimate</w:t>
            </w:r>
          </w:p>
        </w:tc>
        <w:tc>
          <w:tcPr>
            <w:tcW w:w="1170" w:type="dxa"/>
            <w:tcBorders>
              <w:top w:val="nil"/>
              <w:left w:val="single" w:sz="4" w:space="0" w:color="auto"/>
              <w:bottom w:val="single" w:sz="4" w:space="0" w:color="auto"/>
              <w:right w:val="single" w:sz="8" w:space="0" w:color="auto"/>
            </w:tcBorders>
            <w:shd w:val="clear" w:color="auto" w:fill="auto"/>
            <w:vAlign w:val="center"/>
            <w:hideMark/>
          </w:tcPr>
          <w:p w:rsidR="002D0EB2" w:rsidRPr="002D0EB2" w:rsidRDefault="002D0EB2" w:rsidP="002D0EB2">
            <w:pPr>
              <w:spacing w:before="0" w:after="0"/>
              <w:jc w:val="center"/>
              <w:rPr>
                <w:rFonts w:ascii="Calibri" w:hAnsi="Calibri"/>
                <w:b/>
                <w:bCs/>
                <w:color w:val="000000"/>
                <w:sz w:val="22"/>
                <w:szCs w:val="22"/>
                <w:lang w:val="en-GB" w:eastAsia="en-GB"/>
              </w:rPr>
            </w:pPr>
            <w:r w:rsidRPr="002D0EB2">
              <w:rPr>
                <w:rFonts w:ascii="Calibri" w:hAnsi="Calibri"/>
                <w:b/>
                <w:bCs/>
                <w:color w:val="000000"/>
                <w:sz w:val="22"/>
                <w:szCs w:val="22"/>
                <w:lang w:val="en-GB" w:eastAsia="en-GB"/>
              </w:rPr>
              <w:t>2013/2014</w:t>
            </w:r>
            <w:r w:rsidRPr="002D0EB2">
              <w:rPr>
                <w:rFonts w:ascii="Calibri" w:hAnsi="Calibri"/>
                <w:b/>
                <w:bCs/>
                <w:color w:val="000000"/>
                <w:sz w:val="22"/>
                <w:szCs w:val="22"/>
                <w:lang w:val="en-GB" w:eastAsia="en-GB"/>
              </w:rPr>
              <w:br/>
            </w:r>
            <w:r w:rsidRPr="002D0EB2">
              <w:rPr>
                <w:rFonts w:ascii="Calibri" w:hAnsi="Calibri"/>
                <w:b/>
                <w:bCs/>
                <w:color w:val="000000"/>
                <w:sz w:val="18"/>
                <w:szCs w:val="18"/>
                <w:lang w:val="en-GB" w:eastAsia="en-GB"/>
              </w:rPr>
              <w:t>Actual to date</w:t>
            </w:r>
          </w:p>
        </w:tc>
      </w:tr>
      <w:tr w:rsidR="002D0EB2" w:rsidRPr="002D0EB2" w:rsidTr="002D0EB2">
        <w:trPr>
          <w:trHeight w:val="435"/>
        </w:trPr>
        <w:tc>
          <w:tcPr>
            <w:tcW w:w="1383" w:type="dxa"/>
            <w:tcBorders>
              <w:top w:val="nil"/>
              <w:left w:val="single" w:sz="8" w:space="0" w:color="auto"/>
              <w:bottom w:val="single" w:sz="4" w:space="0" w:color="auto"/>
              <w:right w:val="nil"/>
            </w:tcBorders>
            <w:shd w:val="clear" w:color="auto" w:fill="auto"/>
            <w:noWrap/>
            <w:vAlign w:val="center"/>
            <w:hideMark/>
          </w:tcPr>
          <w:p w:rsidR="002D0EB2" w:rsidRPr="002D0EB2" w:rsidRDefault="002D0EB2" w:rsidP="002D0EB2">
            <w:pPr>
              <w:spacing w:before="0" w:after="0"/>
              <w:jc w:val="left"/>
              <w:rPr>
                <w:rFonts w:ascii="Calibri" w:hAnsi="Calibri"/>
                <w:b/>
                <w:bCs/>
                <w:color w:val="000000"/>
                <w:sz w:val="22"/>
                <w:szCs w:val="22"/>
                <w:lang w:val="en-GB" w:eastAsia="en-GB"/>
              </w:rPr>
            </w:pPr>
            <w:r w:rsidRPr="002D0EB2">
              <w:rPr>
                <w:rFonts w:ascii="Calibri" w:hAnsi="Calibri"/>
                <w:b/>
                <w:bCs/>
                <w:color w:val="000000"/>
                <w:sz w:val="22"/>
                <w:szCs w:val="22"/>
                <w:lang w:val="en-GB" w:eastAsia="en-GB"/>
              </w:rPr>
              <w:t>Portfolio</w:t>
            </w:r>
          </w:p>
        </w:tc>
        <w:tc>
          <w:tcPr>
            <w:tcW w:w="1437" w:type="dxa"/>
            <w:tcBorders>
              <w:top w:val="nil"/>
              <w:left w:val="single" w:sz="4" w:space="0" w:color="auto"/>
              <w:bottom w:val="single" w:sz="4" w:space="0" w:color="auto"/>
              <w:right w:val="single" w:sz="4" w:space="0" w:color="auto"/>
            </w:tcBorders>
            <w:shd w:val="clear" w:color="auto" w:fill="auto"/>
            <w:vAlign w:val="center"/>
            <w:hideMark/>
          </w:tcPr>
          <w:p w:rsidR="002D0EB2" w:rsidRPr="002D0EB2" w:rsidRDefault="002D0EB2" w:rsidP="002D0EB2">
            <w:pPr>
              <w:spacing w:before="0" w:after="0"/>
              <w:jc w:val="center"/>
              <w:rPr>
                <w:rFonts w:ascii="Calibri" w:hAnsi="Calibri"/>
                <w:color w:val="000000"/>
                <w:sz w:val="22"/>
                <w:szCs w:val="22"/>
                <w:lang w:val="en-GB" w:eastAsia="en-GB"/>
              </w:rPr>
            </w:pPr>
            <w:r w:rsidRPr="002D0EB2">
              <w:rPr>
                <w:rFonts w:ascii="Calibri" w:hAnsi="Calibri"/>
                <w:color w:val="000000"/>
                <w:sz w:val="22"/>
                <w:szCs w:val="22"/>
                <w:lang w:val="en-GB" w:eastAsia="en-GB"/>
              </w:rPr>
              <w:t>1919*</w:t>
            </w:r>
          </w:p>
        </w:tc>
        <w:tc>
          <w:tcPr>
            <w:tcW w:w="1154" w:type="dxa"/>
            <w:tcBorders>
              <w:top w:val="nil"/>
              <w:left w:val="nil"/>
              <w:bottom w:val="single" w:sz="4" w:space="0" w:color="auto"/>
              <w:right w:val="single" w:sz="4" w:space="0" w:color="auto"/>
            </w:tcBorders>
            <w:shd w:val="clear" w:color="auto" w:fill="auto"/>
            <w:vAlign w:val="center"/>
            <w:hideMark/>
          </w:tcPr>
          <w:p w:rsidR="002D0EB2" w:rsidRPr="002D0EB2" w:rsidRDefault="002D0EB2" w:rsidP="002D0EB2">
            <w:pPr>
              <w:spacing w:before="0" w:after="0"/>
              <w:jc w:val="center"/>
              <w:rPr>
                <w:rFonts w:ascii="Calibri" w:hAnsi="Calibri"/>
                <w:color w:val="000000"/>
                <w:sz w:val="22"/>
                <w:szCs w:val="22"/>
                <w:lang w:val="en-GB" w:eastAsia="en-GB"/>
              </w:rPr>
            </w:pPr>
            <w:r w:rsidRPr="002D0EB2">
              <w:rPr>
                <w:rFonts w:ascii="Calibri" w:hAnsi="Calibri"/>
                <w:color w:val="000000"/>
                <w:sz w:val="22"/>
                <w:szCs w:val="22"/>
                <w:lang w:val="en-GB" w:eastAsia="en-GB"/>
              </w:rPr>
              <w:t>2303</w:t>
            </w:r>
          </w:p>
        </w:tc>
        <w:tc>
          <w:tcPr>
            <w:tcW w:w="1143" w:type="dxa"/>
            <w:tcBorders>
              <w:top w:val="nil"/>
              <w:left w:val="nil"/>
              <w:bottom w:val="single" w:sz="4" w:space="0" w:color="auto"/>
              <w:right w:val="single" w:sz="4" w:space="0" w:color="auto"/>
            </w:tcBorders>
            <w:shd w:val="clear" w:color="auto" w:fill="auto"/>
            <w:vAlign w:val="center"/>
            <w:hideMark/>
          </w:tcPr>
          <w:p w:rsidR="002D0EB2" w:rsidRPr="002D0EB2" w:rsidRDefault="002D0EB2" w:rsidP="002D0EB2">
            <w:pPr>
              <w:spacing w:before="0" w:after="0"/>
              <w:jc w:val="center"/>
              <w:rPr>
                <w:rFonts w:ascii="Calibri" w:hAnsi="Calibri"/>
                <w:color w:val="000000"/>
                <w:sz w:val="22"/>
                <w:szCs w:val="22"/>
                <w:lang w:val="en-GB" w:eastAsia="en-GB"/>
              </w:rPr>
            </w:pPr>
            <w:r w:rsidRPr="002D0EB2">
              <w:rPr>
                <w:rFonts w:ascii="Calibri" w:hAnsi="Calibri"/>
                <w:color w:val="000000"/>
                <w:sz w:val="22"/>
                <w:szCs w:val="22"/>
                <w:lang w:val="en-GB" w:eastAsia="en-GB"/>
              </w:rPr>
              <w:t>1822</w:t>
            </w:r>
          </w:p>
        </w:tc>
        <w:tc>
          <w:tcPr>
            <w:tcW w:w="1113" w:type="dxa"/>
            <w:tcBorders>
              <w:top w:val="nil"/>
              <w:left w:val="nil"/>
              <w:bottom w:val="single" w:sz="4" w:space="0" w:color="auto"/>
              <w:right w:val="single" w:sz="8" w:space="0" w:color="auto"/>
            </w:tcBorders>
            <w:shd w:val="clear" w:color="000000" w:fill="FFFF00"/>
            <w:vAlign w:val="center"/>
            <w:hideMark/>
          </w:tcPr>
          <w:p w:rsidR="002D0EB2" w:rsidRPr="002D0EB2" w:rsidRDefault="002D0EB2" w:rsidP="002D0EB2">
            <w:pPr>
              <w:spacing w:before="0" w:after="0"/>
              <w:jc w:val="center"/>
              <w:rPr>
                <w:rFonts w:ascii="Calibri" w:hAnsi="Calibri"/>
                <w:color w:val="000000"/>
                <w:sz w:val="22"/>
                <w:szCs w:val="22"/>
                <w:lang w:val="en-GB" w:eastAsia="en-GB"/>
              </w:rPr>
            </w:pPr>
            <w:r w:rsidRPr="002D0EB2">
              <w:rPr>
                <w:rFonts w:ascii="Calibri" w:hAnsi="Calibri"/>
                <w:color w:val="000000"/>
                <w:sz w:val="22"/>
                <w:szCs w:val="22"/>
                <w:lang w:val="en-GB" w:eastAsia="en-GB"/>
              </w:rPr>
              <w:t>2000 e</w:t>
            </w:r>
          </w:p>
        </w:tc>
        <w:tc>
          <w:tcPr>
            <w:tcW w:w="1170" w:type="dxa"/>
            <w:tcBorders>
              <w:top w:val="nil"/>
              <w:left w:val="nil"/>
              <w:bottom w:val="single" w:sz="4" w:space="0" w:color="auto"/>
              <w:right w:val="single" w:sz="8" w:space="0" w:color="auto"/>
            </w:tcBorders>
            <w:shd w:val="clear" w:color="auto" w:fill="auto"/>
            <w:vAlign w:val="center"/>
            <w:hideMark/>
          </w:tcPr>
          <w:p w:rsidR="002D0EB2" w:rsidRPr="002D0EB2" w:rsidRDefault="002D0EB2" w:rsidP="002D0EB2">
            <w:pPr>
              <w:spacing w:before="0" w:after="0"/>
              <w:jc w:val="center"/>
              <w:rPr>
                <w:rFonts w:ascii="Calibri" w:hAnsi="Calibri"/>
                <w:color w:val="000000"/>
                <w:sz w:val="22"/>
                <w:szCs w:val="22"/>
                <w:lang w:val="en-GB" w:eastAsia="en-GB"/>
              </w:rPr>
            </w:pPr>
            <w:r w:rsidRPr="002D0EB2">
              <w:rPr>
                <w:rFonts w:ascii="Calibri" w:hAnsi="Calibri"/>
                <w:color w:val="000000"/>
                <w:sz w:val="22"/>
                <w:szCs w:val="22"/>
                <w:lang w:val="en-GB" w:eastAsia="en-GB"/>
              </w:rPr>
              <w:t>1112</w:t>
            </w:r>
          </w:p>
        </w:tc>
      </w:tr>
      <w:tr w:rsidR="002D0EB2" w:rsidRPr="002D0EB2" w:rsidTr="002D0EB2">
        <w:trPr>
          <w:trHeight w:val="435"/>
        </w:trPr>
        <w:tc>
          <w:tcPr>
            <w:tcW w:w="1383" w:type="dxa"/>
            <w:tcBorders>
              <w:top w:val="nil"/>
              <w:left w:val="single" w:sz="8" w:space="0" w:color="auto"/>
              <w:bottom w:val="single" w:sz="8" w:space="0" w:color="auto"/>
              <w:right w:val="nil"/>
            </w:tcBorders>
            <w:shd w:val="clear" w:color="auto" w:fill="auto"/>
            <w:noWrap/>
            <w:vAlign w:val="center"/>
            <w:hideMark/>
          </w:tcPr>
          <w:p w:rsidR="002D0EB2" w:rsidRPr="002D0EB2" w:rsidRDefault="002D0EB2" w:rsidP="002D0EB2">
            <w:pPr>
              <w:spacing w:before="0" w:after="0"/>
              <w:jc w:val="left"/>
              <w:rPr>
                <w:rFonts w:ascii="Calibri" w:hAnsi="Calibri"/>
                <w:b/>
                <w:bCs/>
                <w:color w:val="000000"/>
                <w:sz w:val="22"/>
                <w:szCs w:val="22"/>
                <w:lang w:val="en-GB" w:eastAsia="en-GB"/>
              </w:rPr>
            </w:pPr>
            <w:r w:rsidRPr="002D0EB2">
              <w:rPr>
                <w:rFonts w:ascii="Calibri" w:hAnsi="Calibri"/>
                <w:b/>
                <w:bCs/>
                <w:color w:val="000000"/>
                <w:sz w:val="22"/>
                <w:szCs w:val="22"/>
                <w:lang w:val="en-GB" w:eastAsia="en-GB"/>
              </w:rPr>
              <w:t>Non-portfolio</w:t>
            </w:r>
          </w:p>
        </w:tc>
        <w:tc>
          <w:tcPr>
            <w:tcW w:w="1437" w:type="dxa"/>
            <w:tcBorders>
              <w:top w:val="nil"/>
              <w:left w:val="single" w:sz="4" w:space="0" w:color="auto"/>
              <w:bottom w:val="single" w:sz="8" w:space="0" w:color="auto"/>
              <w:right w:val="single" w:sz="4" w:space="0" w:color="auto"/>
            </w:tcBorders>
            <w:shd w:val="clear" w:color="auto" w:fill="auto"/>
            <w:vAlign w:val="center"/>
            <w:hideMark/>
          </w:tcPr>
          <w:p w:rsidR="002D0EB2" w:rsidRPr="002D0EB2" w:rsidRDefault="002D0EB2" w:rsidP="002D0EB2">
            <w:pPr>
              <w:spacing w:before="0" w:after="0"/>
              <w:jc w:val="center"/>
              <w:rPr>
                <w:rFonts w:ascii="Calibri" w:hAnsi="Calibri"/>
                <w:color w:val="000000"/>
                <w:sz w:val="22"/>
                <w:szCs w:val="22"/>
                <w:lang w:val="en-GB" w:eastAsia="en-GB"/>
              </w:rPr>
            </w:pPr>
            <w:r w:rsidRPr="002D0EB2">
              <w:rPr>
                <w:rFonts w:ascii="Calibri" w:hAnsi="Calibri"/>
                <w:color w:val="000000"/>
                <w:sz w:val="22"/>
                <w:szCs w:val="22"/>
                <w:lang w:val="en-GB" w:eastAsia="en-GB"/>
              </w:rPr>
              <w:t>77**</w:t>
            </w:r>
          </w:p>
        </w:tc>
        <w:tc>
          <w:tcPr>
            <w:tcW w:w="1154" w:type="dxa"/>
            <w:tcBorders>
              <w:top w:val="nil"/>
              <w:left w:val="nil"/>
              <w:bottom w:val="single" w:sz="8" w:space="0" w:color="auto"/>
              <w:right w:val="single" w:sz="4" w:space="0" w:color="auto"/>
            </w:tcBorders>
            <w:shd w:val="clear" w:color="auto" w:fill="auto"/>
            <w:vAlign w:val="center"/>
            <w:hideMark/>
          </w:tcPr>
          <w:p w:rsidR="002D0EB2" w:rsidRPr="002D0EB2" w:rsidRDefault="002D0EB2" w:rsidP="002D0EB2">
            <w:pPr>
              <w:spacing w:before="0" w:after="0"/>
              <w:jc w:val="center"/>
              <w:rPr>
                <w:rFonts w:ascii="Calibri" w:hAnsi="Calibri"/>
                <w:color w:val="000000"/>
                <w:sz w:val="22"/>
                <w:szCs w:val="22"/>
                <w:lang w:val="en-GB" w:eastAsia="en-GB"/>
              </w:rPr>
            </w:pPr>
            <w:r w:rsidRPr="002D0EB2">
              <w:rPr>
                <w:rFonts w:ascii="Calibri" w:hAnsi="Calibri"/>
                <w:color w:val="000000"/>
                <w:sz w:val="22"/>
                <w:szCs w:val="22"/>
                <w:lang w:val="en-GB" w:eastAsia="en-GB"/>
              </w:rPr>
              <w:t>53**</w:t>
            </w:r>
          </w:p>
        </w:tc>
        <w:tc>
          <w:tcPr>
            <w:tcW w:w="1143" w:type="dxa"/>
            <w:tcBorders>
              <w:top w:val="nil"/>
              <w:left w:val="nil"/>
              <w:bottom w:val="single" w:sz="8" w:space="0" w:color="auto"/>
              <w:right w:val="single" w:sz="4" w:space="0" w:color="auto"/>
            </w:tcBorders>
            <w:shd w:val="clear" w:color="auto" w:fill="auto"/>
            <w:vAlign w:val="center"/>
            <w:hideMark/>
          </w:tcPr>
          <w:p w:rsidR="002D0EB2" w:rsidRPr="002D0EB2" w:rsidRDefault="002D0EB2" w:rsidP="002D0EB2">
            <w:pPr>
              <w:spacing w:before="0" w:after="0"/>
              <w:jc w:val="center"/>
              <w:rPr>
                <w:rFonts w:ascii="Calibri" w:hAnsi="Calibri"/>
                <w:color w:val="000000"/>
                <w:sz w:val="22"/>
                <w:szCs w:val="22"/>
                <w:lang w:val="en-GB" w:eastAsia="en-GB"/>
              </w:rPr>
            </w:pPr>
            <w:r w:rsidRPr="002D0EB2">
              <w:rPr>
                <w:rFonts w:ascii="Calibri" w:hAnsi="Calibri"/>
                <w:color w:val="000000"/>
                <w:sz w:val="22"/>
                <w:szCs w:val="22"/>
                <w:lang w:val="en-GB" w:eastAsia="en-GB"/>
              </w:rPr>
              <w:t>359</w:t>
            </w:r>
          </w:p>
        </w:tc>
        <w:tc>
          <w:tcPr>
            <w:tcW w:w="1113" w:type="dxa"/>
            <w:tcBorders>
              <w:top w:val="nil"/>
              <w:left w:val="nil"/>
              <w:bottom w:val="single" w:sz="8" w:space="0" w:color="auto"/>
              <w:right w:val="single" w:sz="8" w:space="0" w:color="auto"/>
            </w:tcBorders>
            <w:shd w:val="clear" w:color="auto" w:fill="auto"/>
            <w:vAlign w:val="center"/>
            <w:hideMark/>
          </w:tcPr>
          <w:p w:rsidR="002D0EB2" w:rsidRPr="002D0EB2" w:rsidRDefault="002D0EB2" w:rsidP="002D0EB2">
            <w:pPr>
              <w:spacing w:before="0" w:after="0"/>
              <w:jc w:val="center"/>
              <w:rPr>
                <w:rFonts w:ascii="Calibri" w:hAnsi="Calibri"/>
                <w:color w:val="000000"/>
                <w:sz w:val="22"/>
                <w:szCs w:val="22"/>
                <w:lang w:val="en-GB" w:eastAsia="en-GB"/>
              </w:rPr>
            </w:pPr>
            <w:r w:rsidRPr="002D0EB2">
              <w:rPr>
                <w:rFonts w:ascii="Calibri" w:hAnsi="Calibri"/>
                <w:color w:val="000000"/>
                <w:sz w:val="22"/>
                <w:szCs w:val="22"/>
                <w:lang w:val="en-GB" w:eastAsia="en-GB"/>
              </w:rPr>
              <w:t>N/A</w:t>
            </w:r>
          </w:p>
        </w:tc>
        <w:tc>
          <w:tcPr>
            <w:tcW w:w="1170" w:type="dxa"/>
            <w:tcBorders>
              <w:top w:val="nil"/>
              <w:left w:val="nil"/>
              <w:bottom w:val="single" w:sz="8" w:space="0" w:color="auto"/>
              <w:right w:val="single" w:sz="8" w:space="0" w:color="auto"/>
            </w:tcBorders>
            <w:shd w:val="clear" w:color="auto" w:fill="auto"/>
            <w:vAlign w:val="center"/>
            <w:hideMark/>
          </w:tcPr>
          <w:p w:rsidR="002D0EB2" w:rsidRPr="002D0EB2" w:rsidRDefault="002D0EB2" w:rsidP="002D0EB2">
            <w:pPr>
              <w:spacing w:before="0" w:after="0"/>
              <w:jc w:val="center"/>
              <w:rPr>
                <w:rFonts w:ascii="Calibri" w:hAnsi="Calibri"/>
                <w:color w:val="000000"/>
                <w:sz w:val="22"/>
                <w:szCs w:val="22"/>
                <w:lang w:val="en-GB" w:eastAsia="en-GB"/>
              </w:rPr>
            </w:pPr>
            <w:r w:rsidRPr="002D0EB2">
              <w:rPr>
                <w:rFonts w:ascii="Calibri" w:hAnsi="Calibri"/>
                <w:color w:val="000000"/>
                <w:sz w:val="22"/>
                <w:szCs w:val="22"/>
                <w:lang w:val="en-GB" w:eastAsia="en-GB"/>
              </w:rPr>
              <w:t>216</w:t>
            </w:r>
          </w:p>
        </w:tc>
      </w:tr>
    </w:tbl>
    <w:p w:rsidR="002D0EB2" w:rsidRDefault="002D0EB2" w:rsidP="00A941AF">
      <w:pPr>
        <w:spacing w:before="0" w:after="0"/>
        <w:rPr>
          <w:sz w:val="16"/>
          <w:szCs w:val="16"/>
          <w:lang w:val="en-GB"/>
        </w:rPr>
      </w:pPr>
    </w:p>
    <w:p w:rsidR="000963FE" w:rsidRPr="000963FE" w:rsidRDefault="000963FE" w:rsidP="00A941AF">
      <w:pPr>
        <w:spacing w:before="0" w:after="0"/>
        <w:rPr>
          <w:sz w:val="16"/>
          <w:szCs w:val="16"/>
          <w:lang w:val="en-GB"/>
        </w:rPr>
      </w:pPr>
      <w:r>
        <w:rPr>
          <w:sz w:val="16"/>
          <w:szCs w:val="16"/>
          <w:lang w:val="en-GB"/>
        </w:rPr>
        <w:t>Key:</w:t>
      </w:r>
      <w:r w:rsidR="00A941AF">
        <w:rPr>
          <w:sz w:val="16"/>
          <w:szCs w:val="16"/>
          <w:lang w:val="en-GB"/>
        </w:rPr>
        <w:tab/>
        <w:t>*</w:t>
      </w:r>
      <w:r w:rsidRPr="000963FE">
        <w:rPr>
          <w:sz w:val="16"/>
          <w:szCs w:val="16"/>
          <w:lang w:val="en-GB"/>
        </w:rPr>
        <w:t xml:space="preserve"> because of previous years' inaccuracies this may be higher than actual</w:t>
      </w:r>
    </w:p>
    <w:p w:rsidR="000963FE" w:rsidRPr="000963FE" w:rsidRDefault="000963FE" w:rsidP="00A941AF">
      <w:pPr>
        <w:spacing w:before="0" w:after="0"/>
        <w:ind w:firstLine="720"/>
        <w:rPr>
          <w:sz w:val="16"/>
          <w:szCs w:val="16"/>
          <w:lang w:val="en-GB"/>
        </w:rPr>
      </w:pPr>
      <w:r w:rsidRPr="000963FE">
        <w:rPr>
          <w:sz w:val="16"/>
          <w:szCs w:val="16"/>
          <w:lang w:val="en-GB"/>
        </w:rPr>
        <w:t xml:space="preserve">** </w:t>
      </w:r>
      <w:proofErr w:type="gramStart"/>
      <w:r w:rsidRPr="000963FE">
        <w:rPr>
          <w:sz w:val="16"/>
          <w:szCs w:val="16"/>
          <w:lang w:val="en-GB"/>
        </w:rPr>
        <w:t>incomplete</w:t>
      </w:r>
      <w:proofErr w:type="gramEnd"/>
      <w:r w:rsidRPr="000963FE">
        <w:rPr>
          <w:sz w:val="16"/>
          <w:szCs w:val="16"/>
          <w:lang w:val="en-GB"/>
        </w:rPr>
        <w:t xml:space="preserve"> return</w:t>
      </w:r>
    </w:p>
    <w:p w:rsidR="000963FE" w:rsidRPr="000963FE" w:rsidRDefault="000963FE" w:rsidP="00A941AF">
      <w:pPr>
        <w:spacing w:before="0" w:after="0"/>
        <w:ind w:firstLine="720"/>
        <w:rPr>
          <w:sz w:val="16"/>
          <w:szCs w:val="16"/>
          <w:lang w:val="en-GB"/>
        </w:rPr>
      </w:pPr>
      <w:proofErr w:type="gramStart"/>
      <w:r>
        <w:rPr>
          <w:sz w:val="16"/>
          <w:szCs w:val="16"/>
          <w:lang w:val="en-GB"/>
        </w:rPr>
        <w:t>e</w:t>
      </w:r>
      <w:proofErr w:type="gramEnd"/>
      <w:r>
        <w:rPr>
          <w:sz w:val="16"/>
          <w:szCs w:val="16"/>
          <w:lang w:val="en-GB"/>
        </w:rPr>
        <w:t xml:space="preserve"> e</w:t>
      </w:r>
      <w:r w:rsidRPr="000963FE">
        <w:rPr>
          <w:sz w:val="16"/>
          <w:szCs w:val="16"/>
          <w:lang w:val="en-GB"/>
        </w:rPr>
        <w:t>stimate as submitted to the NIHR</w:t>
      </w:r>
    </w:p>
    <w:p w:rsidR="00E3381E" w:rsidRDefault="00E3381E" w:rsidP="0087117D">
      <w:pPr>
        <w:rPr>
          <w:lang w:val="en-GB"/>
        </w:rPr>
      </w:pPr>
      <w:r>
        <w:rPr>
          <w:lang w:val="en-GB"/>
        </w:rPr>
        <w:t>The recruitment of participants to research studies is developed and implemented by individual research teams, with the R&amp;D department collecting the information.  The new Research Recruitment Manager will develop and implement a strategy to increase participant recruitment to all research studies throughout the Trust.  The post will be supported by five research assistant posts situated within clinical teams throughout the Trust</w:t>
      </w:r>
    </w:p>
    <w:p w:rsidR="00E3381E" w:rsidRDefault="00E3381E" w:rsidP="00E3381E">
      <w:pPr>
        <w:pStyle w:val="Heading2"/>
        <w:rPr>
          <w:lang w:val="en-GB"/>
        </w:rPr>
      </w:pPr>
      <w:r>
        <w:rPr>
          <w:lang w:val="en-GB"/>
        </w:rPr>
        <w:t>NIHR Metrics and Targets</w:t>
      </w:r>
    </w:p>
    <w:p w:rsidR="00C65B5B" w:rsidRDefault="00E3381E" w:rsidP="0087117D">
      <w:pPr>
        <w:rPr>
          <w:rFonts w:cs="Arial"/>
          <w:bCs/>
          <w:color w:val="000000"/>
        </w:rPr>
      </w:pPr>
      <w:r>
        <w:rPr>
          <w:rFonts w:cs="Arial"/>
          <w:bCs/>
          <w:color w:val="000000"/>
        </w:rPr>
        <w:t xml:space="preserve">NHS </w:t>
      </w:r>
      <w:proofErr w:type="spellStart"/>
      <w:r>
        <w:rPr>
          <w:rFonts w:cs="Arial"/>
          <w:bCs/>
          <w:color w:val="000000"/>
        </w:rPr>
        <w:t>organi</w:t>
      </w:r>
      <w:r w:rsidR="00E23B7A">
        <w:rPr>
          <w:rFonts w:cs="Arial"/>
          <w:bCs/>
          <w:color w:val="000000"/>
        </w:rPr>
        <w:t>s</w:t>
      </w:r>
      <w:r>
        <w:rPr>
          <w:rFonts w:cs="Arial"/>
          <w:bCs/>
          <w:color w:val="000000"/>
        </w:rPr>
        <w:t>ation</w:t>
      </w:r>
      <w:r w:rsidR="00E23B7A">
        <w:rPr>
          <w:rFonts w:cs="Arial"/>
          <w:bCs/>
          <w:color w:val="000000"/>
        </w:rPr>
        <w:t>s</w:t>
      </w:r>
      <w:proofErr w:type="spellEnd"/>
      <w:r>
        <w:rPr>
          <w:rFonts w:cs="Arial"/>
          <w:bCs/>
          <w:color w:val="000000"/>
        </w:rPr>
        <w:t xml:space="preserve"> are expected to provide the NIHR</w:t>
      </w:r>
      <w:r w:rsidR="00C61CB9">
        <w:rPr>
          <w:rFonts w:cs="Arial"/>
          <w:bCs/>
          <w:color w:val="000000"/>
        </w:rPr>
        <w:t xml:space="preserve"> with quarterly Performance Initiation and Delivery (PID) </w:t>
      </w:r>
      <w:r>
        <w:rPr>
          <w:rFonts w:cs="Arial"/>
          <w:bCs/>
          <w:color w:val="000000"/>
        </w:rPr>
        <w:t>reports</w:t>
      </w:r>
      <w:r w:rsidR="00E23B7A">
        <w:rPr>
          <w:rFonts w:cs="Arial"/>
          <w:bCs/>
          <w:color w:val="000000"/>
        </w:rPr>
        <w:t>, detailing the number of studies that recruit the</w:t>
      </w:r>
      <w:r w:rsidR="00E23B7A" w:rsidRPr="00E23B7A">
        <w:rPr>
          <w:rFonts w:cs="Arial"/>
          <w:bCs/>
          <w:color w:val="000000"/>
        </w:rPr>
        <w:t xml:space="preserve"> </w:t>
      </w:r>
      <w:r w:rsidR="00E23B7A" w:rsidRPr="00143529">
        <w:rPr>
          <w:rFonts w:cs="Arial"/>
          <w:bCs/>
          <w:color w:val="000000"/>
        </w:rPr>
        <w:t xml:space="preserve">first participant into a clinical trial within 70 days of the </w:t>
      </w:r>
      <w:proofErr w:type="spellStart"/>
      <w:r w:rsidR="00E23B7A" w:rsidRPr="00143529">
        <w:rPr>
          <w:rFonts w:cs="Arial"/>
          <w:bCs/>
          <w:color w:val="000000"/>
        </w:rPr>
        <w:t>organisation</w:t>
      </w:r>
      <w:proofErr w:type="spellEnd"/>
      <w:r w:rsidR="00E23B7A" w:rsidRPr="00143529">
        <w:rPr>
          <w:rFonts w:cs="Arial"/>
          <w:bCs/>
          <w:color w:val="000000"/>
        </w:rPr>
        <w:t xml:space="preserve"> receiving a valid research application</w:t>
      </w:r>
      <w:r w:rsidR="00E23B7A">
        <w:rPr>
          <w:rStyle w:val="FootnoteReference"/>
          <w:rFonts w:cs="Arial"/>
          <w:bCs/>
          <w:color w:val="000000"/>
        </w:rPr>
        <w:footnoteReference w:id="1"/>
      </w:r>
      <w:r w:rsidR="00E23B7A">
        <w:rPr>
          <w:rFonts w:cs="Arial"/>
          <w:bCs/>
          <w:color w:val="000000"/>
        </w:rPr>
        <w:t xml:space="preserve"> and the number of studies recruiting the expected number of participants (time to target).  These </w:t>
      </w:r>
      <w:r w:rsidR="00E23B7A">
        <w:rPr>
          <w:rFonts w:cs="Arial"/>
          <w:bCs/>
          <w:color w:val="000000"/>
        </w:rPr>
        <w:lastRenderedPageBreak/>
        <w:t xml:space="preserve">metrics may </w:t>
      </w:r>
      <w:r w:rsidR="002D0EB2">
        <w:rPr>
          <w:rFonts w:cs="Arial"/>
          <w:bCs/>
          <w:color w:val="000000"/>
        </w:rPr>
        <w:t>affect</w:t>
      </w:r>
      <w:r w:rsidR="00143529">
        <w:rPr>
          <w:rFonts w:cs="Arial"/>
          <w:bCs/>
          <w:color w:val="000000"/>
        </w:rPr>
        <w:t xml:space="preserve"> NIHR funding </w:t>
      </w:r>
      <w:r w:rsidR="00507A2F">
        <w:rPr>
          <w:rFonts w:cs="Arial"/>
          <w:bCs/>
          <w:color w:val="000000"/>
        </w:rPr>
        <w:t>from October 2013</w:t>
      </w:r>
      <w:r w:rsidR="00143529">
        <w:rPr>
          <w:rFonts w:cs="Arial"/>
          <w:bCs/>
          <w:color w:val="000000"/>
        </w:rPr>
        <w:t>, with terms and conditions being incorporated into new contractual agreements for infrastructure and grant funding.</w:t>
      </w:r>
    </w:p>
    <w:p w:rsidR="00AC5707" w:rsidRDefault="00E23B7A" w:rsidP="0087117D">
      <w:pPr>
        <w:rPr>
          <w:rFonts w:cs="Arial"/>
          <w:bCs/>
          <w:color w:val="000000"/>
        </w:rPr>
      </w:pPr>
      <w:r w:rsidRPr="00E3381E">
        <w:rPr>
          <w:rFonts w:cs="Arial"/>
          <w:bCs/>
          <w:color w:val="000000"/>
        </w:rPr>
        <w:t xml:space="preserve">Researchers are expected to inform the R&amp;D department </w:t>
      </w:r>
      <w:r>
        <w:rPr>
          <w:rFonts w:cs="Arial"/>
          <w:bCs/>
          <w:color w:val="000000"/>
        </w:rPr>
        <w:t xml:space="preserve">of </w:t>
      </w:r>
      <w:r w:rsidRPr="00E3381E">
        <w:rPr>
          <w:rFonts w:cs="Arial"/>
          <w:bCs/>
          <w:color w:val="000000"/>
        </w:rPr>
        <w:t>the number of participants recruited to their study</w:t>
      </w:r>
      <w:r>
        <w:rPr>
          <w:rFonts w:cs="Arial"/>
          <w:bCs/>
          <w:color w:val="000000"/>
        </w:rPr>
        <w:t xml:space="preserve">, in line with the NHS permission.  This data will inform </w:t>
      </w:r>
      <w:r w:rsidRPr="00E3381E">
        <w:rPr>
          <w:rFonts w:cs="Arial"/>
          <w:bCs/>
          <w:color w:val="000000"/>
        </w:rPr>
        <w:t xml:space="preserve">the PID reports </w:t>
      </w:r>
      <w:r>
        <w:rPr>
          <w:rFonts w:cs="Arial"/>
          <w:bCs/>
          <w:color w:val="000000"/>
        </w:rPr>
        <w:t xml:space="preserve">that are </w:t>
      </w:r>
      <w:r w:rsidR="00C65B5B">
        <w:rPr>
          <w:rFonts w:cs="Arial"/>
          <w:bCs/>
          <w:color w:val="000000"/>
        </w:rPr>
        <w:t>comp</w:t>
      </w:r>
      <w:r w:rsidRPr="00E3381E">
        <w:rPr>
          <w:rFonts w:cs="Arial"/>
          <w:bCs/>
          <w:color w:val="000000"/>
        </w:rPr>
        <w:t>i</w:t>
      </w:r>
      <w:r w:rsidR="00C65B5B">
        <w:rPr>
          <w:rFonts w:cs="Arial"/>
          <w:bCs/>
          <w:color w:val="000000"/>
        </w:rPr>
        <w:t>l</w:t>
      </w:r>
      <w:r w:rsidRPr="00E3381E">
        <w:rPr>
          <w:rFonts w:cs="Arial"/>
          <w:bCs/>
          <w:color w:val="000000"/>
        </w:rPr>
        <w:t xml:space="preserve">ed and published nationally every quarter.  </w:t>
      </w:r>
    </w:p>
    <w:p w:rsidR="00AC5707" w:rsidRDefault="00AC5707" w:rsidP="0087117D">
      <w:pPr>
        <w:rPr>
          <w:rFonts w:cs="Arial"/>
          <w:bCs/>
          <w:color w:val="000000"/>
        </w:rPr>
      </w:pPr>
      <w:r>
        <w:rPr>
          <w:rFonts w:cs="Arial"/>
          <w:bCs/>
          <w:color w:val="000000"/>
        </w:rPr>
        <w:t>The table below shows the number of studies initiating research (70 day benchmark) over the last 12 months.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693"/>
        <w:gridCol w:w="1635"/>
        <w:gridCol w:w="1909"/>
        <w:gridCol w:w="2552"/>
      </w:tblGrid>
      <w:tr w:rsidR="002F70B5" w:rsidRPr="002B6864" w:rsidTr="00C65B5B">
        <w:tc>
          <w:tcPr>
            <w:tcW w:w="10173" w:type="dxa"/>
            <w:gridSpan w:val="5"/>
            <w:shd w:val="clear" w:color="auto" w:fill="D9D9D9" w:themeFill="background1" w:themeFillShade="D9"/>
          </w:tcPr>
          <w:p w:rsidR="002F70B5" w:rsidRPr="002F70B5" w:rsidRDefault="002F70B5" w:rsidP="002D0EF7">
            <w:pPr>
              <w:spacing w:after="0"/>
              <w:jc w:val="center"/>
              <w:rPr>
                <w:sz w:val="20"/>
                <w:szCs w:val="20"/>
              </w:rPr>
            </w:pPr>
            <w:r w:rsidRPr="002F70B5">
              <w:rPr>
                <w:sz w:val="20"/>
                <w:szCs w:val="20"/>
              </w:rPr>
              <w:t>Performance in Initiating CTs</w:t>
            </w:r>
          </w:p>
        </w:tc>
      </w:tr>
      <w:tr w:rsidR="002F70B5" w:rsidRPr="002B6864" w:rsidTr="00C65B5B">
        <w:tc>
          <w:tcPr>
            <w:tcW w:w="1384" w:type="dxa"/>
          </w:tcPr>
          <w:p w:rsidR="002F70B5" w:rsidRPr="002F70B5" w:rsidRDefault="002F70B5" w:rsidP="002D0EF7">
            <w:pPr>
              <w:spacing w:after="0"/>
              <w:rPr>
                <w:sz w:val="20"/>
                <w:szCs w:val="20"/>
              </w:rPr>
            </w:pPr>
            <w:r w:rsidRPr="002F70B5">
              <w:rPr>
                <w:sz w:val="20"/>
                <w:szCs w:val="20"/>
              </w:rPr>
              <w:t>Quarter</w:t>
            </w:r>
          </w:p>
        </w:tc>
        <w:tc>
          <w:tcPr>
            <w:tcW w:w="2693" w:type="dxa"/>
          </w:tcPr>
          <w:p w:rsidR="002F70B5" w:rsidRPr="002F70B5" w:rsidRDefault="002F70B5" w:rsidP="002D0EF7">
            <w:pPr>
              <w:spacing w:after="0"/>
              <w:rPr>
                <w:sz w:val="20"/>
                <w:szCs w:val="20"/>
              </w:rPr>
            </w:pPr>
            <w:r w:rsidRPr="002F70B5">
              <w:rPr>
                <w:sz w:val="20"/>
                <w:szCs w:val="20"/>
              </w:rPr>
              <w:t>NHS Permission granted within the period</w:t>
            </w:r>
          </w:p>
        </w:tc>
        <w:tc>
          <w:tcPr>
            <w:tcW w:w="1635" w:type="dxa"/>
          </w:tcPr>
          <w:p w:rsidR="002F70B5" w:rsidRPr="002F70B5" w:rsidRDefault="002F70B5" w:rsidP="002D0EF7">
            <w:pPr>
              <w:spacing w:after="0"/>
              <w:rPr>
                <w:sz w:val="20"/>
                <w:szCs w:val="20"/>
              </w:rPr>
            </w:pPr>
            <w:r w:rsidRPr="002F70B5">
              <w:rPr>
                <w:sz w:val="20"/>
                <w:szCs w:val="20"/>
              </w:rPr>
              <w:t>Number of studies with valid research application</w:t>
            </w:r>
          </w:p>
        </w:tc>
        <w:tc>
          <w:tcPr>
            <w:tcW w:w="1909" w:type="dxa"/>
          </w:tcPr>
          <w:p w:rsidR="002F70B5" w:rsidRPr="002F70B5" w:rsidRDefault="002F70B5" w:rsidP="002D0EF7">
            <w:pPr>
              <w:spacing w:after="0"/>
              <w:rPr>
                <w:sz w:val="20"/>
                <w:szCs w:val="20"/>
              </w:rPr>
            </w:pPr>
            <w:r w:rsidRPr="002F70B5">
              <w:rPr>
                <w:sz w:val="20"/>
                <w:szCs w:val="20"/>
              </w:rPr>
              <w:t>Number of studies that recruited 1</w:t>
            </w:r>
            <w:r w:rsidRPr="002F70B5">
              <w:rPr>
                <w:sz w:val="20"/>
                <w:szCs w:val="20"/>
                <w:vertAlign w:val="superscript"/>
              </w:rPr>
              <w:t>st</w:t>
            </w:r>
            <w:r w:rsidRPr="002F70B5">
              <w:rPr>
                <w:sz w:val="20"/>
                <w:szCs w:val="20"/>
              </w:rPr>
              <w:t xml:space="preserve"> patient within 70 days</w:t>
            </w:r>
          </w:p>
        </w:tc>
        <w:tc>
          <w:tcPr>
            <w:tcW w:w="2552" w:type="dxa"/>
          </w:tcPr>
          <w:p w:rsidR="002F70B5" w:rsidRPr="002F70B5" w:rsidRDefault="002F70B5" w:rsidP="002D0EF7">
            <w:pPr>
              <w:spacing w:after="0"/>
              <w:rPr>
                <w:sz w:val="20"/>
                <w:szCs w:val="20"/>
              </w:rPr>
            </w:pPr>
            <w:r w:rsidRPr="002F70B5">
              <w:rPr>
                <w:sz w:val="20"/>
                <w:szCs w:val="20"/>
              </w:rPr>
              <w:t>Percentage of studies that recruited 1</w:t>
            </w:r>
            <w:r w:rsidRPr="002F70B5">
              <w:rPr>
                <w:sz w:val="20"/>
                <w:szCs w:val="20"/>
                <w:vertAlign w:val="superscript"/>
              </w:rPr>
              <w:t>st</w:t>
            </w:r>
            <w:r w:rsidRPr="002F70B5">
              <w:rPr>
                <w:sz w:val="20"/>
                <w:szCs w:val="20"/>
              </w:rPr>
              <w:t xml:space="preserve"> patient within 70 days</w:t>
            </w:r>
          </w:p>
        </w:tc>
      </w:tr>
      <w:tr w:rsidR="002F70B5" w:rsidRPr="002B6864" w:rsidTr="00C65B5B">
        <w:tc>
          <w:tcPr>
            <w:tcW w:w="1384" w:type="dxa"/>
            <w:vAlign w:val="center"/>
          </w:tcPr>
          <w:p w:rsidR="002F70B5" w:rsidRPr="002F70B5" w:rsidRDefault="002F70B5" w:rsidP="002F70B5">
            <w:pPr>
              <w:spacing w:after="0"/>
              <w:jc w:val="center"/>
              <w:rPr>
                <w:sz w:val="20"/>
                <w:szCs w:val="20"/>
              </w:rPr>
            </w:pPr>
            <w:r w:rsidRPr="002F70B5">
              <w:rPr>
                <w:sz w:val="20"/>
                <w:szCs w:val="20"/>
              </w:rPr>
              <w:t>3 – 2012/13</w:t>
            </w:r>
          </w:p>
        </w:tc>
        <w:tc>
          <w:tcPr>
            <w:tcW w:w="2693" w:type="dxa"/>
            <w:vAlign w:val="center"/>
          </w:tcPr>
          <w:p w:rsidR="002F70B5" w:rsidRPr="002F70B5" w:rsidRDefault="002F70B5" w:rsidP="002F70B5">
            <w:pPr>
              <w:spacing w:after="0"/>
              <w:jc w:val="center"/>
              <w:rPr>
                <w:sz w:val="20"/>
                <w:szCs w:val="20"/>
              </w:rPr>
            </w:pPr>
            <w:r w:rsidRPr="002F70B5">
              <w:rPr>
                <w:sz w:val="20"/>
                <w:szCs w:val="20"/>
              </w:rPr>
              <w:t>1 Jan 2012 to 31 Dec 2012</w:t>
            </w:r>
          </w:p>
        </w:tc>
        <w:tc>
          <w:tcPr>
            <w:tcW w:w="1635" w:type="dxa"/>
            <w:vAlign w:val="center"/>
          </w:tcPr>
          <w:p w:rsidR="002F70B5" w:rsidRPr="002F70B5" w:rsidRDefault="002F70B5" w:rsidP="002F70B5">
            <w:pPr>
              <w:spacing w:after="0"/>
              <w:jc w:val="center"/>
              <w:rPr>
                <w:sz w:val="20"/>
                <w:szCs w:val="20"/>
              </w:rPr>
            </w:pPr>
            <w:r w:rsidRPr="002F70B5">
              <w:rPr>
                <w:sz w:val="20"/>
                <w:szCs w:val="20"/>
              </w:rPr>
              <w:t>12</w:t>
            </w:r>
          </w:p>
        </w:tc>
        <w:tc>
          <w:tcPr>
            <w:tcW w:w="1909" w:type="dxa"/>
            <w:vAlign w:val="center"/>
          </w:tcPr>
          <w:p w:rsidR="002F70B5" w:rsidRPr="002F70B5" w:rsidRDefault="002F70B5" w:rsidP="002F70B5">
            <w:pPr>
              <w:spacing w:after="0"/>
              <w:jc w:val="center"/>
              <w:rPr>
                <w:sz w:val="20"/>
                <w:szCs w:val="20"/>
              </w:rPr>
            </w:pPr>
            <w:r w:rsidRPr="002F70B5">
              <w:rPr>
                <w:sz w:val="20"/>
                <w:szCs w:val="20"/>
              </w:rPr>
              <w:t>3</w:t>
            </w:r>
          </w:p>
        </w:tc>
        <w:tc>
          <w:tcPr>
            <w:tcW w:w="2552" w:type="dxa"/>
            <w:vAlign w:val="center"/>
          </w:tcPr>
          <w:p w:rsidR="002F70B5" w:rsidRPr="002F70B5" w:rsidRDefault="002F70B5" w:rsidP="002F70B5">
            <w:pPr>
              <w:spacing w:after="0"/>
              <w:jc w:val="center"/>
              <w:rPr>
                <w:sz w:val="20"/>
                <w:szCs w:val="20"/>
              </w:rPr>
            </w:pPr>
            <w:r w:rsidRPr="002F70B5">
              <w:rPr>
                <w:sz w:val="20"/>
                <w:szCs w:val="20"/>
              </w:rPr>
              <w:t>25%</w:t>
            </w:r>
          </w:p>
        </w:tc>
      </w:tr>
      <w:tr w:rsidR="002F70B5" w:rsidRPr="002B6864" w:rsidTr="00C65B5B">
        <w:tc>
          <w:tcPr>
            <w:tcW w:w="1384" w:type="dxa"/>
            <w:vAlign w:val="center"/>
          </w:tcPr>
          <w:p w:rsidR="002F70B5" w:rsidRPr="002F70B5" w:rsidRDefault="002F70B5" w:rsidP="002F70B5">
            <w:pPr>
              <w:spacing w:after="0"/>
              <w:jc w:val="center"/>
              <w:rPr>
                <w:sz w:val="20"/>
                <w:szCs w:val="20"/>
              </w:rPr>
            </w:pPr>
            <w:r w:rsidRPr="002F70B5">
              <w:rPr>
                <w:sz w:val="20"/>
                <w:szCs w:val="20"/>
              </w:rPr>
              <w:t>4 – 2012/13</w:t>
            </w:r>
          </w:p>
        </w:tc>
        <w:tc>
          <w:tcPr>
            <w:tcW w:w="2693" w:type="dxa"/>
            <w:vAlign w:val="center"/>
          </w:tcPr>
          <w:p w:rsidR="002F70B5" w:rsidRPr="002F70B5" w:rsidRDefault="002F70B5" w:rsidP="002F70B5">
            <w:pPr>
              <w:spacing w:after="0"/>
              <w:jc w:val="center"/>
              <w:rPr>
                <w:sz w:val="20"/>
                <w:szCs w:val="20"/>
              </w:rPr>
            </w:pPr>
            <w:r w:rsidRPr="002F70B5">
              <w:rPr>
                <w:sz w:val="20"/>
                <w:szCs w:val="20"/>
              </w:rPr>
              <w:t>1 Apr 2012 to 31 Mar 2013</w:t>
            </w:r>
          </w:p>
        </w:tc>
        <w:tc>
          <w:tcPr>
            <w:tcW w:w="1635" w:type="dxa"/>
            <w:vAlign w:val="center"/>
          </w:tcPr>
          <w:p w:rsidR="002F70B5" w:rsidRPr="002F70B5" w:rsidRDefault="002F70B5" w:rsidP="002F70B5">
            <w:pPr>
              <w:spacing w:after="0"/>
              <w:jc w:val="center"/>
              <w:rPr>
                <w:sz w:val="20"/>
                <w:szCs w:val="20"/>
              </w:rPr>
            </w:pPr>
            <w:r w:rsidRPr="002F70B5">
              <w:rPr>
                <w:sz w:val="20"/>
                <w:szCs w:val="20"/>
              </w:rPr>
              <w:t>6</w:t>
            </w:r>
          </w:p>
        </w:tc>
        <w:tc>
          <w:tcPr>
            <w:tcW w:w="1909" w:type="dxa"/>
            <w:vAlign w:val="center"/>
          </w:tcPr>
          <w:p w:rsidR="002F70B5" w:rsidRPr="002F70B5" w:rsidRDefault="002F70B5" w:rsidP="002F70B5">
            <w:pPr>
              <w:spacing w:after="0"/>
              <w:jc w:val="center"/>
              <w:rPr>
                <w:sz w:val="20"/>
                <w:szCs w:val="20"/>
              </w:rPr>
            </w:pPr>
            <w:r w:rsidRPr="002F70B5">
              <w:rPr>
                <w:sz w:val="20"/>
                <w:szCs w:val="20"/>
              </w:rPr>
              <w:t>1</w:t>
            </w:r>
          </w:p>
        </w:tc>
        <w:tc>
          <w:tcPr>
            <w:tcW w:w="2552" w:type="dxa"/>
            <w:vAlign w:val="center"/>
          </w:tcPr>
          <w:p w:rsidR="002F70B5" w:rsidRPr="002F70B5" w:rsidRDefault="002F70B5" w:rsidP="002F70B5">
            <w:pPr>
              <w:spacing w:after="0"/>
              <w:jc w:val="center"/>
              <w:rPr>
                <w:sz w:val="20"/>
                <w:szCs w:val="20"/>
              </w:rPr>
            </w:pPr>
            <w:r w:rsidRPr="002F70B5">
              <w:rPr>
                <w:sz w:val="20"/>
                <w:szCs w:val="20"/>
              </w:rPr>
              <w:t>17%</w:t>
            </w:r>
          </w:p>
        </w:tc>
      </w:tr>
      <w:tr w:rsidR="002F70B5" w:rsidRPr="002B6864" w:rsidTr="00C65B5B">
        <w:tc>
          <w:tcPr>
            <w:tcW w:w="1384" w:type="dxa"/>
            <w:vAlign w:val="center"/>
          </w:tcPr>
          <w:p w:rsidR="002F70B5" w:rsidRPr="002F70B5" w:rsidRDefault="002F70B5" w:rsidP="002F70B5">
            <w:pPr>
              <w:spacing w:after="0"/>
              <w:jc w:val="center"/>
              <w:rPr>
                <w:sz w:val="20"/>
                <w:szCs w:val="20"/>
              </w:rPr>
            </w:pPr>
            <w:r w:rsidRPr="002F70B5">
              <w:rPr>
                <w:sz w:val="20"/>
                <w:szCs w:val="20"/>
              </w:rPr>
              <w:t>1 – 2013/14</w:t>
            </w:r>
          </w:p>
        </w:tc>
        <w:tc>
          <w:tcPr>
            <w:tcW w:w="2693" w:type="dxa"/>
            <w:vAlign w:val="center"/>
          </w:tcPr>
          <w:p w:rsidR="002F70B5" w:rsidRPr="002F70B5" w:rsidRDefault="002F70B5" w:rsidP="002F70B5">
            <w:pPr>
              <w:spacing w:after="0"/>
              <w:jc w:val="center"/>
              <w:rPr>
                <w:sz w:val="20"/>
                <w:szCs w:val="20"/>
              </w:rPr>
            </w:pPr>
            <w:r w:rsidRPr="002F70B5">
              <w:rPr>
                <w:sz w:val="20"/>
                <w:szCs w:val="20"/>
              </w:rPr>
              <w:t>1 Jul 2012 to 30 Jun 2013</w:t>
            </w:r>
          </w:p>
        </w:tc>
        <w:tc>
          <w:tcPr>
            <w:tcW w:w="1635" w:type="dxa"/>
            <w:vAlign w:val="center"/>
          </w:tcPr>
          <w:p w:rsidR="002F70B5" w:rsidRPr="002F70B5" w:rsidRDefault="002F70B5" w:rsidP="002F70B5">
            <w:pPr>
              <w:spacing w:after="0"/>
              <w:jc w:val="center"/>
              <w:rPr>
                <w:sz w:val="20"/>
                <w:szCs w:val="20"/>
              </w:rPr>
            </w:pPr>
            <w:r w:rsidRPr="002F70B5">
              <w:rPr>
                <w:sz w:val="20"/>
                <w:szCs w:val="20"/>
              </w:rPr>
              <w:t>12</w:t>
            </w:r>
          </w:p>
        </w:tc>
        <w:tc>
          <w:tcPr>
            <w:tcW w:w="1909" w:type="dxa"/>
            <w:vAlign w:val="center"/>
          </w:tcPr>
          <w:p w:rsidR="002F70B5" w:rsidRPr="002F70B5" w:rsidRDefault="002F70B5" w:rsidP="002F70B5">
            <w:pPr>
              <w:spacing w:after="0"/>
              <w:jc w:val="center"/>
              <w:rPr>
                <w:sz w:val="20"/>
                <w:szCs w:val="20"/>
              </w:rPr>
            </w:pPr>
            <w:r w:rsidRPr="002F70B5">
              <w:rPr>
                <w:sz w:val="20"/>
                <w:szCs w:val="20"/>
              </w:rPr>
              <w:t>7</w:t>
            </w:r>
          </w:p>
        </w:tc>
        <w:tc>
          <w:tcPr>
            <w:tcW w:w="2552" w:type="dxa"/>
            <w:vAlign w:val="center"/>
          </w:tcPr>
          <w:p w:rsidR="002F70B5" w:rsidRPr="002F70B5" w:rsidRDefault="002F70B5" w:rsidP="002F70B5">
            <w:pPr>
              <w:spacing w:after="0"/>
              <w:jc w:val="center"/>
              <w:rPr>
                <w:sz w:val="20"/>
                <w:szCs w:val="20"/>
              </w:rPr>
            </w:pPr>
            <w:r w:rsidRPr="002F70B5">
              <w:rPr>
                <w:sz w:val="20"/>
                <w:szCs w:val="20"/>
              </w:rPr>
              <w:t>58%</w:t>
            </w:r>
          </w:p>
        </w:tc>
      </w:tr>
      <w:tr w:rsidR="002F70B5" w:rsidRPr="002B6864" w:rsidTr="00C65B5B">
        <w:tc>
          <w:tcPr>
            <w:tcW w:w="1384" w:type="dxa"/>
            <w:vAlign w:val="center"/>
          </w:tcPr>
          <w:p w:rsidR="002F70B5" w:rsidRPr="002F70B5" w:rsidRDefault="002F70B5" w:rsidP="002F70B5">
            <w:pPr>
              <w:spacing w:after="0"/>
              <w:jc w:val="center"/>
              <w:rPr>
                <w:sz w:val="20"/>
                <w:szCs w:val="20"/>
              </w:rPr>
            </w:pPr>
            <w:r w:rsidRPr="002F70B5">
              <w:rPr>
                <w:sz w:val="20"/>
                <w:szCs w:val="20"/>
              </w:rPr>
              <w:t>2 – 2013/14</w:t>
            </w:r>
          </w:p>
        </w:tc>
        <w:tc>
          <w:tcPr>
            <w:tcW w:w="2693" w:type="dxa"/>
            <w:vAlign w:val="center"/>
          </w:tcPr>
          <w:p w:rsidR="002F70B5" w:rsidRPr="002F70B5" w:rsidRDefault="002F70B5" w:rsidP="002F70B5">
            <w:pPr>
              <w:spacing w:after="0"/>
              <w:jc w:val="center"/>
              <w:rPr>
                <w:sz w:val="20"/>
                <w:szCs w:val="20"/>
              </w:rPr>
            </w:pPr>
            <w:r w:rsidRPr="002F70B5">
              <w:rPr>
                <w:sz w:val="20"/>
                <w:szCs w:val="20"/>
              </w:rPr>
              <w:t>1 Oct 2012 to 30 Sept 2013</w:t>
            </w:r>
          </w:p>
        </w:tc>
        <w:tc>
          <w:tcPr>
            <w:tcW w:w="1635" w:type="dxa"/>
            <w:vAlign w:val="center"/>
          </w:tcPr>
          <w:p w:rsidR="002F70B5" w:rsidRPr="002F70B5" w:rsidRDefault="002F70B5" w:rsidP="002F70B5">
            <w:pPr>
              <w:spacing w:after="0"/>
              <w:jc w:val="center"/>
              <w:rPr>
                <w:sz w:val="20"/>
                <w:szCs w:val="20"/>
              </w:rPr>
            </w:pPr>
            <w:r w:rsidRPr="002F70B5">
              <w:rPr>
                <w:sz w:val="20"/>
                <w:szCs w:val="20"/>
              </w:rPr>
              <w:t>11</w:t>
            </w:r>
          </w:p>
        </w:tc>
        <w:tc>
          <w:tcPr>
            <w:tcW w:w="1909" w:type="dxa"/>
            <w:vAlign w:val="center"/>
          </w:tcPr>
          <w:p w:rsidR="002F70B5" w:rsidRPr="002F70B5" w:rsidRDefault="002F70B5" w:rsidP="002F70B5">
            <w:pPr>
              <w:spacing w:after="0"/>
              <w:jc w:val="center"/>
              <w:rPr>
                <w:sz w:val="20"/>
                <w:szCs w:val="20"/>
              </w:rPr>
            </w:pPr>
            <w:r w:rsidRPr="002F70B5">
              <w:rPr>
                <w:sz w:val="20"/>
                <w:szCs w:val="20"/>
              </w:rPr>
              <w:t>7</w:t>
            </w:r>
          </w:p>
        </w:tc>
        <w:tc>
          <w:tcPr>
            <w:tcW w:w="2552" w:type="dxa"/>
            <w:vAlign w:val="center"/>
          </w:tcPr>
          <w:p w:rsidR="002F70B5" w:rsidRPr="002F70B5" w:rsidRDefault="002F70B5" w:rsidP="002F70B5">
            <w:pPr>
              <w:spacing w:after="0"/>
              <w:jc w:val="center"/>
              <w:rPr>
                <w:sz w:val="20"/>
                <w:szCs w:val="20"/>
              </w:rPr>
            </w:pPr>
            <w:r w:rsidRPr="002F70B5">
              <w:rPr>
                <w:sz w:val="20"/>
                <w:szCs w:val="20"/>
              </w:rPr>
              <w:t>64%</w:t>
            </w:r>
          </w:p>
        </w:tc>
      </w:tr>
    </w:tbl>
    <w:p w:rsidR="002F70B5" w:rsidRPr="002F70B5" w:rsidRDefault="00AC5707" w:rsidP="002F70B5">
      <w:pPr>
        <w:rPr>
          <w:rFonts w:cs="Arial"/>
          <w:bCs/>
          <w:color w:val="000000"/>
        </w:rPr>
      </w:pPr>
      <w:r>
        <w:rPr>
          <w:rFonts w:cs="Arial"/>
          <w:bCs/>
          <w:color w:val="000000"/>
        </w:rPr>
        <w:t>The table below shows the time to target for research studies over the last 12 months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693"/>
        <w:gridCol w:w="2127"/>
        <w:gridCol w:w="1842"/>
        <w:gridCol w:w="2127"/>
      </w:tblGrid>
      <w:tr w:rsidR="002F70B5" w:rsidRPr="002B6864" w:rsidTr="00C65B5B">
        <w:tc>
          <w:tcPr>
            <w:tcW w:w="10173" w:type="dxa"/>
            <w:gridSpan w:val="5"/>
            <w:shd w:val="clear" w:color="auto" w:fill="D9D9D9" w:themeFill="background1" w:themeFillShade="D9"/>
          </w:tcPr>
          <w:p w:rsidR="002F70B5" w:rsidRPr="002F70B5" w:rsidRDefault="002F70B5" w:rsidP="002F70B5">
            <w:pPr>
              <w:spacing w:after="0"/>
              <w:jc w:val="center"/>
              <w:rPr>
                <w:sz w:val="20"/>
                <w:szCs w:val="20"/>
              </w:rPr>
            </w:pPr>
            <w:r w:rsidRPr="002F70B5">
              <w:rPr>
                <w:sz w:val="20"/>
                <w:szCs w:val="20"/>
              </w:rPr>
              <w:t>Performance in Delivering Commercial CTs</w:t>
            </w:r>
          </w:p>
        </w:tc>
      </w:tr>
      <w:tr w:rsidR="002F70B5" w:rsidRPr="002B6864" w:rsidTr="00C65B5B">
        <w:tc>
          <w:tcPr>
            <w:tcW w:w="1384" w:type="dxa"/>
          </w:tcPr>
          <w:p w:rsidR="002F70B5" w:rsidRPr="002F70B5" w:rsidRDefault="002F70B5" w:rsidP="002F70B5">
            <w:pPr>
              <w:spacing w:after="0"/>
              <w:jc w:val="center"/>
              <w:rPr>
                <w:sz w:val="20"/>
                <w:szCs w:val="20"/>
              </w:rPr>
            </w:pPr>
            <w:r w:rsidRPr="002F70B5">
              <w:rPr>
                <w:sz w:val="20"/>
                <w:szCs w:val="20"/>
              </w:rPr>
              <w:t>Quarter</w:t>
            </w:r>
          </w:p>
        </w:tc>
        <w:tc>
          <w:tcPr>
            <w:tcW w:w="2693" w:type="dxa"/>
          </w:tcPr>
          <w:p w:rsidR="002F70B5" w:rsidRPr="002F70B5" w:rsidRDefault="002F70B5" w:rsidP="002F70B5">
            <w:pPr>
              <w:spacing w:after="0"/>
              <w:jc w:val="center"/>
              <w:rPr>
                <w:sz w:val="20"/>
                <w:szCs w:val="20"/>
              </w:rPr>
            </w:pPr>
            <w:r w:rsidRPr="002F70B5">
              <w:rPr>
                <w:sz w:val="20"/>
                <w:szCs w:val="20"/>
              </w:rPr>
              <w:t>NHS Permission granted within the period</w:t>
            </w:r>
          </w:p>
        </w:tc>
        <w:tc>
          <w:tcPr>
            <w:tcW w:w="2127" w:type="dxa"/>
          </w:tcPr>
          <w:p w:rsidR="002F70B5" w:rsidRPr="002F70B5" w:rsidRDefault="002F70B5" w:rsidP="002F70B5">
            <w:pPr>
              <w:spacing w:after="0"/>
              <w:jc w:val="center"/>
              <w:rPr>
                <w:sz w:val="20"/>
                <w:szCs w:val="20"/>
              </w:rPr>
            </w:pPr>
            <w:r w:rsidRPr="002F70B5">
              <w:rPr>
                <w:sz w:val="20"/>
                <w:szCs w:val="20"/>
              </w:rPr>
              <w:t>*Number of studies closed to recruitment during period</w:t>
            </w:r>
          </w:p>
        </w:tc>
        <w:tc>
          <w:tcPr>
            <w:tcW w:w="1842" w:type="dxa"/>
          </w:tcPr>
          <w:p w:rsidR="002F70B5" w:rsidRPr="002F70B5" w:rsidRDefault="002F70B5" w:rsidP="002F70B5">
            <w:pPr>
              <w:spacing w:after="0"/>
              <w:jc w:val="center"/>
              <w:rPr>
                <w:sz w:val="20"/>
                <w:szCs w:val="20"/>
              </w:rPr>
            </w:pPr>
            <w:r w:rsidRPr="002F70B5">
              <w:rPr>
                <w:sz w:val="20"/>
                <w:szCs w:val="20"/>
              </w:rPr>
              <w:t>Number of studies that recruited time to target</w:t>
            </w:r>
          </w:p>
        </w:tc>
        <w:tc>
          <w:tcPr>
            <w:tcW w:w="2127" w:type="dxa"/>
          </w:tcPr>
          <w:p w:rsidR="002F70B5" w:rsidRPr="002F70B5" w:rsidRDefault="002F70B5" w:rsidP="002F70B5">
            <w:pPr>
              <w:spacing w:after="0"/>
              <w:jc w:val="center"/>
              <w:rPr>
                <w:sz w:val="20"/>
                <w:szCs w:val="20"/>
              </w:rPr>
            </w:pPr>
            <w:r w:rsidRPr="002F70B5">
              <w:rPr>
                <w:sz w:val="20"/>
                <w:szCs w:val="20"/>
              </w:rPr>
              <w:t>Percentage of studies that recruited time to target</w:t>
            </w:r>
          </w:p>
        </w:tc>
      </w:tr>
      <w:tr w:rsidR="002F70B5" w:rsidRPr="002B6864" w:rsidTr="00C65B5B">
        <w:tc>
          <w:tcPr>
            <w:tcW w:w="1384" w:type="dxa"/>
          </w:tcPr>
          <w:p w:rsidR="002F70B5" w:rsidRPr="002F70B5" w:rsidRDefault="002F70B5" w:rsidP="002F70B5">
            <w:pPr>
              <w:spacing w:after="0"/>
              <w:jc w:val="center"/>
              <w:rPr>
                <w:sz w:val="20"/>
                <w:szCs w:val="20"/>
              </w:rPr>
            </w:pPr>
            <w:r w:rsidRPr="002F70B5">
              <w:rPr>
                <w:sz w:val="20"/>
                <w:szCs w:val="20"/>
              </w:rPr>
              <w:t>3 – 2012/13</w:t>
            </w:r>
          </w:p>
        </w:tc>
        <w:tc>
          <w:tcPr>
            <w:tcW w:w="2693" w:type="dxa"/>
          </w:tcPr>
          <w:p w:rsidR="002F70B5" w:rsidRPr="002F70B5" w:rsidRDefault="002F70B5" w:rsidP="002F70B5">
            <w:pPr>
              <w:spacing w:after="0"/>
              <w:jc w:val="center"/>
              <w:rPr>
                <w:sz w:val="20"/>
                <w:szCs w:val="20"/>
              </w:rPr>
            </w:pPr>
            <w:r w:rsidRPr="002F70B5">
              <w:rPr>
                <w:sz w:val="20"/>
                <w:szCs w:val="20"/>
              </w:rPr>
              <w:t>1 Jan 2012 to 31 Dec 2012</w:t>
            </w:r>
          </w:p>
        </w:tc>
        <w:tc>
          <w:tcPr>
            <w:tcW w:w="2127" w:type="dxa"/>
          </w:tcPr>
          <w:p w:rsidR="002F70B5" w:rsidRPr="002F70B5" w:rsidRDefault="002F70B5" w:rsidP="002F70B5">
            <w:pPr>
              <w:spacing w:after="0"/>
              <w:jc w:val="center"/>
              <w:rPr>
                <w:sz w:val="20"/>
                <w:szCs w:val="20"/>
              </w:rPr>
            </w:pPr>
            <w:r w:rsidRPr="002F70B5">
              <w:rPr>
                <w:sz w:val="20"/>
                <w:szCs w:val="20"/>
              </w:rPr>
              <w:t>3</w:t>
            </w:r>
          </w:p>
        </w:tc>
        <w:tc>
          <w:tcPr>
            <w:tcW w:w="1842" w:type="dxa"/>
          </w:tcPr>
          <w:p w:rsidR="002F70B5" w:rsidRPr="002F70B5" w:rsidRDefault="002F70B5" w:rsidP="002F70B5">
            <w:pPr>
              <w:spacing w:after="0"/>
              <w:jc w:val="center"/>
              <w:rPr>
                <w:sz w:val="20"/>
                <w:szCs w:val="20"/>
              </w:rPr>
            </w:pPr>
            <w:r w:rsidRPr="002F70B5">
              <w:rPr>
                <w:sz w:val="20"/>
                <w:szCs w:val="20"/>
              </w:rPr>
              <w:t>1</w:t>
            </w:r>
          </w:p>
        </w:tc>
        <w:tc>
          <w:tcPr>
            <w:tcW w:w="2127" w:type="dxa"/>
          </w:tcPr>
          <w:p w:rsidR="002F70B5" w:rsidRPr="002F70B5" w:rsidRDefault="002F70B5" w:rsidP="002F70B5">
            <w:pPr>
              <w:spacing w:after="0"/>
              <w:jc w:val="center"/>
              <w:rPr>
                <w:sz w:val="20"/>
                <w:szCs w:val="20"/>
              </w:rPr>
            </w:pPr>
            <w:r w:rsidRPr="002F70B5">
              <w:rPr>
                <w:sz w:val="20"/>
                <w:szCs w:val="20"/>
              </w:rPr>
              <w:t>33%</w:t>
            </w:r>
          </w:p>
        </w:tc>
      </w:tr>
      <w:tr w:rsidR="002F70B5" w:rsidRPr="002B6864" w:rsidTr="00C65B5B">
        <w:tc>
          <w:tcPr>
            <w:tcW w:w="1384" w:type="dxa"/>
          </w:tcPr>
          <w:p w:rsidR="002F70B5" w:rsidRPr="002F70B5" w:rsidRDefault="002F70B5" w:rsidP="002F70B5">
            <w:pPr>
              <w:spacing w:after="0"/>
              <w:jc w:val="center"/>
              <w:rPr>
                <w:sz w:val="20"/>
                <w:szCs w:val="20"/>
              </w:rPr>
            </w:pPr>
            <w:r w:rsidRPr="002F70B5">
              <w:rPr>
                <w:sz w:val="20"/>
                <w:szCs w:val="20"/>
              </w:rPr>
              <w:t>4 – 2012/13</w:t>
            </w:r>
          </w:p>
        </w:tc>
        <w:tc>
          <w:tcPr>
            <w:tcW w:w="2693" w:type="dxa"/>
          </w:tcPr>
          <w:p w:rsidR="002F70B5" w:rsidRPr="002F70B5" w:rsidRDefault="002F70B5" w:rsidP="002F70B5">
            <w:pPr>
              <w:spacing w:after="0"/>
              <w:jc w:val="center"/>
              <w:rPr>
                <w:sz w:val="20"/>
                <w:szCs w:val="20"/>
              </w:rPr>
            </w:pPr>
            <w:r w:rsidRPr="002F70B5">
              <w:rPr>
                <w:sz w:val="20"/>
                <w:szCs w:val="20"/>
              </w:rPr>
              <w:t>1 Apr 2012 to 31 Mar 2013</w:t>
            </w:r>
          </w:p>
        </w:tc>
        <w:tc>
          <w:tcPr>
            <w:tcW w:w="2127" w:type="dxa"/>
          </w:tcPr>
          <w:p w:rsidR="002F70B5" w:rsidRPr="002F70B5" w:rsidRDefault="002F70B5" w:rsidP="002F70B5">
            <w:pPr>
              <w:spacing w:after="0"/>
              <w:jc w:val="center"/>
              <w:rPr>
                <w:sz w:val="20"/>
                <w:szCs w:val="20"/>
              </w:rPr>
            </w:pPr>
            <w:r w:rsidRPr="002F70B5">
              <w:rPr>
                <w:sz w:val="20"/>
                <w:szCs w:val="20"/>
              </w:rPr>
              <w:t>0</w:t>
            </w:r>
          </w:p>
        </w:tc>
        <w:tc>
          <w:tcPr>
            <w:tcW w:w="1842" w:type="dxa"/>
          </w:tcPr>
          <w:p w:rsidR="002F70B5" w:rsidRPr="002F70B5" w:rsidRDefault="002F70B5" w:rsidP="002F70B5">
            <w:pPr>
              <w:spacing w:after="0"/>
              <w:jc w:val="center"/>
              <w:rPr>
                <w:sz w:val="20"/>
                <w:szCs w:val="20"/>
              </w:rPr>
            </w:pPr>
            <w:r w:rsidRPr="002F70B5">
              <w:rPr>
                <w:sz w:val="20"/>
                <w:szCs w:val="20"/>
              </w:rPr>
              <w:t>N/A</w:t>
            </w:r>
          </w:p>
        </w:tc>
        <w:tc>
          <w:tcPr>
            <w:tcW w:w="2127" w:type="dxa"/>
          </w:tcPr>
          <w:p w:rsidR="002F70B5" w:rsidRPr="002F70B5" w:rsidRDefault="002F70B5" w:rsidP="002F70B5">
            <w:pPr>
              <w:spacing w:after="0"/>
              <w:jc w:val="center"/>
              <w:rPr>
                <w:sz w:val="20"/>
                <w:szCs w:val="20"/>
              </w:rPr>
            </w:pPr>
            <w:r w:rsidRPr="002F70B5">
              <w:rPr>
                <w:sz w:val="20"/>
                <w:szCs w:val="20"/>
              </w:rPr>
              <w:t>N/A</w:t>
            </w:r>
          </w:p>
        </w:tc>
      </w:tr>
      <w:tr w:rsidR="002F70B5" w:rsidRPr="002B6864" w:rsidTr="00C65B5B">
        <w:tc>
          <w:tcPr>
            <w:tcW w:w="1384" w:type="dxa"/>
          </w:tcPr>
          <w:p w:rsidR="002F70B5" w:rsidRPr="002F70B5" w:rsidRDefault="002F70B5" w:rsidP="002F70B5">
            <w:pPr>
              <w:spacing w:after="0"/>
              <w:jc w:val="center"/>
              <w:rPr>
                <w:sz w:val="20"/>
                <w:szCs w:val="20"/>
              </w:rPr>
            </w:pPr>
            <w:r w:rsidRPr="002F70B5">
              <w:rPr>
                <w:sz w:val="20"/>
                <w:szCs w:val="20"/>
              </w:rPr>
              <w:t>1 – 2013/14</w:t>
            </w:r>
          </w:p>
        </w:tc>
        <w:tc>
          <w:tcPr>
            <w:tcW w:w="2693" w:type="dxa"/>
          </w:tcPr>
          <w:p w:rsidR="002F70B5" w:rsidRPr="002F70B5" w:rsidRDefault="002F70B5" w:rsidP="002F70B5">
            <w:pPr>
              <w:spacing w:after="0"/>
              <w:jc w:val="center"/>
              <w:rPr>
                <w:sz w:val="20"/>
                <w:szCs w:val="20"/>
              </w:rPr>
            </w:pPr>
            <w:r w:rsidRPr="002F70B5">
              <w:rPr>
                <w:sz w:val="20"/>
                <w:szCs w:val="20"/>
              </w:rPr>
              <w:t>1 Jul 2012 to 30 Jun 2013</w:t>
            </w:r>
          </w:p>
        </w:tc>
        <w:tc>
          <w:tcPr>
            <w:tcW w:w="2127" w:type="dxa"/>
          </w:tcPr>
          <w:p w:rsidR="002F70B5" w:rsidRPr="002F70B5" w:rsidRDefault="002F70B5" w:rsidP="002F70B5">
            <w:pPr>
              <w:spacing w:after="0"/>
              <w:jc w:val="center"/>
              <w:rPr>
                <w:sz w:val="20"/>
                <w:szCs w:val="20"/>
              </w:rPr>
            </w:pPr>
            <w:r w:rsidRPr="002F70B5">
              <w:rPr>
                <w:sz w:val="20"/>
                <w:szCs w:val="20"/>
              </w:rPr>
              <w:t>3</w:t>
            </w:r>
          </w:p>
        </w:tc>
        <w:tc>
          <w:tcPr>
            <w:tcW w:w="1842" w:type="dxa"/>
          </w:tcPr>
          <w:p w:rsidR="002F70B5" w:rsidRPr="002F70B5" w:rsidRDefault="002F70B5" w:rsidP="002F70B5">
            <w:pPr>
              <w:spacing w:after="0"/>
              <w:jc w:val="center"/>
              <w:rPr>
                <w:sz w:val="20"/>
                <w:szCs w:val="20"/>
              </w:rPr>
            </w:pPr>
            <w:r w:rsidRPr="002F70B5">
              <w:rPr>
                <w:sz w:val="20"/>
                <w:szCs w:val="20"/>
              </w:rPr>
              <w:t>1</w:t>
            </w:r>
          </w:p>
        </w:tc>
        <w:tc>
          <w:tcPr>
            <w:tcW w:w="2127" w:type="dxa"/>
          </w:tcPr>
          <w:p w:rsidR="002F70B5" w:rsidRPr="002F70B5" w:rsidRDefault="002F70B5" w:rsidP="002F70B5">
            <w:pPr>
              <w:spacing w:after="0"/>
              <w:jc w:val="center"/>
              <w:rPr>
                <w:sz w:val="20"/>
                <w:szCs w:val="20"/>
              </w:rPr>
            </w:pPr>
            <w:r w:rsidRPr="002F70B5">
              <w:rPr>
                <w:sz w:val="20"/>
                <w:szCs w:val="20"/>
              </w:rPr>
              <w:t>33%</w:t>
            </w:r>
          </w:p>
        </w:tc>
      </w:tr>
      <w:tr w:rsidR="002F70B5" w:rsidRPr="002B6864" w:rsidTr="00C65B5B">
        <w:tc>
          <w:tcPr>
            <w:tcW w:w="1384" w:type="dxa"/>
          </w:tcPr>
          <w:p w:rsidR="002F70B5" w:rsidRPr="002F70B5" w:rsidRDefault="002F70B5" w:rsidP="002F70B5">
            <w:pPr>
              <w:spacing w:after="0"/>
              <w:jc w:val="center"/>
              <w:rPr>
                <w:sz w:val="20"/>
                <w:szCs w:val="20"/>
              </w:rPr>
            </w:pPr>
            <w:r w:rsidRPr="002F70B5">
              <w:rPr>
                <w:sz w:val="20"/>
                <w:szCs w:val="20"/>
              </w:rPr>
              <w:t>2 – 2013/14</w:t>
            </w:r>
          </w:p>
        </w:tc>
        <w:tc>
          <w:tcPr>
            <w:tcW w:w="2693" w:type="dxa"/>
          </w:tcPr>
          <w:p w:rsidR="002F70B5" w:rsidRPr="002F70B5" w:rsidRDefault="002F70B5" w:rsidP="002F70B5">
            <w:pPr>
              <w:spacing w:after="0"/>
              <w:jc w:val="center"/>
              <w:rPr>
                <w:sz w:val="20"/>
                <w:szCs w:val="20"/>
              </w:rPr>
            </w:pPr>
            <w:r w:rsidRPr="002F70B5">
              <w:rPr>
                <w:sz w:val="20"/>
                <w:szCs w:val="20"/>
              </w:rPr>
              <w:t>1 Oct 2012 to 30 Sept 2013</w:t>
            </w:r>
          </w:p>
        </w:tc>
        <w:tc>
          <w:tcPr>
            <w:tcW w:w="2127" w:type="dxa"/>
          </w:tcPr>
          <w:p w:rsidR="002F70B5" w:rsidRPr="002F70B5" w:rsidRDefault="002F70B5" w:rsidP="002F70B5">
            <w:pPr>
              <w:spacing w:after="0"/>
              <w:jc w:val="center"/>
              <w:rPr>
                <w:sz w:val="20"/>
                <w:szCs w:val="20"/>
              </w:rPr>
            </w:pPr>
            <w:r w:rsidRPr="002F70B5">
              <w:rPr>
                <w:sz w:val="20"/>
                <w:szCs w:val="20"/>
              </w:rPr>
              <w:t>4</w:t>
            </w:r>
          </w:p>
        </w:tc>
        <w:tc>
          <w:tcPr>
            <w:tcW w:w="1842" w:type="dxa"/>
          </w:tcPr>
          <w:p w:rsidR="002F70B5" w:rsidRPr="002F70B5" w:rsidRDefault="002F70B5" w:rsidP="002F70B5">
            <w:pPr>
              <w:spacing w:after="0"/>
              <w:jc w:val="center"/>
              <w:rPr>
                <w:sz w:val="20"/>
                <w:szCs w:val="20"/>
              </w:rPr>
            </w:pPr>
            <w:r w:rsidRPr="002F70B5">
              <w:rPr>
                <w:sz w:val="20"/>
                <w:szCs w:val="20"/>
              </w:rPr>
              <w:t>1</w:t>
            </w:r>
          </w:p>
        </w:tc>
        <w:tc>
          <w:tcPr>
            <w:tcW w:w="2127" w:type="dxa"/>
          </w:tcPr>
          <w:p w:rsidR="002F70B5" w:rsidRPr="002F70B5" w:rsidRDefault="002F70B5" w:rsidP="002F70B5">
            <w:pPr>
              <w:spacing w:after="0"/>
              <w:jc w:val="center"/>
              <w:rPr>
                <w:sz w:val="20"/>
                <w:szCs w:val="20"/>
              </w:rPr>
            </w:pPr>
            <w:r w:rsidRPr="002F70B5">
              <w:rPr>
                <w:sz w:val="20"/>
                <w:szCs w:val="20"/>
              </w:rPr>
              <w:t>25%</w:t>
            </w:r>
          </w:p>
        </w:tc>
      </w:tr>
    </w:tbl>
    <w:p w:rsidR="002F70B5" w:rsidRPr="002F70B5" w:rsidRDefault="002F70B5" w:rsidP="002F70B5">
      <w:pPr>
        <w:rPr>
          <w:sz w:val="20"/>
          <w:szCs w:val="20"/>
        </w:rPr>
      </w:pPr>
      <w:r w:rsidRPr="002F70B5">
        <w:rPr>
          <w:sz w:val="20"/>
          <w:szCs w:val="20"/>
        </w:rPr>
        <w:t>*This does not include studies where the sponsor withdrew.</w:t>
      </w:r>
    </w:p>
    <w:p w:rsidR="00A00087" w:rsidRDefault="00A00087" w:rsidP="00A51501">
      <w:pPr>
        <w:pStyle w:val="Heading1"/>
      </w:pPr>
      <w:r>
        <w:t>Highlights of Research Projects</w:t>
      </w:r>
    </w:p>
    <w:p w:rsidR="00A00087" w:rsidRPr="00C65B5B" w:rsidRDefault="00C65B5B" w:rsidP="00C65B5B">
      <w:r>
        <w:t>In</w:t>
      </w:r>
      <w:r w:rsidR="00A00087" w:rsidRPr="00C65B5B">
        <w:t xml:space="preserve"> March 2013 </w:t>
      </w:r>
      <w:proofErr w:type="spellStart"/>
      <w:r w:rsidR="00A00087" w:rsidRPr="00C65B5B">
        <w:t>Prof.Tom</w:t>
      </w:r>
      <w:proofErr w:type="spellEnd"/>
      <w:r w:rsidR="00A00087" w:rsidRPr="00C65B5B">
        <w:t xml:space="preserve"> Burns and colleagues published the results of the community treatment orders for patients with psychosis (OCT</w:t>
      </w:r>
      <w:r>
        <w:t xml:space="preserve">ET) </w:t>
      </w:r>
      <w:proofErr w:type="spellStart"/>
      <w:r>
        <w:t>randomised</w:t>
      </w:r>
      <w:proofErr w:type="spellEnd"/>
      <w:r>
        <w:t xml:space="preserve"> controlled trial that showed no benefit to patients on</w:t>
      </w:r>
      <w:r w:rsidRPr="00C65B5B">
        <w:t xml:space="preserve"> Community Treatment Orders</w:t>
      </w:r>
      <w:r>
        <w:t xml:space="preserve"> (CTO)</w:t>
      </w:r>
      <w:r w:rsidRPr="00C65B5B">
        <w:t xml:space="preserve">. </w:t>
      </w:r>
      <w:r>
        <w:t>It</w:t>
      </w:r>
      <w:r w:rsidRPr="00C65B5B">
        <w:t xml:space="preserve"> concluded that future use of CTOs should be urgently reviewed, </w:t>
      </w:r>
      <w:r>
        <w:t>with</w:t>
      </w:r>
      <w:r w:rsidRPr="00C65B5B">
        <w:t xml:space="preserve"> recommendations be</w:t>
      </w:r>
      <w:r>
        <w:t xml:space="preserve">ing </w:t>
      </w:r>
      <w:r w:rsidRPr="00C65B5B">
        <w:t>prese</w:t>
      </w:r>
      <w:r>
        <w:t xml:space="preserve">nted to the </w:t>
      </w:r>
      <w:proofErr w:type="spellStart"/>
      <w:r>
        <w:t>DoH</w:t>
      </w:r>
      <w:proofErr w:type="spellEnd"/>
      <w:r>
        <w:t>.</w:t>
      </w:r>
    </w:p>
    <w:p w:rsidR="00A00087" w:rsidRDefault="00A00087" w:rsidP="00A00087">
      <w:pPr>
        <w:rPr>
          <w:lang w:val="en-GB"/>
        </w:rPr>
      </w:pPr>
      <w:r>
        <w:rPr>
          <w:lang w:val="en-GB"/>
        </w:rPr>
        <w:t>The CRF successfully co</w:t>
      </w:r>
      <w:r w:rsidR="00E3381E">
        <w:rPr>
          <w:lang w:val="en-GB"/>
        </w:rPr>
        <w:t xml:space="preserve">mpleted two clinical trials on behalf of an external collaborator in the field of experimental medicine, P1Vital.  </w:t>
      </w:r>
      <w:r w:rsidR="005A6E6C">
        <w:rPr>
          <w:lang w:val="en-GB"/>
        </w:rPr>
        <w:t>One study</w:t>
      </w:r>
      <w:r w:rsidR="00455012">
        <w:rPr>
          <w:lang w:val="en-GB"/>
        </w:rPr>
        <w:t xml:space="preserve"> </w:t>
      </w:r>
      <w:r w:rsidR="005A6E6C">
        <w:rPr>
          <w:lang w:val="en-GB"/>
        </w:rPr>
        <w:t xml:space="preserve">explored whether certain antidepressants have an effect in thinking, perception and memory in healthy volunteers.  The other study </w:t>
      </w:r>
      <w:r w:rsidR="005A6E6C">
        <w:rPr>
          <w:lang w:val="en-GB"/>
        </w:rPr>
        <w:lastRenderedPageBreak/>
        <w:t>investigated whether a novel compound potentially to treat depression and anxiety had positive effects on learning and memory.  Both studies have only recently closed to recruitment</w:t>
      </w:r>
      <w:r w:rsidR="0015197A">
        <w:rPr>
          <w:lang w:val="en-GB"/>
        </w:rPr>
        <w:t xml:space="preserve"> and data analysis is pending</w:t>
      </w:r>
      <w:r w:rsidR="005A6E6C">
        <w:rPr>
          <w:lang w:val="en-GB"/>
        </w:rPr>
        <w:t xml:space="preserve">.  They are in an area of </w:t>
      </w:r>
      <w:r w:rsidR="00634A60">
        <w:rPr>
          <w:lang w:val="en-GB"/>
        </w:rPr>
        <w:t xml:space="preserve">experimental </w:t>
      </w:r>
      <w:r w:rsidR="005A6E6C">
        <w:rPr>
          <w:lang w:val="en-GB"/>
        </w:rPr>
        <w:t xml:space="preserve">research </w:t>
      </w:r>
      <w:r w:rsidR="00634A60">
        <w:rPr>
          <w:lang w:val="en-GB"/>
        </w:rPr>
        <w:t xml:space="preserve">which is </w:t>
      </w:r>
      <w:r w:rsidR="005A6E6C">
        <w:rPr>
          <w:lang w:val="en-GB"/>
        </w:rPr>
        <w:t xml:space="preserve">being promoted </w:t>
      </w:r>
      <w:r w:rsidR="00634A60">
        <w:rPr>
          <w:lang w:val="en-GB"/>
        </w:rPr>
        <w:t>by</w:t>
      </w:r>
      <w:r w:rsidR="005A6E6C">
        <w:rPr>
          <w:lang w:val="en-GB"/>
        </w:rPr>
        <w:t xml:space="preserve"> the NIHR</w:t>
      </w:r>
    </w:p>
    <w:p w:rsidR="005A6E6C" w:rsidRDefault="0015197A" w:rsidP="0015197A">
      <w:proofErr w:type="spellStart"/>
      <w:r>
        <w:t>ReD</w:t>
      </w:r>
      <w:proofErr w:type="spellEnd"/>
      <w:r>
        <w:t xml:space="preserve">-KITE: </w:t>
      </w:r>
      <w:r w:rsidRPr="004022B5">
        <w:t>Resistant Depression - Ketamine Infusion Trial Evaluation</w:t>
      </w:r>
      <w:r>
        <w:t xml:space="preserve">: a phase I, dose escalation, safety study has closed to recruitment and data being </w:t>
      </w:r>
      <w:proofErr w:type="spellStart"/>
      <w:r>
        <w:t>analysed</w:t>
      </w:r>
      <w:proofErr w:type="spellEnd"/>
      <w:r>
        <w:t xml:space="preserve"> to determine the safety profile of repeated doses of ketamine infusions and to gain preliminary efficacy data.</w:t>
      </w:r>
    </w:p>
    <w:p w:rsidR="0015197A" w:rsidRDefault="0015197A" w:rsidP="0015197A">
      <w:pPr>
        <w:rPr>
          <w:lang w:val="en-GB"/>
        </w:rPr>
      </w:pPr>
      <w:r>
        <w:rPr>
          <w:lang w:val="en-GB"/>
        </w:rPr>
        <w:t>A number of studies are ongoing within the field of dementia, in support of the government initiative to tackle the condition.</w:t>
      </w:r>
    </w:p>
    <w:p w:rsidR="009B51DB" w:rsidRPr="005840C9" w:rsidRDefault="009B51DB" w:rsidP="005840C9">
      <w:pPr>
        <w:pStyle w:val="Heading1"/>
      </w:pPr>
      <w:r w:rsidRPr="00A51501">
        <w:t>Finance</w:t>
      </w:r>
    </w:p>
    <w:p w:rsidR="00525B71" w:rsidRDefault="00A557AC" w:rsidP="0018103A">
      <w:pPr>
        <w:rPr>
          <w:lang w:val="en-GB"/>
        </w:rPr>
      </w:pPr>
      <w:r>
        <w:rPr>
          <w:lang w:val="en-GB"/>
        </w:rPr>
        <w:t xml:space="preserve">The Trust receives </w:t>
      </w:r>
      <w:r w:rsidR="005840C9">
        <w:rPr>
          <w:lang w:val="en-GB"/>
        </w:rPr>
        <w:t>R&amp;D</w:t>
      </w:r>
      <w:r>
        <w:rPr>
          <w:lang w:val="en-GB"/>
        </w:rPr>
        <w:t xml:space="preserve"> funding from a number of different sources, </w:t>
      </w:r>
      <w:r w:rsidR="005840C9">
        <w:rPr>
          <w:lang w:val="en-GB"/>
        </w:rPr>
        <w:t>primarily</w:t>
      </w:r>
      <w:r>
        <w:rPr>
          <w:lang w:val="en-GB"/>
        </w:rPr>
        <w:t xml:space="preserve"> derived from: </w:t>
      </w:r>
    </w:p>
    <w:p w:rsidR="00525B71" w:rsidRPr="00525B71" w:rsidRDefault="00A557AC" w:rsidP="00525B71">
      <w:pPr>
        <w:pStyle w:val="ListParagraph"/>
        <w:numPr>
          <w:ilvl w:val="0"/>
          <w:numId w:val="14"/>
        </w:numPr>
        <w:spacing w:before="0" w:after="0"/>
        <w:rPr>
          <w:lang w:val="en-GB"/>
        </w:rPr>
      </w:pPr>
      <w:r>
        <w:rPr>
          <w:lang w:val="en-GB"/>
        </w:rPr>
        <w:t xml:space="preserve">The </w:t>
      </w:r>
      <w:r w:rsidR="00525B71" w:rsidRPr="00525B71">
        <w:rPr>
          <w:lang w:val="en-GB"/>
        </w:rPr>
        <w:t>National Institute for Health Research (NIHR)</w:t>
      </w:r>
    </w:p>
    <w:p w:rsidR="00525B71" w:rsidRPr="00525B71" w:rsidRDefault="00525B71" w:rsidP="00525B71">
      <w:pPr>
        <w:pStyle w:val="ListParagraph"/>
        <w:numPr>
          <w:ilvl w:val="0"/>
          <w:numId w:val="14"/>
        </w:numPr>
        <w:spacing w:before="0" w:after="0"/>
        <w:rPr>
          <w:lang w:val="en-GB"/>
        </w:rPr>
      </w:pPr>
      <w:r w:rsidRPr="00525B71">
        <w:rPr>
          <w:lang w:val="en-GB"/>
        </w:rPr>
        <w:t>Thames Valley Comprehensive Local Research Network (TVCLRN)</w:t>
      </w:r>
    </w:p>
    <w:p w:rsidR="00525B71" w:rsidRPr="00525B71" w:rsidRDefault="00525B71" w:rsidP="00525B71">
      <w:pPr>
        <w:pStyle w:val="ListParagraph"/>
        <w:numPr>
          <w:ilvl w:val="0"/>
          <w:numId w:val="14"/>
        </w:numPr>
        <w:spacing w:before="0" w:after="0"/>
        <w:rPr>
          <w:lang w:val="en-GB"/>
        </w:rPr>
      </w:pPr>
      <w:r w:rsidRPr="00525B71">
        <w:rPr>
          <w:lang w:val="en-GB"/>
        </w:rPr>
        <w:t>Commercial Income</w:t>
      </w:r>
    </w:p>
    <w:p w:rsidR="00525B71" w:rsidRDefault="00525B71" w:rsidP="0018103A">
      <w:pPr>
        <w:rPr>
          <w:lang w:val="en-GB"/>
        </w:rPr>
      </w:pPr>
      <w:r>
        <w:rPr>
          <w:lang w:val="en-GB"/>
        </w:rPr>
        <w:t xml:space="preserve">The type of income </w:t>
      </w:r>
      <w:r w:rsidR="00A557AC">
        <w:rPr>
          <w:lang w:val="en-GB"/>
        </w:rPr>
        <w:t xml:space="preserve">provided by these </w:t>
      </w:r>
      <w:proofErr w:type="spellStart"/>
      <w:r w:rsidR="00A557AC">
        <w:rPr>
          <w:lang w:val="en-GB"/>
        </w:rPr>
        <w:t>organsiations</w:t>
      </w:r>
      <w:proofErr w:type="spellEnd"/>
      <w:r w:rsidR="00A557AC">
        <w:rPr>
          <w:lang w:val="en-GB"/>
        </w:rPr>
        <w:t xml:space="preserve"> </w:t>
      </w:r>
      <w:r w:rsidR="00F22E3C">
        <w:rPr>
          <w:lang w:val="en-GB"/>
        </w:rPr>
        <w:t xml:space="preserve">is shown below. The NIHR and TVCLRN tables include the FY14 forecast amounts and the Commercial income table includes the actual income at the end of the first 6 months. </w:t>
      </w:r>
      <w:r>
        <w:rPr>
          <w:lang w:val="en-GB"/>
        </w:rPr>
        <w:t xml:space="preserve"> </w:t>
      </w:r>
    </w:p>
    <w:p w:rsidR="0069120C" w:rsidRPr="0069120C" w:rsidRDefault="0018103A" w:rsidP="0069120C">
      <w:pPr>
        <w:pStyle w:val="Heading2"/>
        <w:rPr>
          <w:lang w:val="en-GB"/>
        </w:rPr>
      </w:pPr>
      <w:r w:rsidRPr="00525B71">
        <w:rPr>
          <w:lang w:val="en-GB"/>
        </w:rPr>
        <w:t xml:space="preserve"> </w:t>
      </w:r>
      <w:r w:rsidR="00622E28" w:rsidRPr="00525B71">
        <w:rPr>
          <w:lang w:val="en-GB"/>
        </w:rPr>
        <w:t>N</w:t>
      </w:r>
      <w:r w:rsidR="00BF3C8F" w:rsidRPr="00525B71">
        <w:rPr>
          <w:lang w:val="en-GB"/>
        </w:rPr>
        <w:t>ational Institute for Health Research (NIHR</w:t>
      </w:r>
      <w:r w:rsidR="0069120C">
        <w:rPr>
          <w:lang w:val="en-GB"/>
        </w:rPr>
        <w:t>)</w:t>
      </w:r>
    </w:p>
    <w:tbl>
      <w:tblPr>
        <w:tblStyle w:val="TableGrid"/>
        <w:tblW w:w="0" w:type="auto"/>
        <w:tblInd w:w="108" w:type="dxa"/>
        <w:tblLayout w:type="fixed"/>
        <w:tblLook w:val="04A0"/>
      </w:tblPr>
      <w:tblGrid>
        <w:gridCol w:w="1985"/>
        <w:gridCol w:w="2126"/>
        <w:gridCol w:w="5812"/>
      </w:tblGrid>
      <w:tr w:rsidR="00BF3C8F" w:rsidRPr="003F445B" w:rsidTr="00F93D0C">
        <w:trPr>
          <w:trHeight w:val="567"/>
        </w:trPr>
        <w:tc>
          <w:tcPr>
            <w:tcW w:w="1985" w:type="dxa"/>
            <w:shd w:val="clear" w:color="auto" w:fill="D9D9D9" w:themeFill="background1" w:themeFillShade="D9"/>
          </w:tcPr>
          <w:p w:rsidR="00BF3C8F" w:rsidRPr="003F445B" w:rsidRDefault="00525B71" w:rsidP="00231278">
            <w:pPr>
              <w:keepNext/>
              <w:keepLines/>
              <w:spacing w:before="120" w:after="0"/>
              <w:outlineLvl w:val="3"/>
              <w:rPr>
                <w:b/>
                <w:sz w:val="20"/>
                <w:szCs w:val="20"/>
              </w:rPr>
            </w:pPr>
            <w:r w:rsidRPr="003F445B">
              <w:rPr>
                <w:b/>
                <w:sz w:val="20"/>
                <w:szCs w:val="20"/>
              </w:rPr>
              <w:t>Type</w:t>
            </w:r>
            <w:r w:rsidR="00A557AC" w:rsidRPr="003F445B">
              <w:rPr>
                <w:b/>
                <w:sz w:val="20"/>
                <w:szCs w:val="20"/>
              </w:rPr>
              <w:t xml:space="preserve"> of income</w:t>
            </w:r>
          </w:p>
        </w:tc>
        <w:tc>
          <w:tcPr>
            <w:tcW w:w="2126" w:type="dxa"/>
            <w:shd w:val="clear" w:color="auto" w:fill="D9D9D9" w:themeFill="background1" w:themeFillShade="D9"/>
          </w:tcPr>
          <w:p w:rsidR="00BF3C8F" w:rsidRPr="003F445B" w:rsidRDefault="00E56B5A" w:rsidP="00F3204A">
            <w:pPr>
              <w:keepNext/>
              <w:keepLines/>
              <w:spacing w:before="120" w:after="0"/>
              <w:jc w:val="center"/>
              <w:outlineLvl w:val="3"/>
              <w:rPr>
                <w:b/>
                <w:sz w:val="20"/>
                <w:szCs w:val="20"/>
              </w:rPr>
            </w:pPr>
            <w:r w:rsidRPr="003F445B">
              <w:rPr>
                <w:b/>
                <w:sz w:val="20"/>
                <w:szCs w:val="20"/>
              </w:rPr>
              <w:t xml:space="preserve">FY14 </w:t>
            </w:r>
            <w:r w:rsidR="00525B71" w:rsidRPr="003F445B">
              <w:rPr>
                <w:b/>
                <w:sz w:val="20"/>
                <w:szCs w:val="20"/>
              </w:rPr>
              <w:t xml:space="preserve">Forecast </w:t>
            </w:r>
            <w:r w:rsidR="00D67B8D" w:rsidRPr="003F445B">
              <w:rPr>
                <w:b/>
                <w:sz w:val="20"/>
                <w:szCs w:val="20"/>
              </w:rPr>
              <w:t>(£k)</w:t>
            </w:r>
          </w:p>
        </w:tc>
        <w:tc>
          <w:tcPr>
            <w:tcW w:w="5812" w:type="dxa"/>
            <w:shd w:val="clear" w:color="auto" w:fill="D9D9D9" w:themeFill="background1" w:themeFillShade="D9"/>
          </w:tcPr>
          <w:p w:rsidR="00BF3C8F" w:rsidRPr="003F445B" w:rsidRDefault="00E82FCD" w:rsidP="00231278">
            <w:pPr>
              <w:keepNext/>
              <w:keepLines/>
              <w:spacing w:before="120" w:after="0"/>
              <w:outlineLvl w:val="3"/>
              <w:rPr>
                <w:b/>
                <w:sz w:val="20"/>
                <w:szCs w:val="20"/>
              </w:rPr>
            </w:pPr>
            <w:r w:rsidRPr="003F445B">
              <w:rPr>
                <w:b/>
                <w:sz w:val="20"/>
                <w:szCs w:val="20"/>
              </w:rPr>
              <w:t>Comments</w:t>
            </w:r>
          </w:p>
        </w:tc>
      </w:tr>
      <w:tr w:rsidR="00BF3C8F" w:rsidRPr="003F445B" w:rsidTr="003F445B">
        <w:trPr>
          <w:trHeight w:val="405"/>
        </w:trPr>
        <w:tc>
          <w:tcPr>
            <w:tcW w:w="1985" w:type="dxa"/>
          </w:tcPr>
          <w:p w:rsidR="00BF3C8F" w:rsidRPr="003F445B" w:rsidRDefault="00E56B5A" w:rsidP="00231278">
            <w:pPr>
              <w:spacing w:before="120" w:after="120"/>
              <w:rPr>
                <w:sz w:val="20"/>
                <w:szCs w:val="20"/>
              </w:rPr>
            </w:pPr>
            <w:r w:rsidRPr="003F445B">
              <w:rPr>
                <w:sz w:val="20"/>
                <w:szCs w:val="20"/>
              </w:rPr>
              <w:t xml:space="preserve">Study </w:t>
            </w:r>
          </w:p>
        </w:tc>
        <w:tc>
          <w:tcPr>
            <w:tcW w:w="2126" w:type="dxa"/>
          </w:tcPr>
          <w:p w:rsidR="00BF3C8F" w:rsidRPr="003F445B" w:rsidRDefault="00E82FCD" w:rsidP="00E82FCD">
            <w:pPr>
              <w:spacing w:before="120" w:after="120"/>
              <w:jc w:val="center"/>
              <w:rPr>
                <w:sz w:val="20"/>
                <w:szCs w:val="20"/>
              </w:rPr>
            </w:pPr>
            <w:r w:rsidRPr="003F445B">
              <w:rPr>
                <w:sz w:val="20"/>
                <w:szCs w:val="20"/>
              </w:rPr>
              <w:t>2,465</w:t>
            </w:r>
          </w:p>
        </w:tc>
        <w:tc>
          <w:tcPr>
            <w:tcW w:w="5812" w:type="dxa"/>
          </w:tcPr>
          <w:p w:rsidR="00BF3C8F" w:rsidRPr="003F445B" w:rsidRDefault="00E56B5A" w:rsidP="00231278">
            <w:pPr>
              <w:spacing w:before="120" w:after="120"/>
              <w:rPr>
                <w:sz w:val="20"/>
                <w:szCs w:val="20"/>
              </w:rPr>
            </w:pPr>
            <w:r w:rsidRPr="003F445B">
              <w:rPr>
                <w:sz w:val="20"/>
                <w:szCs w:val="20"/>
              </w:rPr>
              <w:t>To fund successful grant applications</w:t>
            </w:r>
            <w:r w:rsidR="00C60A2E" w:rsidRPr="003F445B">
              <w:rPr>
                <w:sz w:val="20"/>
                <w:szCs w:val="20"/>
              </w:rPr>
              <w:t xml:space="preserve"> </w:t>
            </w:r>
            <w:r w:rsidR="00C60A2E" w:rsidRPr="003F445B">
              <w:rPr>
                <w:i/>
                <w:sz w:val="20"/>
                <w:szCs w:val="20"/>
              </w:rPr>
              <w:t>(a full list of currently active studies is shown in Appendix A)</w:t>
            </w:r>
          </w:p>
        </w:tc>
      </w:tr>
      <w:tr w:rsidR="00BF3C8F" w:rsidRPr="003F445B" w:rsidTr="003F445B">
        <w:trPr>
          <w:trHeight w:val="504"/>
        </w:trPr>
        <w:tc>
          <w:tcPr>
            <w:tcW w:w="1985" w:type="dxa"/>
          </w:tcPr>
          <w:p w:rsidR="00BF3C8F" w:rsidRPr="003F445B" w:rsidRDefault="00E56B5A" w:rsidP="00231278">
            <w:pPr>
              <w:spacing w:before="120" w:after="120"/>
              <w:rPr>
                <w:sz w:val="20"/>
                <w:szCs w:val="20"/>
              </w:rPr>
            </w:pPr>
            <w:r w:rsidRPr="003F445B">
              <w:rPr>
                <w:sz w:val="20"/>
                <w:szCs w:val="20"/>
              </w:rPr>
              <w:t>RCF</w:t>
            </w:r>
          </w:p>
        </w:tc>
        <w:tc>
          <w:tcPr>
            <w:tcW w:w="2126" w:type="dxa"/>
          </w:tcPr>
          <w:p w:rsidR="00BF3C8F" w:rsidRPr="003F445B" w:rsidRDefault="00E56B5A" w:rsidP="00F3204A">
            <w:pPr>
              <w:spacing w:before="120" w:after="120"/>
              <w:jc w:val="center"/>
              <w:rPr>
                <w:sz w:val="20"/>
                <w:szCs w:val="20"/>
              </w:rPr>
            </w:pPr>
            <w:r w:rsidRPr="003F445B">
              <w:rPr>
                <w:sz w:val="20"/>
                <w:szCs w:val="20"/>
              </w:rPr>
              <w:t>1,020</w:t>
            </w:r>
          </w:p>
        </w:tc>
        <w:tc>
          <w:tcPr>
            <w:tcW w:w="5812" w:type="dxa"/>
          </w:tcPr>
          <w:p w:rsidR="00BF3C8F" w:rsidRPr="003F445B" w:rsidRDefault="00CE0BC3" w:rsidP="00231278">
            <w:pPr>
              <w:autoSpaceDE w:val="0"/>
              <w:autoSpaceDN w:val="0"/>
              <w:adjustRightInd w:val="0"/>
              <w:spacing w:before="120" w:after="120"/>
              <w:rPr>
                <w:sz w:val="20"/>
                <w:szCs w:val="20"/>
              </w:rPr>
            </w:pPr>
            <w:r w:rsidRPr="003F445B">
              <w:rPr>
                <w:sz w:val="20"/>
                <w:szCs w:val="20"/>
              </w:rPr>
              <w:t xml:space="preserve"> (see below)</w:t>
            </w:r>
          </w:p>
        </w:tc>
      </w:tr>
      <w:tr w:rsidR="00BF3C8F" w:rsidRPr="003F445B" w:rsidTr="003F445B">
        <w:trPr>
          <w:trHeight w:val="278"/>
        </w:trPr>
        <w:tc>
          <w:tcPr>
            <w:tcW w:w="1985" w:type="dxa"/>
          </w:tcPr>
          <w:p w:rsidR="00BF3C8F" w:rsidRPr="003F445B" w:rsidRDefault="00E56B5A" w:rsidP="003F445B">
            <w:pPr>
              <w:spacing w:before="120" w:after="120"/>
              <w:rPr>
                <w:sz w:val="20"/>
                <w:szCs w:val="20"/>
              </w:rPr>
            </w:pPr>
            <w:r w:rsidRPr="003F445B">
              <w:rPr>
                <w:sz w:val="20"/>
                <w:szCs w:val="20"/>
              </w:rPr>
              <w:t>CRF</w:t>
            </w:r>
          </w:p>
        </w:tc>
        <w:tc>
          <w:tcPr>
            <w:tcW w:w="2126" w:type="dxa"/>
          </w:tcPr>
          <w:p w:rsidR="00BF3C8F" w:rsidRPr="003F445B" w:rsidRDefault="00E56B5A" w:rsidP="00F3204A">
            <w:pPr>
              <w:spacing w:before="120" w:after="120"/>
              <w:jc w:val="center"/>
              <w:rPr>
                <w:sz w:val="20"/>
                <w:szCs w:val="20"/>
              </w:rPr>
            </w:pPr>
            <w:r w:rsidRPr="003F445B">
              <w:rPr>
                <w:sz w:val="20"/>
                <w:szCs w:val="20"/>
              </w:rPr>
              <w:t>718</w:t>
            </w:r>
          </w:p>
        </w:tc>
        <w:tc>
          <w:tcPr>
            <w:tcW w:w="5812" w:type="dxa"/>
          </w:tcPr>
          <w:p w:rsidR="00BF3C8F" w:rsidRPr="003F445B" w:rsidRDefault="00E56B5A" w:rsidP="003F445B">
            <w:pPr>
              <w:spacing w:before="120" w:after="120"/>
              <w:rPr>
                <w:sz w:val="20"/>
                <w:szCs w:val="20"/>
              </w:rPr>
            </w:pPr>
            <w:r w:rsidRPr="003F445B">
              <w:rPr>
                <w:sz w:val="20"/>
                <w:szCs w:val="20"/>
              </w:rPr>
              <w:t>Infrastructure funding for NIHR studies taking place within CRF</w:t>
            </w:r>
          </w:p>
        </w:tc>
      </w:tr>
      <w:tr w:rsidR="00BF3C8F" w:rsidRPr="003F445B" w:rsidTr="003F445B">
        <w:trPr>
          <w:trHeight w:val="278"/>
        </w:trPr>
        <w:tc>
          <w:tcPr>
            <w:tcW w:w="1985" w:type="dxa"/>
          </w:tcPr>
          <w:p w:rsidR="00BF3C8F" w:rsidRPr="003F445B" w:rsidRDefault="00E56B5A" w:rsidP="00231278">
            <w:pPr>
              <w:spacing w:before="120" w:after="120"/>
              <w:rPr>
                <w:sz w:val="20"/>
                <w:szCs w:val="20"/>
              </w:rPr>
            </w:pPr>
            <w:r w:rsidRPr="003F445B">
              <w:rPr>
                <w:sz w:val="20"/>
                <w:szCs w:val="20"/>
              </w:rPr>
              <w:t>CLAHRC</w:t>
            </w:r>
          </w:p>
        </w:tc>
        <w:tc>
          <w:tcPr>
            <w:tcW w:w="2126" w:type="dxa"/>
          </w:tcPr>
          <w:p w:rsidR="00BF3C8F" w:rsidRPr="003F445B" w:rsidRDefault="00E56B5A" w:rsidP="00F3204A">
            <w:pPr>
              <w:spacing w:before="120" w:after="120"/>
              <w:jc w:val="center"/>
              <w:rPr>
                <w:sz w:val="20"/>
                <w:szCs w:val="20"/>
              </w:rPr>
            </w:pPr>
            <w:r w:rsidRPr="003F445B">
              <w:rPr>
                <w:sz w:val="20"/>
                <w:szCs w:val="20"/>
              </w:rPr>
              <w:t>250</w:t>
            </w:r>
          </w:p>
        </w:tc>
        <w:tc>
          <w:tcPr>
            <w:tcW w:w="5812" w:type="dxa"/>
          </w:tcPr>
          <w:p w:rsidR="00BF3C8F" w:rsidRPr="003F445B" w:rsidRDefault="00E56B5A" w:rsidP="00E82FCD">
            <w:pPr>
              <w:spacing w:before="120" w:after="120"/>
              <w:rPr>
                <w:sz w:val="20"/>
                <w:szCs w:val="20"/>
              </w:rPr>
            </w:pPr>
            <w:r w:rsidRPr="003F445B">
              <w:rPr>
                <w:sz w:val="20"/>
                <w:szCs w:val="20"/>
              </w:rPr>
              <w:t>CLAHR</w:t>
            </w:r>
            <w:r w:rsidR="00E82FCD" w:rsidRPr="003F445B">
              <w:rPr>
                <w:sz w:val="20"/>
                <w:szCs w:val="20"/>
              </w:rPr>
              <w:t>C</w:t>
            </w:r>
            <w:r w:rsidRPr="003F445B">
              <w:rPr>
                <w:sz w:val="20"/>
                <w:szCs w:val="20"/>
              </w:rPr>
              <w:t xml:space="preserve"> </w:t>
            </w:r>
            <w:r w:rsidR="00E82FCD" w:rsidRPr="003F445B">
              <w:rPr>
                <w:sz w:val="20"/>
                <w:szCs w:val="20"/>
              </w:rPr>
              <w:t>Funding starts Jan 2014</w:t>
            </w:r>
          </w:p>
        </w:tc>
      </w:tr>
    </w:tbl>
    <w:p w:rsidR="00D67B8D" w:rsidRDefault="00CE0BC3" w:rsidP="0069120C">
      <w:pPr>
        <w:pStyle w:val="Heading2"/>
        <w:rPr>
          <w:lang w:val="en-GB"/>
        </w:rPr>
      </w:pPr>
      <w:r w:rsidRPr="00CE15B9">
        <w:rPr>
          <w:lang w:val="en-GB"/>
        </w:rPr>
        <w:t>Research Capability Funding (RCF)</w:t>
      </w:r>
    </w:p>
    <w:p w:rsidR="00F3204A" w:rsidRPr="00CE15B9" w:rsidRDefault="005C179F" w:rsidP="00CE15B9">
      <w:pPr>
        <w:rPr>
          <w:lang w:val="en-GB"/>
        </w:rPr>
      </w:pPr>
      <w:r>
        <w:rPr>
          <w:lang w:val="en-GB"/>
        </w:rPr>
        <w:t>Research active NHS organisations receive RCF to e</w:t>
      </w:r>
      <w:r w:rsidR="00F3204A" w:rsidRPr="00F3204A">
        <w:rPr>
          <w:lang w:val="en-GB"/>
        </w:rPr>
        <w:t>nabl</w:t>
      </w:r>
      <w:r>
        <w:rPr>
          <w:lang w:val="en-GB"/>
        </w:rPr>
        <w:t xml:space="preserve">e them to </w:t>
      </w:r>
      <w:r w:rsidR="00F3204A" w:rsidRPr="00F3204A">
        <w:rPr>
          <w:lang w:val="en-GB"/>
        </w:rPr>
        <w:t xml:space="preserve">meet some, or </w:t>
      </w:r>
      <w:proofErr w:type="gramStart"/>
      <w:r w:rsidR="00F3204A" w:rsidRPr="00F3204A">
        <w:rPr>
          <w:lang w:val="en-GB"/>
        </w:rPr>
        <w:t>all of the</w:t>
      </w:r>
      <w:proofErr w:type="gramEnd"/>
      <w:r w:rsidR="00F3204A" w:rsidRPr="00F3204A">
        <w:rPr>
          <w:lang w:val="en-GB"/>
        </w:rPr>
        <w:t xml:space="preserve"> research-related component of the salary of their researchers and research support staff working on clinical and applied health research, where that component is not already provided by another funding source</w:t>
      </w:r>
    </w:p>
    <w:p w:rsidR="005B6446" w:rsidRDefault="005C179F" w:rsidP="0018103A">
      <w:pPr>
        <w:rPr>
          <w:lang w:val="en-GB"/>
        </w:rPr>
      </w:pPr>
      <w:r>
        <w:rPr>
          <w:lang w:val="en-GB"/>
        </w:rPr>
        <w:t xml:space="preserve">The annual </w:t>
      </w:r>
      <w:r w:rsidR="005B6446">
        <w:rPr>
          <w:lang w:val="en-GB"/>
        </w:rPr>
        <w:t xml:space="preserve">RCF </w:t>
      </w:r>
      <w:r w:rsidR="00A557AC">
        <w:rPr>
          <w:lang w:val="en-GB"/>
        </w:rPr>
        <w:t xml:space="preserve">funding allocation </w:t>
      </w:r>
      <w:r>
        <w:rPr>
          <w:lang w:val="en-GB"/>
        </w:rPr>
        <w:t xml:space="preserve">includes </w:t>
      </w:r>
      <w:r w:rsidR="005B6446">
        <w:rPr>
          <w:lang w:val="en-GB"/>
        </w:rPr>
        <w:t xml:space="preserve">a percentage of NIHR funding received in the previous calendar year plus an allowance for each Senior Investigator registered with the NIHR as being associated with Oxford Health. </w:t>
      </w:r>
    </w:p>
    <w:p w:rsidR="00C65B5B" w:rsidRDefault="005B6446" w:rsidP="005B6446">
      <w:pPr>
        <w:spacing w:after="0"/>
      </w:pPr>
      <w:r w:rsidRPr="00782C43">
        <w:lastRenderedPageBreak/>
        <w:t xml:space="preserve">The FY14 RCF </w:t>
      </w:r>
      <w:r w:rsidR="00594DDB">
        <w:t xml:space="preserve">allocation shows a reduction of £109k on FY13. This movement </w:t>
      </w:r>
      <w:r w:rsidR="00A557AC">
        <w:t>i</w:t>
      </w:r>
      <w:r w:rsidR="00594DDB">
        <w:t xml:space="preserve">s made up of a £259k reduction in the study related element which </w:t>
      </w:r>
      <w:r w:rsidR="00A557AC">
        <w:t>i</w:t>
      </w:r>
      <w:r w:rsidR="00594DDB">
        <w:t xml:space="preserve">s partially off-set by a £150k increase in the senior investigator element following the inclusion of 2 additional investigators.  </w:t>
      </w:r>
    </w:p>
    <w:p w:rsidR="00C65B5B" w:rsidRDefault="00C65B5B" w:rsidP="005B6446">
      <w:pPr>
        <w:spacing w:after="0"/>
      </w:pPr>
    </w:p>
    <w:tbl>
      <w:tblPr>
        <w:tblStyle w:val="TableGrid"/>
        <w:tblW w:w="10031" w:type="dxa"/>
        <w:tblLook w:val="04A0"/>
      </w:tblPr>
      <w:tblGrid>
        <w:gridCol w:w="2943"/>
        <w:gridCol w:w="2977"/>
        <w:gridCol w:w="4111"/>
      </w:tblGrid>
      <w:tr w:rsidR="005B6446" w:rsidRPr="003F445B" w:rsidTr="00C65B5B">
        <w:trPr>
          <w:trHeight w:val="411"/>
        </w:trPr>
        <w:tc>
          <w:tcPr>
            <w:tcW w:w="2943" w:type="dxa"/>
            <w:shd w:val="clear" w:color="auto" w:fill="D9D9D9" w:themeFill="background1" w:themeFillShade="D9"/>
          </w:tcPr>
          <w:p w:rsidR="005B6446" w:rsidRPr="003F445B" w:rsidRDefault="005B6446" w:rsidP="00052014">
            <w:pPr>
              <w:spacing w:before="120" w:after="120"/>
              <w:jc w:val="center"/>
              <w:rPr>
                <w:b/>
                <w:sz w:val="20"/>
                <w:szCs w:val="20"/>
              </w:rPr>
            </w:pPr>
          </w:p>
        </w:tc>
        <w:tc>
          <w:tcPr>
            <w:tcW w:w="2977" w:type="dxa"/>
            <w:shd w:val="clear" w:color="auto" w:fill="D9D9D9" w:themeFill="background1" w:themeFillShade="D9"/>
          </w:tcPr>
          <w:p w:rsidR="005B6446" w:rsidRPr="003F445B" w:rsidRDefault="005B6446" w:rsidP="00052014">
            <w:pPr>
              <w:spacing w:before="120" w:after="120"/>
              <w:jc w:val="center"/>
              <w:rPr>
                <w:b/>
                <w:sz w:val="20"/>
                <w:szCs w:val="20"/>
              </w:rPr>
            </w:pPr>
            <w:r w:rsidRPr="003F445B">
              <w:rPr>
                <w:b/>
                <w:sz w:val="20"/>
                <w:szCs w:val="20"/>
              </w:rPr>
              <w:t>FY13</w:t>
            </w:r>
          </w:p>
        </w:tc>
        <w:tc>
          <w:tcPr>
            <w:tcW w:w="4111" w:type="dxa"/>
            <w:shd w:val="clear" w:color="auto" w:fill="D9D9D9" w:themeFill="background1" w:themeFillShade="D9"/>
          </w:tcPr>
          <w:p w:rsidR="005B6446" w:rsidRPr="003F445B" w:rsidRDefault="005B6446" w:rsidP="00052014">
            <w:pPr>
              <w:spacing w:before="120" w:after="120"/>
              <w:jc w:val="center"/>
              <w:rPr>
                <w:b/>
                <w:sz w:val="20"/>
                <w:szCs w:val="20"/>
              </w:rPr>
            </w:pPr>
            <w:r w:rsidRPr="003F445B">
              <w:rPr>
                <w:b/>
                <w:sz w:val="20"/>
                <w:szCs w:val="20"/>
              </w:rPr>
              <w:t>FY14</w:t>
            </w:r>
          </w:p>
        </w:tc>
      </w:tr>
      <w:tr w:rsidR="005B6446" w:rsidRPr="003F445B" w:rsidTr="00C65B5B">
        <w:trPr>
          <w:trHeight w:val="567"/>
        </w:trPr>
        <w:tc>
          <w:tcPr>
            <w:tcW w:w="2943" w:type="dxa"/>
            <w:tcBorders>
              <w:bottom w:val="single" w:sz="4" w:space="0" w:color="auto"/>
            </w:tcBorders>
          </w:tcPr>
          <w:p w:rsidR="005B6446" w:rsidRPr="003F445B" w:rsidRDefault="005B6446" w:rsidP="00492871">
            <w:pPr>
              <w:spacing w:before="0" w:after="0"/>
              <w:rPr>
                <w:sz w:val="20"/>
                <w:szCs w:val="20"/>
              </w:rPr>
            </w:pPr>
            <w:r w:rsidRPr="003F445B">
              <w:rPr>
                <w:sz w:val="20"/>
                <w:szCs w:val="20"/>
              </w:rPr>
              <w:t>Senior Investigator</w:t>
            </w:r>
            <w:r w:rsidR="00231278" w:rsidRPr="003F445B">
              <w:rPr>
                <w:sz w:val="20"/>
                <w:szCs w:val="20"/>
              </w:rPr>
              <w:t>s</w:t>
            </w:r>
            <w:r w:rsidRPr="003F445B">
              <w:rPr>
                <w:sz w:val="20"/>
                <w:szCs w:val="20"/>
              </w:rPr>
              <w:t xml:space="preserve"> (SI) </w:t>
            </w:r>
          </w:p>
          <w:p w:rsidR="005B6446" w:rsidRPr="003F445B" w:rsidRDefault="005B6446" w:rsidP="00492871">
            <w:pPr>
              <w:spacing w:before="0" w:after="0"/>
              <w:rPr>
                <w:sz w:val="20"/>
                <w:szCs w:val="20"/>
              </w:rPr>
            </w:pPr>
          </w:p>
        </w:tc>
        <w:tc>
          <w:tcPr>
            <w:tcW w:w="2977" w:type="dxa"/>
            <w:tcBorders>
              <w:bottom w:val="single" w:sz="4" w:space="0" w:color="auto"/>
            </w:tcBorders>
          </w:tcPr>
          <w:p w:rsidR="005B6446" w:rsidRPr="003F445B" w:rsidRDefault="005B6446" w:rsidP="00492871">
            <w:pPr>
              <w:spacing w:before="0" w:after="0"/>
              <w:jc w:val="center"/>
              <w:rPr>
                <w:sz w:val="20"/>
                <w:szCs w:val="20"/>
              </w:rPr>
            </w:pPr>
            <w:r w:rsidRPr="003F445B">
              <w:rPr>
                <w:sz w:val="20"/>
                <w:szCs w:val="20"/>
              </w:rPr>
              <w:t>Keith Hawton</w:t>
            </w:r>
            <w:r w:rsidR="00C65B5B">
              <w:rPr>
                <w:sz w:val="20"/>
                <w:szCs w:val="20"/>
              </w:rPr>
              <w:t xml:space="preserve">, </w:t>
            </w:r>
            <w:r w:rsidRPr="003F445B">
              <w:rPr>
                <w:sz w:val="20"/>
                <w:szCs w:val="20"/>
              </w:rPr>
              <w:t>Guy Goodwin</w:t>
            </w:r>
          </w:p>
          <w:p w:rsidR="005B6446" w:rsidRPr="003F445B" w:rsidRDefault="005B6446" w:rsidP="00492871">
            <w:pPr>
              <w:spacing w:before="0" w:after="0"/>
              <w:jc w:val="center"/>
              <w:rPr>
                <w:sz w:val="20"/>
                <w:szCs w:val="20"/>
              </w:rPr>
            </w:pPr>
            <w:r w:rsidRPr="003F445B">
              <w:rPr>
                <w:sz w:val="20"/>
                <w:szCs w:val="20"/>
              </w:rPr>
              <w:t>John Geddes</w:t>
            </w:r>
          </w:p>
        </w:tc>
        <w:tc>
          <w:tcPr>
            <w:tcW w:w="4111" w:type="dxa"/>
            <w:tcBorders>
              <w:bottom w:val="single" w:sz="4" w:space="0" w:color="auto"/>
            </w:tcBorders>
          </w:tcPr>
          <w:p w:rsidR="005B6446" w:rsidRPr="003F445B" w:rsidRDefault="00052014" w:rsidP="00492871">
            <w:pPr>
              <w:spacing w:before="0" w:after="0"/>
              <w:jc w:val="center"/>
              <w:rPr>
                <w:sz w:val="20"/>
                <w:szCs w:val="20"/>
              </w:rPr>
            </w:pPr>
            <w:r w:rsidRPr="003F445B">
              <w:rPr>
                <w:sz w:val="20"/>
                <w:szCs w:val="20"/>
              </w:rPr>
              <w:t>K</w:t>
            </w:r>
            <w:r w:rsidR="005B6446" w:rsidRPr="003F445B">
              <w:rPr>
                <w:sz w:val="20"/>
                <w:szCs w:val="20"/>
              </w:rPr>
              <w:t>eith Hawton</w:t>
            </w:r>
            <w:r w:rsidRPr="003F445B">
              <w:rPr>
                <w:sz w:val="20"/>
                <w:szCs w:val="20"/>
              </w:rPr>
              <w:t xml:space="preserve">, </w:t>
            </w:r>
            <w:r w:rsidR="005B6446" w:rsidRPr="003F445B">
              <w:rPr>
                <w:sz w:val="20"/>
                <w:szCs w:val="20"/>
              </w:rPr>
              <w:t>Guy Goodwin</w:t>
            </w:r>
          </w:p>
          <w:p w:rsidR="005B6446" w:rsidRPr="003F445B" w:rsidRDefault="005B6446" w:rsidP="00C65B5B">
            <w:pPr>
              <w:spacing w:before="0" w:after="0"/>
              <w:jc w:val="center"/>
              <w:rPr>
                <w:sz w:val="20"/>
                <w:szCs w:val="20"/>
              </w:rPr>
            </w:pPr>
            <w:r w:rsidRPr="003F445B">
              <w:rPr>
                <w:sz w:val="20"/>
                <w:szCs w:val="20"/>
              </w:rPr>
              <w:t>John Geddes</w:t>
            </w:r>
            <w:r w:rsidR="00052014" w:rsidRPr="003F445B">
              <w:rPr>
                <w:sz w:val="20"/>
                <w:szCs w:val="20"/>
              </w:rPr>
              <w:t xml:space="preserve">, </w:t>
            </w:r>
            <w:r w:rsidRPr="003F445B">
              <w:rPr>
                <w:sz w:val="20"/>
                <w:szCs w:val="20"/>
              </w:rPr>
              <w:t>David Clarke</w:t>
            </w:r>
            <w:r w:rsidR="00C65B5B">
              <w:rPr>
                <w:sz w:val="20"/>
                <w:szCs w:val="20"/>
              </w:rPr>
              <w:t xml:space="preserve">, </w:t>
            </w:r>
            <w:r w:rsidRPr="003F445B">
              <w:rPr>
                <w:sz w:val="20"/>
                <w:szCs w:val="20"/>
              </w:rPr>
              <w:t>Alastair Gray</w:t>
            </w:r>
          </w:p>
        </w:tc>
      </w:tr>
      <w:tr w:rsidR="005B6446" w:rsidRPr="003F445B" w:rsidTr="00C65B5B">
        <w:trPr>
          <w:trHeight w:val="51"/>
        </w:trPr>
        <w:tc>
          <w:tcPr>
            <w:tcW w:w="2943" w:type="dxa"/>
            <w:shd w:val="pct12" w:color="auto" w:fill="auto"/>
          </w:tcPr>
          <w:p w:rsidR="005B6446" w:rsidRPr="003F445B" w:rsidRDefault="005B6446" w:rsidP="00231278">
            <w:pPr>
              <w:spacing w:before="120" w:after="120"/>
              <w:rPr>
                <w:b/>
                <w:sz w:val="20"/>
                <w:szCs w:val="20"/>
              </w:rPr>
            </w:pPr>
            <w:r w:rsidRPr="003F445B">
              <w:rPr>
                <w:b/>
                <w:sz w:val="20"/>
                <w:szCs w:val="20"/>
              </w:rPr>
              <w:t>SI Funding (£75k)</w:t>
            </w:r>
          </w:p>
        </w:tc>
        <w:tc>
          <w:tcPr>
            <w:tcW w:w="2977" w:type="dxa"/>
            <w:shd w:val="pct12" w:color="auto" w:fill="auto"/>
          </w:tcPr>
          <w:p w:rsidR="005B6446" w:rsidRPr="003F445B" w:rsidRDefault="005B6446" w:rsidP="00231278">
            <w:pPr>
              <w:spacing w:before="120" w:after="120"/>
              <w:jc w:val="right"/>
              <w:rPr>
                <w:b/>
                <w:sz w:val="20"/>
                <w:szCs w:val="20"/>
              </w:rPr>
            </w:pPr>
            <w:r w:rsidRPr="003F445B">
              <w:rPr>
                <w:b/>
                <w:sz w:val="20"/>
                <w:szCs w:val="20"/>
              </w:rPr>
              <w:t>£0.225m</w:t>
            </w:r>
          </w:p>
        </w:tc>
        <w:tc>
          <w:tcPr>
            <w:tcW w:w="4111" w:type="dxa"/>
            <w:shd w:val="pct12" w:color="auto" w:fill="auto"/>
          </w:tcPr>
          <w:p w:rsidR="005B6446" w:rsidRPr="003F445B" w:rsidRDefault="005B6446" w:rsidP="00231278">
            <w:pPr>
              <w:spacing w:before="120" w:after="120"/>
              <w:jc w:val="right"/>
              <w:rPr>
                <w:b/>
                <w:sz w:val="20"/>
                <w:szCs w:val="20"/>
              </w:rPr>
            </w:pPr>
            <w:r w:rsidRPr="003F445B">
              <w:rPr>
                <w:b/>
                <w:sz w:val="20"/>
                <w:szCs w:val="20"/>
              </w:rPr>
              <w:t>£0.375m</w:t>
            </w:r>
          </w:p>
        </w:tc>
      </w:tr>
      <w:tr w:rsidR="005B6446" w:rsidRPr="003F445B" w:rsidTr="00C65B5B">
        <w:trPr>
          <w:trHeight w:val="48"/>
        </w:trPr>
        <w:tc>
          <w:tcPr>
            <w:tcW w:w="2943" w:type="dxa"/>
          </w:tcPr>
          <w:p w:rsidR="005B6446" w:rsidRPr="003F445B" w:rsidRDefault="005B6446" w:rsidP="00231278">
            <w:pPr>
              <w:spacing w:before="120" w:after="120"/>
              <w:rPr>
                <w:sz w:val="20"/>
                <w:szCs w:val="20"/>
              </w:rPr>
            </w:pPr>
            <w:r w:rsidRPr="003F445B">
              <w:rPr>
                <w:sz w:val="20"/>
                <w:szCs w:val="20"/>
              </w:rPr>
              <w:t>Applicable Study Income</w:t>
            </w:r>
          </w:p>
        </w:tc>
        <w:tc>
          <w:tcPr>
            <w:tcW w:w="2977" w:type="dxa"/>
          </w:tcPr>
          <w:p w:rsidR="005B6446" w:rsidRPr="003F445B" w:rsidRDefault="005B6446" w:rsidP="00231278">
            <w:pPr>
              <w:spacing w:before="120" w:after="120"/>
              <w:rPr>
                <w:sz w:val="20"/>
                <w:szCs w:val="20"/>
              </w:rPr>
            </w:pPr>
            <w:r w:rsidRPr="003F445B">
              <w:rPr>
                <w:sz w:val="20"/>
                <w:szCs w:val="20"/>
              </w:rPr>
              <w:t>£2,056m</w:t>
            </w:r>
          </w:p>
        </w:tc>
        <w:tc>
          <w:tcPr>
            <w:tcW w:w="4111" w:type="dxa"/>
          </w:tcPr>
          <w:p w:rsidR="005B6446" w:rsidRPr="003F445B" w:rsidRDefault="005B6446" w:rsidP="00231278">
            <w:pPr>
              <w:spacing w:before="120" w:after="120"/>
              <w:rPr>
                <w:sz w:val="20"/>
                <w:szCs w:val="20"/>
              </w:rPr>
            </w:pPr>
            <w:r w:rsidRPr="003F445B">
              <w:rPr>
                <w:sz w:val="20"/>
                <w:szCs w:val="20"/>
              </w:rPr>
              <w:t>£1,592m</w:t>
            </w:r>
          </w:p>
        </w:tc>
      </w:tr>
      <w:tr w:rsidR="005B6446" w:rsidRPr="003F445B" w:rsidTr="00C65B5B">
        <w:trPr>
          <w:trHeight w:val="411"/>
        </w:trPr>
        <w:tc>
          <w:tcPr>
            <w:tcW w:w="2943" w:type="dxa"/>
            <w:tcBorders>
              <w:bottom w:val="single" w:sz="4" w:space="0" w:color="auto"/>
            </w:tcBorders>
          </w:tcPr>
          <w:p w:rsidR="005B6446" w:rsidRPr="003F445B" w:rsidRDefault="005B6446" w:rsidP="00231278">
            <w:pPr>
              <w:spacing w:before="120" w:after="120"/>
              <w:rPr>
                <w:sz w:val="20"/>
                <w:szCs w:val="20"/>
              </w:rPr>
            </w:pPr>
            <w:r w:rsidRPr="003F445B">
              <w:rPr>
                <w:sz w:val="20"/>
                <w:szCs w:val="20"/>
              </w:rPr>
              <w:t xml:space="preserve">Rate </w:t>
            </w:r>
          </w:p>
        </w:tc>
        <w:tc>
          <w:tcPr>
            <w:tcW w:w="2977" w:type="dxa"/>
            <w:tcBorders>
              <w:bottom w:val="single" w:sz="4" w:space="0" w:color="auto"/>
            </w:tcBorders>
          </w:tcPr>
          <w:p w:rsidR="005B6446" w:rsidRPr="003F445B" w:rsidRDefault="005B6446" w:rsidP="00231278">
            <w:pPr>
              <w:spacing w:before="120" w:after="120"/>
              <w:rPr>
                <w:sz w:val="20"/>
                <w:szCs w:val="20"/>
              </w:rPr>
            </w:pPr>
            <w:r w:rsidRPr="003F445B">
              <w:rPr>
                <w:sz w:val="20"/>
                <w:szCs w:val="20"/>
              </w:rPr>
              <w:t>0.44</w:t>
            </w:r>
          </w:p>
        </w:tc>
        <w:tc>
          <w:tcPr>
            <w:tcW w:w="4111" w:type="dxa"/>
            <w:tcBorders>
              <w:bottom w:val="single" w:sz="4" w:space="0" w:color="auto"/>
            </w:tcBorders>
          </w:tcPr>
          <w:p w:rsidR="005B6446" w:rsidRPr="003F445B" w:rsidRDefault="005B6446" w:rsidP="00CE15B9">
            <w:pPr>
              <w:spacing w:before="120" w:after="120"/>
              <w:rPr>
                <w:sz w:val="20"/>
                <w:szCs w:val="20"/>
              </w:rPr>
            </w:pPr>
            <w:r w:rsidRPr="003F445B">
              <w:rPr>
                <w:sz w:val="20"/>
                <w:szCs w:val="20"/>
              </w:rPr>
              <w:t>0.405</w:t>
            </w:r>
          </w:p>
        </w:tc>
      </w:tr>
      <w:tr w:rsidR="005B6446" w:rsidRPr="003F445B" w:rsidTr="00C65B5B">
        <w:trPr>
          <w:trHeight w:val="48"/>
        </w:trPr>
        <w:tc>
          <w:tcPr>
            <w:tcW w:w="2943" w:type="dxa"/>
            <w:tcBorders>
              <w:bottom w:val="single" w:sz="4" w:space="0" w:color="auto"/>
            </w:tcBorders>
            <w:shd w:val="pct12" w:color="auto" w:fill="auto"/>
          </w:tcPr>
          <w:p w:rsidR="005B6446" w:rsidRPr="003F445B" w:rsidRDefault="005B6446" w:rsidP="00231278">
            <w:pPr>
              <w:spacing w:before="120" w:after="120"/>
              <w:rPr>
                <w:b/>
                <w:sz w:val="20"/>
                <w:szCs w:val="20"/>
              </w:rPr>
            </w:pPr>
            <w:r w:rsidRPr="003F445B">
              <w:rPr>
                <w:b/>
                <w:sz w:val="20"/>
                <w:szCs w:val="20"/>
              </w:rPr>
              <w:t>Study Related RCF</w:t>
            </w:r>
          </w:p>
        </w:tc>
        <w:tc>
          <w:tcPr>
            <w:tcW w:w="2977" w:type="dxa"/>
            <w:tcBorders>
              <w:bottom w:val="single" w:sz="4" w:space="0" w:color="auto"/>
            </w:tcBorders>
            <w:shd w:val="pct12" w:color="auto" w:fill="auto"/>
          </w:tcPr>
          <w:p w:rsidR="005B6446" w:rsidRPr="003F445B" w:rsidRDefault="005B6446" w:rsidP="00231278">
            <w:pPr>
              <w:spacing w:before="120" w:after="120"/>
              <w:jc w:val="right"/>
              <w:rPr>
                <w:b/>
                <w:sz w:val="20"/>
                <w:szCs w:val="20"/>
              </w:rPr>
            </w:pPr>
            <w:r w:rsidRPr="003F445B">
              <w:rPr>
                <w:b/>
                <w:sz w:val="20"/>
                <w:szCs w:val="20"/>
              </w:rPr>
              <w:t>£0.904m</w:t>
            </w:r>
          </w:p>
        </w:tc>
        <w:tc>
          <w:tcPr>
            <w:tcW w:w="4111" w:type="dxa"/>
            <w:tcBorders>
              <w:bottom w:val="single" w:sz="4" w:space="0" w:color="auto"/>
            </w:tcBorders>
            <w:shd w:val="pct12" w:color="auto" w:fill="auto"/>
          </w:tcPr>
          <w:p w:rsidR="005B6446" w:rsidRPr="003F445B" w:rsidRDefault="005B6446" w:rsidP="00231278">
            <w:pPr>
              <w:spacing w:before="120" w:after="120"/>
              <w:jc w:val="right"/>
              <w:rPr>
                <w:b/>
                <w:sz w:val="20"/>
                <w:szCs w:val="20"/>
              </w:rPr>
            </w:pPr>
            <w:r w:rsidRPr="003F445B">
              <w:rPr>
                <w:b/>
                <w:sz w:val="20"/>
                <w:szCs w:val="20"/>
              </w:rPr>
              <w:t>£0.645m</w:t>
            </w:r>
          </w:p>
        </w:tc>
      </w:tr>
      <w:tr w:rsidR="005B6446" w:rsidRPr="003F445B" w:rsidTr="00C65B5B">
        <w:trPr>
          <w:trHeight w:val="51"/>
        </w:trPr>
        <w:tc>
          <w:tcPr>
            <w:tcW w:w="2943" w:type="dxa"/>
            <w:shd w:val="clear" w:color="auto" w:fill="D9D9D9" w:themeFill="background1" w:themeFillShade="D9"/>
          </w:tcPr>
          <w:p w:rsidR="005B6446" w:rsidRPr="003F445B" w:rsidRDefault="005B6446" w:rsidP="00231278">
            <w:pPr>
              <w:spacing w:before="120" w:after="120"/>
              <w:rPr>
                <w:b/>
                <w:sz w:val="20"/>
                <w:szCs w:val="20"/>
              </w:rPr>
            </w:pPr>
            <w:r w:rsidRPr="003F445B">
              <w:rPr>
                <w:b/>
                <w:sz w:val="20"/>
                <w:szCs w:val="20"/>
              </w:rPr>
              <w:t>Total RCF</w:t>
            </w:r>
          </w:p>
        </w:tc>
        <w:tc>
          <w:tcPr>
            <w:tcW w:w="2977" w:type="dxa"/>
            <w:shd w:val="clear" w:color="auto" w:fill="D9D9D9" w:themeFill="background1" w:themeFillShade="D9"/>
          </w:tcPr>
          <w:p w:rsidR="005B6446" w:rsidRPr="003F445B" w:rsidRDefault="005B6446" w:rsidP="00231278">
            <w:pPr>
              <w:spacing w:before="120" w:after="120"/>
              <w:jc w:val="right"/>
              <w:rPr>
                <w:b/>
                <w:sz w:val="20"/>
                <w:szCs w:val="20"/>
              </w:rPr>
            </w:pPr>
            <w:r w:rsidRPr="003F445B">
              <w:rPr>
                <w:b/>
                <w:sz w:val="20"/>
                <w:szCs w:val="20"/>
              </w:rPr>
              <w:t>£1,129m</w:t>
            </w:r>
          </w:p>
        </w:tc>
        <w:tc>
          <w:tcPr>
            <w:tcW w:w="4111" w:type="dxa"/>
            <w:shd w:val="clear" w:color="auto" w:fill="D9D9D9" w:themeFill="background1" w:themeFillShade="D9"/>
          </w:tcPr>
          <w:p w:rsidR="005B6446" w:rsidRPr="003F445B" w:rsidRDefault="005B6446" w:rsidP="00231278">
            <w:pPr>
              <w:spacing w:before="120" w:after="120"/>
              <w:jc w:val="right"/>
              <w:rPr>
                <w:b/>
                <w:sz w:val="20"/>
                <w:szCs w:val="20"/>
              </w:rPr>
            </w:pPr>
            <w:r w:rsidRPr="003F445B">
              <w:rPr>
                <w:b/>
                <w:sz w:val="20"/>
                <w:szCs w:val="20"/>
              </w:rPr>
              <w:t>£1,020m</w:t>
            </w:r>
          </w:p>
        </w:tc>
      </w:tr>
    </w:tbl>
    <w:p w:rsidR="008C1316" w:rsidRDefault="00A557AC" w:rsidP="005B6446">
      <w:pPr>
        <w:spacing w:after="0"/>
      </w:pPr>
      <w:r>
        <w:t>Uses of t</w:t>
      </w:r>
      <w:r w:rsidR="005B6446" w:rsidRPr="00070EF5">
        <w:t xml:space="preserve">he FY13 </w:t>
      </w:r>
      <w:r>
        <w:t xml:space="preserve">RCF </w:t>
      </w:r>
      <w:r w:rsidR="005B6446" w:rsidRPr="00070EF5">
        <w:t>allocation included:</w:t>
      </w:r>
    </w:p>
    <w:p w:rsidR="005B6446" w:rsidRPr="00070EF5" w:rsidRDefault="005B6446" w:rsidP="005B6446">
      <w:pPr>
        <w:pStyle w:val="ListParagraph"/>
        <w:numPr>
          <w:ilvl w:val="0"/>
          <w:numId w:val="11"/>
        </w:numPr>
        <w:spacing w:before="0" w:after="0" w:line="276" w:lineRule="auto"/>
        <w:contextualSpacing/>
        <w:jc w:val="left"/>
      </w:pPr>
      <w:r w:rsidRPr="00070EF5">
        <w:t xml:space="preserve">RCF fellowships for Dan White whose grant application has got to the second round and Philip Wilkinson who has submitted </w:t>
      </w:r>
      <w:r w:rsidR="00734C1D">
        <w:t xml:space="preserve">three </w:t>
      </w:r>
      <w:r w:rsidRPr="00070EF5">
        <w:t>application</w:t>
      </w:r>
      <w:r w:rsidR="00734C1D">
        <w:t>s</w:t>
      </w:r>
    </w:p>
    <w:p w:rsidR="005B6446" w:rsidRDefault="005B6446" w:rsidP="005B6446">
      <w:pPr>
        <w:pStyle w:val="ListParagraph"/>
        <w:numPr>
          <w:ilvl w:val="0"/>
          <w:numId w:val="11"/>
        </w:numPr>
        <w:spacing w:before="0" w:after="0" w:line="276" w:lineRule="auto"/>
        <w:contextualSpacing/>
        <w:jc w:val="left"/>
      </w:pPr>
      <w:r w:rsidRPr="00070EF5">
        <w:t>Funding for Belinda Lennox who played a significant role in the CLAHRC application</w:t>
      </w:r>
    </w:p>
    <w:p w:rsidR="00D73D56" w:rsidRPr="00070EF5" w:rsidRDefault="00D73D56" w:rsidP="005B6446">
      <w:pPr>
        <w:pStyle w:val="ListParagraph"/>
        <w:numPr>
          <w:ilvl w:val="0"/>
          <w:numId w:val="11"/>
        </w:numPr>
        <w:spacing w:before="0" w:after="0" w:line="276" w:lineRule="auto"/>
        <w:contextualSpacing/>
        <w:jc w:val="left"/>
      </w:pPr>
      <w:r>
        <w:t>50% funding of a clinical academic within the Children and Families Division</w:t>
      </w:r>
    </w:p>
    <w:p w:rsidR="00734C1D" w:rsidRPr="00C65B5B" w:rsidRDefault="00734C1D" w:rsidP="00C65B5B">
      <w:pPr>
        <w:pStyle w:val="Heading2"/>
      </w:pPr>
      <w:r>
        <w:t>F</w:t>
      </w:r>
      <w:r w:rsidR="005B6446" w:rsidRPr="0057697F">
        <w:t>Y14 RCF Commitments</w:t>
      </w:r>
    </w:p>
    <w:p w:rsidR="00231278" w:rsidRPr="003F445B" w:rsidRDefault="00C91281" w:rsidP="003F445B">
      <w:r w:rsidRPr="0068138D">
        <w:t>The t</w:t>
      </w:r>
      <w:r w:rsidR="00B63A0A">
        <w:t>a</w:t>
      </w:r>
      <w:r w:rsidRPr="0068138D">
        <w:t xml:space="preserve">ble </w:t>
      </w:r>
      <w:r w:rsidR="00B63A0A">
        <w:t xml:space="preserve">below </w:t>
      </w:r>
      <w:r w:rsidRPr="0068138D">
        <w:t xml:space="preserve">shows </w:t>
      </w:r>
      <w:r w:rsidR="00B63A0A">
        <w:t xml:space="preserve">the categories to which the FY14 RCF is </w:t>
      </w:r>
      <w:r w:rsidRPr="0068138D">
        <w:t>current</w:t>
      </w:r>
      <w:r w:rsidR="00B63A0A">
        <w:t xml:space="preserve">ly being allocated; it also </w:t>
      </w:r>
      <w:r w:rsidR="006F1415" w:rsidRPr="0068138D">
        <w:t xml:space="preserve">shows </w:t>
      </w:r>
      <w:r w:rsidR="0068138D" w:rsidRPr="0068138D">
        <w:t xml:space="preserve">how the funding is split between the </w:t>
      </w:r>
      <w:r w:rsidR="0068138D">
        <w:t>T</w:t>
      </w:r>
      <w:r w:rsidR="0068138D" w:rsidRPr="0068138D">
        <w:t xml:space="preserve">rust and University. </w:t>
      </w:r>
    </w:p>
    <w:tbl>
      <w:tblPr>
        <w:tblStyle w:val="TableGrid"/>
        <w:tblW w:w="0" w:type="auto"/>
        <w:tblLayout w:type="fixed"/>
        <w:tblLook w:val="04A0"/>
      </w:tblPr>
      <w:tblGrid>
        <w:gridCol w:w="6487"/>
        <w:gridCol w:w="1068"/>
        <w:gridCol w:w="1540"/>
        <w:gridCol w:w="1048"/>
      </w:tblGrid>
      <w:tr w:rsidR="005B6446" w:rsidRPr="003F445B" w:rsidTr="002F70B5">
        <w:trPr>
          <w:trHeight w:val="120"/>
        </w:trPr>
        <w:tc>
          <w:tcPr>
            <w:tcW w:w="6487" w:type="dxa"/>
            <w:shd w:val="clear" w:color="auto" w:fill="D9D9D9" w:themeFill="background1" w:themeFillShade="D9"/>
          </w:tcPr>
          <w:p w:rsidR="005B6446" w:rsidRPr="003F445B" w:rsidRDefault="005B6446" w:rsidP="00C91281">
            <w:pPr>
              <w:spacing w:before="120" w:after="120"/>
              <w:rPr>
                <w:b/>
                <w:sz w:val="20"/>
                <w:szCs w:val="20"/>
              </w:rPr>
            </w:pPr>
            <w:r w:rsidRPr="003F445B">
              <w:rPr>
                <w:b/>
                <w:sz w:val="20"/>
                <w:szCs w:val="20"/>
              </w:rPr>
              <w:t>Commitments by category</w:t>
            </w:r>
            <w:r w:rsidR="00C91281" w:rsidRPr="003F445B">
              <w:rPr>
                <w:b/>
                <w:sz w:val="20"/>
                <w:szCs w:val="20"/>
              </w:rPr>
              <w:t xml:space="preserve"> and organization</w:t>
            </w:r>
          </w:p>
        </w:tc>
        <w:tc>
          <w:tcPr>
            <w:tcW w:w="1068" w:type="dxa"/>
            <w:shd w:val="clear" w:color="auto" w:fill="D9D9D9" w:themeFill="background1" w:themeFillShade="D9"/>
          </w:tcPr>
          <w:p w:rsidR="005B6446" w:rsidRPr="003F445B" w:rsidRDefault="005B6446" w:rsidP="00052014">
            <w:pPr>
              <w:spacing w:before="120" w:after="120"/>
              <w:jc w:val="center"/>
              <w:rPr>
                <w:b/>
                <w:sz w:val="20"/>
                <w:szCs w:val="20"/>
              </w:rPr>
            </w:pPr>
            <w:r w:rsidRPr="003F445B">
              <w:rPr>
                <w:b/>
                <w:sz w:val="20"/>
                <w:szCs w:val="20"/>
              </w:rPr>
              <w:t>Trust £k</w:t>
            </w:r>
          </w:p>
        </w:tc>
        <w:tc>
          <w:tcPr>
            <w:tcW w:w="1540" w:type="dxa"/>
            <w:shd w:val="clear" w:color="auto" w:fill="D9D9D9" w:themeFill="background1" w:themeFillShade="D9"/>
          </w:tcPr>
          <w:p w:rsidR="005B6446" w:rsidRPr="003F445B" w:rsidRDefault="005B6446" w:rsidP="00052014">
            <w:pPr>
              <w:spacing w:before="120" w:after="120"/>
              <w:jc w:val="center"/>
              <w:rPr>
                <w:b/>
                <w:sz w:val="20"/>
                <w:szCs w:val="20"/>
              </w:rPr>
            </w:pPr>
            <w:r w:rsidRPr="003F445B">
              <w:rPr>
                <w:b/>
                <w:sz w:val="20"/>
                <w:szCs w:val="20"/>
              </w:rPr>
              <w:t>University £k</w:t>
            </w:r>
          </w:p>
        </w:tc>
        <w:tc>
          <w:tcPr>
            <w:tcW w:w="1048" w:type="dxa"/>
            <w:shd w:val="clear" w:color="auto" w:fill="D9D9D9" w:themeFill="background1" w:themeFillShade="D9"/>
          </w:tcPr>
          <w:p w:rsidR="005B6446" w:rsidRPr="003F445B" w:rsidRDefault="005B6446" w:rsidP="00052014">
            <w:pPr>
              <w:spacing w:before="120" w:after="120"/>
              <w:jc w:val="center"/>
              <w:rPr>
                <w:b/>
                <w:sz w:val="20"/>
                <w:szCs w:val="20"/>
              </w:rPr>
            </w:pPr>
            <w:r w:rsidRPr="003F445B">
              <w:rPr>
                <w:b/>
                <w:sz w:val="20"/>
                <w:szCs w:val="20"/>
              </w:rPr>
              <w:t>Total £k</w:t>
            </w:r>
          </w:p>
        </w:tc>
      </w:tr>
      <w:tr w:rsidR="005B6446" w:rsidRPr="003F445B" w:rsidTr="00C65B5B">
        <w:trPr>
          <w:trHeight w:val="680"/>
        </w:trPr>
        <w:tc>
          <w:tcPr>
            <w:tcW w:w="6487" w:type="dxa"/>
          </w:tcPr>
          <w:p w:rsidR="005B6446" w:rsidRPr="003F445B" w:rsidRDefault="005B6446" w:rsidP="00052014">
            <w:pPr>
              <w:spacing w:before="120" w:after="120"/>
              <w:rPr>
                <w:sz w:val="20"/>
                <w:szCs w:val="20"/>
              </w:rPr>
            </w:pPr>
            <w:r w:rsidRPr="003F445B">
              <w:rPr>
                <w:sz w:val="20"/>
                <w:szCs w:val="20"/>
              </w:rPr>
              <w:t>The research-related component of an NIHR Faculty member’s salary, which is not covered by other funding sources</w:t>
            </w:r>
          </w:p>
        </w:tc>
        <w:tc>
          <w:tcPr>
            <w:tcW w:w="1068" w:type="dxa"/>
          </w:tcPr>
          <w:p w:rsidR="005B6446" w:rsidRPr="003F445B" w:rsidRDefault="00C91281" w:rsidP="00C91281">
            <w:pPr>
              <w:spacing w:before="120" w:after="120"/>
              <w:jc w:val="center"/>
              <w:rPr>
                <w:sz w:val="20"/>
                <w:szCs w:val="20"/>
              </w:rPr>
            </w:pPr>
            <w:r w:rsidRPr="003F445B">
              <w:rPr>
                <w:sz w:val="20"/>
                <w:szCs w:val="20"/>
              </w:rPr>
              <w:t>87</w:t>
            </w:r>
          </w:p>
        </w:tc>
        <w:tc>
          <w:tcPr>
            <w:tcW w:w="1540" w:type="dxa"/>
          </w:tcPr>
          <w:p w:rsidR="005B6446" w:rsidRPr="003F445B" w:rsidRDefault="005B6446" w:rsidP="00052014">
            <w:pPr>
              <w:spacing w:before="120" w:after="120"/>
              <w:jc w:val="center"/>
              <w:rPr>
                <w:sz w:val="20"/>
                <w:szCs w:val="20"/>
              </w:rPr>
            </w:pPr>
            <w:r w:rsidRPr="003F445B">
              <w:rPr>
                <w:sz w:val="20"/>
                <w:szCs w:val="20"/>
              </w:rPr>
              <w:t>130</w:t>
            </w:r>
          </w:p>
        </w:tc>
        <w:tc>
          <w:tcPr>
            <w:tcW w:w="1048" w:type="dxa"/>
          </w:tcPr>
          <w:p w:rsidR="005B6446" w:rsidRPr="003F445B" w:rsidRDefault="005B6446" w:rsidP="00C91281">
            <w:pPr>
              <w:spacing w:before="120" w:after="120"/>
              <w:jc w:val="center"/>
              <w:rPr>
                <w:sz w:val="20"/>
                <w:szCs w:val="20"/>
              </w:rPr>
            </w:pPr>
            <w:r w:rsidRPr="003F445B">
              <w:rPr>
                <w:sz w:val="20"/>
                <w:szCs w:val="20"/>
              </w:rPr>
              <w:t>21</w:t>
            </w:r>
            <w:r w:rsidR="00C91281" w:rsidRPr="003F445B">
              <w:rPr>
                <w:sz w:val="20"/>
                <w:szCs w:val="20"/>
              </w:rPr>
              <w:t>7</w:t>
            </w:r>
          </w:p>
        </w:tc>
      </w:tr>
      <w:tr w:rsidR="005B6446" w:rsidRPr="003F445B" w:rsidTr="00C65B5B">
        <w:trPr>
          <w:trHeight w:val="680"/>
        </w:trPr>
        <w:tc>
          <w:tcPr>
            <w:tcW w:w="6487" w:type="dxa"/>
          </w:tcPr>
          <w:p w:rsidR="005B6446" w:rsidRPr="003F445B" w:rsidRDefault="005B6446" w:rsidP="00C65B5B">
            <w:pPr>
              <w:spacing w:before="120" w:after="120"/>
              <w:rPr>
                <w:i/>
                <w:sz w:val="20"/>
                <w:szCs w:val="20"/>
              </w:rPr>
            </w:pPr>
            <w:r w:rsidRPr="003F445B">
              <w:rPr>
                <w:sz w:val="20"/>
                <w:szCs w:val="20"/>
              </w:rPr>
              <w:t>Meeting the cost of the time of Faculty members in preparing grant proposals</w:t>
            </w:r>
            <w:r w:rsidR="00C65B5B">
              <w:rPr>
                <w:sz w:val="20"/>
                <w:szCs w:val="20"/>
              </w:rPr>
              <w:t xml:space="preserve"> </w:t>
            </w:r>
            <w:r w:rsidRPr="003F445B">
              <w:rPr>
                <w:i/>
                <w:sz w:val="20"/>
                <w:szCs w:val="20"/>
              </w:rPr>
              <w:t>Includes 50% funding of the new CAMHS Consultant who is currently preparing a grant application</w:t>
            </w:r>
          </w:p>
        </w:tc>
        <w:tc>
          <w:tcPr>
            <w:tcW w:w="1068" w:type="dxa"/>
          </w:tcPr>
          <w:p w:rsidR="005B6446" w:rsidRPr="003F445B" w:rsidRDefault="005B6446" w:rsidP="00052014">
            <w:pPr>
              <w:spacing w:before="120" w:after="120"/>
              <w:jc w:val="center"/>
              <w:rPr>
                <w:sz w:val="20"/>
                <w:szCs w:val="20"/>
              </w:rPr>
            </w:pPr>
            <w:r w:rsidRPr="003F445B">
              <w:rPr>
                <w:sz w:val="20"/>
                <w:szCs w:val="20"/>
              </w:rPr>
              <w:t>124</w:t>
            </w:r>
          </w:p>
        </w:tc>
        <w:tc>
          <w:tcPr>
            <w:tcW w:w="1540" w:type="dxa"/>
          </w:tcPr>
          <w:p w:rsidR="005B6446" w:rsidRPr="003F445B" w:rsidRDefault="005B6446" w:rsidP="00052014">
            <w:pPr>
              <w:spacing w:before="120" w:after="120"/>
              <w:jc w:val="center"/>
              <w:rPr>
                <w:sz w:val="20"/>
                <w:szCs w:val="20"/>
              </w:rPr>
            </w:pPr>
            <w:r w:rsidRPr="003F445B">
              <w:rPr>
                <w:sz w:val="20"/>
                <w:szCs w:val="20"/>
              </w:rPr>
              <w:t>65</w:t>
            </w:r>
          </w:p>
        </w:tc>
        <w:tc>
          <w:tcPr>
            <w:tcW w:w="1048" w:type="dxa"/>
          </w:tcPr>
          <w:p w:rsidR="005B6446" w:rsidRPr="003F445B" w:rsidRDefault="005B6446" w:rsidP="00052014">
            <w:pPr>
              <w:spacing w:before="120" w:after="120"/>
              <w:jc w:val="center"/>
              <w:rPr>
                <w:sz w:val="20"/>
                <w:szCs w:val="20"/>
              </w:rPr>
            </w:pPr>
            <w:r w:rsidRPr="003F445B">
              <w:rPr>
                <w:sz w:val="20"/>
                <w:szCs w:val="20"/>
              </w:rPr>
              <w:t>189</w:t>
            </w:r>
          </w:p>
        </w:tc>
      </w:tr>
      <w:tr w:rsidR="005B6446" w:rsidRPr="003F445B" w:rsidTr="00C65B5B">
        <w:trPr>
          <w:trHeight w:val="680"/>
        </w:trPr>
        <w:tc>
          <w:tcPr>
            <w:tcW w:w="6487" w:type="dxa"/>
          </w:tcPr>
          <w:p w:rsidR="005B6446" w:rsidRPr="003F445B" w:rsidRDefault="005B6446" w:rsidP="00C65B5B">
            <w:pPr>
              <w:spacing w:before="120" w:after="120"/>
              <w:rPr>
                <w:i/>
                <w:sz w:val="20"/>
                <w:szCs w:val="20"/>
              </w:rPr>
            </w:pPr>
            <w:r w:rsidRPr="003F445B">
              <w:rPr>
                <w:sz w:val="20"/>
                <w:szCs w:val="20"/>
              </w:rPr>
              <w:t>The research-related time of NHS-employed scientific, administrative and secretarial staff who support Faculty members in their NIHR-related work</w:t>
            </w:r>
            <w:r w:rsidR="00C65B5B">
              <w:rPr>
                <w:sz w:val="20"/>
                <w:szCs w:val="20"/>
              </w:rPr>
              <w:t xml:space="preserve"> </w:t>
            </w:r>
            <w:r w:rsidRPr="003F445B">
              <w:rPr>
                <w:i/>
                <w:sz w:val="20"/>
                <w:szCs w:val="20"/>
              </w:rPr>
              <w:t xml:space="preserve">Includes IT support in developing True </w:t>
            </w:r>
            <w:proofErr w:type="spellStart"/>
            <w:r w:rsidRPr="003F445B">
              <w:rPr>
                <w:i/>
                <w:sz w:val="20"/>
                <w:szCs w:val="20"/>
              </w:rPr>
              <w:t>Colours</w:t>
            </w:r>
            <w:proofErr w:type="spellEnd"/>
          </w:p>
        </w:tc>
        <w:tc>
          <w:tcPr>
            <w:tcW w:w="1068" w:type="dxa"/>
          </w:tcPr>
          <w:p w:rsidR="005B6446" w:rsidRPr="003F445B" w:rsidRDefault="00C91281" w:rsidP="00C91281">
            <w:pPr>
              <w:spacing w:before="120" w:after="120"/>
              <w:jc w:val="center"/>
              <w:rPr>
                <w:sz w:val="20"/>
                <w:szCs w:val="20"/>
              </w:rPr>
            </w:pPr>
            <w:r w:rsidRPr="003F445B">
              <w:rPr>
                <w:sz w:val="20"/>
                <w:szCs w:val="20"/>
              </w:rPr>
              <w:t>48</w:t>
            </w:r>
          </w:p>
        </w:tc>
        <w:tc>
          <w:tcPr>
            <w:tcW w:w="1540" w:type="dxa"/>
          </w:tcPr>
          <w:p w:rsidR="005B6446" w:rsidRPr="003F445B" w:rsidRDefault="005B6446" w:rsidP="00052014">
            <w:pPr>
              <w:spacing w:before="120" w:after="120"/>
              <w:jc w:val="center"/>
              <w:rPr>
                <w:sz w:val="20"/>
                <w:szCs w:val="20"/>
              </w:rPr>
            </w:pPr>
            <w:r w:rsidRPr="003F445B">
              <w:rPr>
                <w:sz w:val="20"/>
                <w:szCs w:val="20"/>
              </w:rPr>
              <w:t>144</w:t>
            </w:r>
          </w:p>
        </w:tc>
        <w:tc>
          <w:tcPr>
            <w:tcW w:w="1048" w:type="dxa"/>
          </w:tcPr>
          <w:p w:rsidR="005B6446" w:rsidRPr="003F445B" w:rsidRDefault="005B6446" w:rsidP="00C91281">
            <w:pPr>
              <w:spacing w:before="120" w:after="120"/>
              <w:jc w:val="center"/>
              <w:rPr>
                <w:sz w:val="20"/>
                <w:szCs w:val="20"/>
              </w:rPr>
            </w:pPr>
            <w:r w:rsidRPr="003F445B">
              <w:rPr>
                <w:sz w:val="20"/>
                <w:szCs w:val="20"/>
              </w:rPr>
              <w:t>1</w:t>
            </w:r>
            <w:r w:rsidR="00C91281" w:rsidRPr="003F445B">
              <w:rPr>
                <w:sz w:val="20"/>
                <w:szCs w:val="20"/>
              </w:rPr>
              <w:t>92</w:t>
            </w:r>
          </w:p>
        </w:tc>
      </w:tr>
      <w:tr w:rsidR="005B6446" w:rsidRPr="003F445B" w:rsidTr="00C65B5B">
        <w:trPr>
          <w:trHeight w:val="680"/>
        </w:trPr>
        <w:tc>
          <w:tcPr>
            <w:tcW w:w="6487" w:type="dxa"/>
            <w:tcBorders>
              <w:bottom w:val="single" w:sz="4" w:space="0" w:color="auto"/>
            </w:tcBorders>
          </w:tcPr>
          <w:p w:rsidR="005B6446" w:rsidRPr="003F445B" w:rsidRDefault="005B6446" w:rsidP="00052014">
            <w:pPr>
              <w:spacing w:before="120" w:after="120"/>
              <w:rPr>
                <w:sz w:val="20"/>
                <w:szCs w:val="20"/>
              </w:rPr>
            </w:pPr>
            <w:r w:rsidRPr="003F445B">
              <w:rPr>
                <w:sz w:val="20"/>
                <w:szCs w:val="20"/>
              </w:rPr>
              <w:t>Accommodation costs, finance management costs, and human resource management cost incurred in hosting NIHR-funded research</w:t>
            </w:r>
          </w:p>
        </w:tc>
        <w:tc>
          <w:tcPr>
            <w:tcW w:w="1068" w:type="dxa"/>
            <w:tcBorders>
              <w:bottom w:val="single" w:sz="4" w:space="0" w:color="auto"/>
            </w:tcBorders>
          </w:tcPr>
          <w:p w:rsidR="005B6446" w:rsidRPr="003F445B" w:rsidRDefault="005B6446" w:rsidP="00C91281">
            <w:pPr>
              <w:spacing w:before="120" w:after="120"/>
              <w:jc w:val="center"/>
              <w:rPr>
                <w:sz w:val="20"/>
                <w:szCs w:val="20"/>
              </w:rPr>
            </w:pPr>
            <w:r w:rsidRPr="003F445B">
              <w:rPr>
                <w:sz w:val="20"/>
                <w:szCs w:val="20"/>
              </w:rPr>
              <w:t>8</w:t>
            </w:r>
            <w:r w:rsidR="00C91281" w:rsidRPr="003F445B">
              <w:rPr>
                <w:sz w:val="20"/>
                <w:szCs w:val="20"/>
              </w:rPr>
              <w:t>2</w:t>
            </w:r>
          </w:p>
        </w:tc>
        <w:tc>
          <w:tcPr>
            <w:tcW w:w="1540" w:type="dxa"/>
            <w:tcBorders>
              <w:bottom w:val="single" w:sz="4" w:space="0" w:color="auto"/>
            </w:tcBorders>
          </w:tcPr>
          <w:p w:rsidR="005B6446" w:rsidRPr="003F445B" w:rsidRDefault="005B6446" w:rsidP="00052014">
            <w:pPr>
              <w:spacing w:before="120" w:after="120"/>
              <w:jc w:val="center"/>
              <w:rPr>
                <w:sz w:val="20"/>
                <w:szCs w:val="20"/>
              </w:rPr>
            </w:pPr>
            <w:r w:rsidRPr="003F445B">
              <w:rPr>
                <w:sz w:val="20"/>
                <w:szCs w:val="20"/>
              </w:rPr>
              <w:t>0</w:t>
            </w:r>
          </w:p>
        </w:tc>
        <w:tc>
          <w:tcPr>
            <w:tcW w:w="1048" w:type="dxa"/>
            <w:tcBorders>
              <w:bottom w:val="single" w:sz="4" w:space="0" w:color="auto"/>
            </w:tcBorders>
          </w:tcPr>
          <w:p w:rsidR="005B6446" w:rsidRPr="003F445B" w:rsidRDefault="005B6446" w:rsidP="00C91281">
            <w:pPr>
              <w:spacing w:before="120" w:after="120"/>
              <w:jc w:val="center"/>
              <w:rPr>
                <w:sz w:val="20"/>
                <w:szCs w:val="20"/>
              </w:rPr>
            </w:pPr>
            <w:r w:rsidRPr="003F445B">
              <w:rPr>
                <w:sz w:val="20"/>
                <w:szCs w:val="20"/>
              </w:rPr>
              <w:t>8</w:t>
            </w:r>
            <w:r w:rsidR="00C91281" w:rsidRPr="003F445B">
              <w:rPr>
                <w:sz w:val="20"/>
                <w:szCs w:val="20"/>
              </w:rPr>
              <w:t>2</w:t>
            </w:r>
          </w:p>
        </w:tc>
      </w:tr>
      <w:tr w:rsidR="005B6446" w:rsidRPr="003F445B" w:rsidTr="002F70B5">
        <w:trPr>
          <w:trHeight w:val="120"/>
        </w:trPr>
        <w:tc>
          <w:tcPr>
            <w:tcW w:w="6487" w:type="dxa"/>
            <w:shd w:val="pct15" w:color="auto" w:fill="auto"/>
          </w:tcPr>
          <w:p w:rsidR="005B6446" w:rsidRPr="003F445B" w:rsidRDefault="005B6446" w:rsidP="00052014">
            <w:pPr>
              <w:spacing w:before="120" w:after="120"/>
              <w:rPr>
                <w:b/>
                <w:sz w:val="20"/>
                <w:szCs w:val="20"/>
              </w:rPr>
            </w:pPr>
            <w:r w:rsidRPr="003F445B">
              <w:rPr>
                <w:b/>
                <w:sz w:val="20"/>
                <w:szCs w:val="20"/>
              </w:rPr>
              <w:t>Total</w:t>
            </w:r>
          </w:p>
        </w:tc>
        <w:tc>
          <w:tcPr>
            <w:tcW w:w="1068" w:type="dxa"/>
            <w:shd w:val="pct15" w:color="auto" w:fill="auto"/>
          </w:tcPr>
          <w:p w:rsidR="005B6446" w:rsidRPr="003F445B" w:rsidRDefault="00C91281" w:rsidP="00C91281">
            <w:pPr>
              <w:spacing w:before="120" w:after="120"/>
              <w:jc w:val="center"/>
              <w:rPr>
                <w:b/>
                <w:sz w:val="20"/>
                <w:szCs w:val="20"/>
              </w:rPr>
            </w:pPr>
            <w:r w:rsidRPr="003F445B">
              <w:rPr>
                <w:b/>
                <w:sz w:val="20"/>
                <w:szCs w:val="20"/>
              </w:rPr>
              <w:t>341</w:t>
            </w:r>
          </w:p>
        </w:tc>
        <w:tc>
          <w:tcPr>
            <w:tcW w:w="1540" w:type="dxa"/>
            <w:shd w:val="pct15" w:color="auto" w:fill="auto"/>
          </w:tcPr>
          <w:p w:rsidR="005B6446" w:rsidRPr="003F445B" w:rsidRDefault="00C91281" w:rsidP="00C91281">
            <w:pPr>
              <w:spacing w:before="120" w:after="120"/>
              <w:jc w:val="center"/>
              <w:rPr>
                <w:b/>
                <w:sz w:val="20"/>
                <w:szCs w:val="20"/>
              </w:rPr>
            </w:pPr>
            <w:r w:rsidRPr="003F445B">
              <w:rPr>
                <w:b/>
                <w:sz w:val="20"/>
                <w:szCs w:val="20"/>
              </w:rPr>
              <w:t>339</w:t>
            </w:r>
          </w:p>
        </w:tc>
        <w:tc>
          <w:tcPr>
            <w:tcW w:w="1048" w:type="dxa"/>
            <w:shd w:val="pct15" w:color="auto" w:fill="auto"/>
          </w:tcPr>
          <w:p w:rsidR="005B6446" w:rsidRPr="003F445B" w:rsidRDefault="00C91281" w:rsidP="00C91281">
            <w:pPr>
              <w:spacing w:before="120" w:after="120"/>
              <w:jc w:val="center"/>
              <w:rPr>
                <w:b/>
                <w:sz w:val="20"/>
                <w:szCs w:val="20"/>
              </w:rPr>
            </w:pPr>
            <w:r w:rsidRPr="003F445B">
              <w:rPr>
                <w:b/>
                <w:sz w:val="20"/>
                <w:szCs w:val="20"/>
              </w:rPr>
              <w:t>680</w:t>
            </w:r>
          </w:p>
        </w:tc>
      </w:tr>
      <w:tr w:rsidR="005B6446" w:rsidRPr="003F445B" w:rsidTr="002F70B5">
        <w:trPr>
          <w:trHeight w:val="120"/>
        </w:trPr>
        <w:tc>
          <w:tcPr>
            <w:tcW w:w="9095" w:type="dxa"/>
            <w:gridSpan w:val="3"/>
          </w:tcPr>
          <w:p w:rsidR="005B6446" w:rsidRPr="003F445B" w:rsidRDefault="00F62972" w:rsidP="00052014">
            <w:pPr>
              <w:spacing w:before="120" w:after="120"/>
              <w:rPr>
                <w:b/>
                <w:sz w:val="20"/>
                <w:szCs w:val="20"/>
                <w:u w:val="single"/>
              </w:rPr>
            </w:pPr>
            <w:r w:rsidRPr="003F445B">
              <w:rPr>
                <w:sz w:val="20"/>
                <w:szCs w:val="20"/>
              </w:rPr>
              <w:t>Current</w:t>
            </w:r>
            <w:r w:rsidR="005B6446" w:rsidRPr="003F445B">
              <w:rPr>
                <w:sz w:val="20"/>
                <w:szCs w:val="20"/>
              </w:rPr>
              <w:t xml:space="preserve">ly </w:t>
            </w:r>
            <w:r w:rsidRPr="003F445B">
              <w:rPr>
                <w:sz w:val="20"/>
                <w:szCs w:val="20"/>
              </w:rPr>
              <w:t>u</w:t>
            </w:r>
            <w:r w:rsidR="005B6446" w:rsidRPr="003F445B">
              <w:rPr>
                <w:sz w:val="20"/>
                <w:szCs w:val="20"/>
              </w:rPr>
              <w:t>nallocated</w:t>
            </w:r>
          </w:p>
        </w:tc>
        <w:tc>
          <w:tcPr>
            <w:tcW w:w="1048" w:type="dxa"/>
          </w:tcPr>
          <w:p w:rsidR="005B6446" w:rsidRPr="003F445B" w:rsidRDefault="005B6446" w:rsidP="00C91281">
            <w:pPr>
              <w:spacing w:before="120" w:after="120"/>
              <w:jc w:val="center"/>
              <w:rPr>
                <w:b/>
                <w:sz w:val="20"/>
                <w:szCs w:val="20"/>
                <w:u w:val="single"/>
              </w:rPr>
            </w:pPr>
            <w:r w:rsidRPr="003F445B">
              <w:rPr>
                <w:b/>
                <w:sz w:val="20"/>
                <w:szCs w:val="20"/>
              </w:rPr>
              <w:t>34</w:t>
            </w:r>
            <w:r w:rsidR="00C91281" w:rsidRPr="003F445B">
              <w:rPr>
                <w:b/>
                <w:sz w:val="20"/>
                <w:szCs w:val="20"/>
              </w:rPr>
              <w:t>0</w:t>
            </w:r>
          </w:p>
        </w:tc>
      </w:tr>
    </w:tbl>
    <w:p w:rsidR="00B63A0A" w:rsidRPr="00734C1D" w:rsidRDefault="00B63A0A" w:rsidP="00B63A0A">
      <w:r>
        <w:lastRenderedPageBreak/>
        <w:t>The use and allocation of RCF is reviewed on a regular basis by the Di</w:t>
      </w:r>
      <w:r w:rsidRPr="00E56B5A">
        <w:t xml:space="preserve">rector of R&amp;D and the </w:t>
      </w:r>
      <w:r>
        <w:t xml:space="preserve">interim Head of R&amp;D Finance. This allows new options to be considered as and when they arise and </w:t>
      </w:r>
      <w:proofErr w:type="gramStart"/>
      <w:r>
        <w:t>helps</w:t>
      </w:r>
      <w:proofErr w:type="gramEnd"/>
      <w:r>
        <w:t xml:space="preserve"> to </w:t>
      </w:r>
      <w:r w:rsidR="0032373A">
        <w:t>maintain</w:t>
      </w:r>
      <w:r>
        <w:t xml:space="preserve"> flexibility.  </w:t>
      </w:r>
    </w:p>
    <w:p w:rsidR="005840C9" w:rsidRDefault="00B63A0A" w:rsidP="00C65B5B">
      <w:pPr>
        <w:rPr>
          <w:rFonts w:eastAsiaTheme="majorEastAsia" w:cstheme="majorBidi"/>
          <w:bCs/>
          <w:i/>
          <w:szCs w:val="26"/>
          <w:u w:val="single"/>
          <w:lang w:val="en-GB"/>
        </w:rPr>
      </w:pPr>
      <w:r>
        <w:rPr>
          <w:lang w:val="en-GB"/>
        </w:rPr>
        <w:t>The current plan in relation to the £340k unallocated funding is to use as much as possible this financial year to fund the appointment of Simon Lovestone and his team.</w:t>
      </w:r>
    </w:p>
    <w:p w:rsidR="00231278" w:rsidRPr="00231278" w:rsidRDefault="00BF3C8F" w:rsidP="0069120C">
      <w:pPr>
        <w:pStyle w:val="Heading2"/>
        <w:rPr>
          <w:lang w:val="en-GB"/>
        </w:rPr>
      </w:pPr>
      <w:r w:rsidRPr="00CE15B9">
        <w:rPr>
          <w:lang w:val="en-GB"/>
        </w:rPr>
        <w:t>Thames Valley Comprehensive Local Research Network (TVCLRN)</w:t>
      </w:r>
    </w:p>
    <w:tbl>
      <w:tblPr>
        <w:tblStyle w:val="TableGrid"/>
        <w:tblW w:w="0" w:type="auto"/>
        <w:tblLook w:val="04A0"/>
      </w:tblPr>
      <w:tblGrid>
        <w:gridCol w:w="2519"/>
        <w:gridCol w:w="1132"/>
        <w:gridCol w:w="6522"/>
      </w:tblGrid>
      <w:tr w:rsidR="00BF3C8F" w:rsidRPr="003F445B" w:rsidTr="00F93D0C">
        <w:trPr>
          <w:trHeight w:val="624"/>
        </w:trPr>
        <w:tc>
          <w:tcPr>
            <w:tcW w:w="2519" w:type="dxa"/>
            <w:shd w:val="clear" w:color="auto" w:fill="D9D9D9" w:themeFill="background1" w:themeFillShade="D9"/>
          </w:tcPr>
          <w:p w:rsidR="00BF3C8F" w:rsidRPr="003F445B" w:rsidRDefault="00E56B5A" w:rsidP="008C1316">
            <w:pPr>
              <w:spacing w:before="120" w:after="0"/>
              <w:rPr>
                <w:b/>
                <w:sz w:val="20"/>
                <w:szCs w:val="20"/>
              </w:rPr>
            </w:pPr>
            <w:r w:rsidRPr="003F445B">
              <w:rPr>
                <w:b/>
                <w:sz w:val="20"/>
                <w:szCs w:val="20"/>
              </w:rPr>
              <w:t xml:space="preserve">Type </w:t>
            </w:r>
          </w:p>
        </w:tc>
        <w:tc>
          <w:tcPr>
            <w:tcW w:w="1132" w:type="dxa"/>
            <w:shd w:val="clear" w:color="auto" w:fill="D9D9D9" w:themeFill="background1" w:themeFillShade="D9"/>
          </w:tcPr>
          <w:p w:rsidR="00BF3C8F" w:rsidRPr="003F445B" w:rsidRDefault="00231278" w:rsidP="008C1316">
            <w:pPr>
              <w:spacing w:before="120" w:after="0"/>
              <w:jc w:val="center"/>
              <w:rPr>
                <w:b/>
                <w:sz w:val="20"/>
                <w:szCs w:val="20"/>
              </w:rPr>
            </w:pPr>
            <w:r w:rsidRPr="003F445B">
              <w:rPr>
                <w:b/>
                <w:sz w:val="20"/>
                <w:szCs w:val="20"/>
              </w:rPr>
              <w:t>FY14 Forecast (£k)</w:t>
            </w:r>
          </w:p>
        </w:tc>
        <w:tc>
          <w:tcPr>
            <w:tcW w:w="6522" w:type="dxa"/>
            <w:shd w:val="clear" w:color="auto" w:fill="D9D9D9" w:themeFill="background1" w:themeFillShade="D9"/>
          </w:tcPr>
          <w:p w:rsidR="00BF3C8F" w:rsidRPr="003F445B" w:rsidRDefault="00E82FCD" w:rsidP="00E82FCD">
            <w:pPr>
              <w:spacing w:before="120" w:after="0"/>
              <w:rPr>
                <w:b/>
                <w:sz w:val="20"/>
                <w:szCs w:val="20"/>
              </w:rPr>
            </w:pPr>
            <w:r w:rsidRPr="003F445B">
              <w:rPr>
                <w:b/>
                <w:sz w:val="20"/>
                <w:szCs w:val="20"/>
              </w:rPr>
              <w:t>Comments</w:t>
            </w:r>
          </w:p>
        </w:tc>
      </w:tr>
      <w:tr w:rsidR="00BF3C8F" w:rsidRPr="003F445B" w:rsidTr="003F445B">
        <w:trPr>
          <w:trHeight w:val="979"/>
        </w:trPr>
        <w:tc>
          <w:tcPr>
            <w:tcW w:w="2519" w:type="dxa"/>
          </w:tcPr>
          <w:p w:rsidR="00BF3C8F" w:rsidRPr="003F445B" w:rsidRDefault="00E56B5A" w:rsidP="00492871">
            <w:pPr>
              <w:spacing w:before="120" w:after="120"/>
              <w:jc w:val="left"/>
              <w:rPr>
                <w:sz w:val="20"/>
                <w:szCs w:val="20"/>
              </w:rPr>
            </w:pPr>
            <w:r w:rsidRPr="003F445B">
              <w:rPr>
                <w:sz w:val="20"/>
                <w:szCs w:val="20"/>
              </w:rPr>
              <w:t>Core Research Staff and supported Research posts</w:t>
            </w:r>
          </w:p>
        </w:tc>
        <w:tc>
          <w:tcPr>
            <w:tcW w:w="1132" w:type="dxa"/>
          </w:tcPr>
          <w:p w:rsidR="00BF3C8F" w:rsidRPr="003F445B" w:rsidRDefault="00E56B5A" w:rsidP="00492871">
            <w:pPr>
              <w:spacing w:before="120" w:after="120"/>
              <w:jc w:val="center"/>
              <w:rPr>
                <w:sz w:val="20"/>
                <w:szCs w:val="20"/>
              </w:rPr>
            </w:pPr>
            <w:r w:rsidRPr="003F445B">
              <w:rPr>
                <w:sz w:val="20"/>
                <w:szCs w:val="20"/>
              </w:rPr>
              <w:t>700</w:t>
            </w:r>
          </w:p>
        </w:tc>
        <w:tc>
          <w:tcPr>
            <w:tcW w:w="6522" w:type="dxa"/>
          </w:tcPr>
          <w:p w:rsidR="00BF3C8F" w:rsidRPr="003F445B" w:rsidRDefault="00E56B5A" w:rsidP="00492871">
            <w:pPr>
              <w:spacing w:before="120" w:after="120"/>
              <w:rPr>
                <w:sz w:val="20"/>
                <w:szCs w:val="20"/>
              </w:rPr>
            </w:pPr>
            <w:r w:rsidRPr="003F445B">
              <w:rPr>
                <w:sz w:val="20"/>
                <w:szCs w:val="20"/>
              </w:rPr>
              <w:t>To fund core R&amp;D department staff and research active individuals within the Trust</w:t>
            </w:r>
          </w:p>
        </w:tc>
      </w:tr>
      <w:tr w:rsidR="00BF3C8F" w:rsidRPr="003F445B" w:rsidTr="003F445B">
        <w:trPr>
          <w:trHeight w:val="755"/>
        </w:trPr>
        <w:tc>
          <w:tcPr>
            <w:tcW w:w="2519" w:type="dxa"/>
          </w:tcPr>
          <w:p w:rsidR="00BF3C8F" w:rsidRPr="003F445B" w:rsidRDefault="00E56B5A" w:rsidP="00492871">
            <w:pPr>
              <w:spacing w:before="120" w:after="120"/>
              <w:jc w:val="left"/>
              <w:rPr>
                <w:sz w:val="20"/>
                <w:szCs w:val="20"/>
              </w:rPr>
            </w:pPr>
            <w:r w:rsidRPr="003F445B">
              <w:rPr>
                <w:sz w:val="20"/>
                <w:szCs w:val="20"/>
              </w:rPr>
              <w:t>Clinical Research Facility (CRF)</w:t>
            </w:r>
          </w:p>
        </w:tc>
        <w:tc>
          <w:tcPr>
            <w:tcW w:w="1132" w:type="dxa"/>
          </w:tcPr>
          <w:p w:rsidR="00BF3C8F" w:rsidRPr="003F445B" w:rsidRDefault="00E56B5A" w:rsidP="00492871">
            <w:pPr>
              <w:spacing w:before="120" w:after="120"/>
              <w:jc w:val="center"/>
              <w:rPr>
                <w:sz w:val="20"/>
                <w:szCs w:val="20"/>
              </w:rPr>
            </w:pPr>
            <w:r w:rsidRPr="003F445B">
              <w:rPr>
                <w:sz w:val="20"/>
                <w:szCs w:val="20"/>
              </w:rPr>
              <w:t>200</w:t>
            </w:r>
          </w:p>
        </w:tc>
        <w:tc>
          <w:tcPr>
            <w:tcW w:w="6522" w:type="dxa"/>
          </w:tcPr>
          <w:p w:rsidR="00BF3C8F" w:rsidRPr="003F445B" w:rsidRDefault="00E56B5A" w:rsidP="00492871">
            <w:pPr>
              <w:spacing w:before="120" w:after="120"/>
              <w:rPr>
                <w:sz w:val="20"/>
                <w:szCs w:val="20"/>
              </w:rPr>
            </w:pPr>
            <w:r w:rsidRPr="003F445B">
              <w:rPr>
                <w:sz w:val="20"/>
                <w:szCs w:val="20"/>
              </w:rPr>
              <w:t xml:space="preserve">Funds </w:t>
            </w:r>
            <w:r w:rsidR="00492871" w:rsidRPr="003F445B">
              <w:rPr>
                <w:sz w:val="20"/>
                <w:szCs w:val="20"/>
              </w:rPr>
              <w:t>medical and nursing s</w:t>
            </w:r>
            <w:r w:rsidRPr="003F445B">
              <w:rPr>
                <w:sz w:val="20"/>
                <w:szCs w:val="20"/>
              </w:rPr>
              <w:t>taff employed within the CRF</w:t>
            </w:r>
          </w:p>
        </w:tc>
      </w:tr>
      <w:tr w:rsidR="00BF3C8F" w:rsidRPr="003F445B" w:rsidTr="003F445B">
        <w:trPr>
          <w:trHeight w:val="995"/>
        </w:trPr>
        <w:tc>
          <w:tcPr>
            <w:tcW w:w="2519" w:type="dxa"/>
          </w:tcPr>
          <w:p w:rsidR="00BF3C8F" w:rsidRPr="003F445B" w:rsidRDefault="00E56B5A" w:rsidP="00492871">
            <w:pPr>
              <w:spacing w:before="120" w:after="120"/>
              <w:jc w:val="left"/>
              <w:rPr>
                <w:sz w:val="20"/>
                <w:szCs w:val="20"/>
              </w:rPr>
            </w:pPr>
            <w:proofErr w:type="spellStart"/>
            <w:r w:rsidRPr="003F445B">
              <w:rPr>
                <w:sz w:val="20"/>
                <w:szCs w:val="20"/>
              </w:rPr>
              <w:t>De</w:t>
            </w:r>
            <w:r w:rsidR="00C5553A" w:rsidRPr="003F445B">
              <w:rPr>
                <w:sz w:val="20"/>
                <w:szCs w:val="20"/>
              </w:rPr>
              <w:t>N</w:t>
            </w:r>
            <w:r w:rsidRPr="003F445B">
              <w:rPr>
                <w:sz w:val="20"/>
                <w:szCs w:val="20"/>
              </w:rPr>
              <w:t>D</w:t>
            </w:r>
            <w:r w:rsidR="00C5553A" w:rsidRPr="003F445B">
              <w:rPr>
                <w:sz w:val="20"/>
                <w:szCs w:val="20"/>
              </w:rPr>
              <w:t>R</w:t>
            </w:r>
            <w:r w:rsidRPr="003F445B">
              <w:rPr>
                <w:sz w:val="20"/>
                <w:szCs w:val="20"/>
              </w:rPr>
              <w:t>o</w:t>
            </w:r>
            <w:r w:rsidR="00C5553A" w:rsidRPr="003F445B">
              <w:rPr>
                <w:sz w:val="20"/>
                <w:szCs w:val="20"/>
              </w:rPr>
              <w:t>N</w:t>
            </w:r>
            <w:proofErr w:type="spellEnd"/>
            <w:r w:rsidRPr="003F445B">
              <w:rPr>
                <w:sz w:val="20"/>
                <w:szCs w:val="20"/>
              </w:rPr>
              <w:t xml:space="preserve"> </w:t>
            </w:r>
          </w:p>
        </w:tc>
        <w:tc>
          <w:tcPr>
            <w:tcW w:w="1132" w:type="dxa"/>
          </w:tcPr>
          <w:p w:rsidR="00BF3C8F" w:rsidRPr="003F445B" w:rsidRDefault="00E56B5A" w:rsidP="00492871">
            <w:pPr>
              <w:spacing w:before="120" w:after="120"/>
              <w:jc w:val="center"/>
              <w:rPr>
                <w:sz w:val="20"/>
                <w:szCs w:val="20"/>
              </w:rPr>
            </w:pPr>
            <w:r w:rsidRPr="003F445B">
              <w:rPr>
                <w:sz w:val="20"/>
                <w:szCs w:val="20"/>
              </w:rPr>
              <w:t>197</w:t>
            </w:r>
          </w:p>
        </w:tc>
        <w:tc>
          <w:tcPr>
            <w:tcW w:w="6522" w:type="dxa"/>
          </w:tcPr>
          <w:p w:rsidR="00BF3C8F" w:rsidRPr="003F445B" w:rsidRDefault="00492871" w:rsidP="00492871">
            <w:pPr>
              <w:spacing w:before="120" w:after="120"/>
              <w:rPr>
                <w:sz w:val="20"/>
                <w:szCs w:val="20"/>
              </w:rPr>
            </w:pPr>
            <w:r w:rsidRPr="003F445B">
              <w:rPr>
                <w:sz w:val="20"/>
                <w:szCs w:val="20"/>
              </w:rPr>
              <w:t>Fu</w:t>
            </w:r>
            <w:r w:rsidR="00E56B5A" w:rsidRPr="003F445B">
              <w:rPr>
                <w:sz w:val="20"/>
                <w:szCs w:val="20"/>
              </w:rPr>
              <w:t>nd</w:t>
            </w:r>
            <w:r w:rsidRPr="003F445B">
              <w:rPr>
                <w:sz w:val="20"/>
                <w:szCs w:val="20"/>
              </w:rPr>
              <w:t>s</w:t>
            </w:r>
            <w:r w:rsidR="00E56B5A" w:rsidRPr="003F445B">
              <w:rPr>
                <w:sz w:val="20"/>
                <w:szCs w:val="20"/>
              </w:rPr>
              <w:t xml:space="preserve"> </w:t>
            </w:r>
            <w:r w:rsidR="00BF3C8F" w:rsidRPr="003F445B">
              <w:rPr>
                <w:sz w:val="20"/>
                <w:szCs w:val="20"/>
              </w:rPr>
              <w:t>Thames Valley Dementia and Neurodegenerative Disease Research Network (</w:t>
            </w:r>
            <w:proofErr w:type="spellStart"/>
            <w:r w:rsidR="00BF3C8F" w:rsidRPr="003F445B">
              <w:rPr>
                <w:sz w:val="20"/>
                <w:szCs w:val="20"/>
              </w:rPr>
              <w:t>DeNDRoN</w:t>
            </w:r>
            <w:proofErr w:type="spellEnd"/>
            <w:r w:rsidR="00BF3C8F" w:rsidRPr="003F445B">
              <w:rPr>
                <w:sz w:val="20"/>
                <w:szCs w:val="20"/>
              </w:rPr>
              <w:t xml:space="preserve">) staff employed by the Trust via </w:t>
            </w:r>
            <w:r w:rsidRPr="003F445B">
              <w:rPr>
                <w:sz w:val="20"/>
                <w:szCs w:val="20"/>
              </w:rPr>
              <w:t>a</w:t>
            </w:r>
            <w:r w:rsidR="00BF3C8F" w:rsidRPr="003F445B">
              <w:rPr>
                <w:sz w:val="20"/>
                <w:szCs w:val="20"/>
              </w:rPr>
              <w:t xml:space="preserve"> service level agreement.</w:t>
            </w:r>
          </w:p>
        </w:tc>
      </w:tr>
      <w:tr w:rsidR="00BF3C8F" w:rsidRPr="003F445B" w:rsidTr="003F445B">
        <w:trPr>
          <w:trHeight w:val="897"/>
        </w:trPr>
        <w:tc>
          <w:tcPr>
            <w:tcW w:w="2519" w:type="dxa"/>
          </w:tcPr>
          <w:p w:rsidR="00BF3C8F" w:rsidRPr="003F445B" w:rsidRDefault="00E56B5A" w:rsidP="00492871">
            <w:pPr>
              <w:spacing w:before="120" w:after="120"/>
              <w:jc w:val="left"/>
              <w:rPr>
                <w:sz w:val="20"/>
                <w:szCs w:val="20"/>
              </w:rPr>
            </w:pPr>
            <w:r w:rsidRPr="003F445B">
              <w:rPr>
                <w:sz w:val="20"/>
                <w:szCs w:val="20"/>
              </w:rPr>
              <w:t>Thames Valley Primary Care Research Partnership (TVPCRP)</w:t>
            </w:r>
          </w:p>
        </w:tc>
        <w:tc>
          <w:tcPr>
            <w:tcW w:w="1132" w:type="dxa"/>
          </w:tcPr>
          <w:p w:rsidR="00BF3C8F" w:rsidRPr="003F445B" w:rsidRDefault="00E56B5A" w:rsidP="00492871">
            <w:pPr>
              <w:spacing w:before="120" w:after="120"/>
              <w:jc w:val="center"/>
              <w:rPr>
                <w:sz w:val="20"/>
                <w:szCs w:val="20"/>
              </w:rPr>
            </w:pPr>
            <w:r w:rsidRPr="003F445B">
              <w:rPr>
                <w:sz w:val="20"/>
                <w:szCs w:val="20"/>
              </w:rPr>
              <w:t>1,145</w:t>
            </w:r>
          </w:p>
        </w:tc>
        <w:tc>
          <w:tcPr>
            <w:tcW w:w="6522" w:type="dxa"/>
          </w:tcPr>
          <w:p w:rsidR="00BF3C8F" w:rsidRPr="003F445B" w:rsidRDefault="0068138D" w:rsidP="00492871">
            <w:pPr>
              <w:spacing w:before="120" w:after="120"/>
              <w:rPr>
                <w:sz w:val="20"/>
                <w:szCs w:val="20"/>
              </w:rPr>
            </w:pPr>
            <w:r w:rsidRPr="003F445B">
              <w:rPr>
                <w:sz w:val="20"/>
                <w:szCs w:val="20"/>
              </w:rPr>
              <w:t>As of the 1</w:t>
            </w:r>
            <w:r w:rsidRPr="003F445B">
              <w:rPr>
                <w:sz w:val="20"/>
                <w:szCs w:val="20"/>
                <w:vertAlign w:val="superscript"/>
              </w:rPr>
              <w:t>st</w:t>
            </w:r>
            <w:r w:rsidRPr="003F445B">
              <w:rPr>
                <w:sz w:val="20"/>
                <w:szCs w:val="20"/>
              </w:rPr>
              <w:t xml:space="preserve"> April 2013 the Trust became the Host to the TVPCRP. TVCLRN funding received is to f</w:t>
            </w:r>
            <w:r w:rsidR="00E56B5A" w:rsidRPr="003F445B">
              <w:rPr>
                <w:sz w:val="20"/>
                <w:szCs w:val="20"/>
              </w:rPr>
              <w:t xml:space="preserve">und </w:t>
            </w:r>
            <w:r w:rsidRPr="003F445B">
              <w:rPr>
                <w:sz w:val="20"/>
                <w:szCs w:val="20"/>
              </w:rPr>
              <w:t xml:space="preserve">their </w:t>
            </w:r>
            <w:r w:rsidR="00E56B5A" w:rsidRPr="003F445B">
              <w:rPr>
                <w:sz w:val="20"/>
                <w:szCs w:val="20"/>
              </w:rPr>
              <w:t xml:space="preserve">core staff and </w:t>
            </w:r>
            <w:r w:rsidRPr="003F445B">
              <w:rPr>
                <w:sz w:val="20"/>
                <w:szCs w:val="20"/>
              </w:rPr>
              <w:t xml:space="preserve">to support </w:t>
            </w:r>
            <w:r w:rsidR="00E56B5A" w:rsidRPr="003F445B">
              <w:rPr>
                <w:sz w:val="20"/>
                <w:szCs w:val="20"/>
              </w:rPr>
              <w:t>research active individuals within Primary Care in the Thames Valley.</w:t>
            </w:r>
          </w:p>
        </w:tc>
      </w:tr>
    </w:tbl>
    <w:p w:rsidR="00D67B8D" w:rsidRPr="005840C9" w:rsidRDefault="00E56B5A" w:rsidP="005840C9">
      <w:pPr>
        <w:pStyle w:val="Heading2"/>
        <w:rPr>
          <w:lang w:val="en-GB"/>
        </w:rPr>
      </w:pPr>
      <w:r w:rsidRPr="00C60A2E">
        <w:rPr>
          <w:lang w:val="en-GB"/>
        </w:rPr>
        <w:t>Commercial Research Study Income</w:t>
      </w:r>
    </w:p>
    <w:p w:rsidR="005B33E5" w:rsidRDefault="0080148A" w:rsidP="00F65A6F">
      <w:r>
        <w:t xml:space="preserve">The table below shows research income generated from commercial studies ongoing within the CRF </w:t>
      </w:r>
      <w:r w:rsidR="00622E28">
        <w:t xml:space="preserve">during the first </w:t>
      </w:r>
      <w:r w:rsidR="00052014">
        <w:t>6</w:t>
      </w:r>
      <w:r w:rsidR="00622E28">
        <w:t xml:space="preserve"> months of FY14</w:t>
      </w:r>
      <w:r w:rsidR="0032373A">
        <w:t xml:space="preserve"> in addition to the FY14 Forecast</w:t>
      </w:r>
      <w:r w:rsidR="00622E28">
        <w:t>.</w:t>
      </w:r>
      <w:r w:rsidR="00C60A2E" w:rsidRPr="00C60A2E">
        <w:rPr>
          <w:sz w:val="22"/>
          <w:szCs w:val="22"/>
        </w:rPr>
        <w:t xml:space="preserve"> </w:t>
      </w:r>
    </w:p>
    <w:tbl>
      <w:tblPr>
        <w:tblW w:w="10274" w:type="dxa"/>
        <w:tblInd w:w="-34" w:type="dxa"/>
        <w:tblLook w:val="04A0"/>
      </w:tblPr>
      <w:tblGrid>
        <w:gridCol w:w="6316"/>
        <w:gridCol w:w="2335"/>
        <w:gridCol w:w="1623"/>
      </w:tblGrid>
      <w:tr w:rsidR="00F22E3C" w:rsidRPr="003F445B" w:rsidTr="00272563">
        <w:trPr>
          <w:trHeight w:val="511"/>
        </w:trPr>
        <w:tc>
          <w:tcPr>
            <w:tcW w:w="63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22E3C" w:rsidRPr="003F445B" w:rsidRDefault="00F22E3C" w:rsidP="007567B9">
            <w:pPr>
              <w:spacing w:before="0" w:after="0"/>
              <w:jc w:val="center"/>
              <w:rPr>
                <w:rFonts w:cs="Arial"/>
                <w:b/>
                <w:bCs/>
                <w:color w:val="000000"/>
                <w:sz w:val="20"/>
                <w:szCs w:val="20"/>
                <w:lang w:val="en-GB" w:eastAsia="en-GB"/>
              </w:rPr>
            </w:pPr>
            <w:r w:rsidRPr="003F445B">
              <w:rPr>
                <w:rFonts w:cs="Arial"/>
                <w:b/>
                <w:bCs/>
                <w:color w:val="000000"/>
                <w:sz w:val="20"/>
                <w:szCs w:val="20"/>
                <w:lang w:val="en-GB" w:eastAsia="en-GB"/>
              </w:rPr>
              <w:t>Study</w:t>
            </w:r>
          </w:p>
        </w:tc>
        <w:tc>
          <w:tcPr>
            <w:tcW w:w="23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22E3C" w:rsidRPr="003F445B" w:rsidRDefault="00F22E3C" w:rsidP="007567B9">
            <w:pPr>
              <w:spacing w:before="0" w:after="0"/>
              <w:jc w:val="center"/>
              <w:rPr>
                <w:rFonts w:cs="Arial"/>
                <w:b/>
                <w:bCs/>
                <w:color w:val="000000"/>
                <w:sz w:val="20"/>
                <w:szCs w:val="20"/>
                <w:lang w:val="en-GB" w:eastAsia="en-GB"/>
              </w:rPr>
            </w:pPr>
            <w:r w:rsidRPr="003F445B">
              <w:rPr>
                <w:rFonts w:cs="Arial"/>
                <w:b/>
                <w:bCs/>
                <w:color w:val="000000"/>
                <w:sz w:val="20"/>
                <w:szCs w:val="20"/>
                <w:lang w:val="en-GB" w:eastAsia="en-GB"/>
              </w:rPr>
              <w:t>Sponsor/Clinical Research Organisation</w:t>
            </w:r>
          </w:p>
        </w:tc>
        <w:tc>
          <w:tcPr>
            <w:tcW w:w="1623" w:type="dxa"/>
            <w:tcBorders>
              <w:top w:val="single" w:sz="4" w:space="0" w:color="auto"/>
              <w:left w:val="nil"/>
              <w:bottom w:val="single" w:sz="4" w:space="0" w:color="auto"/>
              <w:right w:val="single" w:sz="4" w:space="0" w:color="auto"/>
            </w:tcBorders>
            <w:shd w:val="clear" w:color="auto" w:fill="D9D9D9" w:themeFill="background1" w:themeFillShade="D9"/>
          </w:tcPr>
          <w:p w:rsidR="00F22E3C" w:rsidRPr="003F445B" w:rsidRDefault="00F22E3C" w:rsidP="007567B9">
            <w:pPr>
              <w:spacing w:before="0" w:after="0"/>
              <w:jc w:val="center"/>
              <w:rPr>
                <w:rFonts w:cs="Arial"/>
                <w:b/>
                <w:bCs/>
                <w:color w:val="000000"/>
                <w:sz w:val="20"/>
                <w:szCs w:val="20"/>
                <w:lang w:val="en-GB" w:eastAsia="en-GB"/>
              </w:rPr>
            </w:pPr>
            <w:r w:rsidRPr="003F445B">
              <w:rPr>
                <w:rFonts w:cs="Arial"/>
                <w:b/>
                <w:bCs/>
                <w:color w:val="000000"/>
                <w:sz w:val="20"/>
                <w:szCs w:val="20"/>
                <w:lang w:val="en-GB" w:eastAsia="en-GB"/>
              </w:rPr>
              <w:t>FY14 Period 6 YTD £k</w:t>
            </w:r>
          </w:p>
        </w:tc>
      </w:tr>
      <w:tr w:rsidR="00F22E3C" w:rsidRPr="003F445B" w:rsidTr="00272563">
        <w:trPr>
          <w:trHeight w:val="1455"/>
        </w:trPr>
        <w:tc>
          <w:tcPr>
            <w:tcW w:w="6316" w:type="dxa"/>
            <w:tcBorders>
              <w:top w:val="nil"/>
              <w:left w:val="single" w:sz="4" w:space="0" w:color="auto"/>
              <w:bottom w:val="single" w:sz="4" w:space="0" w:color="auto"/>
              <w:right w:val="single" w:sz="4" w:space="0" w:color="auto"/>
            </w:tcBorders>
            <w:shd w:val="clear" w:color="auto" w:fill="auto"/>
            <w:vAlign w:val="center"/>
            <w:hideMark/>
          </w:tcPr>
          <w:p w:rsidR="00F22E3C" w:rsidRPr="003F445B" w:rsidRDefault="00F22E3C" w:rsidP="007567B9">
            <w:pPr>
              <w:spacing w:before="0" w:after="0"/>
              <w:jc w:val="left"/>
              <w:rPr>
                <w:rFonts w:cs="Arial"/>
                <w:color w:val="000000"/>
                <w:sz w:val="20"/>
                <w:szCs w:val="20"/>
                <w:lang w:val="en-GB" w:eastAsia="en-GB"/>
              </w:rPr>
            </w:pPr>
            <w:r w:rsidRPr="003F445B">
              <w:rPr>
                <w:rFonts w:cs="Arial"/>
                <w:color w:val="000000"/>
                <w:sz w:val="20"/>
                <w:szCs w:val="20"/>
                <w:lang w:val="en-GB" w:eastAsia="en-GB"/>
              </w:rPr>
              <w:t xml:space="preserve">A phase III, multi </w:t>
            </w:r>
            <w:proofErr w:type="spellStart"/>
            <w:r w:rsidRPr="003F445B">
              <w:rPr>
                <w:rFonts w:cs="Arial"/>
                <w:color w:val="000000"/>
                <w:sz w:val="20"/>
                <w:szCs w:val="20"/>
                <w:lang w:val="en-GB" w:eastAsia="en-GB"/>
              </w:rPr>
              <w:t>center</w:t>
            </w:r>
            <w:proofErr w:type="spellEnd"/>
            <w:r w:rsidRPr="003F445B">
              <w:rPr>
                <w:rFonts w:cs="Arial"/>
                <w:color w:val="000000"/>
                <w:sz w:val="20"/>
                <w:szCs w:val="20"/>
                <w:lang w:val="en-GB" w:eastAsia="en-GB"/>
              </w:rPr>
              <w:t xml:space="preserve">, randomized, 24 week, double-blind, parallel-group, </w:t>
            </w:r>
            <w:proofErr w:type="spellStart"/>
            <w:r w:rsidRPr="003F445B">
              <w:rPr>
                <w:rFonts w:cs="Arial"/>
                <w:color w:val="000000"/>
                <w:sz w:val="20"/>
                <w:szCs w:val="20"/>
                <w:lang w:val="en-GB" w:eastAsia="en-GB"/>
              </w:rPr>
              <w:t>placebocontralled</w:t>
            </w:r>
            <w:proofErr w:type="spellEnd"/>
            <w:r w:rsidRPr="003F445B">
              <w:rPr>
                <w:rFonts w:cs="Arial"/>
                <w:color w:val="000000"/>
                <w:sz w:val="20"/>
                <w:szCs w:val="20"/>
                <w:lang w:val="en-GB" w:eastAsia="en-GB"/>
              </w:rPr>
              <w:t xml:space="preserve"> study to evaluate efficacy and Safety of RO4917838 in stable patients with persistent, predominant negative </w:t>
            </w:r>
            <w:proofErr w:type="spellStart"/>
            <w:r w:rsidRPr="003F445B">
              <w:rPr>
                <w:rFonts w:cs="Arial"/>
                <w:color w:val="000000"/>
                <w:sz w:val="20"/>
                <w:szCs w:val="20"/>
                <w:lang w:val="en-GB" w:eastAsia="en-GB"/>
              </w:rPr>
              <w:t>symptons</w:t>
            </w:r>
            <w:proofErr w:type="spellEnd"/>
            <w:r w:rsidRPr="003F445B">
              <w:rPr>
                <w:rFonts w:cs="Arial"/>
                <w:color w:val="000000"/>
                <w:sz w:val="20"/>
                <w:szCs w:val="20"/>
                <w:lang w:val="en-GB" w:eastAsia="en-GB"/>
              </w:rPr>
              <w:t xml:space="preserve"> of schizophrenia</w:t>
            </w:r>
          </w:p>
        </w:tc>
        <w:tc>
          <w:tcPr>
            <w:tcW w:w="2335" w:type="dxa"/>
            <w:tcBorders>
              <w:top w:val="nil"/>
              <w:left w:val="nil"/>
              <w:bottom w:val="single" w:sz="4" w:space="0" w:color="auto"/>
              <w:right w:val="single" w:sz="4" w:space="0" w:color="auto"/>
            </w:tcBorders>
            <w:shd w:val="clear" w:color="auto" w:fill="auto"/>
            <w:vAlign w:val="center"/>
            <w:hideMark/>
          </w:tcPr>
          <w:p w:rsidR="00F22E3C" w:rsidRPr="003F445B" w:rsidRDefault="00F22E3C" w:rsidP="007567B9">
            <w:pPr>
              <w:spacing w:before="0" w:after="0"/>
              <w:jc w:val="center"/>
              <w:rPr>
                <w:rFonts w:cs="Arial"/>
                <w:color w:val="000000"/>
                <w:sz w:val="20"/>
                <w:szCs w:val="20"/>
                <w:lang w:val="en-GB" w:eastAsia="en-GB"/>
              </w:rPr>
            </w:pPr>
            <w:proofErr w:type="spellStart"/>
            <w:r w:rsidRPr="003F445B">
              <w:rPr>
                <w:rFonts w:cs="Arial"/>
                <w:color w:val="000000"/>
                <w:sz w:val="20"/>
                <w:szCs w:val="20"/>
                <w:lang w:val="en-GB" w:eastAsia="en-GB"/>
              </w:rPr>
              <w:t>F.Hoffman</w:t>
            </w:r>
            <w:proofErr w:type="spellEnd"/>
            <w:r w:rsidRPr="003F445B">
              <w:rPr>
                <w:rFonts w:cs="Arial"/>
                <w:color w:val="000000"/>
                <w:sz w:val="20"/>
                <w:szCs w:val="20"/>
                <w:lang w:val="en-GB" w:eastAsia="en-GB"/>
              </w:rPr>
              <w:t>-La Roche Limited/Quintiles Limited</w:t>
            </w:r>
          </w:p>
        </w:tc>
        <w:tc>
          <w:tcPr>
            <w:tcW w:w="1623" w:type="dxa"/>
            <w:tcBorders>
              <w:top w:val="single" w:sz="4" w:space="0" w:color="auto"/>
              <w:left w:val="nil"/>
              <w:bottom w:val="single" w:sz="4" w:space="0" w:color="auto"/>
              <w:right w:val="single" w:sz="4" w:space="0" w:color="auto"/>
            </w:tcBorders>
            <w:vAlign w:val="center"/>
          </w:tcPr>
          <w:p w:rsidR="00F22E3C" w:rsidRPr="003F445B" w:rsidRDefault="00F22E3C" w:rsidP="009C3118">
            <w:pPr>
              <w:spacing w:before="0" w:after="0"/>
              <w:jc w:val="center"/>
              <w:rPr>
                <w:rFonts w:cs="Arial"/>
                <w:color w:val="000000"/>
                <w:sz w:val="20"/>
                <w:szCs w:val="20"/>
                <w:lang w:val="en-GB" w:eastAsia="en-GB"/>
              </w:rPr>
            </w:pPr>
            <w:r w:rsidRPr="003F445B">
              <w:rPr>
                <w:rFonts w:cs="Arial"/>
                <w:color w:val="000000"/>
                <w:sz w:val="20"/>
                <w:szCs w:val="20"/>
                <w:lang w:val="en-GB" w:eastAsia="en-GB"/>
              </w:rPr>
              <w:t>33</w:t>
            </w:r>
          </w:p>
        </w:tc>
      </w:tr>
      <w:tr w:rsidR="00F22E3C" w:rsidRPr="003F445B" w:rsidTr="00272563">
        <w:trPr>
          <w:trHeight w:val="1148"/>
        </w:trPr>
        <w:tc>
          <w:tcPr>
            <w:tcW w:w="6316" w:type="dxa"/>
            <w:tcBorders>
              <w:top w:val="nil"/>
              <w:left w:val="single" w:sz="4" w:space="0" w:color="auto"/>
              <w:bottom w:val="single" w:sz="4" w:space="0" w:color="auto"/>
              <w:right w:val="single" w:sz="4" w:space="0" w:color="auto"/>
            </w:tcBorders>
            <w:shd w:val="clear" w:color="auto" w:fill="auto"/>
            <w:vAlign w:val="center"/>
            <w:hideMark/>
          </w:tcPr>
          <w:p w:rsidR="00F22E3C" w:rsidRPr="003F445B" w:rsidRDefault="00F22E3C" w:rsidP="007567B9">
            <w:pPr>
              <w:spacing w:before="0" w:after="0"/>
              <w:jc w:val="left"/>
              <w:rPr>
                <w:rFonts w:cs="Arial"/>
                <w:color w:val="000000"/>
                <w:sz w:val="20"/>
                <w:szCs w:val="20"/>
                <w:lang w:val="en-GB" w:eastAsia="en-GB"/>
              </w:rPr>
            </w:pPr>
            <w:r w:rsidRPr="003F445B">
              <w:rPr>
                <w:rFonts w:cs="Arial"/>
                <w:color w:val="000000"/>
                <w:sz w:val="20"/>
                <w:szCs w:val="20"/>
                <w:lang w:val="en-GB" w:eastAsia="en-GB"/>
              </w:rPr>
              <w:t xml:space="preserve">Evaluation of the effects of </w:t>
            </w:r>
            <w:proofErr w:type="spellStart"/>
            <w:r w:rsidRPr="003F445B">
              <w:rPr>
                <w:rFonts w:cs="Arial"/>
                <w:color w:val="000000"/>
                <w:sz w:val="20"/>
                <w:szCs w:val="20"/>
                <w:lang w:val="en-GB" w:eastAsia="en-GB"/>
              </w:rPr>
              <w:t>agomelatine</w:t>
            </w:r>
            <w:proofErr w:type="spellEnd"/>
            <w:r w:rsidRPr="003F445B">
              <w:rPr>
                <w:rFonts w:cs="Arial"/>
                <w:color w:val="000000"/>
                <w:sz w:val="20"/>
                <w:szCs w:val="20"/>
                <w:lang w:val="en-GB" w:eastAsia="en-GB"/>
              </w:rPr>
              <w:t xml:space="preserve"> (25mg and 50mg) and </w:t>
            </w:r>
            <w:proofErr w:type="spellStart"/>
            <w:r w:rsidRPr="003F445B">
              <w:rPr>
                <w:rFonts w:cs="Arial"/>
                <w:color w:val="000000"/>
                <w:sz w:val="20"/>
                <w:szCs w:val="20"/>
                <w:lang w:val="en-GB" w:eastAsia="en-GB"/>
              </w:rPr>
              <w:t>escitalopram</w:t>
            </w:r>
            <w:proofErr w:type="spellEnd"/>
            <w:r w:rsidRPr="003F445B">
              <w:rPr>
                <w:rFonts w:cs="Arial"/>
                <w:color w:val="000000"/>
                <w:sz w:val="20"/>
                <w:szCs w:val="20"/>
                <w:lang w:val="en-GB" w:eastAsia="en-GB"/>
              </w:rPr>
              <w:t xml:space="preserve"> 20 mg during eight weeks on emotional blunting, emotional processing and motivation in healthy male and female volunteers.  </w:t>
            </w:r>
          </w:p>
        </w:tc>
        <w:tc>
          <w:tcPr>
            <w:tcW w:w="2335" w:type="dxa"/>
            <w:tcBorders>
              <w:top w:val="nil"/>
              <w:left w:val="nil"/>
              <w:bottom w:val="single" w:sz="4" w:space="0" w:color="auto"/>
              <w:right w:val="single" w:sz="4" w:space="0" w:color="auto"/>
            </w:tcBorders>
            <w:shd w:val="clear" w:color="auto" w:fill="auto"/>
            <w:vAlign w:val="center"/>
            <w:hideMark/>
          </w:tcPr>
          <w:p w:rsidR="00F22E3C" w:rsidRPr="003F445B" w:rsidRDefault="00F22E3C" w:rsidP="007567B9">
            <w:pPr>
              <w:spacing w:before="0" w:after="0"/>
              <w:jc w:val="center"/>
              <w:rPr>
                <w:rFonts w:cs="Arial"/>
                <w:color w:val="000000"/>
                <w:sz w:val="20"/>
                <w:szCs w:val="20"/>
                <w:lang w:val="en-GB" w:eastAsia="en-GB"/>
              </w:rPr>
            </w:pPr>
            <w:proofErr w:type="spellStart"/>
            <w:r w:rsidRPr="003F445B">
              <w:rPr>
                <w:rFonts w:cs="Arial"/>
                <w:color w:val="000000"/>
                <w:sz w:val="20"/>
                <w:szCs w:val="20"/>
                <w:lang w:val="en-GB" w:eastAsia="en-GB"/>
              </w:rPr>
              <w:t>Servier</w:t>
            </w:r>
            <w:proofErr w:type="spellEnd"/>
            <w:r w:rsidRPr="003F445B">
              <w:rPr>
                <w:rFonts w:cs="Arial"/>
                <w:color w:val="000000"/>
                <w:sz w:val="20"/>
                <w:szCs w:val="20"/>
                <w:lang w:val="en-GB" w:eastAsia="en-GB"/>
              </w:rPr>
              <w:t>/P1Vital</w:t>
            </w:r>
          </w:p>
        </w:tc>
        <w:tc>
          <w:tcPr>
            <w:tcW w:w="1623" w:type="dxa"/>
            <w:tcBorders>
              <w:top w:val="single" w:sz="4" w:space="0" w:color="auto"/>
              <w:left w:val="nil"/>
              <w:bottom w:val="single" w:sz="4" w:space="0" w:color="auto"/>
              <w:right w:val="single" w:sz="4" w:space="0" w:color="auto"/>
            </w:tcBorders>
            <w:vAlign w:val="center"/>
          </w:tcPr>
          <w:p w:rsidR="00F22E3C" w:rsidRPr="003F445B" w:rsidRDefault="00F22E3C" w:rsidP="009C3118">
            <w:pPr>
              <w:spacing w:before="0" w:after="0"/>
              <w:jc w:val="center"/>
              <w:rPr>
                <w:rFonts w:cs="Arial"/>
                <w:color w:val="000000"/>
                <w:sz w:val="20"/>
                <w:szCs w:val="20"/>
                <w:lang w:val="en-GB" w:eastAsia="en-GB"/>
              </w:rPr>
            </w:pPr>
            <w:r w:rsidRPr="003F445B">
              <w:rPr>
                <w:rFonts w:cs="Arial"/>
                <w:color w:val="000000"/>
                <w:sz w:val="20"/>
                <w:szCs w:val="20"/>
                <w:lang w:val="en-GB" w:eastAsia="en-GB"/>
              </w:rPr>
              <w:t>26</w:t>
            </w:r>
          </w:p>
        </w:tc>
      </w:tr>
      <w:tr w:rsidR="00F22E3C" w:rsidRPr="003F445B" w:rsidTr="00272563">
        <w:trPr>
          <w:trHeight w:val="1417"/>
        </w:trPr>
        <w:tc>
          <w:tcPr>
            <w:tcW w:w="6316" w:type="dxa"/>
            <w:tcBorders>
              <w:top w:val="nil"/>
              <w:left w:val="single" w:sz="4" w:space="0" w:color="auto"/>
              <w:bottom w:val="single" w:sz="4" w:space="0" w:color="auto"/>
              <w:right w:val="single" w:sz="4" w:space="0" w:color="auto"/>
            </w:tcBorders>
            <w:shd w:val="clear" w:color="auto" w:fill="auto"/>
            <w:vAlign w:val="center"/>
            <w:hideMark/>
          </w:tcPr>
          <w:p w:rsidR="00F22E3C" w:rsidRPr="003F445B" w:rsidRDefault="00F22E3C" w:rsidP="007567B9">
            <w:pPr>
              <w:spacing w:before="0" w:after="0"/>
              <w:jc w:val="left"/>
              <w:rPr>
                <w:rFonts w:cs="Arial"/>
                <w:color w:val="000000"/>
                <w:sz w:val="20"/>
                <w:szCs w:val="20"/>
                <w:lang w:val="en-GB" w:eastAsia="en-GB"/>
              </w:rPr>
            </w:pPr>
            <w:r w:rsidRPr="003F445B">
              <w:rPr>
                <w:rFonts w:cs="Arial"/>
                <w:color w:val="000000"/>
                <w:sz w:val="20"/>
                <w:szCs w:val="20"/>
                <w:lang w:val="en-GB" w:eastAsia="en-GB"/>
              </w:rPr>
              <w:lastRenderedPageBreak/>
              <w:t>Interventional randomised, double-blind, parallel-group, placebo-controlled, exploratory study investigating the effects of Lu AA21004 on cognition and BOLD fMRI signals in subjects remitted from depression and controls</w:t>
            </w:r>
          </w:p>
        </w:tc>
        <w:tc>
          <w:tcPr>
            <w:tcW w:w="2335" w:type="dxa"/>
            <w:tcBorders>
              <w:top w:val="nil"/>
              <w:left w:val="nil"/>
              <w:bottom w:val="single" w:sz="4" w:space="0" w:color="auto"/>
              <w:right w:val="single" w:sz="4" w:space="0" w:color="auto"/>
            </w:tcBorders>
            <w:shd w:val="clear" w:color="auto" w:fill="auto"/>
            <w:vAlign w:val="center"/>
            <w:hideMark/>
          </w:tcPr>
          <w:p w:rsidR="00F22E3C" w:rsidRPr="003F445B" w:rsidRDefault="00F22E3C" w:rsidP="007567B9">
            <w:pPr>
              <w:spacing w:before="0" w:after="0"/>
              <w:jc w:val="center"/>
              <w:rPr>
                <w:rFonts w:cs="Arial"/>
                <w:color w:val="000000"/>
                <w:sz w:val="20"/>
                <w:szCs w:val="20"/>
                <w:lang w:val="en-GB" w:eastAsia="en-GB"/>
              </w:rPr>
            </w:pPr>
            <w:proofErr w:type="spellStart"/>
            <w:r w:rsidRPr="003F445B">
              <w:rPr>
                <w:rFonts w:cs="Arial"/>
                <w:color w:val="000000"/>
                <w:sz w:val="20"/>
                <w:szCs w:val="20"/>
                <w:lang w:val="en-GB" w:eastAsia="en-GB"/>
              </w:rPr>
              <w:t>H.Lundbeck</w:t>
            </w:r>
            <w:proofErr w:type="spellEnd"/>
            <w:r w:rsidRPr="003F445B">
              <w:rPr>
                <w:rFonts w:cs="Arial"/>
                <w:color w:val="000000"/>
                <w:sz w:val="20"/>
                <w:szCs w:val="20"/>
                <w:lang w:val="en-GB" w:eastAsia="en-GB"/>
              </w:rPr>
              <w:t>/P1Vital</w:t>
            </w:r>
          </w:p>
        </w:tc>
        <w:tc>
          <w:tcPr>
            <w:tcW w:w="1623" w:type="dxa"/>
            <w:tcBorders>
              <w:top w:val="single" w:sz="4" w:space="0" w:color="auto"/>
              <w:left w:val="nil"/>
              <w:bottom w:val="single" w:sz="4" w:space="0" w:color="auto"/>
              <w:right w:val="single" w:sz="4" w:space="0" w:color="auto"/>
            </w:tcBorders>
            <w:vAlign w:val="center"/>
          </w:tcPr>
          <w:p w:rsidR="00F22E3C" w:rsidRPr="003F445B" w:rsidRDefault="00F22E3C" w:rsidP="009C3118">
            <w:pPr>
              <w:spacing w:before="0" w:after="0"/>
              <w:jc w:val="center"/>
              <w:rPr>
                <w:rFonts w:cs="Arial"/>
                <w:color w:val="000000"/>
                <w:sz w:val="20"/>
                <w:szCs w:val="20"/>
                <w:lang w:val="en-GB" w:eastAsia="en-GB"/>
              </w:rPr>
            </w:pPr>
            <w:r w:rsidRPr="003F445B">
              <w:rPr>
                <w:rFonts w:cs="Arial"/>
                <w:color w:val="000000"/>
                <w:sz w:val="20"/>
                <w:szCs w:val="20"/>
                <w:lang w:val="en-GB" w:eastAsia="en-GB"/>
              </w:rPr>
              <w:t>60</w:t>
            </w:r>
          </w:p>
        </w:tc>
      </w:tr>
      <w:tr w:rsidR="00F22E3C" w:rsidRPr="003F445B" w:rsidTr="00272563">
        <w:trPr>
          <w:trHeight w:val="255"/>
        </w:trPr>
        <w:tc>
          <w:tcPr>
            <w:tcW w:w="6316" w:type="dxa"/>
            <w:tcBorders>
              <w:top w:val="nil"/>
              <w:left w:val="single" w:sz="4" w:space="0" w:color="auto"/>
              <w:bottom w:val="single" w:sz="4" w:space="0" w:color="auto"/>
              <w:right w:val="single" w:sz="4" w:space="0" w:color="auto"/>
            </w:tcBorders>
            <w:shd w:val="clear" w:color="auto" w:fill="auto"/>
            <w:noWrap/>
            <w:vAlign w:val="bottom"/>
            <w:hideMark/>
          </w:tcPr>
          <w:p w:rsidR="00F22E3C" w:rsidRPr="003F445B" w:rsidRDefault="00F22E3C" w:rsidP="007567B9">
            <w:pPr>
              <w:spacing w:before="0" w:after="0"/>
              <w:jc w:val="left"/>
              <w:rPr>
                <w:rFonts w:cs="Arial"/>
                <w:color w:val="000000"/>
                <w:sz w:val="20"/>
                <w:szCs w:val="20"/>
                <w:lang w:val="en-GB" w:eastAsia="en-GB"/>
              </w:rPr>
            </w:pPr>
            <w:r w:rsidRPr="003F445B">
              <w:rPr>
                <w:rFonts w:cs="Arial"/>
                <w:color w:val="000000"/>
                <w:sz w:val="20"/>
                <w:szCs w:val="20"/>
                <w:lang w:val="en-GB" w:eastAsia="en-GB"/>
              </w:rPr>
              <w:t> </w:t>
            </w:r>
          </w:p>
        </w:tc>
        <w:tc>
          <w:tcPr>
            <w:tcW w:w="2335" w:type="dxa"/>
            <w:tcBorders>
              <w:top w:val="nil"/>
              <w:left w:val="nil"/>
              <w:bottom w:val="single" w:sz="4" w:space="0" w:color="auto"/>
              <w:right w:val="single" w:sz="4" w:space="0" w:color="auto"/>
            </w:tcBorders>
            <w:shd w:val="clear" w:color="auto" w:fill="auto"/>
            <w:noWrap/>
            <w:vAlign w:val="center"/>
            <w:hideMark/>
          </w:tcPr>
          <w:p w:rsidR="00F22E3C" w:rsidRPr="003F445B" w:rsidRDefault="00F22E3C" w:rsidP="007567B9">
            <w:pPr>
              <w:spacing w:before="0" w:after="0"/>
              <w:jc w:val="center"/>
              <w:rPr>
                <w:rFonts w:cs="Arial"/>
                <w:b/>
                <w:bCs/>
                <w:color w:val="000000"/>
                <w:sz w:val="20"/>
                <w:szCs w:val="20"/>
                <w:lang w:val="en-GB" w:eastAsia="en-GB"/>
              </w:rPr>
            </w:pPr>
            <w:r w:rsidRPr="003F445B">
              <w:rPr>
                <w:rFonts w:cs="Arial"/>
                <w:b/>
                <w:bCs/>
                <w:color w:val="000000"/>
                <w:sz w:val="20"/>
                <w:szCs w:val="20"/>
                <w:lang w:val="en-GB" w:eastAsia="en-GB"/>
              </w:rPr>
              <w:t>TOTAL</w:t>
            </w:r>
          </w:p>
        </w:tc>
        <w:tc>
          <w:tcPr>
            <w:tcW w:w="1623" w:type="dxa"/>
            <w:tcBorders>
              <w:top w:val="single" w:sz="4" w:space="0" w:color="auto"/>
              <w:left w:val="nil"/>
              <w:bottom w:val="single" w:sz="4" w:space="0" w:color="auto"/>
              <w:right w:val="single" w:sz="4" w:space="0" w:color="auto"/>
            </w:tcBorders>
          </w:tcPr>
          <w:p w:rsidR="00F22E3C" w:rsidRPr="003F445B" w:rsidRDefault="00F22E3C" w:rsidP="00F22E3C">
            <w:pPr>
              <w:spacing w:before="0" w:after="0"/>
              <w:jc w:val="center"/>
              <w:rPr>
                <w:rFonts w:cs="Arial"/>
                <w:b/>
                <w:bCs/>
                <w:color w:val="000000"/>
                <w:sz w:val="20"/>
                <w:szCs w:val="20"/>
                <w:lang w:val="en-GB" w:eastAsia="en-GB"/>
              </w:rPr>
            </w:pPr>
            <w:r w:rsidRPr="003F445B">
              <w:rPr>
                <w:rFonts w:cs="Arial"/>
                <w:b/>
                <w:bCs/>
                <w:color w:val="000000"/>
                <w:sz w:val="20"/>
                <w:szCs w:val="20"/>
                <w:lang w:val="en-GB" w:eastAsia="en-GB"/>
              </w:rPr>
              <w:t>119</w:t>
            </w:r>
          </w:p>
        </w:tc>
      </w:tr>
    </w:tbl>
    <w:p w:rsidR="007567B9" w:rsidRDefault="007567B9">
      <w:pPr>
        <w:spacing w:before="0" w:after="0"/>
        <w:rPr>
          <w:i/>
          <w:sz w:val="22"/>
          <w:szCs w:val="22"/>
        </w:rPr>
      </w:pPr>
    </w:p>
    <w:p w:rsidR="00C60A2E" w:rsidRPr="008C1316" w:rsidRDefault="00C60A2E">
      <w:pPr>
        <w:spacing w:before="0" w:after="0"/>
        <w:rPr>
          <w:i/>
        </w:rPr>
      </w:pPr>
      <w:r w:rsidRPr="008C1316">
        <w:rPr>
          <w:i/>
          <w:sz w:val="22"/>
          <w:szCs w:val="22"/>
        </w:rPr>
        <w:t>A full list of currently active studies is shown in Appendix A.</w:t>
      </w:r>
    </w:p>
    <w:p w:rsidR="00272563" w:rsidRPr="00CE03F9" w:rsidRDefault="00272563" w:rsidP="00CE03F9">
      <w:pPr>
        <w:pStyle w:val="Heading2"/>
        <w:rPr>
          <w:lang w:val="en-GB"/>
        </w:rPr>
      </w:pPr>
      <w:r w:rsidRPr="00CE03F9">
        <w:rPr>
          <w:lang w:val="en-GB"/>
        </w:rPr>
        <w:t>R&amp;D related Pharmacy Income</w:t>
      </w:r>
    </w:p>
    <w:tbl>
      <w:tblPr>
        <w:tblW w:w="10079" w:type="dxa"/>
        <w:tblInd w:w="-34" w:type="dxa"/>
        <w:tblLook w:val="04A0"/>
      </w:tblPr>
      <w:tblGrid>
        <w:gridCol w:w="5946"/>
        <w:gridCol w:w="4133"/>
      </w:tblGrid>
      <w:tr w:rsidR="00272563" w:rsidRPr="003F445B" w:rsidTr="00272563">
        <w:trPr>
          <w:trHeight w:val="494"/>
        </w:trPr>
        <w:tc>
          <w:tcPr>
            <w:tcW w:w="5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72563" w:rsidRPr="003F445B" w:rsidRDefault="00272563" w:rsidP="00CE03F9">
            <w:pPr>
              <w:spacing w:before="0" w:after="0"/>
              <w:jc w:val="center"/>
              <w:rPr>
                <w:rFonts w:cs="Arial"/>
                <w:b/>
                <w:bCs/>
                <w:color w:val="000000"/>
                <w:sz w:val="20"/>
                <w:szCs w:val="20"/>
                <w:lang w:val="en-GB" w:eastAsia="en-GB"/>
              </w:rPr>
            </w:pPr>
            <w:r w:rsidRPr="003F445B">
              <w:rPr>
                <w:rFonts w:cs="Arial"/>
                <w:b/>
                <w:bCs/>
                <w:color w:val="000000"/>
                <w:sz w:val="20"/>
                <w:szCs w:val="20"/>
                <w:lang w:val="en-GB" w:eastAsia="en-GB"/>
              </w:rPr>
              <w:t>Sponsor/Clinical Research Organisation</w:t>
            </w:r>
          </w:p>
        </w:tc>
        <w:tc>
          <w:tcPr>
            <w:tcW w:w="4133" w:type="dxa"/>
            <w:tcBorders>
              <w:top w:val="single" w:sz="4" w:space="0" w:color="auto"/>
              <w:left w:val="nil"/>
              <w:bottom w:val="single" w:sz="4" w:space="0" w:color="auto"/>
              <w:right w:val="single" w:sz="4" w:space="0" w:color="auto"/>
            </w:tcBorders>
            <w:shd w:val="clear" w:color="auto" w:fill="D9D9D9" w:themeFill="background1" w:themeFillShade="D9"/>
          </w:tcPr>
          <w:p w:rsidR="00272563" w:rsidRPr="003F445B" w:rsidRDefault="00272563" w:rsidP="00CE03F9">
            <w:pPr>
              <w:spacing w:before="120" w:after="0"/>
              <w:jc w:val="center"/>
              <w:rPr>
                <w:rFonts w:cs="Arial"/>
                <w:b/>
                <w:bCs/>
                <w:color w:val="000000"/>
                <w:sz w:val="20"/>
                <w:szCs w:val="20"/>
                <w:lang w:val="en-GB" w:eastAsia="en-GB"/>
              </w:rPr>
            </w:pPr>
            <w:r w:rsidRPr="003F445B">
              <w:rPr>
                <w:rFonts w:cs="Arial"/>
                <w:b/>
                <w:bCs/>
                <w:color w:val="000000"/>
                <w:sz w:val="20"/>
                <w:szCs w:val="20"/>
                <w:lang w:val="en-GB" w:eastAsia="en-GB"/>
              </w:rPr>
              <w:t>FY14 Period 6 YTD £k</w:t>
            </w:r>
          </w:p>
        </w:tc>
      </w:tr>
      <w:tr w:rsidR="00272563" w:rsidRPr="003F445B" w:rsidTr="00272563">
        <w:trPr>
          <w:trHeight w:val="575"/>
        </w:trPr>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rsidR="00272563" w:rsidRPr="003F445B" w:rsidRDefault="00272563" w:rsidP="00272563">
            <w:pPr>
              <w:spacing w:before="0" w:after="0"/>
              <w:jc w:val="left"/>
              <w:rPr>
                <w:rFonts w:cs="Arial"/>
                <w:color w:val="000000"/>
                <w:sz w:val="20"/>
                <w:szCs w:val="20"/>
                <w:lang w:val="en-GB" w:eastAsia="en-GB"/>
              </w:rPr>
            </w:pPr>
            <w:r>
              <w:rPr>
                <w:rFonts w:cs="Arial"/>
                <w:color w:val="000000"/>
                <w:sz w:val="20"/>
                <w:szCs w:val="20"/>
                <w:lang w:val="en-GB" w:eastAsia="en-GB"/>
              </w:rPr>
              <w:t xml:space="preserve">GW </w:t>
            </w:r>
            <w:proofErr w:type="spellStart"/>
            <w:r>
              <w:rPr>
                <w:rFonts w:cs="Arial"/>
                <w:color w:val="000000"/>
                <w:sz w:val="20"/>
                <w:szCs w:val="20"/>
                <w:lang w:val="en-GB" w:eastAsia="en-GB"/>
              </w:rPr>
              <w:t>Pharma</w:t>
            </w:r>
            <w:proofErr w:type="spellEnd"/>
          </w:p>
        </w:tc>
        <w:tc>
          <w:tcPr>
            <w:tcW w:w="4133" w:type="dxa"/>
            <w:tcBorders>
              <w:top w:val="single" w:sz="4" w:space="0" w:color="auto"/>
              <w:left w:val="nil"/>
              <w:bottom w:val="single" w:sz="4" w:space="0" w:color="auto"/>
              <w:right w:val="single" w:sz="4" w:space="0" w:color="auto"/>
            </w:tcBorders>
            <w:vAlign w:val="center"/>
          </w:tcPr>
          <w:p w:rsidR="00272563" w:rsidRPr="003F445B" w:rsidRDefault="00272563" w:rsidP="00272563">
            <w:pPr>
              <w:spacing w:before="0" w:after="0"/>
              <w:jc w:val="center"/>
              <w:rPr>
                <w:rFonts w:cs="Arial"/>
                <w:color w:val="000000"/>
                <w:sz w:val="20"/>
                <w:szCs w:val="20"/>
                <w:lang w:val="en-GB" w:eastAsia="en-GB"/>
              </w:rPr>
            </w:pPr>
            <w:r>
              <w:rPr>
                <w:rFonts w:cs="Arial"/>
                <w:color w:val="000000"/>
                <w:sz w:val="20"/>
                <w:szCs w:val="20"/>
                <w:lang w:val="en-GB" w:eastAsia="en-GB"/>
              </w:rPr>
              <w:t>2</w:t>
            </w:r>
          </w:p>
        </w:tc>
      </w:tr>
      <w:tr w:rsidR="00272563" w:rsidRPr="003F445B" w:rsidTr="00272563">
        <w:trPr>
          <w:trHeight w:val="575"/>
        </w:trPr>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rsidR="00272563" w:rsidRPr="003F445B" w:rsidRDefault="00272563" w:rsidP="00C620F9">
            <w:pPr>
              <w:spacing w:before="0" w:after="0"/>
              <w:jc w:val="left"/>
              <w:rPr>
                <w:rFonts w:cs="Arial"/>
                <w:color w:val="000000"/>
                <w:sz w:val="20"/>
                <w:szCs w:val="20"/>
                <w:lang w:val="en-GB" w:eastAsia="en-GB"/>
              </w:rPr>
            </w:pPr>
            <w:proofErr w:type="spellStart"/>
            <w:r>
              <w:rPr>
                <w:rFonts w:cs="Arial"/>
                <w:color w:val="000000"/>
                <w:sz w:val="20"/>
                <w:szCs w:val="20"/>
                <w:lang w:val="en-GB" w:eastAsia="en-GB"/>
              </w:rPr>
              <w:t>Tayrx</w:t>
            </w:r>
            <w:proofErr w:type="spellEnd"/>
            <w:r w:rsidR="00C620F9">
              <w:rPr>
                <w:rFonts w:cs="Arial"/>
                <w:color w:val="000000"/>
                <w:sz w:val="20"/>
                <w:szCs w:val="20"/>
                <w:lang w:val="en-GB" w:eastAsia="en-GB"/>
              </w:rPr>
              <w:t xml:space="preserve"> / QCTR</w:t>
            </w:r>
          </w:p>
        </w:tc>
        <w:tc>
          <w:tcPr>
            <w:tcW w:w="4133" w:type="dxa"/>
            <w:tcBorders>
              <w:top w:val="single" w:sz="4" w:space="0" w:color="auto"/>
              <w:left w:val="nil"/>
              <w:bottom w:val="single" w:sz="4" w:space="0" w:color="auto"/>
              <w:right w:val="single" w:sz="4" w:space="0" w:color="auto"/>
            </w:tcBorders>
            <w:vAlign w:val="center"/>
          </w:tcPr>
          <w:p w:rsidR="00272563" w:rsidRPr="003F445B" w:rsidRDefault="00272563" w:rsidP="00272563">
            <w:pPr>
              <w:spacing w:before="0" w:after="0"/>
              <w:jc w:val="center"/>
              <w:rPr>
                <w:rFonts w:cs="Arial"/>
                <w:color w:val="000000"/>
                <w:sz w:val="20"/>
                <w:szCs w:val="20"/>
                <w:lang w:val="en-GB" w:eastAsia="en-GB"/>
              </w:rPr>
            </w:pPr>
            <w:r>
              <w:rPr>
                <w:rFonts w:cs="Arial"/>
                <w:color w:val="000000"/>
                <w:sz w:val="20"/>
                <w:szCs w:val="20"/>
                <w:lang w:val="en-GB" w:eastAsia="en-GB"/>
              </w:rPr>
              <w:t>2</w:t>
            </w:r>
          </w:p>
        </w:tc>
      </w:tr>
      <w:tr w:rsidR="00272563" w:rsidRPr="003F445B" w:rsidTr="00272563">
        <w:trPr>
          <w:trHeight w:val="575"/>
        </w:trPr>
        <w:tc>
          <w:tcPr>
            <w:tcW w:w="5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563" w:rsidRPr="003F445B" w:rsidRDefault="00272563" w:rsidP="00272563">
            <w:pPr>
              <w:spacing w:before="0" w:after="0"/>
              <w:jc w:val="left"/>
              <w:rPr>
                <w:rFonts w:cs="Arial"/>
                <w:color w:val="000000"/>
                <w:sz w:val="20"/>
                <w:szCs w:val="20"/>
                <w:lang w:val="en-GB" w:eastAsia="en-GB"/>
              </w:rPr>
            </w:pPr>
            <w:r w:rsidRPr="003F445B">
              <w:rPr>
                <w:rFonts w:cs="Arial"/>
                <w:color w:val="000000"/>
                <w:sz w:val="20"/>
                <w:szCs w:val="20"/>
                <w:lang w:val="en-GB" w:eastAsia="en-GB"/>
              </w:rPr>
              <w:t>La Roche Limited</w:t>
            </w:r>
            <w:r w:rsidR="00C620F9">
              <w:rPr>
                <w:rFonts w:cs="Arial"/>
                <w:color w:val="000000"/>
                <w:sz w:val="20"/>
                <w:szCs w:val="20"/>
                <w:lang w:val="en-GB" w:eastAsia="en-GB"/>
              </w:rPr>
              <w:t xml:space="preserve"> </w:t>
            </w:r>
            <w:r w:rsidRPr="003F445B">
              <w:rPr>
                <w:rFonts w:cs="Arial"/>
                <w:color w:val="000000"/>
                <w:sz w:val="20"/>
                <w:szCs w:val="20"/>
                <w:lang w:val="en-GB" w:eastAsia="en-GB"/>
              </w:rPr>
              <w:t>/</w:t>
            </w:r>
            <w:r w:rsidR="00C620F9">
              <w:rPr>
                <w:rFonts w:cs="Arial"/>
                <w:color w:val="000000"/>
                <w:sz w:val="20"/>
                <w:szCs w:val="20"/>
                <w:lang w:val="en-GB" w:eastAsia="en-GB"/>
              </w:rPr>
              <w:t xml:space="preserve"> </w:t>
            </w:r>
            <w:r w:rsidRPr="003F445B">
              <w:rPr>
                <w:rFonts w:cs="Arial"/>
                <w:color w:val="000000"/>
                <w:sz w:val="20"/>
                <w:szCs w:val="20"/>
                <w:lang w:val="en-GB" w:eastAsia="en-GB"/>
              </w:rPr>
              <w:t>Quintiles Limited</w:t>
            </w:r>
          </w:p>
        </w:tc>
        <w:tc>
          <w:tcPr>
            <w:tcW w:w="4133" w:type="dxa"/>
            <w:tcBorders>
              <w:top w:val="single" w:sz="4" w:space="0" w:color="auto"/>
              <w:left w:val="nil"/>
              <w:bottom w:val="single" w:sz="4" w:space="0" w:color="auto"/>
              <w:right w:val="single" w:sz="4" w:space="0" w:color="auto"/>
            </w:tcBorders>
            <w:vAlign w:val="center"/>
          </w:tcPr>
          <w:p w:rsidR="00272563" w:rsidRPr="003F445B" w:rsidRDefault="00272563" w:rsidP="00272563">
            <w:pPr>
              <w:spacing w:before="0" w:after="0"/>
              <w:jc w:val="center"/>
              <w:rPr>
                <w:rFonts w:cs="Arial"/>
                <w:color w:val="000000"/>
                <w:sz w:val="20"/>
                <w:szCs w:val="20"/>
                <w:lang w:val="en-GB" w:eastAsia="en-GB"/>
              </w:rPr>
            </w:pPr>
            <w:r w:rsidRPr="003F445B">
              <w:rPr>
                <w:rFonts w:cs="Arial"/>
                <w:color w:val="000000"/>
                <w:sz w:val="20"/>
                <w:szCs w:val="20"/>
                <w:lang w:val="en-GB" w:eastAsia="en-GB"/>
              </w:rPr>
              <w:t>3</w:t>
            </w:r>
          </w:p>
        </w:tc>
      </w:tr>
      <w:tr w:rsidR="00272563" w:rsidRPr="003F445B" w:rsidTr="00272563">
        <w:trPr>
          <w:trHeight w:val="583"/>
        </w:trPr>
        <w:tc>
          <w:tcPr>
            <w:tcW w:w="5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563" w:rsidRPr="003F445B" w:rsidRDefault="00272563" w:rsidP="00C620F9">
            <w:pPr>
              <w:spacing w:before="0" w:after="0"/>
              <w:jc w:val="left"/>
              <w:rPr>
                <w:rFonts w:cs="Arial"/>
                <w:color w:val="000000"/>
                <w:sz w:val="20"/>
                <w:szCs w:val="20"/>
                <w:lang w:val="en-GB" w:eastAsia="en-GB"/>
              </w:rPr>
            </w:pPr>
            <w:proofErr w:type="spellStart"/>
            <w:r w:rsidRPr="003F445B">
              <w:rPr>
                <w:rFonts w:cs="Arial"/>
                <w:color w:val="000000"/>
                <w:sz w:val="20"/>
                <w:szCs w:val="20"/>
                <w:lang w:val="en-GB" w:eastAsia="en-GB"/>
              </w:rPr>
              <w:t>Servier</w:t>
            </w:r>
            <w:proofErr w:type="spellEnd"/>
            <w:r w:rsidR="00C620F9">
              <w:rPr>
                <w:rFonts w:cs="Arial"/>
                <w:color w:val="000000"/>
                <w:sz w:val="20"/>
                <w:szCs w:val="20"/>
                <w:lang w:val="en-GB" w:eastAsia="en-GB"/>
              </w:rPr>
              <w:t xml:space="preserve"> </w:t>
            </w:r>
            <w:r w:rsidRPr="003F445B">
              <w:rPr>
                <w:rFonts w:cs="Arial"/>
                <w:color w:val="000000"/>
                <w:sz w:val="20"/>
                <w:szCs w:val="20"/>
                <w:lang w:val="en-GB" w:eastAsia="en-GB"/>
              </w:rPr>
              <w:t>/</w:t>
            </w:r>
            <w:r w:rsidR="00C620F9">
              <w:rPr>
                <w:rFonts w:cs="Arial"/>
                <w:color w:val="000000"/>
                <w:sz w:val="20"/>
                <w:szCs w:val="20"/>
                <w:lang w:val="en-GB" w:eastAsia="en-GB"/>
              </w:rPr>
              <w:t xml:space="preserve"> </w:t>
            </w:r>
            <w:r w:rsidRPr="003F445B">
              <w:rPr>
                <w:rFonts w:cs="Arial"/>
                <w:color w:val="000000"/>
                <w:sz w:val="20"/>
                <w:szCs w:val="20"/>
                <w:lang w:val="en-GB" w:eastAsia="en-GB"/>
              </w:rPr>
              <w:t>P1Vital</w:t>
            </w:r>
          </w:p>
        </w:tc>
        <w:tc>
          <w:tcPr>
            <w:tcW w:w="4133" w:type="dxa"/>
            <w:tcBorders>
              <w:top w:val="single" w:sz="4" w:space="0" w:color="auto"/>
              <w:left w:val="nil"/>
              <w:bottom w:val="single" w:sz="4" w:space="0" w:color="auto"/>
              <w:right w:val="single" w:sz="4" w:space="0" w:color="auto"/>
            </w:tcBorders>
            <w:vAlign w:val="center"/>
          </w:tcPr>
          <w:p w:rsidR="00272563" w:rsidRPr="003F445B" w:rsidRDefault="00272563" w:rsidP="00272563">
            <w:pPr>
              <w:spacing w:before="0" w:after="0"/>
              <w:jc w:val="center"/>
              <w:rPr>
                <w:rFonts w:cs="Arial"/>
                <w:color w:val="000000"/>
                <w:sz w:val="20"/>
                <w:szCs w:val="20"/>
                <w:lang w:val="en-GB" w:eastAsia="en-GB"/>
              </w:rPr>
            </w:pPr>
            <w:r w:rsidRPr="003F445B">
              <w:rPr>
                <w:rFonts w:cs="Arial"/>
                <w:color w:val="000000"/>
                <w:sz w:val="20"/>
                <w:szCs w:val="20"/>
                <w:lang w:val="en-GB" w:eastAsia="en-GB"/>
              </w:rPr>
              <w:t>2</w:t>
            </w:r>
          </w:p>
        </w:tc>
      </w:tr>
      <w:tr w:rsidR="00272563" w:rsidRPr="003F445B" w:rsidTr="00272563">
        <w:trPr>
          <w:trHeight w:val="549"/>
        </w:trPr>
        <w:tc>
          <w:tcPr>
            <w:tcW w:w="5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563" w:rsidRPr="003F445B" w:rsidRDefault="00272563" w:rsidP="00272563">
            <w:pPr>
              <w:spacing w:before="0" w:after="0"/>
              <w:jc w:val="left"/>
              <w:rPr>
                <w:rFonts w:cs="Arial"/>
                <w:color w:val="000000"/>
                <w:sz w:val="20"/>
                <w:szCs w:val="20"/>
                <w:lang w:val="en-GB" w:eastAsia="en-GB"/>
              </w:rPr>
            </w:pPr>
            <w:proofErr w:type="spellStart"/>
            <w:r w:rsidRPr="003F445B">
              <w:rPr>
                <w:rFonts w:cs="Arial"/>
                <w:color w:val="000000"/>
                <w:sz w:val="20"/>
                <w:szCs w:val="20"/>
                <w:lang w:val="en-GB" w:eastAsia="en-GB"/>
              </w:rPr>
              <w:t>H.Lundbeck</w:t>
            </w:r>
            <w:proofErr w:type="spellEnd"/>
            <w:r w:rsidR="00C620F9">
              <w:rPr>
                <w:rFonts w:cs="Arial"/>
                <w:color w:val="000000"/>
                <w:sz w:val="20"/>
                <w:szCs w:val="20"/>
                <w:lang w:val="en-GB" w:eastAsia="en-GB"/>
              </w:rPr>
              <w:t xml:space="preserve"> </w:t>
            </w:r>
            <w:r w:rsidRPr="003F445B">
              <w:rPr>
                <w:rFonts w:cs="Arial"/>
                <w:color w:val="000000"/>
                <w:sz w:val="20"/>
                <w:szCs w:val="20"/>
                <w:lang w:val="en-GB" w:eastAsia="en-GB"/>
              </w:rPr>
              <w:t>/</w:t>
            </w:r>
            <w:r w:rsidR="00C620F9">
              <w:rPr>
                <w:rFonts w:cs="Arial"/>
                <w:color w:val="000000"/>
                <w:sz w:val="20"/>
                <w:szCs w:val="20"/>
                <w:lang w:val="en-GB" w:eastAsia="en-GB"/>
              </w:rPr>
              <w:t xml:space="preserve"> </w:t>
            </w:r>
            <w:r w:rsidRPr="003F445B">
              <w:rPr>
                <w:rFonts w:cs="Arial"/>
                <w:color w:val="000000"/>
                <w:sz w:val="20"/>
                <w:szCs w:val="20"/>
                <w:lang w:val="en-GB" w:eastAsia="en-GB"/>
              </w:rPr>
              <w:t>P1Vital</w:t>
            </w:r>
          </w:p>
        </w:tc>
        <w:tc>
          <w:tcPr>
            <w:tcW w:w="4133" w:type="dxa"/>
            <w:tcBorders>
              <w:top w:val="single" w:sz="4" w:space="0" w:color="auto"/>
              <w:left w:val="nil"/>
              <w:bottom w:val="single" w:sz="4" w:space="0" w:color="auto"/>
              <w:right w:val="single" w:sz="4" w:space="0" w:color="auto"/>
            </w:tcBorders>
            <w:vAlign w:val="center"/>
          </w:tcPr>
          <w:p w:rsidR="00272563" w:rsidRPr="003F445B" w:rsidRDefault="00272563" w:rsidP="00272563">
            <w:pPr>
              <w:spacing w:before="0" w:after="0"/>
              <w:jc w:val="center"/>
              <w:rPr>
                <w:rFonts w:cs="Arial"/>
                <w:color w:val="000000"/>
                <w:sz w:val="20"/>
                <w:szCs w:val="20"/>
                <w:lang w:val="en-GB" w:eastAsia="en-GB"/>
              </w:rPr>
            </w:pPr>
            <w:r>
              <w:rPr>
                <w:rFonts w:cs="Arial"/>
                <w:color w:val="000000"/>
                <w:sz w:val="20"/>
                <w:szCs w:val="20"/>
                <w:lang w:val="en-GB" w:eastAsia="en-GB"/>
              </w:rPr>
              <w:t>2</w:t>
            </w:r>
          </w:p>
        </w:tc>
      </w:tr>
      <w:tr w:rsidR="00272563" w:rsidRPr="003F445B" w:rsidTr="00272563">
        <w:trPr>
          <w:trHeight w:val="549"/>
        </w:trPr>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rsidR="00272563" w:rsidRPr="003F445B" w:rsidRDefault="00272563" w:rsidP="00272563">
            <w:pPr>
              <w:spacing w:before="0" w:after="0"/>
              <w:jc w:val="left"/>
              <w:rPr>
                <w:rFonts w:cs="Arial"/>
                <w:color w:val="000000"/>
                <w:sz w:val="20"/>
                <w:szCs w:val="20"/>
                <w:lang w:val="en-GB" w:eastAsia="en-GB"/>
              </w:rPr>
            </w:pPr>
            <w:r>
              <w:rPr>
                <w:rFonts w:cs="Arial"/>
                <w:color w:val="000000"/>
                <w:sz w:val="20"/>
                <w:szCs w:val="20"/>
                <w:lang w:val="en-GB" w:eastAsia="en-GB"/>
              </w:rPr>
              <w:t xml:space="preserve">University of Oxford </w:t>
            </w:r>
          </w:p>
        </w:tc>
        <w:tc>
          <w:tcPr>
            <w:tcW w:w="4133" w:type="dxa"/>
            <w:tcBorders>
              <w:top w:val="single" w:sz="4" w:space="0" w:color="auto"/>
              <w:left w:val="nil"/>
              <w:bottom w:val="single" w:sz="4" w:space="0" w:color="auto"/>
              <w:right w:val="single" w:sz="4" w:space="0" w:color="auto"/>
            </w:tcBorders>
            <w:vAlign w:val="center"/>
          </w:tcPr>
          <w:p w:rsidR="00272563" w:rsidRDefault="00272563" w:rsidP="00272563">
            <w:pPr>
              <w:spacing w:before="0" w:after="0"/>
              <w:jc w:val="center"/>
              <w:rPr>
                <w:rFonts w:cs="Arial"/>
                <w:color w:val="000000"/>
                <w:sz w:val="20"/>
                <w:szCs w:val="20"/>
                <w:lang w:val="en-GB" w:eastAsia="en-GB"/>
              </w:rPr>
            </w:pPr>
            <w:r>
              <w:rPr>
                <w:rFonts w:cs="Arial"/>
                <w:color w:val="000000"/>
                <w:sz w:val="20"/>
                <w:szCs w:val="20"/>
                <w:lang w:val="en-GB" w:eastAsia="en-GB"/>
              </w:rPr>
              <w:t>8</w:t>
            </w:r>
          </w:p>
        </w:tc>
      </w:tr>
      <w:tr w:rsidR="00272563" w:rsidRPr="003F445B" w:rsidTr="00272563">
        <w:trPr>
          <w:trHeight w:val="247"/>
        </w:trPr>
        <w:tc>
          <w:tcPr>
            <w:tcW w:w="5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563" w:rsidRPr="003F445B" w:rsidRDefault="00272563" w:rsidP="00C65B5B">
            <w:pPr>
              <w:spacing w:before="0" w:after="0"/>
              <w:jc w:val="center"/>
              <w:rPr>
                <w:rFonts w:cs="Arial"/>
                <w:b/>
                <w:bCs/>
                <w:color w:val="000000"/>
                <w:sz w:val="20"/>
                <w:szCs w:val="20"/>
                <w:lang w:val="en-GB" w:eastAsia="en-GB"/>
              </w:rPr>
            </w:pPr>
            <w:r w:rsidRPr="003F445B">
              <w:rPr>
                <w:rFonts w:cs="Arial"/>
                <w:b/>
                <w:bCs/>
                <w:color w:val="000000"/>
                <w:sz w:val="20"/>
                <w:szCs w:val="20"/>
                <w:lang w:val="en-GB" w:eastAsia="en-GB"/>
              </w:rPr>
              <w:t>TOTAL</w:t>
            </w:r>
          </w:p>
        </w:tc>
        <w:tc>
          <w:tcPr>
            <w:tcW w:w="4133" w:type="dxa"/>
            <w:tcBorders>
              <w:top w:val="single" w:sz="4" w:space="0" w:color="auto"/>
              <w:left w:val="nil"/>
              <w:bottom w:val="single" w:sz="4" w:space="0" w:color="auto"/>
              <w:right w:val="single" w:sz="4" w:space="0" w:color="auto"/>
            </w:tcBorders>
          </w:tcPr>
          <w:p w:rsidR="00272563" w:rsidRPr="003F445B" w:rsidRDefault="00272563" w:rsidP="00C65B5B">
            <w:pPr>
              <w:spacing w:before="0" w:after="0"/>
              <w:jc w:val="center"/>
              <w:rPr>
                <w:rFonts w:cs="Arial"/>
                <w:b/>
                <w:bCs/>
                <w:color w:val="000000"/>
                <w:sz w:val="20"/>
                <w:szCs w:val="20"/>
                <w:lang w:val="en-GB" w:eastAsia="en-GB"/>
              </w:rPr>
            </w:pPr>
            <w:r w:rsidRPr="003F445B">
              <w:rPr>
                <w:rFonts w:cs="Arial"/>
                <w:b/>
                <w:bCs/>
                <w:color w:val="000000"/>
                <w:sz w:val="20"/>
                <w:szCs w:val="20"/>
                <w:lang w:val="en-GB" w:eastAsia="en-GB"/>
              </w:rPr>
              <w:t>19</w:t>
            </w:r>
          </w:p>
        </w:tc>
      </w:tr>
    </w:tbl>
    <w:p w:rsidR="00272563" w:rsidRDefault="00272563">
      <w:pPr>
        <w:spacing w:before="0" w:after="0"/>
      </w:pPr>
    </w:p>
    <w:p w:rsidR="00D67B8D" w:rsidRDefault="009B13E8" w:rsidP="00FD65E3">
      <w:r>
        <w:t>T</w:t>
      </w:r>
      <w:r w:rsidR="00D73D56">
        <w:t xml:space="preserve">he </w:t>
      </w:r>
      <w:r>
        <w:t xml:space="preserve">main challenge </w:t>
      </w:r>
      <w:r w:rsidR="00D73D56">
        <w:t xml:space="preserve">in relation to R&amp;D finance </w:t>
      </w:r>
      <w:r w:rsidR="00492871">
        <w:t xml:space="preserve">is </w:t>
      </w:r>
      <w:r>
        <w:t>to maintain the balance between:</w:t>
      </w:r>
    </w:p>
    <w:p w:rsidR="00D67B8D" w:rsidRPr="00C5553A" w:rsidRDefault="00492871" w:rsidP="00FD65E3">
      <w:pPr>
        <w:pStyle w:val="ListParagraph"/>
        <w:numPr>
          <w:ilvl w:val="0"/>
          <w:numId w:val="22"/>
        </w:numPr>
      </w:pPr>
      <w:r>
        <w:t xml:space="preserve">Using the </w:t>
      </w:r>
      <w:r w:rsidR="00E56B5A" w:rsidRPr="00C5553A">
        <w:t xml:space="preserve">funding </w:t>
      </w:r>
      <w:r>
        <w:t xml:space="preserve">within the guidelines provided by the various funding </w:t>
      </w:r>
      <w:proofErr w:type="spellStart"/>
      <w:r>
        <w:t>organisations</w:t>
      </w:r>
      <w:proofErr w:type="spellEnd"/>
      <w:r>
        <w:t xml:space="preserve"> </w:t>
      </w:r>
      <w:r w:rsidR="00E56B5A" w:rsidRPr="00C5553A">
        <w:t xml:space="preserve"> </w:t>
      </w:r>
      <w:r>
        <w:t>,</w:t>
      </w:r>
      <w:r w:rsidR="00E56B5A" w:rsidRPr="00C5553A">
        <w:t xml:space="preserve"> particularly in relation to contributions to overheads</w:t>
      </w:r>
    </w:p>
    <w:p w:rsidR="00D67B8D" w:rsidRPr="00C5553A" w:rsidRDefault="009B13E8" w:rsidP="00FD65E3">
      <w:pPr>
        <w:pStyle w:val="ListParagraph"/>
        <w:numPr>
          <w:ilvl w:val="0"/>
          <w:numId w:val="22"/>
        </w:numPr>
      </w:pPr>
      <w:r w:rsidRPr="00C5553A">
        <w:t>Remaining competitive in terms of commercial pricing</w:t>
      </w:r>
    </w:p>
    <w:p w:rsidR="00D67B8D" w:rsidRPr="00C5553A" w:rsidRDefault="00E56B5A" w:rsidP="00FD65E3">
      <w:pPr>
        <w:pStyle w:val="ListParagraph"/>
        <w:numPr>
          <w:ilvl w:val="0"/>
          <w:numId w:val="22"/>
        </w:numPr>
      </w:pPr>
      <w:r w:rsidRPr="00C5553A">
        <w:t>Managing the Trust expectation</w:t>
      </w:r>
      <w:r w:rsidR="00492871">
        <w:t>s</w:t>
      </w:r>
      <w:r w:rsidRPr="00C5553A">
        <w:t xml:space="preserve"> in terms of contributing </w:t>
      </w:r>
      <w:r w:rsidR="00492871">
        <w:t xml:space="preserve">toward the </w:t>
      </w:r>
      <w:r w:rsidRPr="00C5553A">
        <w:t>EBITDA margin</w:t>
      </w:r>
    </w:p>
    <w:p w:rsidR="00D67B8D" w:rsidRDefault="009B13E8" w:rsidP="00FD65E3">
      <w:r>
        <w:rPr>
          <w:lang w:val="en-GB"/>
        </w:rPr>
        <w:t>The interim Head of R&amp;D Finance and the Director of Finance are considering these requirements on a regular basis while trying to agree the Trust approach to R&amp;D financing.</w:t>
      </w:r>
    </w:p>
    <w:p w:rsidR="0085140E" w:rsidRDefault="0085140E" w:rsidP="0069120C">
      <w:pPr>
        <w:pStyle w:val="Heading2"/>
      </w:pPr>
      <w:r>
        <w:t xml:space="preserve">R&amp;D Pipeline </w:t>
      </w:r>
      <w:r w:rsidR="00C60A2E">
        <w:t>R</w:t>
      </w:r>
      <w:r>
        <w:t>eport</w:t>
      </w:r>
    </w:p>
    <w:p w:rsidR="00C60A2E" w:rsidRDefault="00C60A2E" w:rsidP="00C60A2E">
      <w:pPr>
        <w:rPr>
          <w:lang w:val="en-GB"/>
        </w:rPr>
      </w:pPr>
      <w:r>
        <w:rPr>
          <w:lang w:val="en-GB"/>
        </w:rPr>
        <w:t>A Pipeline report has been developed to capture potential R&amp;D activity</w:t>
      </w:r>
      <w:r w:rsidR="00964BA8">
        <w:rPr>
          <w:lang w:val="en-GB"/>
        </w:rPr>
        <w:t xml:space="preserve">. This report is reviewed on a regular basis by the Study Review Panel. The three extracts below show those studies where completed applications have been submitted and we are waiting for the outcome, applications in progress and potential studies which have been brought to the attention of the review. </w:t>
      </w:r>
    </w:p>
    <w:p w:rsidR="00272563" w:rsidRDefault="00272563" w:rsidP="0069120C">
      <w:pPr>
        <w:pStyle w:val="Heading2"/>
      </w:pPr>
    </w:p>
    <w:p w:rsidR="00FD65E3" w:rsidRDefault="00FD65E3" w:rsidP="00FD65E3"/>
    <w:p w:rsidR="00FD65E3" w:rsidRDefault="00FD65E3" w:rsidP="00FD65E3"/>
    <w:p w:rsidR="00FD65E3" w:rsidRPr="00FD65E3" w:rsidRDefault="00FD65E3" w:rsidP="00FD65E3"/>
    <w:p w:rsidR="00D67B8D" w:rsidRPr="0032373A" w:rsidRDefault="0085140E" w:rsidP="0069120C">
      <w:pPr>
        <w:pStyle w:val="Heading2"/>
      </w:pPr>
      <w:r w:rsidRPr="0032373A">
        <w:t>Applications submitted</w:t>
      </w:r>
      <w:r w:rsidR="008C7E6B" w:rsidRPr="0032373A">
        <w:t xml:space="preserve"> (non-commercial)</w:t>
      </w:r>
    </w:p>
    <w:tbl>
      <w:tblPr>
        <w:tblW w:w="10080" w:type="dxa"/>
        <w:tblInd w:w="93" w:type="dxa"/>
        <w:tblLook w:val="04A0"/>
      </w:tblPr>
      <w:tblGrid>
        <w:gridCol w:w="1930"/>
        <w:gridCol w:w="3897"/>
        <w:gridCol w:w="1018"/>
        <w:gridCol w:w="1194"/>
        <w:gridCol w:w="2041"/>
      </w:tblGrid>
      <w:tr w:rsidR="008C7E6B" w:rsidRPr="0085140E" w:rsidTr="003F445B">
        <w:trPr>
          <w:trHeight w:val="686"/>
        </w:trPr>
        <w:tc>
          <w:tcPr>
            <w:tcW w:w="1930" w:type="dxa"/>
            <w:tcBorders>
              <w:top w:val="single" w:sz="8" w:space="0" w:color="auto"/>
              <w:left w:val="single" w:sz="4" w:space="0" w:color="auto"/>
              <w:bottom w:val="single" w:sz="8" w:space="0" w:color="auto"/>
              <w:right w:val="single" w:sz="4" w:space="0" w:color="auto"/>
            </w:tcBorders>
            <w:shd w:val="clear" w:color="000000" w:fill="D9D9D9"/>
            <w:hideMark/>
          </w:tcPr>
          <w:p w:rsidR="00964BA8" w:rsidRPr="003F445B" w:rsidRDefault="00964BA8" w:rsidP="0085140E">
            <w:pPr>
              <w:spacing w:before="0" w:after="0"/>
              <w:jc w:val="center"/>
              <w:rPr>
                <w:sz w:val="20"/>
                <w:szCs w:val="20"/>
              </w:rPr>
            </w:pPr>
            <w:r w:rsidRPr="003F445B">
              <w:rPr>
                <w:sz w:val="20"/>
                <w:szCs w:val="20"/>
              </w:rPr>
              <w:t>Investigator</w:t>
            </w:r>
            <w:r w:rsidRPr="003F445B">
              <w:rPr>
                <w:sz w:val="20"/>
                <w:szCs w:val="20"/>
              </w:rPr>
              <w:br/>
              <w:t>or Trust Lead</w:t>
            </w:r>
          </w:p>
        </w:tc>
        <w:tc>
          <w:tcPr>
            <w:tcW w:w="3897" w:type="dxa"/>
            <w:tcBorders>
              <w:top w:val="single" w:sz="8" w:space="0" w:color="auto"/>
              <w:left w:val="single" w:sz="4" w:space="0" w:color="auto"/>
              <w:bottom w:val="single" w:sz="8" w:space="0" w:color="auto"/>
              <w:right w:val="single" w:sz="4" w:space="0" w:color="auto"/>
            </w:tcBorders>
            <w:shd w:val="clear" w:color="000000" w:fill="D9D9D9"/>
            <w:hideMark/>
          </w:tcPr>
          <w:p w:rsidR="00964BA8" w:rsidRPr="003F445B" w:rsidRDefault="00964BA8" w:rsidP="0085140E">
            <w:pPr>
              <w:spacing w:before="0" w:after="0"/>
              <w:jc w:val="center"/>
              <w:rPr>
                <w:sz w:val="20"/>
                <w:szCs w:val="20"/>
              </w:rPr>
            </w:pPr>
            <w:r w:rsidRPr="003F445B">
              <w:rPr>
                <w:sz w:val="20"/>
                <w:szCs w:val="20"/>
              </w:rPr>
              <w:t>Study Description</w:t>
            </w:r>
          </w:p>
        </w:tc>
        <w:tc>
          <w:tcPr>
            <w:tcW w:w="1018" w:type="dxa"/>
            <w:tcBorders>
              <w:top w:val="single" w:sz="8" w:space="0" w:color="auto"/>
              <w:left w:val="nil"/>
              <w:bottom w:val="single" w:sz="8" w:space="0" w:color="auto"/>
              <w:right w:val="single" w:sz="4" w:space="0" w:color="auto"/>
            </w:tcBorders>
            <w:shd w:val="clear" w:color="000000" w:fill="D9D9D9"/>
            <w:hideMark/>
          </w:tcPr>
          <w:p w:rsidR="00964BA8" w:rsidRPr="003F445B" w:rsidRDefault="00964BA8" w:rsidP="0085140E">
            <w:pPr>
              <w:spacing w:before="0" w:after="0"/>
              <w:jc w:val="center"/>
              <w:rPr>
                <w:sz w:val="20"/>
                <w:szCs w:val="20"/>
              </w:rPr>
            </w:pPr>
            <w:r w:rsidRPr="003F445B">
              <w:rPr>
                <w:sz w:val="20"/>
                <w:szCs w:val="20"/>
              </w:rPr>
              <w:t>Value £k</w:t>
            </w:r>
          </w:p>
        </w:tc>
        <w:tc>
          <w:tcPr>
            <w:tcW w:w="1194" w:type="dxa"/>
            <w:tcBorders>
              <w:top w:val="single" w:sz="8" w:space="0" w:color="auto"/>
              <w:left w:val="nil"/>
              <w:bottom w:val="single" w:sz="8" w:space="0" w:color="auto"/>
              <w:right w:val="single" w:sz="4" w:space="0" w:color="auto"/>
            </w:tcBorders>
            <w:shd w:val="clear" w:color="000000" w:fill="D9D9D9"/>
            <w:hideMark/>
          </w:tcPr>
          <w:p w:rsidR="00964BA8" w:rsidRPr="003F445B" w:rsidRDefault="00964BA8" w:rsidP="0085140E">
            <w:pPr>
              <w:spacing w:before="0" w:after="0"/>
              <w:jc w:val="center"/>
              <w:rPr>
                <w:sz w:val="20"/>
                <w:szCs w:val="20"/>
              </w:rPr>
            </w:pPr>
            <w:r w:rsidRPr="003F445B">
              <w:rPr>
                <w:sz w:val="20"/>
                <w:szCs w:val="20"/>
              </w:rPr>
              <w:t>Duration</w:t>
            </w:r>
          </w:p>
        </w:tc>
        <w:tc>
          <w:tcPr>
            <w:tcW w:w="2041" w:type="dxa"/>
            <w:tcBorders>
              <w:top w:val="single" w:sz="8" w:space="0" w:color="auto"/>
              <w:left w:val="nil"/>
              <w:bottom w:val="single" w:sz="8" w:space="0" w:color="auto"/>
              <w:right w:val="single" w:sz="4" w:space="0" w:color="auto"/>
            </w:tcBorders>
            <w:shd w:val="clear" w:color="000000" w:fill="D9D9D9"/>
          </w:tcPr>
          <w:p w:rsidR="00964BA8" w:rsidRPr="003F445B" w:rsidRDefault="00964BA8" w:rsidP="00964BA8">
            <w:pPr>
              <w:spacing w:before="0" w:after="0"/>
              <w:jc w:val="center"/>
              <w:rPr>
                <w:sz w:val="20"/>
                <w:szCs w:val="20"/>
              </w:rPr>
            </w:pPr>
            <w:r w:rsidRPr="003F445B">
              <w:rPr>
                <w:sz w:val="20"/>
                <w:szCs w:val="20"/>
              </w:rPr>
              <w:t>Funder</w:t>
            </w:r>
          </w:p>
        </w:tc>
      </w:tr>
      <w:tr w:rsidR="008C7E6B" w:rsidRPr="0085140E" w:rsidTr="003F445B">
        <w:trPr>
          <w:trHeight w:val="874"/>
        </w:trPr>
        <w:tc>
          <w:tcPr>
            <w:tcW w:w="1930" w:type="dxa"/>
            <w:tcBorders>
              <w:top w:val="nil"/>
              <w:left w:val="single" w:sz="4" w:space="0" w:color="auto"/>
              <w:bottom w:val="single" w:sz="4" w:space="0" w:color="auto"/>
              <w:right w:val="single" w:sz="4" w:space="0" w:color="auto"/>
            </w:tcBorders>
            <w:shd w:val="clear" w:color="auto" w:fill="auto"/>
            <w:hideMark/>
          </w:tcPr>
          <w:p w:rsidR="00964BA8" w:rsidRPr="003F445B" w:rsidRDefault="00964BA8" w:rsidP="007212D6">
            <w:pPr>
              <w:spacing w:before="0" w:after="0"/>
              <w:jc w:val="center"/>
              <w:rPr>
                <w:sz w:val="20"/>
                <w:szCs w:val="20"/>
              </w:rPr>
            </w:pPr>
            <w:r w:rsidRPr="003F445B">
              <w:rPr>
                <w:sz w:val="20"/>
                <w:szCs w:val="20"/>
              </w:rPr>
              <w:t>Philip Wilkinson</w:t>
            </w:r>
          </w:p>
        </w:tc>
        <w:tc>
          <w:tcPr>
            <w:tcW w:w="3897" w:type="dxa"/>
            <w:tcBorders>
              <w:top w:val="nil"/>
              <w:left w:val="nil"/>
              <w:bottom w:val="single" w:sz="4" w:space="0" w:color="auto"/>
              <w:right w:val="single" w:sz="4" w:space="0" w:color="auto"/>
            </w:tcBorders>
            <w:shd w:val="clear" w:color="auto" w:fill="auto"/>
            <w:hideMark/>
          </w:tcPr>
          <w:p w:rsidR="00964BA8" w:rsidRPr="003F445B" w:rsidRDefault="00964BA8" w:rsidP="007212D6">
            <w:pPr>
              <w:spacing w:before="0" w:after="0"/>
              <w:jc w:val="center"/>
              <w:rPr>
                <w:sz w:val="20"/>
                <w:szCs w:val="20"/>
              </w:rPr>
            </w:pPr>
            <w:r w:rsidRPr="003F445B">
              <w:rPr>
                <w:sz w:val="20"/>
                <w:szCs w:val="20"/>
              </w:rPr>
              <w:t xml:space="preserve">The effects of </w:t>
            </w:r>
            <w:proofErr w:type="spellStart"/>
            <w:r w:rsidRPr="003F445B">
              <w:rPr>
                <w:sz w:val="20"/>
                <w:szCs w:val="20"/>
              </w:rPr>
              <w:t>transcranial</w:t>
            </w:r>
            <w:proofErr w:type="spellEnd"/>
            <w:r w:rsidRPr="003F445B">
              <w:rPr>
                <w:sz w:val="20"/>
                <w:szCs w:val="20"/>
              </w:rPr>
              <w:t xml:space="preserve"> direct current </w:t>
            </w:r>
            <w:proofErr w:type="spellStart"/>
            <w:r w:rsidRPr="003F445B">
              <w:rPr>
                <w:sz w:val="20"/>
                <w:szCs w:val="20"/>
              </w:rPr>
              <w:t>stimultation</w:t>
            </w:r>
            <w:proofErr w:type="spellEnd"/>
            <w:r w:rsidRPr="003F445B">
              <w:rPr>
                <w:sz w:val="20"/>
                <w:szCs w:val="20"/>
              </w:rPr>
              <w:t xml:space="preserve"> (</w:t>
            </w:r>
            <w:proofErr w:type="spellStart"/>
            <w:r w:rsidRPr="003F445B">
              <w:rPr>
                <w:sz w:val="20"/>
                <w:szCs w:val="20"/>
              </w:rPr>
              <w:t>tDCS</w:t>
            </w:r>
            <w:proofErr w:type="spellEnd"/>
            <w:r w:rsidRPr="003F445B">
              <w:rPr>
                <w:sz w:val="20"/>
                <w:szCs w:val="20"/>
              </w:rPr>
              <w:t>) in late life depression</w:t>
            </w:r>
          </w:p>
        </w:tc>
        <w:tc>
          <w:tcPr>
            <w:tcW w:w="1018" w:type="dxa"/>
            <w:tcBorders>
              <w:top w:val="nil"/>
              <w:left w:val="nil"/>
              <w:bottom w:val="single" w:sz="4" w:space="0" w:color="auto"/>
              <w:right w:val="single" w:sz="4" w:space="0" w:color="auto"/>
            </w:tcBorders>
            <w:shd w:val="clear" w:color="auto" w:fill="auto"/>
            <w:hideMark/>
          </w:tcPr>
          <w:p w:rsidR="008E44CB" w:rsidRPr="003F445B" w:rsidRDefault="008E44CB" w:rsidP="0068138D">
            <w:pPr>
              <w:spacing w:before="0" w:after="0"/>
              <w:jc w:val="center"/>
              <w:rPr>
                <w:sz w:val="20"/>
                <w:szCs w:val="20"/>
              </w:rPr>
            </w:pPr>
          </w:p>
          <w:p w:rsidR="00964BA8" w:rsidRPr="003F445B" w:rsidRDefault="00964BA8" w:rsidP="0068138D">
            <w:pPr>
              <w:spacing w:before="0" w:after="0"/>
              <w:jc w:val="center"/>
              <w:rPr>
                <w:sz w:val="20"/>
                <w:szCs w:val="20"/>
              </w:rPr>
            </w:pPr>
            <w:r w:rsidRPr="003F445B">
              <w:rPr>
                <w:sz w:val="20"/>
                <w:szCs w:val="20"/>
              </w:rPr>
              <w:t>252</w:t>
            </w:r>
          </w:p>
        </w:tc>
        <w:tc>
          <w:tcPr>
            <w:tcW w:w="1194" w:type="dxa"/>
            <w:tcBorders>
              <w:top w:val="nil"/>
              <w:left w:val="nil"/>
              <w:bottom w:val="single" w:sz="4" w:space="0" w:color="auto"/>
              <w:right w:val="single" w:sz="4" w:space="0" w:color="auto"/>
            </w:tcBorders>
            <w:shd w:val="clear" w:color="auto" w:fill="auto"/>
            <w:hideMark/>
          </w:tcPr>
          <w:p w:rsidR="008E44CB" w:rsidRPr="003F445B" w:rsidRDefault="008E44CB" w:rsidP="007212D6">
            <w:pPr>
              <w:spacing w:before="0" w:after="0"/>
              <w:jc w:val="center"/>
              <w:rPr>
                <w:sz w:val="20"/>
                <w:szCs w:val="20"/>
              </w:rPr>
            </w:pPr>
          </w:p>
          <w:p w:rsidR="00964BA8" w:rsidRPr="003F445B" w:rsidRDefault="00964BA8" w:rsidP="007212D6">
            <w:pPr>
              <w:spacing w:before="0" w:after="0"/>
              <w:jc w:val="center"/>
              <w:rPr>
                <w:sz w:val="20"/>
                <w:szCs w:val="20"/>
              </w:rPr>
            </w:pPr>
            <w:r w:rsidRPr="003F445B">
              <w:rPr>
                <w:sz w:val="20"/>
                <w:szCs w:val="20"/>
              </w:rPr>
              <w:t>2 years</w:t>
            </w:r>
          </w:p>
        </w:tc>
        <w:tc>
          <w:tcPr>
            <w:tcW w:w="2041" w:type="dxa"/>
            <w:tcBorders>
              <w:top w:val="nil"/>
              <w:left w:val="nil"/>
              <w:bottom w:val="single" w:sz="4" w:space="0" w:color="auto"/>
              <w:right w:val="single" w:sz="4" w:space="0" w:color="auto"/>
            </w:tcBorders>
          </w:tcPr>
          <w:p w:rsidR="00964BA8" w:rsidRPr="003F445B" w:rsidRDefault="00964BA8" w:rsidP="00964BA8">
            <w:pPr>
              <w:spacing w:before="0" w:after="0"/>
              <w:jc w:val="center"/>
              <w:rPr>
                <w:sz w:val="20"/>
                <w:szCs w:val="20"/>
              </w:rPr>
            </w:pPr>
            <w:r w:rsidRPr="003F445B">
              <w:rPr>
                <w:sz w:val="20"/>
                <w:szCs w:val="20"/>
              </w:rPr>
              <w:t xml:space="preserve">NIHR\ MRC (E&amp;ME </w:t>
            </w:r>
            <w:proofErr w:type="spellStart"/>
            <w:r w:rsidRPr="003F445B">
              <w:rPr>
                <w:sz w:val="20"/>
                <w:szCs w:val="20"/>
              </w:rPr>
              <w:t>Prog</w:t>
            </w:r>
            <w:proofErr w:type="spellEnd"/>
            <w:r w:rsidRPr="003F445B">
              <w:rPr>
                <w:sz w:val="20"/>
                <w:szCs w:val="20"/>
              </w:rPr>
              <w:t>)</w:t>
            </w:r>
          </w:p>
        </w:tc>
      </w:tr>
      <w:tr w:rsidR="008C7E6B" w:rsidRPr="0085140E" w:rsidTr="003F445B">
        <w:trPr>
          <w:trHeight w:val="629"/>
        </w:trPr>
        <w:tc>
          <w:tcPr>
            <w:tcW w:w="1930" w:type="dxa"/>
            <w:tcBorders>
              <w:top w:val="nil"/>
              <w:left w:val="single" w:sz="4" w:space="0" w:color="auto"/>
              <w:bottom w:val="single" w:sz="4" w:space="0" w:color="auto"/>
              <w:right w:val="single" w:sz="4" w:space="0" w:color="auto"/>
            </w:tcBorders>
            <w:shd w:val="clear" w:color="auto" w:fill="auto"/>
            <w:hideMark/>
          </w:tcPr>
          <w:p w:rsidR="00964BA8" w:rsidRPr="003F445B" w:rsidRDefault="00964BA8" w:rsidP="007212D6">
            <w:pPr>
              <w:spacing w:before="0" w:after="0"/>
              <w:jc w:val="center"/>
              <w:rPr>
                <w:sz w:val="20"/>
                <w:szCs w:val="20"/>
              </w:rPr>
            </w:pPr>
            <w:r w:rsidRPr="003F445B">
              <w:rPr>
                <w:sz w:val="20"/>
                <w:szCs w:val="20"/>
              </w:rPr>
              <w:t>Dan White, John Geddes</w:t>
            </w:r>
          </w:p>
        </w:tc>
        <w:tc>
          <w:tcPr>
            <w:tcW w:w="3897" w:type="dxa"/>
            <w:tcBorders>
              <w:top w:val="nil"/>
              <w:left w:val="nil"/>
              <w:bottom w:val="single" w:sz="4" w:space="0" w:color="auto"/>
              <w:right w:val="single" w:sz="4" w:space="0" w:color="auto"/>
            </w:tcBorders>
            <w:shd w:val="clear" w:color="auto" w:fill="auto"/>
            <w:hideMark/>
          </w:tcPr>
          <w:p w:rsidR="00964BA8" w:rsidRPr="003F445B" w:rsidRDefault="00964BA8" w:rsidP="007212D6">
            <w:pPr>
              <w:spacing w:before="0" w:after="0"/>
              <w:jc w:val="center"/>
              <w:rPr>
                <w:sz w:val="20"/>
                <w:szCs w:val="20"/>
              </w:rPr>
            </w:pPr>
            <w:r w:rsidRPr="003F445B">
              <w:rPr>
                <w:sz w:val="20"/>
                <w:szCs w:val="20"/>
              </w:rPr>
              <w:t>Improved Medicines Adherence using CBT techniques</w:t>
            </w:r>
          </w:p>
        </w:tc>
        <w:tc>
          <w:tcPr>
            <w:tcW w:w="1018" w:type="dxa"/>
            <w:tcBorders>
              <w:top w:val="nil"/>
              <w:left w:val="nil"/>
              <w:bottom w:val="single" w:sz="4" w:space="0" w:color="auto"/>
              <w:right w:val="single" w:sz="4" w:space="0" w:color="auto"/>
            </w:tcBorders>
            <w:shd w:val="clear" w:color="auto" w:fill="auto"/>
            <w:hideMark/>
          </w:tcPr>
          <w:p w:rsidR="008E44CB" w:rsidRPr="003F445B" w:rsidRDefault="008E44CB" w:rsidP="0068138D">
            <w:pPr>
              <w:spacing w:before="0" w:after="0"/>
              <w:jc w:val="center"/>
              <w:rPr>
                <w:sz w:val="20"/>
                <w:szCs w:val="20"/>
              </w:rPr>
            </w:pPr>
          </w:p>
          <w:p w:rsidR="00964BA8" w:rsidRPr="003F445B" w:rsidRDefault="00964BA8" w:rsidP="0068138D">
            <w:pPr>
              <w:spacing w:before="0" w:after="0"/>
              <w:jc w:val="center"/>
              <w:rPr>
                <w:sz w:val="20"/>
                <w:szCs w:val="20"/>
              </w:rPr>
            </w:pPr>
            <w:r w:rsidRPr="003F445B">
              <w:rPr>
                <w:sz w:val="20"/>
                <w:szCs w:val="20"/>
              </w:rPr>
              <w:t>205</w:t>
            </w:r>
          </w:p>
        </w:tc>
        <w:tc>
          <w:tcPr>
            <w:tcW w:w="1194" w:type="dxa"/>
            <w:tcBorders>
              <w:top w:val="nil"/>
              <w:left w:val="nil"/>
              <w:bottom w:val="single" w:sz="4" w:space="0" w:color="auto"/>
              <w:right w:val="single" w:sz="4" w:space="0" w:color="auto"/>
            </w:tcBorders>
            <w:shd w:val="clear" w:color="auto" w:fill="auto"/>
            <w:hideMark/>
          </w:tcPr>
          <w:p w:rsidR="008E44CB" w:rsidRPr="003F445B" w:rsidRDefault="008E44CB" w:rsidP="007212D6">
            <w:pPr>
              <w:spacing w:before="0" w:after="0"/>
              <w:jc w:val="center"/>
              <w:rPr>
                <w:sz w:val="20"/>
                <w:szCs w:val="20"/>
              </w:rPr>
            </w:pPr>
          </w:p>
          <w:p w:rsidR="00964BA8" w:rsidRPr="003F445B" w:rsidRDefault="00964BA8" w:rsidP="007212D6">
            <w:pPr>
              <w:spacing w:before="0" w:after="0"/>
              <w:jc w:val="center"/>
              <w:rPr>
                <w:sz w:val="20"/>
                <w:szCs w:val="20"/>
              </w:rPr>
            </w:pPr>
            <w:r w:rsidRPr="003F445B">
              <w:rPr>
                <w:sz w:val="20"/>
                <w:szCs w:val="20"/>
              </w:rPr>
              <w:t>2 years</w:t>
            </w:r>
          </w:p>
        </w:tc>
        <w:tc>
          <w:tcPr>
            <w:tcW w:w="2041" w:type="dxa"/>
            <w:tcBorders>
              <w:top w:val="nil"/>
              <w:left w:val="nil"/>
              <w:bottom w:val="single" w:sz="4" w:space="0" w:color="auto"/>
              <w:right w:val="single" w:sz="4" w:space="0" w:color="auto"/>
            </w:tcBorders>
          </w:tcPr>
          <w:p w:rsidR="00964BA8" w:rsidRPr="003F445B" w:rsidRDefault="00964BA8" w:rsidP="00964BA8">
            <w:pPr>
              <w:spacing w:before="0" w:after="0"/>
              <w:jc w:val="center"/>
              <w:rPr>
                <w:sz w:val="20"/>
                <w:szCs w:val="20"/>
              </w:rPr>
            </w:pPr>
            <w:r w:rsidRPr="003F445B">
              <w:rPr>
                <w:sz w:val="20"/>
                <w:szCs w:val="20"/>
              </w:rPr>
              <w:t>NIHR</w:t>
            </w:r>
          </w:p>
        </w:tc>
      </w:tr>
      <w:tr w:rsidR="008C7E6B" w:rsidRPr="0085140E" w:rsidTr="003F445B">
        <w:trPr>
          <w:trHeight w:val="705"/>
        </w:trPr>
        <w:tc>
          <w:tcPr>
            <w:tcW w:w="1930" w:type="dxa"/>
            <w:tcBorders>
              <w:top w:val="nil"/>
              <w:left w:val="single" w:sz="4" w:space="0" w:color="auto"/>
              <w:bottom w:val="single" w:sz="4" w:space="0" w:color="auto"/>
              <w:right w:val="single" w:sz="4" w:space="0" w:color="auto"/>
            </w:tcBorders>
            <w:shd w:val="clear" w:color="auto" w:fill="auto"/>
            <w:hideMark/>
          </w:tcPr>
          <w:p w:rsidR="00964BA8" w:rsidRPr="003F445B" w:rsidRDefault="00964BA8" w:rsidP="007212D6">
            <w:pPr>
              <w:spacing w:before="0" w:after="0"/>
              <w:jc w:val="center"/>
              <w:rPr>
                <w:sz w:val="20"/>
                <w:szCs w:val="20"/>
              </w:rPr>
            </w:pPr>
            <w:r w:rsidRPr="003F445B">
              <w:rPr>
                <w:sz w:val="20"/>
                <w:szCs w:val="20"/>
              </w:rPr>
              <w:t>John Geddes</w:t>
            </w:r>
          </w:p>
        </w:tc>
        <w:tc>
          <w:tcPr>
            <w:tcW w:w="3897" w:type="dxa"/>
            <w:tcBorders>
              <w:top w:val="nil"/>
              <w:left w:val="nil"/>
              <w:bottom w:val="single" w:sz="4" w:space="0" w:color="auto"/>
              <w:right w:val="single" w:sz="4" w:space="0" w:color="auto"/>
            </w:tcBorders>
            <w:shd w:val="clear" w:color="auto" w:fill="auto"/>
            <w:hideMark/>
          </w:tcPr>
          <w:p w:rsidR="00964BA8" w:rsidRPr="003F445B" w:rsidRDefault="00964BA8" w:rsidP="0068138D">
            <w:pPr>
              <w:spacing w:before="0" w:after="0"/>
              <w:jc w:val="center"/>
              <w:rPr>
                <w:sz w:val="20"/>
                <w:szCs w:val="20"/>
              </w:rPr>
            </w:pPr>
            <w:r w:rsidRPr="003F445B">
              <w:rPr>
                <w:sz w:val="20"/>
                <w:szCs w:val="20"/>
              </w:rPr>
              <w:t> </w:t>
            </w:r>
            <w:r w:rsidR="0068138D" w:rsidRPr="003F445B">
              <w:rPr>
                <w:sz w:val="20"/>
                <w:szCs w:val="20"/>
              </w:rPr>
              <w:t xml:space="preserve">CRF usage as part of a larger </w:t>
            </w:r>
            <w:proofErr w:type="spellStart"/>
            <w:r w:rsidR="0068138D" w:rsidRPr="003F445B">
              <w:rPr>
                <w:sz w:val="20"/>
                <w:szCs w:val="20"/>
              </w:rPr>
              <w:t>Wellcome</w:t>
            </w:r>
            <w:proofErr w:type="spellEnd"/>
            <w:r w:rsidR="0068138D" w:rsidRPr="003F445B">
              <w:rPr>
                <w:sz w:val="20"/>
                <w:szCs w:val="20"/>
              </w:rPr>
              <w:t xml:space="preserve"> Trust application being submitted by the University</w:t>
            </w:r>
          </w:p>
        </w:tc>
        <w:tc>
          <w:tcPr>
            <w:tcW w:w="1018" w:type="dxa"/>
            <w:tcBorders>
              <w:top w:val="nil"/>
              <w:left w:val="nil"/>
              <w:bottom w:val="single" w:sz="4" w:space="0" w:color="auto"/>
              <w:right w:val="single" w:sz="4" w:space="0" w:color="auto"/>
            </w:tcBorders>
            <w:shd w:val="clear" w:color="auto" w:fill="auto"/>
            <w:hideMark/>
          </w:tcPr>
          <w:p w:rsidR="008E44CB" w:rsidRPr="003F445B" w:rsidRDefault="008E44CB" w:rsidP="0068138D">
            <w:pPr>
              <w:spacing w:before="0" w:after="0"/>
              <w:jc w:val="center"/>
              <w:rPr>
                <w:sz w:val="20"/>
                <w:szCs w:val="20"/>
              </w:rPr>
            </w:pPr>
          </w:p>
          <w:p w:rsidR="00964BA8" w:rsidRPr="003F445B" w:rsidRDefault="00964BA8" w:rsidP="0068138D">
            <w:pPr>
              <w:spacing w:before="0" w:after="0"/>
              <w:jc w:val="center"/>
              <w:rPr>
                <w:sz w:val="20"/>
                <w:szCs w:val="20"/>
              </w:rPr>
            </w:pPr>
            <w:r w:rsidRPr="003F445B">
              <w:rPr>
                <w:sz w:val="20"/>
                <w:szCs w:val="20"/>
              </w:rPr>
              <w:t>66</w:t>
            </w:r>
          </w:p>
        </w:tc>
        <w:tc>
          <w:tcPr>
            <w:tcW w:w="1194" w:type="dxa"/>
            <w:tcBorders>
              <w:top w:val="nil"/>
              <w:left w:val="nil"/>
              <w:bottom w:val="single" w:sz="4" w:space="0" w:color="auto"/>
              <w:right w:val="single" w:sz="4" w:space="0" w:color="auto"/>
            </w:tcBorders>
            <w:shd w:val="clear" w:color="auto" w:fill="auto"/>
            <w:hideMark/>
          </w:tcPr>
          <w:p w:rsidR="008E44CB" w:rsidRPr="003F445B" w:rsidRDefault="008E44CB" w:rsidP="007212D6">
            <w:pPr>
              <w:spacing w:before="0" w:after="0"/>
              <w:jc w:val="center"/>
              <w:rPr>
                <w:sz w:val="20"/>
                <w:szCs w:val="20"/>
              </w:rPr>
            </w:pPr>
          </w:p>
          <w:p w:rsidR="00964BA8" w:rsidRPr="003F445B" w:rsidRDefault="00964BA8" w:rsidP="007212D6">
            <w:pPr>
              <w:spacing w:before="0" w:after="0"/>
              <w:jc w:val="center"/>
              <w:rPr>
                <w:sz w:val="20"/>
                <w:szCs w:val="20"/>
              </w:rPr>
            </w:pPr>
            <w:r w:rsidRPr="003F445B">
              <w:rPr>
                <w:sz w:val="20"/>
                <w:szCs w:val="20"/>
              </w:rPr>
              <w:t>5 years</w:t>
            </w:r>
          </w:p>
        </w:tc>
        <w:tc>
          <w:tcPr>
            <w:tcW w:w="2041" w:type="dxa"/>
            <w:tcBorders>
              <w:top w:val="nil"/>
              <w:left w:val="nil"/>
              <w:bottom w:val="single" w:sz="4" w:space="0" w:color="auto"/>
              <w:right w:val="single" w:sz="4" w:space="0" w:color="auto"/>
            </w:tcBorders>
          </w:tcPr>
          <w:p w:rsidR="00964BA8" w:rsidRPr="003F445B" w:rsidRDefault="00964BA8" w:rsidP="00A557AC">
            <w:pPr>
              <w:spacing w:before="0" w:after="0"/>
              <w:jc w:val="center"/>
              <w:rPr>
                <w:sz w:val="20"/>
                <w:szCs w:val="20"/>
              </w:rPr>
            </w:pPr>
            <w:proofErr w:type="spellStart"/>
            <w:r w:rsidRPr="003F445B">
              <w:rPr>
                <w:sz w:val="20"/>
                <w:szCs w:val="20"/>
              </w:rPr>
              <w:t>Wellcome</w:t>
            </w:r>
            <w:proofErr w:type="spellEnd"/>
          </w:p>
          <w:p w:rsidR="00964BA8" w:rsidRPr="003F445B" w:rsidRDefault="00964BA8" w:rsidP="00964BA8">
            <w:pPr>
              <w:spacing w:before="0" w:after="0"/>
              <w:jc w:val="center"/>
              <w:rPr>
                <w:sz w:val="20"/>
                <w:szCs w:val="20"/>
              </w:rPr>
            </w:pPr>
            <w:r w:rsidRPr="003F445B">
              <w:rPr>
                <w:sz w:val="20"/>
                <w:szCs w:val="20"/>
              </w:rPr>
              <w:t>Trust</w:t>
            </w:r>
          </w:p>
        </w:tc>
      </w:tr>
      <w:tr w:rsidR="00361125" w:rsidRPr="0085140E" w:rsidTr="00361125">
        <w:trPr>
          <w:trHeight w:val="794"/>
        </w:trPr>
        <w:tc>
          <w:tcPr>
            <w:tcW w:w="1930" w:type="dxa"/>
            <w:tcBorders>
              <w:top w:val="nil"/>
              <w:left w:val="single" w:sz="4" w:space="0" w:color="auto"/>
              <w:bottom w:val="single" w:sz="4" w:space="0" w:color="auto"/>
              <w:right w:val="single" w:sz="4" w:space="0" w:color="auto"/>
            </w:tcBorders>
            <w:shd w:val="clear" w:color="auto" w:fill="auto"/>
          </w:tcPr>
          <w:p w:rsidR="00361125" w:rsidRPr="00F93D0C" w:rsidRDefault="00361125" w:rsidP="00C65B5B">
            <w:pPr>
              <w:spacing w:before="0" w:after="0"/>
              <w:jc w:val="center"/>
              <w:rPr>
                <w:sz w:val="20"/>
                <w:szCs w:val="20"/>
              </w:rPr>
            </w:pPr>
            <w:r w:rsidRPr="00F93D0C">
              <w:rPr>
                <w:sz w:val="20"/>
                <w:szCs w:val="20"/>
              </w:rPr>
              <w:t>John Powell (Primary Care)</w:t>
            </w:r>
          </w:p>
        </w:tc>
        <w:tc>
          <w:tcPr>
            <w:tcW w:w="3897" w:type="dxa"/>
            <w:tcBorders>
              <w:top w:val="nil"/>
              <w:left w:val="nil"/>
              <w:bottom w:val="single" w:sz="4" w:space="0" w:color="auto"/>
              <w:right w:val="single" w:sz="4" w:space="0" w:color="auto"/>
            </w:tcBorders>
            <w:shd w:val="clear" w:color="auto" w:fill="auto"/>
          </w:tcPr>
          <w:p w:rsidR="00361125" w:rsidRPr="00F93D0C" w:rsidRDefault="00361125" w:rsidP="00C65B5B">
            <w:pPr>
              <w:spacing w:before="0" w:after="0"/>
              <w:jc w:val="center"/>
              <w:rPr>
                <w:sz w:val="20"/>
                <w:szCs w:val="20"/>
              </w:rPr>
            </w:pPr>
            <w:r w:rsidRPr="00F93D0C">
              <w:rPr>
                <w:sz w:val="20"/>
                <w:szCs w:val="20"/>
              </w:rPr>
              <w:t>Harnessing user-generated online content to improve NHS services</w:t>
            </w:r>
          </w:p>
        </w:tc>
        <w:tc>
          <w:tcPr>
            <w:tcW w:w="1018" w:type="dxa"/>
            <w:tcBorders>
              <w:top w:val="nil"/>
              <w:left w:val="nil"/>
              <w:bottom w:val="single" w:sz="4" w:space="0" w:color="auto"/>
              <w:right w:val="single" w:sz="4" w:space="0" w:color="auto"/>
            </w:tcBorders>
            <w:shd w:val="clear" w:color="auto" w:fill="auto"/>
          </w:tcPr>
          <w:p w:rsidR="00361125" w:rsidRPr="00F93D0C" w:rsidRDefault="00361125" w:rsidP="00C65B5B">
            <w:pPr>
              <w:spacing w:before="0" w:after="0"/>
              <w:jc w:val="center"/>
              <w:rPr>
                <w:sz w:val="20"/>
                <w:szCs w:val="20"/>
              </w:rPr>
            </w:pPr>
          </w:p>
          <w:p w:rsidR="00361125" w:rsidRPr="00F93D0C" w:rsidRDefault="00361125" w:rsidP="00C65B5B">
            <w:pPr>
              <w:spacing w:before="0" w:after="0"/>
              <w:jc w:val="center"/>
              <w:rPr>
                <w:sz w:val="20"/>
                <w:szCs w:val="20"/>
              </w:rPr>
            </w:pPr>
            <w:r w:rsidRPr="00F93D0C">
              <w:rPr>
                <w:sz w:val="20"/>
                <w:szCs w:val="20"/>
              </w:rPr>
              <w:t>2,000k</w:t>
            </w:r>
          </w:p>
        </w:tc>
        <w:tc>
          <w:tcPr>
            <w:tcW w:w="1194" w:type="dxa"/>
            <w:tcBorders>
              <w:top w:val="nil"/>
              <w:left w:val="nil"/>
              <w:bottom w:val="single" w:sz="4" w:space="0" w:color="auto"/>
              <w:right w:val="single" w:sz="4" w:space="0" w:color="auto"/>
            </w:tcBorders>
            <w:shd w:val="clear" w:color="auto" w:fill="auto"/>
          </w:tcPr>
          <w:p w:rsidR="00361125" w:rsidRPr="00F93D0C" w:rsidRDefault="00361125" w:rsidP="00C65B5B">
            <w:pPr>
              <w:spacing w:before="0" w:after="0"/>
              <w:jc w:val="center"/>
              <w:rPr>
                <w:sz w:val="20"/>
                <w:szCs w:val="20"/>
              </w:rPr>
            </w:pPr>
          </w:p>
          <w:p w:rsidR="00361125" w:rsidRPr="00F93D0C" w:rsidRDefault="00361125" w:rsidP="00C65B5B">
            <w:pPr>
              <w:spacing w:before="0" w:after="0"/>
              <w:jc w:val="center"/>
              <w:rPr>
                <w:sz w:val="20"/>
                <w:szCs w:val="20"/>
              </w:rPr>
            </w:pPr>
            <w:r w:rsidRPr="00F93D0C">
              <w:rPr>
                <w:sz w:val="20"/>
                <w:szCs w:val="20"/>
              </w:rPr>
              <w:t>5yrs</w:t>
            </w:r>
          </w:p>
        </w:tc>
        <w:tc>
          <w:tcPr>
            <w:tcW w:w="2041" w:type="dxa"/>
            <w:tcBorders>
              <w:top w:val="nil"/>
              <w:left w:val="nil"/>
              <w:bottom w:val="single" w:sz="4" w:space="0" w:color="auto"/>
              <w:right w:val="single" w:sz="4" w:space="0" w:color="auto"/>
            </w:tcBorders>
          </w:tcPr>
          <w:p w:rsidR="00361125" w:rsidRDefault="00361125" w:rsidP="00C65B5B">
            <w:pPr>
              <w:spacing w:before="0" w:after="0"/>
              <w:jc w:val="center"/>
              <w:rPr>
                <w:sz w:val="20"/>
                <w:szCs w:val="20"/>
              </w:rPr>
            </w:pPr>
          </w:p>
          <w:p w:rsidR="00361125" w:rsidRPr="00F93D0C" w:rsidRDefault="00361125" w:rsidP="00C65B5B">
            <w:pPr>
              <w:spacing w:before="0" w:after="0"/>
              <w:jc w:val="center"/>
              <w:rPr>
                <w:sz w:val="20"/>
                <w:szCs w:val="20"/>
              </w:rPr>
            </w:pPr>
            <w:r w:rsidRPr="00F93D0C">
              <w:rPr>
                <w:sz w:val="20"/>
                <w:szCs w:val="20"/>
              </w:rPr>
              <w:t xml:space="preserve">NIHR </w:t>
            </w:r>
          </w:p>
          <w:p w:rsidR="00361125" w:rsidRPr="00F93D0C" w:rsidRDefault="00361125" w:rsidP="00C65B5B">
            <w:pPr>
              <w:spacing w:before="0" w:after="0"/>
              <w:jc w:val="center"/>
              <w:rPr>
                <w:sz w:val="20"/>
                <w:szCs w:val="20"/>
              </w:rPr>
            </w:pPr>
          </w:p>
        </w:tc>
      </w:tr>
      <w:tr w:rsidR="00361125" w:rsidRPr="0085140E" w:rsidTr="00F93D0C">
        <w:trPr>
          <w:trHeight w:val="794"/>
        </w:trPr>
        <w:tc>
          <w:tcPr>
            <w:tcW w:w="1930" w:type="dxa"/>
            <w:tcBorders>
              <w:top w:val="nil"/>
              <w:left w:val="single" w:sz="4" w:space="0" w:color="auto"/>
              <w:bottom w:val="single" w:sz="4" w:space="0" w:color="auto"/>
              <w:right w:val="single" w:sz="4" w:space="0" w:color="auto"/>
            </w:tcBorders>
            <w:shd w:val="clear" w:color="auto" w:fill="auto"/>
            <w:hideMark/>
          </w:tcPr>
          <w:p w:rsidR="00361125" w:rsidRPr="003F445B" w:rsidRDefault="00361125" w:rsidP="007212D6">
            <w:pPr>
              <w:spacing w:before="0" w:after="0"/>
              <w:jc w:val="center"/>
              <w:rPr>
                <w:sz w:val="20"/>
                <w:szCs w:val="20"/>
              </w:rPr>
            </w:pPr>
            <w:r w:rsidRPr="003F445B">
              <w:rPr>
                <w:sz w:val="20"/>
                <w:szCs w:val="20"/>
              </w:rPr>
              <w:t>Philip Wilkinson</w:t>
            </w:r>
          </w:p>
        </w:tc>
        <w:tc>
          <w:tcPr>
            <w:tcW w:w="3897" w:type="dxa"/>
            <w:tcBorders>
              <w:top w:val="nil"/>
              <w:left w:val="nil"/>
              <w:bottom w:val="single" w:sz="4" w:space="0" w:color="auto"/>
              <w:right w:val="single" w:sz="4" w:space="0" w:color="auto"/>
            </w:tcBorders>
            <w:shd w:val="clear" w:color="auto" w:fill="auto"/>
            <w:hideMark/>
          </w:tcPr>
          <w:p w:rsidR="00361125" w:rsidRPr="003F445B" w:rsidRDefault="00361125" w:rsidP="007212D6">
            <w:pPr>
              <w:spacing w:before="0" w:after="0"/>
              <w:jc w:val="center"/>
              <w:rPr>
                <w:sz w:val="20"/>
                <w:szCs w:val="20"/>
              </w:rPr>
            </w:pPr>
            <w:proofErr w:type="spellStart"/>
            <w:r w:rsidRPr="003F445B">
              <w:rPr>
                <w:sz w:val="20"/>
                <w:szCs w:val="20"/>
              </w:rPr>
              <w:t>Mindcare</w:t>
            </w:r>
            <w:proofErr w:type="spellEnd"/>
            <w:r w:rsidRPr="003F445B">
              <w:rPr>
                <w:sz w:val="20"/>
                <w:szCs w:val="20"/>
              </w:rPr>
              <w:t xml:space="preserve"> - Mixed method feasibility study of mindfulness based cognitive therapy with dementia couples </w:t>
            </w:r>
          </w:p>
        </w:tc>
        <w:tc>
          <w:tcPr>
            <w:tcW w:w="1018" w:type="dxa"/>
            <w:tcBorders>
              <w:top w:val="nil"/>
              <w:left w:val="nil"/>
              <w:bottom w:val="single" w:sz="4" w:space="0" w:color="auto"/>
              <w:right w:val="single" w:sz="4" w:space="0" w:color="auto"/>
            </w:tcBorders>
            <w:shd w:val="clear" w:color="auto" w:fill="auto"/>
            <w:hideMark/>
          </w:tcPr>
          <w:p w:rsidR="00361125" w:rsidRPr="003F445B" w:rsidRDefault="00361125" w:rsidP="0068138D">
            <w:pPr>
              <w:spacing w:before="0" w:after="0"/>
              <w:jc w:val="center"/>
              <w:rPr>
                <w:sz w:val="20"/>
                <w:szCs w:val="20"/>
              </w:rPr>
            </w:pPr>
          </w:p>
          <w:p w:rsidR="00361125" w:rsidRPr="003F445B" w:rsidRDefault="00361125" w:rsidP="0068138D">
            <w:pPr>
              <w:spacing w:before="0" w:after="0"/>
              <w:jc w:val="center"/>
              <w:rPr>
                <w:sz w:val="20"/>
                <w:szCs w:val="20"/>
              </w:rPr>
            </w:pPr>
            <w:r w:rsidRPr="003F445B">
              <w:rPr>
                <w:sz w:val="20"/>
                <w:szCs w:val="20"/>
              </w:rPr>
              <w:t>256</w:t>
            </w:r>
          </w:p>
        </w:tc>
        <w:tc>
          <w:tcPr>
            <w:tcW w:w="1194" w:type="dxa"/>
            <w:tcBorders>
              <w:top w:val="nil"/>
              <w:left w:val="nil"/>
              <w:bottom w:val="single" w:sz="4" w:space="0" w:color="auto"/>
              <w:right w:val="single" w:sz="4" w:space="0" w:color="auto"/>
            </w:tcBorders>
            <w:shd w:val="clear" w:color="auto" w:fill="auto"/>
            <w:hideMark/>
          </w:tcPr>
          <w:p w:rsidR="00361125" w:rsidRPr="003F445B" w:rsidRDefault="00361125" w:rsidP="007212D6">
            <w:pPr>
              <w:spacing w:before="0" w:after="0"/>
              <w:jc w:val="center"/>
              <w:rPr>
                <w:sz w:val="20"/>
                <w:szCs w:val="20"/>
              </w:rPr>
            </w:pPr>
          </w:p>
          <w:p w:rsidR="00361125" w:rsidRPr="003F445B" w:rsidRDefault="00361125" w:rsidP="007212D6">
            <w:pPr>
              <w:spacing w:before="0" w:after="0"/>
              <w:jc w:val="center"/>
              <w:rPr>
                <w:sz w:val="20"/>
                <w:szCs w:val="20"/>
              </w:rPr>
            </w:pPr>
            <w:r w:rsidRPr="003F445B">
              <w:rPr>
                <w:sz w:val="20"/>
                <w:szCs w:val="20"/>
              </w:rPr>
              <w:t>2.5 years</w:t>
            </w:r>
          </w:p>
        </w:tc>
        <w:tc>
          <w:tcPr>
            <w:tcW w:w="2041" w:type="dxa"/>
            <w:tcBorders>
              <w:top w:val="nil"/>
              <w:left w:val="nil"/>
              <w:bottom w:val="single" w:sz="4" w:space="0" w:color="auto"/>
              <w:right w:val="single" w:sz="4" w:space="0" w:color="auto"/>
            </w:tcBorders>
          </w:tcPr>
          <w:p w:rsidR="00361125" w:rsidRPr="003F445B" w:rsidRDefault="00361125" w:rsidP="008C7E6B">
            <w:pPr>
              <w:spacing w:before="0" w:after="0"/>
              <w:jc w:val="center"/>
              <w:rPr>
                <w:sz w:val="20"/>
                <w:szCs w:val="20"/>
              </w:rPr>
            </w:pPr>
          </w:p>
          <w:p w:rsidR="00361125" w:rsidRPr="003F445B" w:rsidRDefault="00361125" w:rsidP="008C7E6B">
            <w:pPr>
              <w:spacing w:before="0" w:after="0"/>
              <w:jc w:val="center"/>
              <w:rPr>
                <w:sz w:val="20"/>
                <w:szCs w:val="20"/>
              </w:rPr>
            </w:pPr>
            <w:r w:rsidRPr="003F445B">
              <w:rPr>
                <w:sz w:val="20"/>
                <w:szCs w:val="20"/>
              </w:rPr>
              <w:t>NIHR</w:t>
            </w:r>
          </w:p>
        </w:tc>
      </w:tr>
      <w:tr w:rsidR="00361125" w:rsidRPr="0085140E" w:rsidTr="003F445B">
        <w:trPr>
          <w:trHeight w:val="369"/>
        </w:trPr>
        <w:tc>
          <w:tcPr>
            <w:tcW w:w="1930" w:type="dxa"/>
            <w:tcBorders>
              <w:top w:val="nil"/>
              <w:left w:val="single" w:sz="4" w:space="0" w:color="auto"/>
              <w:bottom w:val="single" w:sz="4" w:space="0" w:color="auto"/>
              <w:right w:val="single" w:sz="4" w:space="0" w:color="auto"/>
            </w:tcBorders>
            <w:shd w:val="clear" w:color="auto" w:fill="auto"/>
            <w:hideMark/>
          </w:tcPr>
          <w:p w:rsidR="00361125" w:rsidRPr="003F445B" w:rsidRDefault="00361125" w:rsidP="007212D6">
            <w:pPr>
              <w:spacing w:before="0" w:after="0"/>
              <w:jc w:val="center"/>
              <w:rPr>
                <w:sz w:val="20"/>
                <w:szCs w:val="20"/>
              </w:rPr>
            </w:pPr>
            <w:r w:rsidRPr="003F445B">
              <w:rPr>
                <w:sz w:val="20"/>
                <w:szCs w:val="20"/>
              </w:rPr>
              <w:t xml:space="preserve">Stuart Bell \ Jill Addis </w:t>
            </w:r>
          </w:p>
        </w:tc>
        <w:tc>
          <w:tcPr>
            <w:tcW w:w="3897" w:type="dxa"/>
            <w:tcBorders>
              <w:top w:val="nil"/>
              <w:left w:val="nil"/>
              <w:bottom w:val="single" w:sz="4" w:space="0" w:color="auto"/>
              <w:right w:val="single" w:sz="4" w:space="0" w:color="auto"/>
            </w:tcBorders>
            <w:shd w:val="clear" w:color="auto" w:fill="auto"/>
            <w:hideMark/>
          </w:tcPr>
          <w:p w:rsidR="00361125" w:rsidRPr="003F445B" w:rsidRDefault="00361125" w:rsidP="008C7E6B">
            <w:pPr>
              <w:spacing w:before="0" w:after="0"/>
              <w:jc w:val="center"/>
              <w:rPr>
                <w:sz w:val="20"/>
                <w:szCs w:val="20"/>
              </w:rPr>
            </w:pPr>
            <w:r w:rsidRPr="003F445B">
              <w:rPr>
                <w:sz w:val="20"/>
                <w:szCs w:val="20"/>
              </w:rPr>
              <w:t>Closing the Gap Patient Safety</w:t>
            </w:r>
          </w:p>
        </w:tc>
        <w:tc>
          <w:tcPr>
            <w:tcW w:w="1018" w:type="dxa"/>
            <w:tcBorders>
              <w:top w:val="nil"/>
              <w:left w:val="nil"/>
              <w:bottom w:val="single" w:sz="4" w:space="0" w:color="auto"/>
              <w:right w:val="single" w:sz="4" w:space="0" w:color="auto"/>
            </w:tcBorders>
            <w:shd w:val="clear" w:color="auto" w:fill="auto"/>
            <w:hideMark/>
          </w:tcPr>
          <w:p w:rsidR="00361125" w:rsidRPr="003F445B" w:rsidRDefault="00361125" w:rsidP="0068138D">
            <w:pPr>
              <w:spacing w:before="0" w:after="0"/>
              <w:jc w:val="center"/>
              <w:rPr>
                <w:sz w:val="20"/>
                <w:szCs w:val="20"/>
              </w:rPr>
            </w:pPr>
            <w:r w:rsidRPr="003F445B">
              <w:rPr>
                <w:sz w:val="20"/>
                <w:szCs w:val="20"/>
              </w:rPr>
              <w:t>275</w:t>
            </w:r>
          </w:p>
        </w:tc>
        <w:tc>
          <w:tcPr>
            <w:tcW w:w="1194" w:type="dxa"/>
            <w:tcBorders>
              <w:top w:val="nil"/>
              <w:left w:val="nil"/>
              <w:bottom w:val="single" w:sz="4" w:space="0" w:color="auto"/>
              <w:right w:val="single" w:sz="4" w:space="0" w:color="auto"/>
            </w:tcBorders>
            <w:shd w:val="clear" w:color="auto" w:fill="auto"/>
            <w:hideMark/>
          </w:tcPr>
          <w:p w:rsidR="00361125" w:rsidRPr="003F445B" w:rsidRDefault="00361125" w:rsidP="007212D6">
            <w:pPr>
              <w:spacing w:before="0" w:after="0"/>
              <w:jc w:val="center"/>
              <w:rPr>
                <w:sz w:val="20"/>
                <w:szCs w:val="20"/>
              </w:rPr>
            </w:pPr>
            <w:r w:rsidRPr="003F445B">
              <w:rPr>
                <w:sz w:val="20"/>
                <w:szCs w:val="20"/>
              </w:rPr>
              <w:t>2.5 years</w:t>
            </w:r>
          </w:p>
        </w:tc>
        <w:tc>
          <w:tcPr>
            <w:tcW w:w="2041" w:type="dxa"/>
            <w:tcBorders>
              <w:top w:val="nil"/>
              <w:left w:val="nil"/>
              <w:bottom w:val="single" w:sz="4" w:space="0" w:color="auto"/>
              <w:right w:val="single" w:sz="4" w:space="0" w:color="auto"/>
            </w:tcBorders>
          </w:tcPr>
          <w:p w:rsidR="00361125" w:rsidRPr="003F445B" w:rsidRDefault="00361125" w:rsidP="008C7E6B">
            <w:pPr>
              <w:spacing w:before="0" w:after="0"/>
              <w:jc w:val="center"/>
              <w:rPr>
                <w:sz w:val="20"/>
                <w:szCs w:val="20"/>
              </w:rPr>
            </w:pPr>
            <w:r w:rsidRPr="003F445B">
              <w:rPr>
                <w:sz w:val="20"/>
                <w:szCs w:val="20"/>
              </w:rPr>
              <w:t>Health Foundation</w:t>
            </w:r>
          </w:p>
        </w:tc>
      </w:tr>
      <w:tr w:rsidR="00361125" w:rsidRPr="0085140E" w:rsidTr="003F445B">
        <w:trPr>
          <w:trHeight w:val="591"/>
        </w:trPr>
        <w:tc>
          <w:tcPr>
            <w:tcW w:w="1930" w:type="dxa"/>
            <w:tcBorders>
              <w:top w:val="nil"/>
              <w:left w:val="single" w:sz="4" w:space="0" w:color="auto"/>
              <w:bottom w:val="single" w:sz="4" w:space="0" w:color="auto"/>
              <w:right w:val="single" w:sz="4" w:space="0" w:color="auto"/>
            </w:tcBorders>
            <w:shd w:val="clear" w:color="auto" w:fill="auto"/>
            <w:hideMark/>
          </w:tcPr>
          <w:p w:rsidR="00361125" w:rsidRPr="00231278" w:rsidRDefault="00361125" w:rsidP="007212D6">
            <w:pPr>
              <w:spacing w:before="0" w:after="0"/>
              <w:jc w:val="center"/>
              <w:rPr>
                <w:sz w:val="22"/>
                <w:szCs w:val="22"/>
              </w:rPr>
            </w:pPr>
            <w:r w:rsidRPr="00231278">
              <w:rPr>
                <w:sz w:val="22"/>
                <w:szCs w:val="22"/>
              </w:rPr>
              <w:t>Philip Wilkinson</w:t>
            </w:r>
          </w:p>
        </w:tc>
        <w:tc>
          <w:tcPr>
            <w:tcW w:w="3897" w:type="dxa"/>
            <w:tcBorders>
              <w:top w:val="nil"/>
              <w:left w:val="nil"/>
              <w:bottom w:val="single" w:sz="4" w:space="0" w:color="auto"/>
              <w:right w:val="single" w:sz="4" w:space="0" w:color="auto"/>
            </w:tcBorders>
            <w:shd w:val="clear" w:color="auto" w:fill="auto"/>
            <w:hideMark/>
          </w:tcPr>
          <w:p w:rsidR="00361125" w:rsidRPr="00231278" w:rsidRDefault="00361125" w:rsidP="007212D6">
            <w:pPr>
              <w:spacing w:before="0" w:after="0"/>
              <w:jc w:val="center"/>
              <w:rPr>
                <w:sz w:val="22"/>
                <w:szCs w:val="22"/>
              </w:rPr>
            </w:pPr>
            <w:proofErr w:type="spellStart"/>
            <w:r w:rsidRPr="00231278">
              <w:rPr>
                <w:sz w:val="22"/>
                <w:szCs w:val="22"/>
              </w:rPr>
              <w:t>CareApp</w:t>
            </w:r>
            <w:proofErr w:type="spellEnd"/>
            <w:r w:rsidRPr="00231278">
              <w:rPr>
                <w:sz w:val="22"/>
                <w:szCs w:val="22"/>
              </w:rPr>
              <w:t xml:space="preserve"> - True </w:t>
            </w:r>
            <w:proofErr w:type="spellStart"/>
            <w:r w:rsidRPr="00231278">
              <w:rPr>
                <w:sz w:val="22"/>
                <w:szCs w:val="22"/>
              </w:rPr>
              <w:t>Colours</w:t>
            </w:r>
            <w:proofErr w:type="spellEnd"/>
            <w:r w:rsidRPr="00231278">
              <w:rPr>
                <w:sz w:val="22"/>
                <w:szCs w:val="22"/>
              </w:rPr>
              <w:t xml:space="preserve"> monitoring by dementia caregivers</w:t>
            </w:r>
          </w:p>
        </w:tc>
        <w:tc>
          <w:tcPr>
            <w:tcW w:w="1018" w:type="dxa"/>
            <w:tcBorders>
              <w:top w:val="nil"/>
              <w:left w:val="nil"/>
              <w:bottom w:val="single" w:sz="4" w:space="0" w:color="auto"/>
              <w:right w:val="single" w:sz="4" w:space="0" w:color="auto"/>
            </w:tcBorders>
            <w:shd w:val="clear" w:color="auto" w:fill="auto"/>
            <w:hideMark/>
          </w:tcPr>
          <w:p w:rsidR="00361125" w:rsidRPr="00231278" w:rsidRDefault="00361125" w:rsidP="0068138D">
            <w:pPr>
              <w:spacing w:before="0" w:after="0"/>
              <w:jc w:val="center"/>
              <w:rPr>
                <w:sz w:val="22"/>
                <w:szCs w:val="22"/>
              </w:rPr>
            </w:pPr>
            <w:r w:rsidRPr="00231278">
              <w:rPr>
                <w:sz w:val="22"/>
                <w:szCs w:val="22"/>
              </w:rPr>
              <w:t>90</w:t>
            </w:r>
          </w:p>
        </w:tc>
        <w:tc>
          <w:tcPr>
            <w:tcW w:w="1194" w:type="dxa"/>
            <w:tcBorders>
              <w:top w:val="nil"/>
              <w:left w:val="nil"/>
              <w:bottom w:val="single" w:sz="4" w:space="0" w:color="auto"/>
              <w:right w:val="single" w:sz="4" w:space="0" w:color="auto"/>
            </w:tcBorders>
            <w:shd w:val="clear" w:color="auto" w:fill="auto"/>
            <w:hideMark/>
          </w:tcPr>
          <w:p w:rsidR="00361125" w:rsidRPr="00231278" w:rsidRDefault="00361125" w:rsidP="007212D6">
            <w:pPr>
              <w:spacing w:before="0" w:after="0"/>
              <w:jc w:val="center"/>
              <w:rPr>
                <w:sz w:val="22"/>
                <w:szCs w:val="22"/>
              </w:rPr>
            </w:pPr>
            <w:r w:rsidRPr="00231278">
              <w:rPr>
                <w:sz w:val="22"/>
                <w:szCs w:val="22"/>
              </w:rPr>
              <w:t>2 years</w:t>
            </w:r>
          </w:p>
        </w:tc>
        <w:tc>
          <w:tcPr>
            <w:tcW w:w="2041" w:type="dxa"/>
            <w:tcBorders>
              <w:top w:val="nil"/>
              <w:left w:val="nil"/>
              <w:bottom w:val="single" w:sz="4" w:space="0" w:color="auto"/>
              <w:right w:val="single" w:sz="4" w:space="0" w:color="auto"/>
            </w:tcBorders>
          </w:tcPr>
          <w:p w:rsidR="00361125" w:rsidRPr="00231278" w:rsidRDefault="00361125" w:rsidP="008C7E6B">
            <w:pPr>
              <w:spacing w:before="0" w:after="0"/>
              <w:jc w:val="center"/>
              <w:rPr>
                <w:sz w:val="22"/>
                <w:szCs w:val="22"/>
              </w:rPr>
            </w:pPr>
            <w:r>
              <w:rPr>
                <w:sz w:val="22"/>
                <w:szCs w:val="22"/>
              </w:rPr>
              <w:t>Alzheimer’s Society</w:t>
            </w:r>
          </w:p>
        </w:tc>
      </w:tr>
    </w:tbl>
    <w:p w:rsidR="007057D4" w:rsidRDefault="0085140E" w:rsidP="0069120C">
      <w:pPr>
        <w:pStyle w:val="Heading2"/>
      </w:pPr>
      <w:r w:rsidRPr="005168CC">
        <w:rPr>
          <w:lang w:val="en-GB"/>
        </w:rPr>
        <w:t xml:space="preserve">Applications </w:t>
      </w:r>
      <w:r w:rsidR="00DC3177" w:rsidRPr="005168CC">
        <w:rPr>
          <w:lang w:val="en-GB"/>
        </w:rPr>
        <w:t>in progress</w:t>
      </w:r>
      <w:r w:rsidR="008C7E6B">
        <w:rPr>
          <w:lang w:val="en-GB"/>
        </w:rPr>
        <w:t xml:space="preserve"> (non-commercial)</w:t>
      </w:r>
    </w:p>
    <w:tbl>
      <w:tblPr>
        <w:tblW w:w="10080" w:type="dxa"/>
        <w:tblInd w:w="93" w:type="dxa"/>
        <w:tblLook w:val="04A0"/>
      </w:tblPr>
      <w:tblGrid>
        <w:gridCol w:w="1921"/>
        <w:gridCol w:w="2347"/>
        <w:gridCol w:w="1134"/>
        <w:gridCol w:w="1038"/>
        <w:gridCol w:w="3640"/>
      </w:tblGrid>
      <w:tr w:rsidR="008C7E6B" w:rsidRPr="00F93D0C" w:rsidTr="002D0EF7">
        <w:trPr>
          <w:trHeight w:val="534"/>
        </w:trPr>
        <w:tc>
          <w:tcPr>
            <w:tcW w:w="1921" w:type="dxa"/>
            <w:tcBorders>
              <w:top w:val="single" w:sz="8" w:space="0" w:color="auto"/>
              <w:left w:val="single" w:sz="4" w:space="0" w:color="auto"/>
              <w:bottom w:val="single" w:sz="8" w:space="0" w:color="auto"/>
              <w:right w:val="single" w:sz="4" w:space="0" w:color="auto"/>
            </w:tcBorders>
            <w:shd w:val="clear" w:color="000000" w:fill="D9D9D9"/>
            <w:hideMark/>
          </w:tcPr>
          <w:p w:rsidR="008C7E6B" w:rsidRPr="00F93D0C" w:rsidRDefault="008C7E6B" w:rsidP="00DC3177">
            <w:pPr>
              <w:spacing w:before="0" w:after="0"/>
              <w:jc w:val="center"/>
              <w:rPr>
                <w:sz w:val="20"/>
                <w:szCs w:val="20"/>
              </w:rPr>
            </w:pPr>
            <w:r w:rsidRPr="00F93D0C">
              <w:rPr>
                <w:sz w:val="20"/>
                <w:szCs w:val="20"/>
              </w:rPr>
              <w:t>Investigator</w:t>
            </w:r>
            <w:r w:rsidRPr="00F93D0C">
              <w:rPr>
                <w:sz w:val="20"/>
                <w:szCs w:val="20"/>
              </w:rPr>
              <w:br/>
              <w:t>or Trust Lead</w:t>
            </w:r>
          </w:p>
        </w:tc>
        <w:tc>
          <w:tcPr>
            <w:tcW w:w="2347" w:type="dxa"/>
            <w:tcBorders>
              <w:top w:val="single" w:sz="8" w:space="0" w:color="auto"/>
              <w:left w:val="single" w:sz="4" w:space="0" w:color="auto"/>
              <w:bottom w:val="single" w:sz="8" w:space="0" w:color="auto"/>
              <w:right w:val="single" w:sz="4" w:space="0" w:color="auto"/>
            </w:tcBorders>
            <w:shd w:val="clear" w:color="000000" w:fill="D9D9D9"/>
            <w:hideMark/>
          </w:tcPr>
          <w:p w:rsidR="008C7E6B" w:rsidRPr="00F93D0C" w:rsidRDefault="008C7E6B" w:rsidP="00DC3177">
            <w:pPr>
              <w:spacing w:before="0" w:after="0"/>
              <w:jc w:val="center"/>
              <w:rPr>
                <w:sz w:val="20"/>
                <w:szCs w:val="20"/>
              </w:rPr>
            </w:pPr>
            <w:r w:rsidRPr="00F93D0C">
              <w:rPr>
                <w:sz w:val="20"/>
                <w:szCs w:val="20"/>
              </w:rPr>
              <w:t>Study Description</w:t>
            </w:r>
          </w:p>
        </w:tc>
        <w:tc>
          <w:tcPr>
            <w:tcW w:w="1134" w:type="dxa"/>
            <w:tcBorders>
              <w:top w:val="single" w:sz="8" w:space="0" w:color="auto"/>
              <w:left w:val="nil"/>
              <w:bottom w:val="single" w:sz="8" w:space="0" w:color="auto"/>
              <w:right w:val="single" w:sz="4" w:space="0" w:color="auto"/>
            </w:tcBorders>
            <w:shd w:val="clear" w:color="000000" w:fill="D9D9D9"/>
            <w:hideMark/>
          </w:tcPr>
          <w:p w:rsidR="008C7E6B" w:rsidRPr="00F93D0C" w:rsidRDefault="008C7E6B" w:rsidP="00DC3177">
            <w:pPr>
              <w:spacing w:before="0" w:after="0"/>
              <w:jc w:val="center"/>
              <w:rPr>
                <w:sz w:val="20"/>
                <w:szCs w:val="20"/>
              </w:rPr>
            </w:pPr>
            <w:r w:rsidRPr="00F93D0C">
              <w:rPr>
                <w:sz w:val="20"/>
                <w:szCs w:val="20"/>
              </w:rPr>
              <w:t>Value £</w:t>
            </w:r>
            <w:r w:rsidR="008E44CB" w:rsidRPr="00F93D0C">
              <w:rPr>
                <w:sz w:val="20"/>
                <w:szCs w:val="20"/>
              </w:rPr>
              <w:t>k</w:t>
            </w:r>
          </w:p>
        </w:tc>
        <w:tc>
          <w:tcPr>
            <w:tcW w:w="1038" w:type="dxa"/>
            <w:tcBorders>
              <w:top w:val="single" w:sz="8" w:space="0" w:color="auto"/>
              <w:left w:val="nil"/>
              <w:bottom w:val="single" w:sz="8" w:space="0" w:color="auto"/>
              <w:right w:val="single" w:sz="4" w:space="0" w:color="auto"/>
            </w:tcBorders>
            <w:shd w:val="clear" w:color="000000" w:fill="D9D9D9"/>
            <w:hideMark/>
          </w:tcPr>
          <w:p w:rsidR="008C7E6B" w:rsidRPr="00F93D0C" w:rsidRDefault="008C7E6B" w:rsidP="00DC3177">
            <w:pPr>
              <w:spacing w:before="0" w:after="0"/>
              <w:jc w:val="center"/>
              <w:rPr>
                <w:sz w:val="20"/>
                <w:szCs w:val="20"/>
              </w:rPr>
            </w:pPr>
            <w:r w:rsidRPr="00F93D0C">
              <w:rPr>
                <w:sz w:val="20"/>
                <w:szCs w:val="20"/>
              </w:rPr>
              <w:t>Duration</w:t>
            </w:r>
          </w:p>
        </w:tc>
        <w:tc>
          <w:tcPr>
            <w:tcW w:w="3640" w:type="dxa"/>
            <w:tcBorders>
              <w:top w:val="single" w:sz="8" w:space="0" w:color="auto"/>
              <w:left w:val="nil"/>
              <w:bottom w:val="single" w:sz="8" w:space="0" w:color="auto"/>
              <w:right w:val="single" w:sz="4" w:space="0" w:color="auto"/>
            </w:tcBorders>
            <w:shd w:val="clear" w:color="000000" w:fill="D9D9D9"/>
            <w:hideMark/>
          </w:tcPr>
          <w:p w:rsidR="008C7E6B" w:rsidRPr="00F93D0C" w:rsidRDefault="008C7E6B" w:rsidP="00DC3177">
            <w:pPr>
              <w:spacing w:before="0" w:after="0"/>
              <w:jc w:val="center"/>
              <w:rPr>
                <w:sz w:val="20"/>
                <w:szCs w:val="20"/>
              </w:rPr>
            </w:pPr>
            <w:r w:rsidRPr="00F93D0C">
              <w:rPr>
                <w:sz w:val="20"/>
                <w:szCs w:val="20"/>
              </w:rPr>
              <w:t>Funder</w:t>
            </w:r>
          </w:p>
        </w:tc>
      </w:tr>
      <w:tr w:rsidR="008C7E6B" w:rsidRPr="00F93D0C" w:rsidTr="00C4517B">
        <w:trPr>
          <w:trHeight w:val="737"/>
        </w:trPr>
        <w:tc>
          <w:tcPr>
            <w:tcW w:w="1921" w:type="dxa"/>
            <w:tcBorders>
              <w:top w:val="single" w:sz="4" w:space="0" w:color="auto"/>
              <w:left w:val="single" w:sz="4" w:space="0" w:color="auto"/>
              <w:bottom w:val="single" w:sz="4" w:space="0" w:color="auto"/>
              <w:right w:val="single" w:sz="4" w:space="0" w:color="auto"/>
            </w:tcBorders>
            <w:shd w:val="clear" w:color="auto" w:fill="auto"/>
            <w:hideMark/>
          </w:tcPr>
          <w:p w:rsidR="008C7E6B" w:rsidRPr="00F93D0C" w:rsidRDefault="008C7E6B" w:rsidP="00DC3177">
            <w:pPr>
              <w:spacing w:before="0" w:after="0"/>
              <w:jc w:val="center"/>
              <w:rPr>
                <w:sz w:val="20"/>
                <w:szCs w:val="20"/>
              </w:rPr>
            </w:pPr>
            <w:r w:rsidRPr="00F93D0C">
              <w:rPr>
                <w:sz w:val="20"/>
                <w:szCs w:val="20"/>
              </w:rPr>
              <w:t>Paul Harrison</w:t>
            </w:r>
            <w:r w:rsidRPr="00F93D0C">
              <w:rPr>
                <w:sz w:val="20"/>
                <w:szCs w:val="20"/>
              </w:rPr>
              <w:br/>
              <w:t>John Geddes</w:t>
            </w:r>
          </w:p>
        </w:tc>
        <w:tc>
          <w:tcPr>
            <w:tcW w:w="2347" w:type="dxa"/>
            <w:tcBorders>
              <w:top w:val="single" w:sz="4" w:space="0" w:color="auto"/>
              <w:left w:val="nil"/>
              <w:bottom w:val="single" w:sz="4" w:space="0" w:color="auto"/>
              <w:right w:val="single" w:sz="4" w:space="0" w:color="auto"/>
            </w:tcBorders>
            <w:shd w:val="clear" w:color="auto" w:fill="auto"/>
            <w:hideMark/>
          </w:tcPr>
          <w:p w:rsidR="008C7E6B" w:rsidRPr="00F93D0C" w:rsidRDefault="008C7E6B" w:rsidP="00361125">
            <w:pPr>
              <w:spacing w:before="0" w:after="0"/>
              <w:jc w:val="center"/>
              <w:rPr>
                <w:sz w:val="20"/>
                <w:szCs w:val="20"/>
              </w:rPr>
            </w:pPr>
            <w:proofErr w:type="spellStart"/>
            <w:r w:rsidRPr="00F93D0C">
              <w:rPr>
                <w:sz w:val="20"/>
                <w:szCs w:val="20"/>
              </w:rPr>
              <w:t>S</w:t>
            </w:r>
            <w:r w:rsidR="00361125">
              <w:rPr>
                <w:sz w:val="20"/>
                <w:szCs w:val="20"/>
              </w:rPr>
              <w:t>tem</w:t>
            </w:r>
            <w:r w:rsidRPr="00F93D0C">
              <w:rPr>
                <w:sz w:val="20"/>
                <w:szCs w:val="20"/>
              </w:rPr>
              <w:t>BANCC</w:t>
            </w:r>
            <w:proofErr w:type="spellEnd"/>
          </w:p>
        </w:tc>
        <w:tc>
          <w:tcPr>
            <w:tcW w:w="1134" w:type="dxa"/>
            <w:tcBorders>
              <w:top w:val="nil"/>
              <w:left w:val="nil"/>
              <w:bottom w:val="single" w:sz="4" w:space="0" w:color="auto"/>
              <w:right w:val="single" w:sz="4" w:space="0" w:color="auto"/>
            </w:tcBorders>
            <w:shd w:val="clear" w:color="auto" w:fill="auto"/>
            <w:hideMark/>
          </w:tcPr>
          <w:p w:rsidR="008E44CB" w:rsidRPr="00F93D0C" w:rsidRDefault="008E44CB" w:rsidP="008E44CB">
            <w:pPr>
              <w:spacing w:before="0" w:after="0"/>
              <w:jc w:val="center"/>
              <w:rPr>
                <w:sz w:val="20"/>
                <w:szCs w:val="20"/>
              </w:rPr>
            </w:pPr>
          </w:p>
          <w:p w:rsidR="008C7E6B" w:rsidRPr="00F93D0C" w:rsidRDefault="008C7E6B" w:rsidP="008E44CB">
            <w:pPr>
              <w:spacing w:before="0" w:after="0"/>
              <w:jc w:val="center"/>
              <w:rPr>
                <w:sz w:val="20"/>
                <w:szCs w:val="20"/>
              </w:rPr>
            </w:pPr>
            <w:r w:rsidRPr="00F93D0C">
              <w:rPr>
                <w:sz w:val="20"/>
                <w:szCs w:val="20"/>
              </w:rPr>
              <w:t xml:space="preserve">127 </w:t>
            </w:r>
          </w:p>
        </w:tc>
        <w:tc>
          <w:tcPr>
            <w:tcW w:w="1038" w:type="dxa"/>
            <w:tcBorders>
              <w:top w:val="nil"/>
              <w:left w:val="nil"/>
              <w:bottom w:val="single" w:sz="4" w:space="0" w:color="auto"/>
              <w:right w:val="single" w:sz="4" w:space="0" w:color="auto"/>
            </w:tcBorders>
            <w:shd w:val="clear" w:color="auto" w:fill="auto"/>
            <w:hideMark/>
          </w:tcPr>
          <w:p w:rsidR="008E44CB" w:rsidRPr="00F93D0C" w:rsidRDefault="008E44CB" w:rsidP="00DC3177">
            <w:pPr>
              <w:spacing w:before="0" w:after="0"/>
              <w:jc w:val="center"/>
              <w:rPr>
                <w:sz w:val="20"/>
                <w:szCs w:val="20"/>
              </w:rPr>
            </w:pPr>
          </w:p>
          <w:p w:rsidR="008C7E6B" w:rsidRPr="00F93D0C" w:rsidRDefault="00F22E3C" w:rsidP="00F22E3C">
            <w:pPr>
              <w:spacing w:before="0" w:after="0"/>
              <w:jc w:val="center"/>
              <w:rPr>
                <w:sz w:val="20"/>
                <w:szCs w:val="20"/>
              </w:rPr>
            </w:pPr>
            <w:r w:rsidRPr="00F93D0C">
              <w:rPr>
                <w:sz w:val="20"/>
                <w:szCs w:val="20"/>
              </w:rPr>
              <w:t>4yrs</w:t>
            </w:r>
          </w:p>
        </w:tc>
        <w:tc>
          <w:tcPr>
            <w:tcW w:w="3640" w:type="dxa"/>
            <w:tcBorders>
              <w:top w:val="nil"/>
              <w:left w:val="nil"/>
              <w:bottom w:val="single" w:sz="4" w:space="0" w:color="auto"/>
              <w:right w:val="single" w:sz="4" w:space="0" w:color="auto"/>
            </w:tcBorders>
            <w:shd w:val="clear" w:color="auto" w:fill="auto"/>
            <w:hideMark/>
          </w:tcPr>
          <w:p w:rsidR="008C7E6B" w:rsidRPr="00F93D0C" w:rsidRDefault="008C7E6B" w:rsidP="00DC3177">
            <w:pPr>
              <w:spacing w:before="0" w:after="0"/>
              <w:jc w:val="center"/>
              <w:rPr>
                <w:sz w:val="20"/>
                <w:szCs w:val="20"/>
              </w:rPr>
            </w:pPr>
            <w:r w:rsidRPr="00F93D0C">
              <w:rPr>
                <w:sz w:val="20"/>
                <w:szCs w:val="20"/>
              </w:rPr>
              <w:t>Innovative Medicines Initiative (large EU funder), Sponsored and Insured by University of Oxford?</w:t>
            </w:r>
          </w:p>
        </w:tc>
      </w:tr>
      <w:tr w:rsidR="008C7E6B" w:rsidRPr="00F93D0C" w:rsidTr="002D0EF7">
        <w:trPr>
          <w:trHeight w:val="794"/>
        </w:trPr>
        <w:tc>
          <w:tcPr>
            <w:tcW w:w="1921" w:type="dxa"/>
            <w:tcBorders>
              <w:top w:val="nil"/>
              <w:left w:val="single" w:sz="4" w:space="0" w:color="auto"/>
              <w:bottom w:val="single" w:sz="4" w:space="0" w:color="auto"/>
              <w:right w:val="single" w:sz="4" w:space="0" w:color="auto"/>
            </w:tcBorders>
            <w:shd w:val="clear" w:color="auto" w:fill="auto"/>
            <w:hideMark/>
          </w:tcPr>
          <w:p w:rsidR="008C7E6B" w:rsidRPr="00F93D0C" w:rsidRDefault="008C7E6B" w:rsidP="00DC3177">
            <w:pPr>
              <w:spacing w:before="0" w:after="0"/>
              <w:jc w:val="center"/>
              <w:rPr>
                <w:sz w:val="20"/>
                <w:szCs w:val="20"/>
              </w:rPr>
            </w:pPr>
            <w:r w:rsidRPr="00F93D0C">
              <w:rPr>
                <w:sz w:val="20"/>
                <w:szCs w:val="20"/>
              </w:rPr>
              <w:t xml:space="preserve">Katharina </w:t>
            </w:r>
            <w:proofErr w:type="spellStart"/>
            <w:r w:rsidRPr="00F93D0C">
              <w:rPr>
                <w:sz w:val="20"/>
                <w:szCs w:val="20"/>
              </w:rPr>
              <w:t>Wulff</w:t>
            </w:r>
            <w:proofErr w:type="spellEnd"/>
          </w:p>
        </w:tc>
        <w:tc>
          <w:tcPr>
            <w:tcW w:w="2347" w:type="dxa"/>
            <w:tcBorders>
              <w:top w:val="nil"/>
              <w:left w:val="nil"/>
              <w:bottom w:val="single" w:sz="4" w:space="0" w:color="auto"/>
              <w:right w:val="single" w:sz="4" w:space="0" w:color="auto"/>
            </w:tcBorders>
            <w:shd w:val="clear" w:color="auto" w:fill="auto"/>
            <w:hideMark/>
          </w:tcPr>
          <w:p w:rsidR="008C7E6B" w:rsidRPr="00F93D0C" w:rsidRDefault="008C7E6B" w:rsidP="00DC3177">
            <w:pPr>
              <w:spacing w:before="0" w:after="0"/>
              <w:jc w:val="center"/>
              <w:rPr>
                <w:sz w:val="20"/>
                <w:szCs w:val="20"/>
              </w:rPr>
            </w:pPr>
            <w:r w:rsidRPr="00F93D0C">
              <w:rPr>
                <w:sz w:val="20"/>
                <w:szCs w:val="20"/>
              </w:rPr>
              <w:t xml:space="preserve">Sleep Study </w:t>
            </w:r>
          </w:p>
        </w:tc>
        <w:tc>
          <w:tcPr>
            <w:tcW w:w="1134" w:type="dxa"/>
            <w:tcBorders>
              <w:top w:val="nil"/>
              <w:left w:val="nil"/>
              <w:bottom w:val="single" w:sz="4" w:space="0" w:color="auto"/>
              <w:right w:val="single" w:sz="4" w:space="0" w:color="auto"/>
            </w:tcBorders>
            <w:shd w:val="clear" w:color="auto" w:fill="auto"/>
            <w:vAlign w:val="center"/>
            <w:hideMark/>
          </w:tcPr>
          <w:p w:rsidR="008C7E6B" w:rsidRPr="00F93D0C" w:rsidRDefault="00361125" w:rsidP="0068138D">
            <w:pPr>
              <w:spacing w:before="0" w:after="0"/>
              <w:jc w:val="center"/>
              <w:rPr>
                <w:sz w:val="20"/>
                <w:szCs w:val="20"/>
              </w:rPr>
            </w:pPr>
            <w:proofErr w:type="spellStart"/>
            <w:r w:rsidRPr="00F93D0C">
              <w:rPr>
                <w:sz w:val="20"/>
                <w:szCs w:val="20"/>
              </w:rPr>
              <w:t>T</w:t>
            </w:r>
            <w:r w:rsidR="00F22E3C" w:rsidRPr="00F93D0C">
              <w:rPr>
                <w:sz w:val="20"/>
                <w:szCs w:val="20"/>
              </w:rPr>
              <w:t>bc</w:t>
            </w:r>
            <w:proofErr w:type="spellEnd"/>
          </w:p>
        </w:tc>
        <w:tc>
          <w:tcPr>
            <w:tcW w:w="1038" w:type="dxa"/>
            <w:tcBorders>
              <w:top w:val="nil"/>
              <w:left w:val="nil"/>
              <w:bottom w:val="single" w:sz="4" w:space="0" w:color="auto"/>
              <w:right w:val="single" w:sz="4" w:space="0" w:color="auto"/>
            </w:tcBorders>
            <w:shd w:val="clear" w:color="auto" w:fill="auto"/>
            <w:hideMark/>
          </w:tcPr>
          <w:p w:rsidR="008E44CB" w:rsidRPr="00F93D0C" w:rsidRDefault="008E44CB" w:rsidP="00CE15B9">
            <w:pPr>
              <w:spacing w:before="0" w:after="0"/>
              <w:jc w:val="center"/>
              <w:rPr>
                <w:sz w:val="20"/>
                <w:szCs w:val="20"/>
              </w:rPr>
            </w:pPr>
          </w:p>
          <w:p w:rsidR="008C7E6B" w:rsidRPr="00F93D0C" w:rsidRDefault="008C7E6B" w:rsidP="00361125">
            <w:pPr>
              <w:spacing w:before="0" w:after="0"/>
              <w:jc w:val="center"/>
              <w:rPr>
                <w:sz w:val="20"/>
                <w:szCs w:val="20"/>
              </w:rPr>
            </w:pPr>
            <w:r w:rsidRPr="00F93D0C">
              <w:rPr>
                <w:sz w:val="20"/>
                <w:szCs w:val="20"/>
              </w:rPr>
              <w:t>9m</w:t>
            </w:r>
            <w:r w:rsidR="00361125">
              <w:rPr>
                <w:sz w:val="20"/>
                <w:szCs w:val="20"/>
              </w:rPr>
              <w:t>ths</w:t>
            </w:r>
          </w:p>
        </w:tc>
        <w:tc>
          <w:tcPr>
            <w:tcW w:w="3640" w:type="dxa"/>
            <w:tcBorders>
              <w:top w:val="nil"/>
              <w:left w:val="nil"/>
              <w:bottom w:val="single" w:sz="4" w:space="0" w:color="auto"/>
              <w:right w:val="single" w:sz="4" w:space="0" w:color="auto"/>
            </w:tcBorders>
            <w:shd w:val="clear" w:color="auto" w:fill="auto"/>
            <w:hideMark/>
          </w:tcPr>
          <w:p w:rsidR="008C7E6B" w:rsidRPr="00F93D0C" w:rsidRDefault="008C7E6B" w:rsidP="00DC3177">
            <w:pPr>
              <w:spacing w:before="0" w:after="0"/>
              <w:jc w:val="center"/>
              <w:rPr>
                <w:sz w:val="20"/>
                <w:szCs w:val="20"/>
              </w:rPr>
            </w:pPr>
            <w:r w:rsidRPr="00F93D0C">
              <w:rPr>
                <w:sz w:val="20"/>
                <w:szCs w:val="20"/>
              </w:rPr>
              <w:t xml:space="preserve">Sleep and </w:t>
            </w:r>
            <w:proofErr w:type="spellStart"/>
            <w:r w:rsidRPr="00F93D0C">
              <w:rPr>
                <w:sz w:val="20"/>
                <w:szCs w:val="20"/>
              </w:rPr>
              <w:t>Circadium</w:t>
            </w:r>
            <w:proofErr w:type="spellEnd"/>
            <w:r w:rsidRPr="00F93D0C">
              <w:rPr>
                <w:sz w:val="20"/>
                <w:szCs w:val="20"/>
              </w:rPr>
              <w:t xml:space="preserve"> Neuroscience Institute (SCNI) or </w:t>
            </w:r>
            <w:proofErr w:type="spellStart"/>
            <w:r w:rsidRPr="00F93D0C">
              <w:rPr>
                <w:sz w:val="20"/>
                <w:szCs w:val="20"/>
              </w:rPr>
              <w:t>Wellcome</w:t>
            </w:r>
            <w:proofErr w:type="spellEnd"/>
            <w:r w:rsidRPr="00F93D0C">
              <w:rPr>
                <w:sz w:val="20"/>
                <w:szCs w:val="20"/>
              </w:rPr>
              <w:t xml:space="preserve"> Strategic Award (NIHR funding partner)</w:t>
            </w:r>
          </w:p>
        </w:tc>
      </w:tr>
      <w:tr w:rsidR="004C5B30" w:rsidRPr="00F93D0C" w:rsidTr="002D0EF7">
        <w:trPr>
          <w:trHeight w:val="473"/>
        </w:trPr>
        <w:tc>
          <w:tcPr>
            <w:tcW w:w="1921" w:type="dxa"/>
            <w:tcBorders>
              <w:top w:val="single" w:sz="4" w:space="0" w:color="auto"/>
              <w:left w:val="single" w:sz="4" w:space="0" w:color="auto"/>
              <w:bottom w:val="single" w:sz="4" w:space="0" w:color="auto"/>
              <w:right w:val="single" w:sz="4" w:space="0" w:color="auto"/>
            </w:tcBorders>
            <w:shd w:val="clear" w:color="auto" w:fill="auto"/>
          </w:tcPr>
          <w:p w:rsidR="004C5B30" w:rsidRPr="00F93D0C" w:rsidRDefault="00AC50A3" w:rsidP="00DC3177">
            <w:pPr>
              <w:spacing w:before="0" w:after="0"/>
              <w:jc w:val="center"/>
              <w:rPr>
                <w:sz w:val="20"/>
                <w:szCs w:val="20"/>
              </w:rPr>
            </w:pPr>
            <w:r w:rsidRPr="00F93D0C">
              <w:rPr>
                <w:sz w:val="20"/>
                <w:szCs w:val="20"/>
              </w:rPr>
              <w:t>Rohan Vanderputt</w:t>
            </w:r>
          </w:p>
        </w:tc>
        <w:tc>
          <w:tcPr>
            <w:tcW w:w="2347" w:type="dxa"/>
            <w:tcBorders>
              <w:top w:val="single" w:sz="4" w:space="0" w:color="auto"/>
              <w:left w:val="nil"/>
              <w:bottom w:val="single" w:sz="4" w:space="0" w:color="auto"/>
              <w:right w:val="single" w:sz="4" w:space="0" w:color="auto"/>
            </w:tcBorders>
            <w:shd w:val="clear" w:color="auto" w:fill="auto"/>
          </w:tcPr>
          <w:p w:rsidR="004C5B30" w:rsidRPr="00F93D0C" w:rsidRDefault="00171EAB" w:rsidP="00171EAB">
            <w:pPr>
              <w:spacing w:before="0" w:after="0"/>
              <w:jc w:val="center"/>
              <w:rPr>
                <w:sz w:val="20"/>
                <w:szCs w:val="20"/>
              </w:rPr>
            </w:pPr>
            <w:r w:rsidRPr="00F93D0C">
              <w:rPr>
                <w:sz w:val="20"/>
                <w:szCs w:val="20"/>
              </w:rPr>
              <w:t>“Minocycline in Alzheimer’s Disease Efficacy” (MADE)</w:t>
            </w:r>
          </w:p>
        </w:tc>
        <w:tc>
          <w:tcPr>
            <w:tcW w:w="1134" w:type="dxa"/>
            <w:tcBorders>
              <w:top w:val="single" w:sz="4" w:space="0" w:color="auto"/>
              <w:left w:val="nil"/>
              <w:bottom w:val="single" w:sz="4" w:space="0" w:color="auto"/>
              <w:right w:val="single" w:sz="4" w:space="0" w:color="auto"/>
            </w:tcBorders>
            <w:shd w:val="clear" w:color="auto" w:fill="auto"/>
          </w:tcPr>
          <w:p w:rsidR="004C5B30" w:rsidRPr="00F93D0C" w:rsidRDefault="004C5B30" w:rsidP="00DC3177">
            <w:pPr>
              <w:spacing w:before="0" w:after="0"/>
              <w:jc w:val="center"/>
              <w:rPr>
                <w:sz w:val="20"/>
                <w:szCs w:val="20"/>
              </w:rPr>
            </w:pPr>
            <w:r w:rsidRPr="00F93D0C">
              <w:rPr>
                <w:sz w:val="20"/>
                <w:szCs w:val="20"/>
              </w:rPr>
              <w:t>29</w:t>
            </w:r>
          </w:p>
        </w:tc>
        <w:tc>
          <w:tcPr>
            <w:tcW w:w="1038" w:type="dxa"/>
            <w:tcBorders>
              <w:top w:val="single" w:sz="4" w:space="0" w:color="auto"/>
              <w:left w:val="nil"/>
              <w:bottom w:val="single" w:sz="4" w:space="0" w:color="auto"/>
              <w:right w:val="single" w:sz="4" w:space="0" w:color="auto"/>
            </w:tcBorders>
            <w:shd w:val="clear" w:color="auto" w:fill="auto"/>
          </w:tcPr>
          <w:p w:rsidR="004C5B30" w:rsidRPr="00F93D0C" w:rsidRDefault="00361125" w:rsidP="00F22E3C">
            <w:pPr>
              <w:spacing w:before="0" w:after="0"/>
              <w:jc w:val="center"/>
              <w:rPr>
                <w:sz w:val="20"/>
                <w:szCs w:val="20"/>
              </w:rPr>
            </w:pPr>
            <w:proofErr w:type="spellStart"/>
            <w:r w:rsidRPr="00F93D0C">
              <w:rPr>
                <w:sz w:val="20"/>
                <w:szCs w:val="20"/>
              </w:rPr>
              <w:t>T</w:t>
            </w:r>
            <w:r w:rsidR="00F22E3C" w:rsidRPr="00F93D0C">
              <w:rPr>
                <w:sz w:val="20"/>
                <w:szCs w:val="20"/>
              </w:rPr>
              <w:t>bc</w:t>
            </w:r>
            <w:proofErr w:type="spellEnd"/>
          </w:p>
        </w:tc>
        <w:tc>
          <w:tcPr>
            <w:tcW w:w="3640" w:type="dxa"/>
            <w:tcBorders>
              <w:top w:val="single" w:sz="4" w:space="0" w:color="auto"/>
              <w:left w:val="nil"/>
              <w:bottom w:val="single" w:sz="4" w:space="0" w:color="auto"/>
              <w:right w:val="single" w:sz="4" w:space="0" w:color="auto"/>
            </w:tcBorders>
            <w:shd w:val="clear" w:color="auto" w:fill="auto"/>
          </w:tcPr>
          <w:p w:rsidR="004C5B30" w:rsidRPr="00F93D0C" w:rsidRDefault="00185136" w:rsidP="00DC3177">
            <w:pPr>
              <w:spacing w:before="0" w:after="0"/>
              <w:jc w:val="center"/>
              <w:rPr>
                <w:sz w:val="20"/>
                <w:szCs w:val="20"/>
              </w:rPr>
            </w:pPr>
            <w:r w:rsidRPr="00F93D0C">
              <w:rPr>
                <w:sz w:val="20"/>
                <w:szCs w:val="20"/>
              </w:rPr>
              <w:t>(IOP) Kings College</w:t>
            </w:r>
            <w:r w:rsidR="00171EAB" w:rsidRPr="00F93D0C">
              <w:rPr>
                <w:sz w:val="20"/>
                <w:szCs w:val="20"/>
              </w:rPr>
              <w:t xml:space="preserve"> &amp; SLAM</w:t>
            </w:r>
          </w:p>
        </w:tc>
      </w:tr>
      <w:tr w:rsidR="004C5B30" w:rsidRPr="00F93D0C" w:rsidTr="002D0EF7">
        <w:trPr>
          <w:trHeight w:val="473"/>
        </w:trPr>
        <w:tc>
          <w:tcPr>
            <w:tcW w:w="1921" w:type="dxa"/>
            <w:tcBorders>
              <w:top w:val="single" w:sz="4" w:space="0" w:color="auto"/>
              <w:left w:val="single" w:sz="4" w:space="0" w:color="auto"/>
              <w:bottom w:val="single" w:sz="4" w:space="0" w:color="auto"/>
              <w:right w:val="single" w:sz="4" w:space="0" w:color="auto"/>
            </w:tcBorders>
            <w:shd w:val="clear" w:color="auto" w:fill="auto"/>
          </w:tcPr>
          <w:p w:rsidR="004C5B30" w:rsidRPr="00F93D0C" w:rsidRDefault="00171EAB" w:rsidP="00DC3177">
            <w:pPr>
              <w:spacing w:before="0" w:after="0"/>
              <w:jc w:val="center"/>
              <w:rPr>
                <w:sz w:val="20"/>
                <w:szCs w:val="20"/>
              </w:rPr>
            </w:pPr>
            <w:r w:rsidRPr="00F93D0C">
              <w:rPr>
                <w:sz w:val="20"/>
                <w:szCs w:val="20"/>
              </w:rPr>
              <w:t>Rupert McShane</w:t>
            </w:r>
          </w:p>
        </w:tc>
        <w:tc>
          <w:tcPr>
            <w:tcW w:w="2347" w:type="dxa"/>
            <w:tcBorders>
              <w:top w:val="single" w:sz="4" w:space="0" w:color="auto"/>
              <w:left w:val="nil"/>
              <w:bottom w:val="single" w:sz="4" w:space="0" w:color="auto"/>
              <w:right w:val="single" w:sz="4" w:space="0" w:color="auto"/>
            </w:tcBorders>
            <w:shd w:val="clear" w:color="auto" w:fill="auto"/>
          </w:tcPr>
          <w:p w:rsidR="004C5B30" w:rsidRPr="00F93D0C" w:rsidRDefault="00171EAB" w:rsidP="00171EAB">
            <w:pPr>
              <w:spacing w:before="0" w:after="0"/>
              <w:jc w:val="center"/>
              <w:rPr>
                <w:sz w:val="20"/>
                <w:szCs w:val="20"/>
              </w:rPr>
            </w:pPr>
            <w:r w:rsidRPr="00F93D0C">
              <w:rPr>
                <w:rFonts w:cs="Arial"/>
                <w:sz w:val="20"/>
                <w:szCs w:val="20"/>
              </w:rPr>
              <w:t xml:space="preserve">Technology and </w:t>
            </w:r>
            <w:proofErr w:type="spellStart"/>
            <w:r w:rsidRPr="00F93D0C">
              <w:rPr>
                <w:rFonts w:cs="Arial"/>
                <w:sz w:val="20"/>
                <w:szCs w:val="20"/>
              </w:rPr>
              <w:t>Telecare</w:t>
            </w:r>
            <w:proofErr w:type="spellEnd"/>
            <w:r w:rsidRPr="00F93D0C">
              <w:rPr>
                <w:rFonts w:cs="Arial"/>
                <w:sz w:val="20"/>
                <w:szCs w:val="20"/>
              </w:rPr>
              <w:t xml:space="preserve"> to maintain Independent Living At home for people with dementia” (ATTILA)</w:t>
            </w:r>
          </w:p>
        </w:tc>
        <w:tc>
          <w:tcPr>
            <w:tcW w:w="1134" w:type="dxa"/>
            <w:tcBorders>
              <w:top w:val="single" w:sz="4" w:space="0" w:color="auto"/>
              <w:left w:val="nil"/>
              <w:bottom w:val="single" w:sz="4" w:space="0" w:color="auto"/>
              <w:right w:val="single" w:sz="4" w:space="0" w:color="auto"/>
            </w:tcBorders>
            <w:shd w:val="clear" w:color="auto" w:fill="auto"/>
          </w:tcPr>
          <w:p w:rsidR="004C5B30" w:rsidRPr="00F93D0C" w:rsidRDefault="004C5B30" w:rsidP="00DC3177">
            <w:pPr>
              <w:spacing w:before="0" w:after="0"/>
              <w:jc w:val="center"/>
              <w:rPr>
                <w:sz w:val="20"/>
                <w:szCs w:val="20"/>
              </w:rPr>
            </w:pPr>
            <w:r w:rsidRPr="00F93D0C">
              <w:rPr>
                <w:sz w:val="20"/>
                <w:szCs w:val="20"/>
              </w:rPr>
              <w:t>110</w:t>
            </w:r>
          </w:p>
        </w:tc>
        <w:tc>
          <w:tcPr>
            <w:tcW w:w="1038" w:type="dxa"/>
            <w:tcBorders>
              <w:top w:val="single" w:sz="4" w:space="0" w:color="auto"/>
              <w:left w:val="nil"/>
              <w:bottom w:val="single" w:sz="4" w:space="0" w:color="auto"/>
              <w:right w:val="single" w:sz="4" w:space="0" w:color="auto"/>
            </w:tcBorders>
            <w:shd w:val="clear" w:color="auto" w:fill="auto"/>
          </w:tcPr>
          <w:p w:rsidR="004C5B30" w:rsidRPr="00F93D0C" w:rsidRDefault="00171EAB" w:rsidP="00CE15B9">
            <w:pPr>
              <w:spacing w:before="0" w:after="0"/>
              <w:jc w:val="center"/>
              <w:rPr>
                <w:sz w:val="20"/>
                <w:szCs w:val="20"/>
              </w:rPr>
            </w:pPr>
            <w:r w:rsidRPr="00F93D0C">
              <w:rPr>
                <w:sz w:val="20"/>
                <w:szCs w:val="20"/>
              </w:rPr>
              <w:t>2yrs</w:t>
            </w:r>
          </w:p>
        </w:tc>
        <w:tc>
          <w:tcPr>
            <w:tcW w:w="3640" w:type="dxa"/>
            <w:tcBorders>
              <w:top w:val="single" w:sz="4" w:space="0" w:color="auto"/>
              <w:left w:val="nil"/>
              <w:bottom w:val="single" w:sz="4" w:space="0" w:color="auto"/>
              <w:right w:val="single" w:sz="4" w:space="0" w:color="auto"/>
            </w:tcBorders>
            <w:shd w:val="clear" w:color="auto" w:fill="auto"/>
          </w:tcPr>
          <w:p w:rsidR="004C5B30" w:rsidRPr="00F93D0C" w:rsidRDefault="00171EAB" w:rsidP="00DC3177">
            <w:pPr>
              <w:spacing w:before="0" w:after="0"/>
              <w:jc w:val="center"/>
              <w:rPr>
                <w:sz w:val="20"/>
                <w:szCs w:val="20"/>
              </w:rPr>
            </w:pPr>
            <w:r w:rsidRPr="00F93D0C">
              <w:rPr>
                <w:sz w:val="20"/>
                <w:szCs w:val="20"/>
              </w:rPr>
              <w:t>Kings College</w:t>
            </w:r>
          </w:p>
        </w:tc>
      </w:tr>
    </w:tbl>
    <w:p w:rsidR="007057D4" w:rsidRDefault="008C7E6B" w:rsidP="0069120C">
      <w:pPr>
        <w:pStyle w:val="Heading2"/>
      </w:pPr>
      <w:r w:rsidRPr="005168CC">
        <w:rPr>
          <w:lang w:val="en-GB"/>
        </w:rPr>
        <w:lastRenderedPageBreak/>
        <w:t>Applications in progress</w:t>
      </w:r>
      <w:r>
        <w:rPr>
          <w:lang w:val="en-GB"/>
        </w:rPr>
        <w:t xml:space="preserve"> (commercial)</w:t>
      </w:r>
    </w:p>
    <w:tbl>
      <w:tblPr>
        <w:tblW w:w="10080" w:type="dxa"/>
        <w:tblInd w:w="93" w:type="dxa"/>
        <w:tblLook w:val="04A0"/>
      </w:tblPr>
      <w:tblGrid>
        <w:gridCol w:w="1930"/>
        <w:gridCol w:w="2278"/>
        <w:gridCol w:w="1389"/>
        <w:gridCol w:w="1789"/>
        <w:gridCol w:w="2694"/>
      </w:tblGrid>
      <w:tr w:rsidR="008C7E6B" w:rsidRPr="00F93D0C" w:rsidTr="00F93D0C">
        <w:trPr>
          <w:trHeight w:val="521"/>
        </w:trPr>
        <w:tc>
          <w:tcPr>
            <w:tcW w:w="1930" w:type="dxa"/>
            <w:tcBorders>
              <w:top w:val="single" w:sz="8" w:space="0" w:color="auto"/>
              <w:left w:val="single" w:sz="4" w:space="0" w:color="auto"/>
              <w:bottom w:val="single" w:sz="8" w:space="0" w:color="auto"/>
              <w:right w:val="single" w:sz="4" w:space="0" w:color="auto"/>
            </w:tcBorders>
            <w:shd w:val="clear" w:color="000000" w:fill="D9D9D9"/>
            <w:hideMark/>
          </w:tcPr>
          <w:p w:rsidR="008C7E6B" w:rsidRPr="00F93D0C" w:rsidRDefault="008C7E6B" w:rsidP="00A557AC">
            <w:pPr>
              <w:spacing w:before="0" w:after="0"/>
              <w:jc w:val="center"/>
              <w:rPr>
                <w:sz w:val="20"/>
                <w:szCs w:val="20"/>
              </w:rPr>
            </w:pPr>
            <w:r w:rsidRPr="00F93D0C">
              <w:rPr>
                <w:sz w:val="20"/>
                <w:szCs w:val="20"/>
              </w:rPr>
              <w:t>Investigator</w:t>
            </w:r>
            <w:r w:rsidRPr="00F93D0C">
              <w:rPr>
                <w:sz w:val="20"/>
                <w:szCs w:val="20"/>
              </w:rPr>
              <w:br/>
              <w:t>or Trust Lead</w:t>
            </w:r>
          </w:p>
        </w:tc>
        <w:tc>
          <w:tcPr>
            <w:tcW w:w="2278" w:type="dxa"/>
            <w:tcBorders>
              <w:top w:val="single" w:sz="8" w:space="0" w:color="auto"/>
              <w:left w:val="single" w:sz="4" w:space="0" w:color="auto"/>
              <w:bottom w:val="single" w:sz="8" w:space="0" w:color="auto"/>
              <w:right w:val="single" w:sz="4" w:space="0" w:color="auto"/>
            </w:tcBorders>
            <w:shd w:val="clear" w:color="000000" w:fill="D9D9D9"/>
            <w:hideMark/>
          </w:tcPr>
          <w:p w:rsidR="008C7E6B" w:rsidRPr="00F93D0C" w:rsidRDefault="008C7E6B" w:rsidP="00A557AC">
            <w:pPr>
              <w:spacing w:before="0" w:after="0"/>
              <w:jc w:val="center"/>
              <w:rPr>
                <w:sz w:val="20"/>
                <w:szCs w:val="20"/>
              </w:rPr>
            </w:pPr>
            <w:r w:rsidRPr="00F93D0C">
              <w:rPr>
                <w:sz w:val="20"/>
                <w:szCs w:val="20"/>
              </w:rPr>
              <w:t>Study Description</w:t>
            </w:r>
          </w:p>
        </w:tc>
        <w:tc>
          <w:tcPr>
            <w:tcW w:w="1389" w:type="dxa"/>
            <w:tcBorders>
              <w:top w:val="single" w:sz="8" w:space="0" w:color="auto"/>
              <w:left w:val="nil"/>
              <w:bottom w:val="single" w:sz="8" w:space="0" w:color="auto"/>
              <w:right w:val="single" w:sz="4" w:space="0" w:color="auto"/>
            </w:tcBorders>
            <w:shd w:val="clear" w:color="000000" w:fill="D9D9D9"/>
            <w:hideMark/>
          </w:tcPr>
          <w:p w:rsidR="008C7E6B" w:rsidRPr="00F93D0C" w:rsidRDefault="008C7E6B" w:rsidP="00A557AC">
            <w:pPr>
              <w:spacing w:before="0" w:after="0"/>
              <w:jc w:val="center"/>
              <w:rPr>
                <w:sz w:val="20"/>
                <w:szCs w:val="20"/>
              </w:rPr>
            </w:pPr>
            <w:r w:rsidRPr="00F93D0C">
              <w:rPr>
                <w:sz w:val="20"/>
                <w:szCs w:val="20"/>
              </w:rPr>
              <w:t>Value £</w:t>
            </w:r>
          </w:p>
        </w:tc>
        <w:tc>
          <w:tcPr>
            <w:tcW w:w="1789" w:type="dxa"/>
            <w:tcBorders>
              <w:top w:val="single" w:sz="8" w:space="0" w:color="auto"/>
              <w:left w:val="nil"/>
              <w:bottom w:val="single" w:sz="8" w:space="0" w:color="auto"/>
              <w:right w:val="single" w:sz="4" w:space="0" w:color="auto"/>
            </w:tcBorders>
            <w:shd w:val="clear" w:color="000000" w:fill="D9D9D9"/>
            <w:hideMark/>
          </w:tcPr>
          <w:p w:rsidR="008C7E6B" w:rsidRPr="00F93D0C" w:rsidRDefault="008C7E6B" w:rsidP="00A557AC">
            <w:pPr>
              <w:spacing w:before="0" w:after="0"/>
              <w:jc w:val="center"/>
              <w:rPr>
                <w:sz w:val="20"/>
                <w:szCs w:val="20"/>
              </w:rPr>
            </w:pPr>
            <w:r w:rsidRPr="00F93D0C">
              <w:rPr>
                <w:sz w:val="20"/>
                <w:szCs w:val="20"/>
              </w:rPr>
              <w:t>Duration</w:t>
            </w:r>
          </w:p>
        </w:tc>
        <w:tc>
          <w:tcPr>
            <w:tcW w:w="2694" w:type="dxa"/>
            <w:tcBorders>
              <w:top w:val="single" w:sz="8" w:space="0" w:color="auto"/>
              <w:left w:val="nil"/>
              <w:bottom w:val="single" w:sz="8" w:space="0" w:color="auto"/>
              <w:right w:val="single" w:sz="4" w:space="0" w:color="auto"/>
            </w:tcBorders>
            <w:shd w:val="clear" w:color="000000" w:fill="D9D9D9"/>
            <w:hideMark/>
          </w:tcPr>
          <w:p w:rsidR="008C7E6B" w:rsidRPr="00F93D0C" w:rsidRDefault="00D76D0B" w:rsidP="00D76D0B">
            <w:pPr>
              <w:spacing w:before="0" w:after="0"/>
              <w:jc w:val="center"/>
              <w:rPr>
                <w:sz w:val="20"/>
                <w:szCs w:val="20"/>
              </w:rPr>
            </w:pPr>
            <w:r w:rsidRPr="00F93D0C">
              <w:rPr>
                <w:sz w:val="20"/>
                <w:szCs w:val="20"/>
              </w:rPr>
              <w:t>Funder</w:t>
            </w:r>
          </w:p>
        </w:tc>
      </w:tr>
      <w:tr w:rsidR="008C7E6B" w:rsidRPr="00F93D0C" w:rsidTr="00F93D0C">
        <w:trPr>
          <w:trHeight w:val="231"/>
        </w:trPr>
        <w:tc>
          <w:tcPr>
            <w:tcW w:w="1930" w:type="dxa"/>
            <w:tcBorders>
              <w:top w:val="single" w:sz="8" w:space="0" w:color="auto"/>
              <w:left w:val="single" w:sz="4" w:space="0" w:color="auto"/>
              <w:bottom w:val="single" w:sz="8" w:space="0" w:color="auto"/>
              <w:right w:val="single" w:sz="4" w:space="0" w:color="auto"/>
            </w:tcBorders>
            <w:shd w:val="clear" w:color="auto" w:fill="auto"/>
            <w:hideMark/>
          </w:tcPr>
          <w:p w:rsidR="008C7E6B" w:rsidRPr="00F93D0C" w:rsidRDefault="008C7E6B" w:rsidP="00A557AC">
            <w:pPr>
              <w:spacing w:before="0" w:after="0"/>
              <w:jc w:val="center"/>
              <w:rPr>
                <w:sz w:val="20"/>
                <w:szCs w:val="20"/>
              </w:rPr>
            </w:pPr>
            <w:r w:rsidRPr="00F93D0C">
              <w:rPr>
                <w:sz w:val="20"/>
                <w:szCs w:val="20"/>
              </w:rPr>
              <w:t>John Geddes</w:t>
            </w:r>
          </w:p>
        </w:tc>
        <w:tc>
          <w:tcPr>
            <w:tcW w:w="2278" w:type="dxa"/>
            <w:tcBorders>
              <w:top w:val="single" w:sz="8" w:space="0" w:color="auto"/>
              <w:left w:val="nil"/>
              <w:bottom w:val="single" w:sz="8" w:space="0" w:color="auto"/>
              <w:right w:val="nil"/>
            </w:tcBorders>
            <w:shd w:val="clear" w:color="auto" w:fill="auto"/>
            <w:hideMark/>
          </w:tcPr>
          <w:p w:rsidR="008C7E6B" w:rsidRPr="00F93D0C" w:rsidRDefault="008C7E6B" w:rsidP="00A557AC">
            <w:pPr>
              <w:spacing w:before="0" w:after="0"/>
              <w:jc w:val="center"/>
              <w:rPr>
                <w:sz w:val="20"/>
                <w:szCs w:val="20"/>
              </w:rPr>
            </w:pPr>
            <w:r w:rsidRPr="00F93D0C">
              <w:rPr>
                <w:sz w:val="20"/>
                <w:szCs w:val="20"/>
              </w:rPr>
              <w:t>Commercial</w:t>
            </w:r>
          </w:p>
        </w:tc>
        <w:tc>
          <w:tcPr>
            <w:tcW w:w="1389" w:type="dxa"/>
            <w:tcBorders>
              <w:top w:val="single" w:sz="8" w:space="0" w:color="auto"/>
              <w:left w:val="single" w:sz="4" w:space="0" w:color="auto"/>
              <w:bottom w:val="single" w:sz="8" w:space="0" w:color="auto"/>
              <w:right w:val="single" w:sz="4" w:space="0" w:color="auto"/>
            </w:tcBorders>
            <w:shd w:val="clear" w:color="auto" w:fill="auto"/>
            <w:hideMark/>
          </w:tcPr>
          <w:p w:rsidR="008C7E6B" w:rsidRPr="00F93D0C" w:rsidRDefault="008E44CB" w:rsidP="008E44CB">
            <w:pPr>
              <w:spacing w:before="0" w:after="0"/>
              <w:jc w:val="center"/>
              <w:rPr>
                <w:sz w:val="20"/>
                <w:szCs w:val="20"/>
              </w:rPr>
            </w:pPr>
            <w:r w:rsidRPr="00F93D0C">
              <w:rPr>
                <w:sz w:val="20"/>
                <w:szCs w:val="20"/>
              </w:rPr>
              <w:t>152</w:t>
            </w:r>
          </w:p>
        </w:tc>
        <w:tc>
          <w:tcPr>
            <w:tcW w:w="1789" w:type="dxa"/>
            <w:tcBorders>
              <w:top w:val="single" w:sz="8" w:space="0" w:color="auto"/>
              <w:left w:val="nil"/>
              <w:bottom w:val="single" w:sz="8" w:space="0" w:color="auto"/>
              <w:right w:val="single" w:sz="4" w:space="0" w:color="auto"/>
            </w:tcBorders>
            <w:shd w:val="clear" w:color="auto" w:fill="auto"/>
            <w:hideMark/>
          </w:tcPr>
          <w:p w:rsidR="008C7E6B" w:rsidRPr="00F93D0C" w:rsidRDefault="008C7E6B" w:rsidP="00361125">
            <w:pPr>
              <w:spacing w:before="0" w:after="0"/>
              <w:jc w:val="center"/>
              <w:rPr>
                <w:sz w:val="20"/>
                <w:szCs w:val="20"/>
              </w:rPr>
            </w:pPr>
            <w:r w:rsidRPr="00F93D0C">
              <w:rPr>
                <w:sz w:val="20"/>
                <w:szCs w:val="20"/>
              </w:rPr>
              <w:t xml:space="preserve">15 </w:t>
            </w:r>
            <w:proofErr w:type="spellStart"/>
            <w:r w:rsidRPr="00F93D0C">
              <w:rPr>
                <w:sz w:val="20"/>
                <w:szCs w:val="20"/>
              </w:rPr>
              <w:t>mnths</w:t>
            </w:r>
            <w:proofErr w:type="spellEnd"/>
          </w:p>
        </w:tc>
        <w:tc>
          <w:tcPr>
            <w:tcW w:w="2694" w:type="dxa"/>
            <w:tcBorders>
              <w:top w:val="single" w:sz="8" w:space="0" w:color="auto"/>
              <w:left w:val="nil"/>
              <w:bottom w:val="single" w:sz="8" w:space="0" w:color="auto"/>
              <w:right w:val="single" w:sz="4" w:space="0" w:color="auto"/>
            </w:tcBorders>
            <w:shd w:val="clear" w:color="auto" w:fill="auto"/>
            <w:hideMark/>
          </w:tcPr>
          <w:p w:rsidR="008C7E6B" w:rsidRPr="00F93D0C" w:rsidRDefault="008C7E6B" w:rsidP="00A557AC">
            <w:pPr>
              <w:spacing w:before="0" w:after="0"/>
              <w:jc w:val="center"/>
              <w:rPr>
                <w:sz w:val="20"/>
                <w:szCs w:val="20"/>
              </w:rPr>
            </w:pPr>
            <w:r w:rsidRPr="00F93D0C">
              <w:rPr>
                <w:sz w:val="20"/>
                <w:szCs w:val="20"/>
              </w:rPr>
              <w:t>P1Vital</w:t>
            </w:r>
            <w:r w:rsidR="00D76D0B" w:rsidRPr="00F93D0C">
              <w:rPr>
                <w:sz w:val="20"/>
                <w:szCs w:val="20"/>
              </w:rPr>
              <w:t xml:space="preserve"> </w:t>
            </w:r>
            <w:r w:rsidRPr="00F93D0C">
              <w:rPr>
                <w:sz w:val="20"/>
                <w:szCs w:val="20"/>
              </w:rPr>
              <w:t>/</w:t>
            </w:r>
            <w:r w:rsidR="00D76D0B" w:rsidRPr="00F93D0C">
              <w:rPr>
                <w:sz w:val="20"/>
                <w:szCs w:val="20"/>
              </w:rPr>
              <w:t xml:space="preserve"> </w:t>
            </w:r>
            <w:proofErr w:type="spellStart"/>
            <w:r w:rsidRPr="00F93D0C">
              <w:rPr>
                <w:sz w:val="20"/>
                <w:szCs w:val="20"/>
              </w:rPr>
              <w:t>Sunivion</w:t>
            </w:r>
            <w:proofErr w:type="spellEnd"/>
          </w:p>
        </w:tc>
      </w:tr>
      <w:tr w:rsidR="00F22E3C" w:rsidRPr="00F93D0C" w:rsidTr="00F93D0C">
        <w:trPr>
          <w:trHeight w:val="231"/>
        </w:trPr>
        <w:tc>
          <w:tcPr>
            <w:tcW w:w="1930" w:type="dxa"/>
            <w:tcBorders>
              <w:top w:val="single" w:sz="8" w:space="0" w:color="auto"/>
              <w:left w:val="single" w:sz="4" w:space="0" w:color="auto"/>
              <w:bottom w:val="single" w:sz="4" w:space="0" w:color="auto"/>
              <w:right w:val="single" w:sz="4" w:space="0" w:color="auto"/>
            </w:tcBorders>
            <w:shd w:val="clear" w:color="auto" w:fill="auto"/>
          </w:tcPr>
          <w:p w:rsidR="00F22E3C" w:rsidRPr="00F93D0C" w:rsidRDefault="00F22E3C" w:rsidP="00A557AC">
            <w:pPr>
              <w:spacing w:before="0" w:after="0"/>
              <w:jc w:val="center"/>
              <w:rPr>
                <w:sz w:val="20"/>
                <w:szCs w:val="20"/>
              </w:rPr>
            </w:pPr>
            <w:r w:rsidRPr="00F93D0C">
              <w:rPr>
                <w:sz w:val="20"/>
                <w:szCs w:val="20"/>
              </w:rPr>
              <w:t>John Geddes</w:t>
            </w:r>
          </w:p>
        </w:tc>
        <w:tc>
          <w:tcPr>
            <w:tcW w:w="2278" w:type="dxa"/>
            <w:tcBorders>
              <w:top w:val="single" w:sz="8" w:space="0" w:color="auto"/>
              <w:left w:val="nil"/>
              <w:bottom w:val="single" w:sz="4" w:space="0" w:color="auto"/>
              <w:right w:val="nil"/>
            </w:tcBorders>
            <w:shd w:val="clear" w:color="auto" w:fill="auto"/>
          </w:tcPr>
          <w:p w:rsidR="00F22E3C" w:rsidRPr="00F93D0C" w:rsidRDefault="00F22E3C" w:rsidP="00A557AC">
            <w:pPr>
              <w:spacing w:before="0" w:after="0"/>
              <w:jc w:val="center"/>
              <w:rPr>
                <w:sz w:val="20"/>
                <w:szCs w:val="20"/>
              </w:rPr>
            </w:pPr>
            <w:r w:rsidRPr="00F93D0C">
              <w:rPr>
                <w:sz w:val="20"/>
                <w:szCs w:val="20"/>
              </w:rPr>
              <w:t>TAK375</w:t>
            </w:r>
          </w:p>
        </w:tc>
        <w:tc>
          <w:tcPr>
            <w:tcW w:w="1389" w:type="dxa"/>
            <w:tcBorders>
              <w:top w:val="single" w:sz="8" w:space="0" w:color="auto"/>
              <w:left w:val="single" w:sz="4" w:space="0" w:color="auto"/>
              <w:bottom w:val="single" w:sz="4" w:space="0" w:color="auto"/>
              <w:right w:val="single" w:sz="4" w:space="0" w:color="auto"/>
            </w:tcBorders>
            <w:shd w:val="clear" w:color="auto" w:fill="auto"/>
          </w:tcPr>
          <w:p w:rsidR="00F22E3C" w:rsidRPr="00F93D0C" w:rsidRDefault="00F22E3C" w:rsidP="008E44CB">
            <w:pPr>
              <w:spacing w:before="0" w:after="0"/>
              <w:jc w:val="center"/>
              <w:rPr>
                <w:sz w:val="20"/>
                <w:szCs w:val="20"/>
              </w:rPr>
            </w:pPr>
            <w:r w:rsidRPr="00F93D0C">
              <w:rPr>
                <w:sz w:val="20"/>
                <w:szCs w:val="20"/>
              </w:rPr>
              <w:t>25</w:t>
            </w:r>
          </w:p>
        </w:tc>
        <w:tc>
          <w:tcPr>
            <w:tcW w:w="1789" w:type="dxa"/>
            <w:tcBorders>
              <w:top w:val="single" w:sz="8" w:space="0" w:color="auto"/>
              <w:left w:val="nil"/>
              <w:bottom w:val="single" w:sz="4" w:space="0" w:color="auto"/>
              <w:right w:val="single" w:sz="4" w:space="0" w:color="auto"/>
            </w:tcBorders>
            <w:shd w:val="clear" w:color="auto" w:fill="auto"/>
          </w:tcPr>
          <w:p w:rsidR="00F22E3C" w:rsidRPr="00F93D0C" w:rsidRDefault="00F22E3C" w:rsidP="00A557AC">
            <w:pPr>
              <w:spacing w:before="0" w:after="0"/>
              <w:jc w:val="center"/>
              <w:rPr>
                <w:sz w:val="20"/>
                <w:szCs w:val="20"/>
              </w:rPr>
            </w:pPr>
            <w:r w:rsidRPr="00F93D0C">
              <w:rPr>
                <w:sz w:val="20"/>
                <w:szCs w:val="20"/>
              </w:rPr>
              <w:t>2yrs</w:t>
            </w:r>
          </w:p>
        </w:tc>
        <w:tc>
          <w:tcPr>
            <w:tcW w:w="2694" w:type="dxa"/>
            <w:tcBorders>
              <w:top w:val="single" w:sz="8" w:space="0" w:color="auto"/>
              <w:left w:val="nil"/>
              <w:bottom w:val="single" w:sz="4" w:space="0" w:color="auto"/>
              <w:right w:val="single" w:sz="4" w:space="0" w:color="auto"/>
            </w:tcBorders>
            <w:shd w:val="clear" w:color="auto" w:fill="auto"/>
          </w:tcPr>
          <w:p w:rsidR="00F22E3C" w:rsidRPr="00F93D0C" w:rsidRDefault="00F22E3C" w:rsidP="002516BA">
            <w:pPr>
              <w:spacing w:before="0" w:after="0"/>
              <w:jc w:val="center"/>
              <w:rPr>
                <w:sz w:val="20"/>
                <w:szCs w:val="20"/>
              </w:rPr>
            </w:pPr>
            <w:r w:rsidRPr="00F93D0C">
              <w:rPr>
                <w:sz w:val="20"/>
                <w:szCs w:val="20"/>
              </w:rPr>
              <w:t>Taked</w:t>
            </w:r>
            <w:r w:rsidR="002516BA" w:rsidRPr="00F93D0C">
              <w:rPr>
                <w:sz w:val="20"/>
                <w:szCs w:val="20"/>
              </w:rPr>
              <w:t>a</w:t>
            </w:r>
            <w:r w:rsidRPr="00F93D0C">
              <w:rPr>
                <w:sz w:val="20"/>
                <w:szCs w:val="20"/>
              </w:rPr>
              <w:t xml:space="preserve"> Global</w:t>
            </w:r>
          </w:p>
        </w:tc>
      </w:tr>
    </w:tbl>
    <w:p w:rsidR="00964BA8" w:rsidRPr="008C7E6B" w:rsidRDefault="00E05341" w:rsidP="0069120C">
      <w:pPr>
        <w:pStyle w:val="Heading2"/>
      </w:pPr>
      <w:r>
        <w:t>P</w:t>
      </w:r>
      <w:r w:rsidR="00964BA8" w:rsidRPr="008C7E6B">
        <w:t>otential applications</w:t>
      </w:r>
      <w:r w:rsidR="008C7E6B" w:rsidRPr="008C7E6B">
        <w:t xml:space="preserve"> (non-commercial)</w:t>
      </w:r>
    </w:p>
    <w:tbl>
      <w:tblPr>
        <w:tblW w:w="10080" w:type="dxa"/>
        <w:tblInd w:w="93" w:type="dxa"/>
        <w:tblLook w:val="04A0"/>
      </w:tblPr>
      <w:tblGrid>
        <w:gridCol w:w="1894"/>
        <w:gridCol w:w="2374"/>
        <w:gridCol w:w="1224"/>
        <w:gridCol w:w="1894"/>
        <w:gridCol w:w="2694"/>
      </w:tblGrid>
      <w:tr w:rsidR="008C7E6B" w:rsidRPr="00F93D0C" w:rsidTr="00F93D0C">
        <w:trPr>
          <w:trHeight w:val="539"/>
        </w:trPr>
        <w:tc>
          <w:tcPr>
            <w:tcW w:w="1894" w:type="dxa"/>
            <w:tcBorders>
              <w:top w:val="single" w:sz="8" w:space="0" w:color="auto"/>
              <w:left w:val="single" w:sz="4" w:space="0" w:color="auto"/>
              <w:bottom w:val="single" w:sz="8" w:space="0" w:color="auto"/>
              <w:right w:val="single" w:sz="4" w:space="0" w:color="auto"/>
            </w:tcBorders>
            <w:shd w:val="clear" w:color="000000" w:fill="D9D9D9"/>
            <w:hideMark/>
          </w:tcPr>
          <w:p w:rsidR="008C7E6B" w:rsidRPr="00F93D0C" w:rsidRDefault="008C7E6B" w:rsidP="00A557AC">
            <w:pPr>
              <w:spacing w:before="0" w:after="0"/>
              <w:jc w:val="center"/>
              <w:rPr>
                <w:sz w:val="20"/>
                <w:szCs w:val="20"/>
              </w:rPr>
            </w:pPr>
            <w:r w:rsidRPr="00F93D0C">
              <w:rPr>
                <w:sz w:val="20"/>
                <w:szCs w:val="20"/>
              </w:rPr>
              <w:t>Investigator</w:t>
            </w:r>
            <w:r w:rsidRPr="00F93D0C">
              <w:rPr>
                <w:sz w:val="20"/>
                <w:szCs w:val="20"/>
              </w:rPr>
              <w:br/>
              <w:t>or Trust Lead</w:t>
            </w:r>
          </w:p>
        </w:tc>
        <w:tc>
          <w:tcPr>
            <w:tcW w:w="2374" w:type="dxa"/>
            <w:tcBorders>
              <w:top w:val="single" w:sz="8" w:space="0" w:color="auto"/>
              <w:left w:val="single" w:sz="4" w:space="0" w:color="auto"/>
              <w:bottom w:val="single" w:sz="8" w:space="0" w:color="auto"/>
              <w:right w:val="single" w:sz="4" w:space="0" w:color="auto"/>
            </w:tcBorders>
            <w:shd w:val="clear" w:color="000000" w:fill="D9D9D9"/>
            <w:hideMark/>
          </w:tcPr>
          <w:p w:rsidR="008C7E6B" w:rsidRPr="00F93D0C" w:rsidRDefault="008C7E6B" w:rsidP="00A557AC">
            <w:pPr>
              <w:spacing w:before="0" w:after="0"/>
              <w:jc w:val="center"/>
              <w:rPr>
                <w:sz w:val="20"/>
                <w:szCs w:val="20"/>
              </w:rPr>
            </w:pPr>
            <w:r w:rsidRPr="00F93D0C">
              <w:rPr>
                <w:sz w:val="20"/>
                <w:szCs w:val="20"/>
              </w:rPr>
              <w:t>Study Description</w:t>
            </w:r>
          </w:p>
        </w:tc>
        <w:tc>
          <w:tcPr>
            <w:tcW w:w="1224" w:type="dxa"/>
            <w:tcBorders>
              <w:top w:val="single" w:sz="8" w:space="0" w:color="auto"/>
              <w:left w:val="nil"/>
              <w:bottom w:val="single" w:sz="8" w:space="0" w:color="auto"/>
              <w:right w:val="single" w:sz="4" w:space="0" w:color="auto"/>
            </w:tcBorders>
            <w:shd w:val="clear" w:color="000000" w:fill="D9D9D9"/>
            <w:hideMark/>
          </w:tcPr>
          <w:p w:rsidR="008C7E6B" w:rsidRPr="00F93D0C" w:rsidRDefault="008C7E6B" w:rsidP="00A557AC">
            <w:pPr>
              <w:spacing w:before="0" w:after="0"/>
              <w:jc w:val="center"/>
              <w:rPr>
                <w:sz w:val="20"/>
                <w:szCs w:val="20"/>
              </w:rPr>
            </w:pPr>
            <w:r w:rsidRPr="00F93D0C">
              <w:rPr>
                <w:sz w:val="20"/>
                <w:szCs w:val="20"/>
              </w:rPr>
              <w:t>Value £</w:t>
            </w:r>
          </w:p>
        </w:tc>
        <w:tc>
          <w:tcPr>
            <w:tcW w:w="1894" w:type="dxa"/>
            <w:tcBorders>
              <w:top w:val="single" w:sz="8" w:space="0" w:color="auto"/>
              <w:left w:val="nil"/>
              <w:bottom w:val="single" w:sz="8" w:space="0" w:color="auto"/>
              <w:right w:val="single" w:sz="4" w:space="0" w:color="auto"/>
            </w:tcBorders>
            <w:shd w:val="clear" w:color="000000" w:fill="D9D9D9"/>
            <w:hideMark/>
          </w:tcPr>
          <w:p w:rsidR="008C7E6B" w:rsidRPr="00F93D0C" w:rsidRDefault="008C7E6B" w:rsidP="00A557AC">
            <w:pPr>
              <w:spacing w:before="0" w:after="0"/>
              <w:jc w:val="center"/>
              <w:rPr>
                <w:sz w:val="20"/>
                <w:szCs w:val="20"/>
              </w:rPr>
            </w:pPr>
            <w:r w:rsidRPr="00F93D0C">
              <w:rPr>
                <w:sz w:val="20"/>
                <w:szCs w:val="20"/>
              </w:rPr>
              <w:t>Duration</w:t>
            </w:r>
          </w:p>
        </w:tc>
        <w:tc>
          <w:tcPr>
            <w:tcW w:w="2694" w:type="dxa"/>
            <w:tcBorders>
              <w:top w:val="single" w:sz="8" w:space="0" w:color="auto"/>
              <w:left w:val="nil"/>
              <w:bottom w:val="single" w:sz="8" w:space="0" w:color="auto"/>
              <w:right w:val="single" w:sz="4" w:space="0" w:color="auto"/>
            </w:tcBorders>
            <w:shd w:val="clear" w:color="000000" w:fill="D9D9D9"/>
            <w:hideMark/>
          </w:tcPr>
          <w:p w:rsidR="008C7E6B" w:rsidRPr="00F93D0C" w:rsidRDefault="008C7E6B" w:rsidP="00A557AC">
            <w:pPr>
              <w:spacing w:before="0" w:after="0"/>
              <w:jc w:val="center"/>
              <w:rPr>
                <w:sz w:val="20"/>
                <w:szCs w:val="20"/>
              </w:rPr>
            </w:pPr>
            <w:r w:rsidRPr="00F93D0C">
              <w:rPr>
                <w:sz w:val="20"/>
                <w:szCs w:val="20"/>
              </w:rPr>
              <w:t>Funder</w:t>
            </w:r>
          </w:p>
        </w:tc>
      </w:tr>
      <w:tr w:rsidR="008C7E6B" w:rsidRPr="00F93D0C" w:rsidTr="00F93D0C">
        <w:trPr>
          <w:trHeight w:val="403"/>
        </w:trPr>
        <w:tc>
          <w:tcPr>
            <w:tcW w:w="1894" w:type="dxa"/>
            <w:tcBorders>
              <w:top w:val="nil"/>
              <w:left w:val="single" w:sz="4" w:space="0" w:color="auto"/>
              <w:bottom w:val="single" w:sz="4" w:space="0" w:color="auto"/>
              <w:right w:val="single" w:sz="4" w:space="0" w:color="auto"/>
            </w:tcBorders>
            <w:shd w:val="clear" w:color="auto" w:fill="auto"/>
            <w:hideMark/>
          </w:tcPr>
          <w:p w:rsidR="008C7E6B" w:rsidRPr="00F93D0C" w:rsidRDefault="008C7E6B" w:rsidP="00A557AC">
            <w:pPr>
              <w:spacing w:before="0" w:after="0"/>
              <w:jc w:val="center"/>
              <w:rPr>
                <w:sz w:val="20"/>
                <w:szCs w:val="20"/>
              </w:rPr>
            </w:pPr>
            <w:r w:rsidRPr="00F93D0C">
              <w:rPr>
                <w:sz w:val="20"/>
                <w:szCs w:val="20"/>
              </w:rPr>
              <w:t>Matthew Broome</w:t>
            </w:r>
          </w:p>
        </w:tc>
        <w:tc>
          <w:tcPr>
            <w:tcW w:w="2374" w:type="dxa"/>
            <w:tcBorders>
              <w:top w:val="nil"/>
              <w:left w:val="nil"/>
              <w:bottom w:val="single" w:sz="4" w:space="0" w:color="auto"/>
              <w:right w:val="single" w:sz="4" w:space="0" w:color="auto"/>
            </w:tcBorders>
            <w:shd w:val="clear" w:color="auto" w:fill="auto"/>
            <w:hideMark/>
          </w:tcPr>
          <w:p w:rsidR="008C7E6B" w:rsidRPr="00F93D0C" w:rsidRDefault="008C7E6B" w:rsidP="00A557AC">
            <w:pPr>
              <w:spacing w:before="0" w:after="0"/>
              <w:jc w:val="center"/>
              <w:rPr>
                <w:sz w:val="20"/>
                <w:szCs w:val="20"/>
              </w:rPr>
            </w:pPr>
            <w:proofErr w:type="spellStart"/>
            <w:r w:rsidRPr="00F93D0C">
              <w:rPr>
                <w:sz w:val="20"/>
                <w:szCs w:val="20"/>
              </w:rPr>
              <w:t>Autisum</w:t>
            </w:r>
            <w:proofErr w:type="spellEnd"/>
          </w:p>
        </w:tc>
        <w:tc>
          <w:tcPr>
            <w:tcW w:w="1224" w:type="dxa"/>
            <w:tcBorders>
              <w:top w:val="nil"/>
              <w:left w:val="nil"/>
              <w:bottom w:val="single" w:sz="4" w:space="0" w:color="auto"/>
              <w:right w:val="single" w:sz="4" w:space="0" w:color="auto"/>
            </w:tcBorders>
            <w:shd w:val="clear" w:color="auto" w:fill="auto"/>
            <w:hideMark/>
          </w:tcPr>
          <w:p w:rsidR="008C7E6B" w:rsidRPr="00F93D0C" w:rsidRDefault="008C7E6B" w:rsidP="00A557AC">
            <w:pPr>
              <w:spacing w:before="0" w:after="0"/>
              <w:jc w:val="center"/>
              <w:rPr>
                <w:sz w:val="20"/>
                <w:szCs w:val="20"/>
              </w:rPr>
            </w:pPr>
            <w:r w:rsidRPr="00F93D0C">
              <w:rPr>
                <w:sz w:val="20"/>
                <w:szCs w:val="20"/>
              </w:rPr>
              <w:t>£350k</w:t>
            </w:r>
          </w:p>
        </w:tc>
        <w:tc>
          <w:tcPr>
            <w:tcW w:w="1894" w:type="dxa"/>
            <w:tcBorders>
              <w:top w:val="nil"/>
              <w:left w:val="nil"/>
              <w:bottom w:val="single" w:sz="4" w:space="0" w:color="auto"/>
              <w:right w:val="single" w:sz="4" w:space="0" w:color="auto"/>
            </w:tcBorders>
            <w:shd w:val="clear" w:color="auto" w:fill="auto"/>
            <w:hideMark/>
          </w:tcPr>
          <w:p w:rsidR="008C7E6B" w:rsidRPr="00F93D0C" w:rsidRDefault="008C7E6B" w:rsidP="00A557AC">
            <w:pPr>
              <w:spacing w:before="0" w:after="0"/>
              <w:jc w:val="center"/>
              <w:rPr>
                <w:sz w:val="20"/>
                <w:szCs w:val="20"/>
              </w:rPr>
            </w:pPr>
            <w:r w:rsidRPr="00F93D0C">
              <w:rPr>
                <w:sz w:val="20"/>
                <w:szCs w:val="20"/>
              </w:rPr>
              <w:t>2.5yrs</w:t>
            </w:r>
          </w:p>
        </w:tc>
        <w:tc>
          <w:tcPr>
            <w:tcW w:w="2694" w:type="dxa"/>
            <w:tcBorders>
              <w:top w:val="nil"/>
              <w:left w:val="nil"/>
              <w:bottom w:val="single" w:sz="4" w:space="0" w:color="auto"/>
              <w:right w:val="single" w:sz="4" w:space="0" w:color="auto"/>
            </w:tcBorders>
            <w:shd w:val="clear" w:color="auto" w:fill="auto"/>
            <w:hideMark/>
          </w:tcPr>
          <w:p w:rsidR="008C7E6B" w:rsidRPr="00F93D0C" w:rsidRDefault="008C7E6B" w:rsidP="00A557AC">
            <w:pPr>
              <w:spacing w:before="0" w:after="0"/>
              <w:jc w:val="center"/>
              <w:rPr>
                <w:sz w:val="20"/>
                <w:szCs w:val="20"/>
              </w:rPr>
            </w:pPr>
            <w:r w:rsidRPr="00F93D0C">
              <w:rPr>
                <w:sz w:val="20"/>
                <w:szCs w:val="20"/>
              </w:rPr>
              <w:t>NIHR</w:t>
            </w:r>
          </w:p>
        </w:tc>
      </w:tr>
      <w:tr w:rsidR="008C7E6B" w:rsidRPr="00F93D0C" w:rsidTr="00A5483D">
        <w:trPr>
          <w:trHeight w:val="333"/>
        </w:trPr>
        <w:tc>
          <w:tcPr>
            <w:tcW w:w="1894" w:type="dxa"/>
            <w:tcBorders>
              <w:top w:val="nil"/>
              <w:left w:val="single" w:sz="4" w:space="0" w:color="auto"/>
              <w:bottom w:val="single" w:sz="4" w:space="0" w:color="auto"/>
              <w:right w:val="single" w:sz="4" w:space="0" w:color="auto"/>
            </w:tcBorders>
            <w:shd w:val="clear" w:color="auto" w:fill="auto"/>
            <w:hideMark/>
          </w:tcPr>
          <w:p w:rsidR="008C7E6B" w:rsidRPr="00F93D0C" w:rsidRDefault="008C7E6B" w:rsidP="00A557AC">
            <w:pPr>
              <w:spacing w:before="0" w:after="0"/>
              <w:jc w:val="center"/>
              <w:rPr>
                <w:sz w:val="20"/>
                <w:szCs w:val="20"/>
              </w:rPr>
            </w:pPr>
            <w:r w:rsidRPr="00F93D0C">
              <w:rPr>
                <w:sz w:val="20"/>
                <w:szCs w:val="20"/>
              </w:rPr>
              <w:t xml:space="preserve">Katharina </w:t>
            </w:r>
            <w:proofErr w:type="spellStart"/>
            <w:r w:rsidRPr="00F93D0C">
              <w:rPr>
                <w:sz w:val="20"/>
                <w:szCs w:val="20"/>
              </w:rPr>
              <w:t>Wulff</w:t>
            </w:r>
            <w:proofErr w:type="spellEnd"/>
          </w:p>
        </w:tc>
        <w:tc>
          <w:tcPr>
            <w:tcW w:w="2374" w:type="dxa"/>
            <w:tcBorders>
              <w:top w:val="nil"/>
              <w:left w:val="nil"/>
              <w:bottom w:val="single" w:sz="4" w:space="0" w:color="auto"/>
              <w:right w:val="single" w:sz="4" w:space="0" w:color="auto"/>
            </w:tcBorders>
            <w:shd w:val="clear" w:color="auto" w:fill="auto"/>
            <w:hideMark/>
          </w:tcPr>
          <w:p w:rsidR="008C7E6B" w:rsidRPr="00F93D0C" w:rsidRDefault="008C7E6B" w:rsidP="00A5483D">
            <w:pPr>
              <w:spacing w:before="0" w:after="0"/>
              <w:jc w:val="center"/>
              <w:rPr>
                <w:sz w:val="20"/>
                <w:szCs w:val="20"/>
              </w:rPr>
            </w:pPr>
            <w:r w:rsidRPr="00F93D0C">
              <w:rPr>
                <w:sz w:val="20"/>
                <w:szCs w:val="20"/>
              </w:rPr>
              <w:t>Sleep Study</w:t>
            </w:r>
          </w:p>
        </w:tc>
        <w:tc>
          <w:tcPr>
            <w:tcW w:w="1224" w:type="dxa"/>
            <w:tcBorders>
              <w:top w:val="nil"/>
              <w:left w:val="nil"/>
              <w:bottom w:val="single" w:sz="4" w:space="0" w:color="auto"/>
              <w:right w:val="single" w:sz="4" w:space="0" w:color="auto"/>
            </w:tcBorders>
            <w:shd w:val="clear" w:color="auto" w:fill="auto"/>
            <w:hideMark/>
          </w:tcPr>
          <w:p w:rsidR="008C7E6B" w:rsidRPr="00F93D0C" w:rsidRDefault="00F22E3C" w:rsidP="00F22E3C">
            <w:pPr>
              <w:spacing w:before="0" w:after="0"/>
              <w:jc w:val="center"/>
              <w:rPr>
                <w:sz w:val="20"/>
                <w:szCs w:val="20"/>
              </w:rPr>
            </w:pPr>
            <w:proofErr w:type="spellStart"/>
            <w:r w:rsidRPr="00F93D0C">
              <w:rPr>
                <w:sz w:val="20"/>
                <w:szCs w:val="20"/>
              </w:rPr>
              <w:t>tbc</w:t>
            </w:r>
            <w:proofErr w:type="spellEnd"/>
            <w:r w:rsidR="008C7E6B" w:rsidRPr="00F93D0C">
              <w:rPr>
                <w:sz w:val="20"/>
                <w:szCs w:val="20"/>
              </w:rPr>
              <w:t> </w:t>
            </w:r>
          </w:p>
        </w:tc>
        <w:tc>
          <w:tcPr>
            <w:tcW w:w="1894" w:type="dxa"/>
            <w:tcBorders>
              <w:top w:val="nil"/>
              <w:left w:val="nil"/>
              <w:bottom w:val="single" w:sz="4" w:space="0" w:color="auto"/>
              <w:right w:val="single" w:sz="4" w:space="0" w:color="auto"/>
            </w:tcBorders>
            <w:shd w:val="clear" w:color="auto" w:fill="auto"/>
            <w:hideMark/>
          </w:tcPr>
          <w:p w:rsidR="008C7E6B" w:rsidRPr="00F93D0C" w:rsidRDefault="00F22E3C" w:rsidP="00F22E3C">
            <w:pPr>
              <w:spacing w:before="0" w:after="0"/>
              <w:jc w:val="center"/>
              <w:rPr>
                <w:sz w:val="20"/>
                <w:szCs w:val="20"/>
              </w:rPr>
            </w:pPr>
            <w:proofErr w:type="spellStart"/>
            <w:r w:rsidRPr="00F93D0C">
              <w:rPr>
                <w:sz w:val="20"/>
                <w:szCs w:val="20"/>
              </w:rPr>
              <w:t>tbc</w:t>
            </w:r>
            <w:proofErr w:type="spellEnd"/>
          </w:p>
        </w:tc>
        <w:tc>
          <w:tcPr>
            <w:tcW w:w="2694" w:type="dxa"/>
            <w:tcBorders>
              <w:top w:val="nil"/>
              <w:left w:val="nil"/>
              <w:bottom w:val="single" w:sz="4" w:space="0" w:color="auto"/>
              <w:right w:val="single" w:sz="4" w:space="0" w:color="auto"/>
            </w:tcBorders>
            <w:shd w:val="clear" w:color="auto" w:fill="auto"/>
            <w:hideMark/>
          </w:tcPr>
          <w:p w:rsidR="008C7E6B" w:rsidRPr="00F93D0C" w:rsidRDefault="00A5483D" w:rsidP="00A557AC">
            <w:pPr>
              <w:spacing w:before="0" w:after="0"/>
              <w:jc w:val="center"/>
              <w:rPr>
                <w:sz w:val="20"/>
                <w:szCs w:val="20"/>
              </w:rPr>
            </w:pPr>
            <w:r>
              <w:rPr>
                <w:sz w:val="20"/>
                <w:szCs w:val="20"/>
              </w:rPr>
              <w:t>M</w:t>
            </w:r>
            <w:r w:rsidR="008C7E6B" w:rsidRPr="00F93D0C">
              <w:rPr>
                <w:sz w:val="20"/>
                <w:szCs w:val="20"/>
              </w:rPr>
              <w:t>RC</w:t>
            </w:r>
          </w:p>
        </w:tc>
      </w:tr>
      <w:tr w:rsidR="008C7E6B" w:rsidRPr="00F93D0C" w:rsidTr="00A5483D">
        <w:trPr>
          <w:trHeight w:val="326"/>
        </w:trPr>
        <w:tc>
          <w:tcPr>
            <w:tcW w:w="1894" w:type="dxa"/>
            <w:tcBorders>
              <w:top w:val="nil"/>
              <w:left w:val="single" w:sz="4" w:space="0" w:color="auto"/>
              <w:bottom w:val="single" w:sz="4" w:space="0" w:color="auto"/>
              <w:right w:val="single" w:sz="4" w:space="0" w:color="auto"/>
            </w:tcBorders>
            <w:shd w:val="clear" w:color="auto" w:fill="auto"/>
            <w:hideMark/>
          </w:tcPr>
          <w:p w:rsidR="008C7E6B" w:rsidRPr="00F93D0C" w:rsidRDefault="008C7E6B" w:rsidP="00A557AC">
            <w:pPr>
              <w:spacing w:before="0" w:after="0"/>
              <w:jc w:val="center"/>
              <w:rPr>
                <w:sz w:val="20"/>
                <w:szCs w:val="20"/>
              </w:rPr>
            </w:pPr>
            <w:r w:rsidRPr="00F93D0C">
              <w:rPr>
                <w:sz w:val="20"/>
                <w:szCs w:val="20"/>
              </w:rPr>
              <w:t>John Geddes</w:t>
            </w:r>
          </w:p>
        </w:tc>
        <w:tc>
          <w:tcPr>
            <w:tcW w:w="2374" w:type="dxa"/>
            <w:tcBorders>
              <w:top w:val="single" w:sz="4" w:space="0" w:color="auto"/>
              <w:left w:val="nil"/>
              <w:bottom w:val="single" w:sz="4" w:space="0" w:color="auto"/>
              <w:right w:val="single" w:sz="4" w:space="0" w:color="auto"/>
            </w:tcBorders>
            <w:shd w:val="clear" w:color="auto" w:fill="auto"/>
            <w:hideMark/>
          </w:tcPr>
          <w:p w:rsidR="008C7E6B" w:rsidRPr="00F93D0C" w:rsidRDefault="008C7E6B" w:rsidP="00A557AC">
            <w:pPr>
              <w:spacing w:before="0" w:after="0"/>
              <w:jc w:val="center"/>
              <w:rPr>
                <w:sz w:val="20"/>
                <w:szCs w:val="20"/>
              </w:rPr>
            </w:pPr>
            <w:r w:rsidRPr="00F93D0C">
              <w:rPr>
                <w:sz w:val="20"/>
                <w:szCs w:val="20"/>
              </w:rPr>
              <w:t xml:space="preserve">True </w:t>
            </w:r>
            <w:proofErr w:type="spellStart"/>
            <w:r w:rsidRPr="00F93D0C">
              <w:rPr>
                <w:sz w:val="20"/>
                <w:szCs w:val="20"/>
              </w:rPr>
              <w:t>Colours</w:t>
            </w:r>
            <w:proofErr w:type="spellEnd"/>
            <w:r w:rsidRPr="00F93D0C">
              <w:rPr>
                <w:sz w:val="20"/>
                <w:szCs w:val="20"/>
              </w:rPr>
              <w:t xml:space="preserve"> extension</w:t>
            </w:r>
          </w:p>
        </w:tc>
        <w:tc>
          <w:tcPr>
            <w:tcW w:w="1224" w:type="dxa"/>
            <w:tcBorders>
              <w:top w:val="nil"/>
              <w:left w:val="nil"/>
              <w:bottom w:val="single" w:sz="4" w:space="0" w:color="auto"/>
              <w:right w:val="single" w:sz="4" w:space="0" w:color="auto"/>
            </w:tcBorders>
            <w:shd w:val="clear" w:color="auto" w:fill="auto"/>
            <w:hideMark/>
          </w:tcPr>
          <w:p w:rsidR="008C7E6B" w:rsidRPr="00F93D0C" w:rsidRDefault="008C7E6B" w:rsidP="00A557AC">
            <w:pPr>
              <w:spacing w:before="0" w:after="0"/>
              <w:jc w:val="center"/>
              <w:rPr>
                <w:sz w:val="20"/>
                <w:szCs w:val="20"/>
              </w:rPr>
            </w:pPr>
            <w:r w:rsidRPr="00F93D0C">
              <w:rPr>
                <w:sz w:val="20"/>
                <w:szCs w:val="20"/>
              </w:rPr>
              <w:t>£1.6m</w:t>
            </w:r>
          </w:p>
        </w:tc>
        <w:tc>
          <w:tcPr>
            <w:tcW w:w="1894" w:type="dxa"/>
            <w:tcBorders>
              <w:top w:val="nil"/>
              <w:left w:val="nil"/>
              <w:bottom w:val="single" w:sz="4" w:space="0" w:color="auto"/>
              <w:right w:val="single" w:sz="4" w:space="0" w:color="auto"/>
            </w:tcBorders>
            <w:shd w:val="clear" w:color="auto" w:fill="auto"/>
            <w:hideMark/>
          </w:tcPr>
          <w:p w:rsidR="008C7E6B" w:rsidRPr="00F93D0C" w:rsidRDefault="008C7E6B" w:rsidP="00A557AC">
            <w:pPr>
              <w:spacing w:before="0" w:after="0"/>
              <w:jc w:val="center"/>
              <w:rPr>
                <w:sz w:val="20"/>
                <w:szCs w:val="20"/>
              </w:rPr>
            </w:pPr>
            <w:r w:rsidRPr="00F93D0C">
              <w:rPr>
                <w:sz w:val="20"/>
                <w:szCs w:val="20"/>
              </w:rPr>
              <w:t>4yrs</w:t>
            </w:r>
          </w:p>
        </w:tc>
        <w:tc>
          <w:tcPr>
            <w:tcW w:w="2694" w:type="dxa"/>
            <w:tcBorders>
              <w:top w:val="single" w:sz="4" w:space="0" w:color="auto"/>
              <w:left w:val="nil"/>
              <w:bottom w:val="single" w:sz="4" w:space="0" w:color="auto"/>
              <w:right w:val="single" w:sz="4" w:space="0" w:color="auto"/>
            </w:tcBorders>
            <w:shd w:val="clear" w:color="auto" w:fill="auto"/>
            <w:hideMark/>
          </w:tcPr>
          <w:p w:rsidR="008C7E6B" w:rsidRPr="00F93D0C" w:rsidRDefault="008C7E6B" w:rsidP="00A557AC">
            <w:pPr>
              <w:spacing w:before="0" w:after="0"/>
              <w:jc w:val="center"/>
              <w:rPr>
                <w:sz w:val="20"/>
                <w:szCs w:val="20"/>
              </w:rPr>
            </w:pPr>
            <w:r w:rsidRPr="00F93D0C">
              <w:rPr>
                <w:sz w:val="20"/>
                <w:szCs w:val="20"/>
              </w:rPr>
              <w:t>NIHR</w:t>
            </w:r>
          </w:p>
        </w:tc>
      </w:tr>
      <w:tr w:rsidR="008C7E6B" w:rsidRPr="00F93D0C" w:rsidTr="00A5483D">
        <w:trPr>
          <w:trHeight w:val="273"/>
        </w:trPr>
        <w:tc>
          <w:tcPr>
            <w:tcW w:w="1894" w:type="dxa"/>
            <w:tcBorders>
              <w:top w:val="single" w:sz="4" w:space="0" w:color="auto"/>
              <w:left w:val="single" w:sz="4" w:space="0" w:color="auto"/>
              <w:bottom w:val="single" w:sz="4" w:space="0" w:color="auto"/>
              <w:right w:val="single" w:sz="4" w:space="0" w:color="auto"/>
            </w:tcBorders>
            <w:shd w:val="clear" w:color="auto" w:fill="auto"/>
            <w:hideMark/>
          </w:tcPr>
          <w:p w:rsidR="008C7E6B" w:rsidRPr="00F93D0C" w:rsidRDefault="008C7E6B" w:rsidP="00A557AC">
            <w:pPr>
              <w:spacing w:before="0" w:after="0"/>
              <w:jc w:val="center"/>
              <w:rPr>
                <w:sz w:val="20"/>
                <w:szCs w:val="20"/>
              </w:rPr>
            </w:pPr>
            <w:r w:rsidRPr="00F93D0C">
              <w:rPr>
                <w:sz w:val="20"/>
                <w:szCs w:val="20"/>
              </w:rPr>
              <w:t>Tony James</w:t>
            </w:r>
          </w:p>
        </w:tc>
        <w:tc>
          <w:tcPr>
            <w:tcW w:w="2374" w:type="dxa"/>
            <w:tcBorders>
              <w:top w:val="single" w:sz="4" w:space="0" w:color="auto"/>
              <w:left w:val="nil"/>
              <w:bottom w:val="single" w:sz="4" w:space="0" w:color="auto"/>
              <w:right w:val="single" w:sz="4" w:space="0" w:color="auto"/>
            </w:tcBorders>
            <w:shd w:val="clear" w:color="auto" w:fill="auto"/>
            <w:hideMark/>
          </w:tcPr>
          <w:p w:rsidR="008C7E6B" w:rsidRPr="00F93D0C" w:rsidRDefault="008C7E6B" w:rsidP="00A557AC">
            <w:pPr>
              <w:spacing w:before="0" w:after="0"/>
              <w:jc w:val="center"/>
              <w:rPr>
                <w:sz w:val="20"/>
                <w:szCs w:val="20"/>
              </w:rPr>
            </w:pPr>
            <w:r w:rsidRPr="00F93D0C">
              <w:rPr>
                <w:sz w:val="20"/>
                <w:szCs w:val="20"/>
              </w:rPr>
              <w:t>DBT Grant</w:t>
            </w:r>
          </w:p>
        </w:tc>
        <w:tc>
          <w:tcPr>
            <w:tcW w:w="1224" w:type="dxa"/>
            <w:tcBorders>
              <w:top w:val="single" w:sz="4" w:space="0" w:color="auto"/>
              <w:left w:val="nil"/>
              <w:bottom w:val="single" w:sz="4" w:space="0" w:color="auto"/>
              <w:right w:val="single" w:sz="4" w:space="0" w:color="auto"/>
            </w:tcBorders>
            <w:shd w:val="clear" w:color="auto" w:fill="auto"/>
            <w:hideMark/>
          </w:tcPr>
          <w:p w:rsidR="008C7E6B" w:rsidRPr="00F93D0C" w:rsidRDefault="002E324D" w:rsidP="002E324D">
            <w:pPr>
              <w:spacing w:before="0" w:after="0"/>
              <w:jc w:val="center"/>
              <w:rPr>
                <w:sz w:val="20"/>
                <w:szCs w:val="20"/>
              </w:rPr>
            </w:pPr>
            <w:proofErr w:type="spellStart"/>
            <w:r w:rsidRPr="00F93D0C">
              <w:rPr>
                <w:sz w:val="20"/>
                <w:szCs w:val="20"/>
              </w:rPr>
              <w:t>tbc</w:t>
            </w:r>
            <w:proofErr w:type="spellEnd"/>
            <w:r w:rsidR="008C7E6B" w:rsidRPr="00F93D0C">
              <w:rPr>
                <w:sz w:val="20"/>
                <w:szCs w:val="20"/>
              </w:rPr>
              <w:t> </w:t>
            </w:r>
          </w:p>
        </w:tc>
        <w:tc>
          <w:tcPr>
            <w:tcW w:w="1894" w:type="dxa"/>
            <w:tcBorders>
              <w:top w:val="single" w:sz="4" w:space="0" w:color="auto"/>
              <w:left w:val="nil"/>
              <w:bottom w:val="single" w:sz="4" w:space="0" w:color="auto"/>
              <w:right w:val="single" w:sz="4" w:space="0" w:color="auto"/>
            </w:tcBorders>
            <w:shd w:val="clear" w:color="auto" w:fill="auto"/>
            <w:hideMark/>
          </w:tcPr>
          <w:p w:rsidR="008C7E6B" w:rsidRPr="00F93D0C" w:rsidRDefault="008C7E6B" w:rsidP="00361125">
            <w:pPr>
              <w:spacing w:before="0" w:after="0"/>
              <w:jc w:val="center"/>
              <w:rPr>
                <w:sz w:val="20"/>
                <w:szCs w:val="20"/>
              </w:rPr>
            </w:pPr>
            <w:r w:rsidRPr="00F93D0C">
              <w:rPr>
                <w:sz w:val="20"/>
                <w:szCs w:val="20"/>
              </w:rPr>
              <w:t>3yrs</w:t>
            </w:r>
          </w:p>
        </w:tc>
        <w:tc>
          <w:tcPr>
            <w:tcW w:w="2694" w:type="dxa"/>
            <w:tcBorders>
              <w:top w:val="single" w:sz="4" w:space="0" w:color="auto"/>
              <w:left w:val="nil"/>
              <w:bottom w:val="single" w:sz="4" w:space="0" w:color="auto"/>
              <w:right w:val="single" w:sz="4" w:space="0" w:color="auto"/>
            </w:tcBorders>
            <w:shd w:val="clear" w:color="auto" w:fill="auto"/>
            <w:hideMark/>
          </w:tcPr>
          <w:p w:rsidR="008C7E6B" w:rsidRPr="00F93D0C" w:rsidRDefault="008C7E6B" w:rsidP="00A557AC">
            <w:pPr>
              <w:spacing w:before="0" w:after="0"/>
              <w:jc w:val="center"/>
              <w:rPr>
                <w:sz w:val="20"/>
                <w:szCs w:val="20"/>
              </w:rPr>
            </w:pPr>
            <w:r w:rsidRPr="00F93D0C">
              <w:rPr>
                <w:sz w:val="20"/>
                <w:szCs w:val="20"/>
              </w:rPr>
              <w:t>NIHR</w:t>
            </w:r>
          </w:p>
        </w:tc>
      </w:tr>
      <w:tr w:rsidR="00361125" w:rsidRPr="00F93D0C" w:rsidTr="00361125">
        <w:trPr>
          <w:trHeight w:val="478"/>
        </w:trPr>
        <w:tc>
          <w:tcPr>
            <w:tcW w:w="1894" w:type="dxa"/>
            <w:tcBorders>
              <w:top w:val="single" w:sz="4" w:space="0" w:color="auto"/>
              <w:left w:val="single" w:sz="4" w:space="0" w:color="auto"/>
              <w:bottom w:val="single" w:sz="4" w:space="0" w:color="auto"/>
              <w:right w:val="single" w:sz="4" w:space="0" w:color="auto"/>
            </w:tcBorders>
            <w:shd w:val="clear" w:color="auto" w:fill="auto"/>
          </w:tcPr>
          <w:p w:rsidR="00361125" w:rsidRPr="00F93D0C" w:rsidRDefault="00361125" w:rsidP="00A557AC">
            <w:pPr>
              <w:spacing w:before="0" w:after="0"/>
              <w:jc w:val="center"/>
              <w:rPr>
                <w:sz w:val="20"/>
                <w:szCs w:val="20"/>
              </w:rPr>
            </w:pPr>
            <w:r>
              <w:rPr>
                <w:sz w:val="20"/>
                <w:szCs w:val="20"/>
              </w:rPr>
              <w:t>Digby Quested</w:t>
            </w:r>
          </w:p>
        </w:tc>
        <w:tc>
          <w:tcPr>
            <w:tcW w:w="2374" w:type="dxa"/>
            <w:tcBorders>
              <w:top w:val="single" w:sz="4" w:space="0" w:color="auto"/>
              <w:left w:val="nil"/>
              <w:bottom w:val="single" w:sz="4" w:space="0" w:color="auto"/>
              <w:right w:val="single" w:sz="4" w:space="0" w:color="auto"/>
            </w:tcBorders>
            <w:shd w:val="clear" w:color="auto" w:fill="auto"/>
          </w:tcPr>
          <w:p w:rsidR="00361125" w:rsidRPr="00F93D0C" w:rsidRDefault="00361125" w:rsidP="00A557AC">
            <w:pPr>
              <w:spacing w:before="0" w:after="0"/>
              <w:jc w:val="center"/>
              <w:rPr>
                <w:sz w:val="20"/>
                <w:szCs w:val="20"/>
              </w:rPr>
            </w:pPr>
            <w:r>
              <w:rPr>
                <w:sz w:val="20"/>
                <w:szCs w:val="20"/>
              </w:rPr>
              <w:t>Miami extension</w:t>
            </w:r>
          </w:p>
        </w:tc>
        <w:tc>
          <w:tcPr>
            <w:tcW w:w="1224" w:type="dxa"/>
            <w:tcBorders>
              <w:top w:val="single" w:sz="4" w:space="0" w:color="auto"/>
              <w:left w:val="nil"/>
              <w:bottom w:val="single" w:sz="4" w:space="0" w:color="auto"/>
              <w:right w:val="single" w:sz="4" w:space="0" w:color="auto"/>
            </w:tcBorders>
            <w:shd w:val="clear" w:color="auto" w:fill="auto"/>
          </w:tcPr>
          <w:p w:rsidR="00361125" w:rsidRPr="00F93D0C" w:rsidRDefault="00361125" w:rsidP="002E324D">
            <w:pPr>
              <w:spacing w:before="0" w:after="0"/>
              <w:jc w:val="center"/>
              <w:rPr>
                <w:sz w:val="20"/>
                <w:szCs w:val="20"/>
              </w:rPr>
            </w:pPr>
            <w:proofErr w:type="spellStart"/>
            <w:r>
              <w:rPr>
                <w:sz w:val="20"/>
                <w:szCs w:val="20"/>
              </w:rPr>
              <w:t>Tbc</w:t>
            </w:r>
            <w:proofErr w:type="spellEnd"/>
          </w:p>
        </w:tc>
        <w:tc>
          <w:tcPr>
            <w:tcW w:w="1894" w:type="dxa"/>
            <w:tcBorders>
              <w:top w:val="single" w:sz="4" w:space="0" w:color="auto"/>
              <w:left w:val="nil"/>
              <w:bottom w:val="single" w:sz="4" w:space="0" w:color="auto"/>
              <w:right w:val="single" w:sz="4" w:space="0" w:color="auto"/>
            </w:tcBorders>
            <w:shd w:val="clear" w:color="auto" w:fill="auto"/>
          </w:tcPr>
          <w:p w:rsidR="00361125" w:rsidRPr="00F93D0C" w:rsidRDefault="00361125" w:rsidP="00A557AC">
            <w:pPr>
              <w:spacing w:before="0" w:after="0"/>
              <w:jc w:val="center"/>
              <w:rPr>
                <w:sz w:val="20"/>
                <w:szCs w:val="20"/>
              </w:rPr>
            </w:pPr>
            <w:r>
              <w:rPr>
                <w:sz w:val="20"/>
                <w:szCs w:val="20"/>
              </w:rPr>
              <w:t>3yrs</w:t>
            </w:r>
          </w:p>
        </w:tc>
        <w:tc>
          <w:tcPr>
            <w:tcW w:w="2694" w:type="dxa"/>
            <w:tcBorders>
              <w:top w:val="single" w:sz="4" w:space="0" w:color="auto"/>
              <w:left w:val="nil"/>
              <w:bottom w:val="single" w:sz="4" w:space="0" w:color="auto"/>
              <w:right w:val="single" w:sz="4" w:space="0" w:color="auto"/>
            </w:tcBorders>
            <w:shd w:val="clear" w:color="auto" w:fill="auto"/>
          </w:tcPr>
          <w:p w:rsidR="00361125" w:rsidRDefault="00361125" w:rsidP="00361125">
            <w:pPr>
              <w:spacing w:before="0" w:after="0"/>
              <w:jc w:val="center"/>
              <w:rPr>
                <w:sz w:val="20"/>
                <w:szCs w:val="20"/>
              </w:rPr>
            </w:pPr>
            <w:r>
              <w:rPr>
                <w:sz w:val="20"/>
                <w:szCs w:val="20"/>
              </w:rPr>
              <w:t xml:space="preserve">EME </w:t>
            </w:r>
          </w:p>
          <w:p w:rsidR="00361125" w:rsidRPr="00F93D0C" w:rsidRDefault="00361125" w:rsidP="00361125">
            <w:pPr>
              <w:spacing w:before="0" w:after="0"/>
              <w:jc w:val="center"/>
              <w:rPr>
                <w:sz w:val="20"/>
                <w:szCs w:val="20"/>
              </w:rPr>
            </w:pPr>
            <w:r>
              <w:rPr>
                <w:sz w:val="20"/>
                <w:szCs w:val="20"/>
              </w:rPr>
              <w:t>(NIHR \ MCR)</w:t>
            </w:r>
          </w:p>
        </w:tc>
      </w:tr>
    </w:tbl>
    <w:p w:rsidR="008C7E6B" w:rsidRDefault="008C7E6B" w:rsidP="0069120C">
      <w:pPr>
        <w:pStyle w:val="Heading2"/>
      </w:pPr>
      <w:r w:rsidRPr="008C7E6B">
        <w:t>Potential applications (non-commercial)</w:t>
      </w:r>
    </w:p>
    <w:tbl>
      <w:tblPr>
        <w:tblW w:w="10080" w:type="dxa"/>
        <w:tblInd w:w="93" w:type="dxa"/>
        <w:tblLook w:val="04A0"/>
      </w:tblPr>
      <w:tblGrid>
        <w:gridCol w:w="1909"/>
        <w:gridCol w:w="2926"/>
        <w:gridCol w:w="976"/>
        <w:gridCol w:w="1048"/>
        <w:gridCol w:w="3221"/>
      </w:tblGrid>
      <w:tr w:rsidR="008C7E6B" w:rsidRPr="00F93D0C" w:rsidTr="00F93D0C">
        <w:trPr>
          <w:trHeight w:val="509"/>
        </w:trPr>
        <w:tc>
          <w:tcPr>
            <w:tcW w:w="1909" w:type="dxa"/>
            <w:tcBorders>
              <w:top w:val="single" w:sz="8" w:space="0" w:color="auto"/>
              <w:left w:val="single" w:sz="4" w:space="0" w:color="auto"/>
              <w:bottom w:val="single" w:sz="8" w:space="0" w:color="auto"/>
              <w:right w:val="single" w:sz="4" w:space="0" w:color="auto"/>
            </w:tcBorders>
            <w:shd w:val="clear" w:color="000000" w:fill="D9D9D9"/>
            <w:hideMark/>
          </w:tcPr>
          <w:p w:rsidR="008C7E6B" w:rsidRPr="00F93D0C" w:rsidRDefault="008C7E6B" w:rsidP="00A557AC">
            <w:pPr>
              <w:spacing w:before="0" w:after="0"/>
              <w:jc w:val="center"/>
              <w:rPr>
                <w:sz w:val="20"/>
                <w:szCs w:val="20"/>
              </w:rPr>
            </w:pPr>
            <w:r w:rsidRPr="00F93D0C">
              <w:rPr>
                <w:sz w:val="20"/>
                <w:szCs w:val="20"/>
              </w:rPr>
              <w:t>Investigator</w:t>
            </w:r>
            <w:r w:rsidRPr="00F93D0C">
              <w:rPr>
                <w:sz w:val="20"/>
                <w:szCs w:val="20"/>
              </w:rPr>
              <w:br/>
              <w:t>or Trust Lead</w:t>
            </w:r>
          </w:p>
        </w:tc>
        <w:tc>
          <w:tcPr>
            <w:tcW w:w="2926" w:type="dxa"/>
            <w:tcBorders>
              <w:top w:val="single" w:sz="8" w:space="0" w:color="auto"/>
              <w:left w:val="single" w:sz="4" w:space="0" w:color="auto"/>
              <w:bottom w:val="single" w:sz="8" w:space="0" w:color="auto"/>
              <w:right w:val="single" w:sz="4" w:space="0" w:color="auto"/>
            </w:tcBorders>
            <w:shd w:val="clear" w:color="000000" w:fill="D9D9D9"/>
            <w:hideMark/>
          </w:tcPr>
          <w:p w:rsidR="008C7E6B" w:rsidRPr="00F93D0C" w:rsidRDefault="008C7E6B" w:rsidP="00A557AC">
            <w:pPr>
              <w:spacing w:before="0" w:after="0"/>
              <w:jc w:val="center"/>
              <w:rPr>
                <w:sz w:val="20"/>
                <w:szCs w:val="20"/>
              </w:rPr>
            </w:pPr>
            <w:r w:rsidRPr="00F93D0C">
              <w:rPr>
                <w:sz w:val="20"/>
                <w:szCs w:val="20"/>
              </w:rPr>
              <w:t>Study Description</w:t>
            </w:r>
          </w:p>
        </w:tc>
        <w:tc>
          <w:tcPr>
            <w:tcW w:w="976" w:type="dxa"/>
            <w:tcBorders>
              <w:top w:val="single" w:sz="8" w:space="0" w:color="auto"/>
              <w:left w:val="nil"/>
              <w:bottom w:val="single" w:sz="8" w:space="0" w:color="auto"/>
              <w:right w:val="single" w:sz="4" w:space="0" w:color="auto"/>
            </w:tcBorders>
            <w:shd w:val="clear" w:color="000000" w:fill="D9D9D9"/>
            <w:hideMark/>
          </w:tcPr>
          <w:p w:rsidR="008C7E6B" w:rsidRPr="00F93D0C" w:rsidRDefault="008C7E6B" w:rsidP="00A557AC">
            <w:pPr>
              <w:spacing w:before="0" w:after="0"/>
              <w:jc w:val="center"/>
              <w:rPr>
                <w:sz w:val="20"/>
                <w:szCs w:val="20"/>
              </w:rPr>
            </w:pPr>
            <w:r w:rsidRPr="00F93D0C">
              <w:rPr>
                <w:sz w:val="20"/>
                <w:szCs w:val="20"/>
              </w:rPr>
              <w:t>Value £</w:t>
            </w:r>
          </w:p>
        </w:tc>
        <w:tc>
          <w:tcPr>
            <w:tcW w:w="1048" w:type="dxa"/>
            <w:tcBorders>
              <w:top w:val="single" w:sz="8" w:space="0" w:color="auto"/>
              <w:left w:val="nil"/>
              <w:bottom w:val="single" w:sz="8" w:space="0" w:color="auto"/>
              <w:right w:val="single" w:sz="4" w:space="0" w:color="auto"/>
            </w:tcBorders>
            <w:shd w:val="clear" w:color="000000" w:fill="D9D9D9"/>
            <w:hideMark/>
          </w:tcPr>
          <w:p w:rsidR="008C7E6B" w:rsidRPr="00F93D0C" w:rsidRDefault="008C7E6B" w:rsidP="00A557AC">
            <w:pPr>
              <w:spacing w:before="0" w:after="0"/>
              <w:jc w:val="center"/>
              <w:rPr>
                <w:sz w:val="20"/>
                <w:szCs w:val="20"/>
              </w:rPr>
            </w:pPr>
            <w:r w:rsidRPr="00F93D0C">
              <w:rPr>
                <w:sz w:val="20"/>
                <w:szCs w:val="20"/>
              </w:rPr>
              <w:t>Duration</w:t>
            </w:r>
          </w:p>
        </w:tc>
        <w:tc>
          <w:tcPr>
            <w:tcW w:w="3221" w:type="dxa"/>
            <w:tcBorders>
              <w:top w:val="single" w:sz="8" w:space="0" w:color="auto"/>
              <w:left w:val="nil"/>
              <w:bottom w:val="single" w:sz="8" w:space="0" w:color="auto"/>
              <w:right w:val="single" w:sz="4" w:space="0" w:color="auto"/>
            </w:tcBorders>
            <w:shd w:val="clear" w:color="000000" w:fill="D9D9D9"/>
            <w:hideMark/>
          </w:tcPr>
          <w:p w:rsidR="008C7E6B" w:rsidRPr="00F93D0C" w:rsidRDefault="00D76D0B" w:rsidP="00D76D0B">
            <w:pPr>
              <w:spacing w:before="0" w:after="0"/>
              <w:jc w:val="center"/>
              <w:rPr>
                <w:sz w:val="20"/>
                <w:szCs w:val="20"/>
              </w:rPr>
            </w:pPr>
            <w:r w:rsidRPr="00F93D0C">
              <w:rPr>
                <w:sz w:val="20"/>
                <w:szCs w:val="20"/>
              </w:rPr>
              <w:t>Funder</w:t>
            </w:r>
          </w:p>
        </w:tc>
      </w:tr>
      <w:tr w:rsidR="008C7E6B" w:rsidRPr="00F93D0C" w:rsidTr="00F93D0C">
        <w:trPr>
          <w:trHeight w:val="1128"/>
        </w:trPr>
        <w:tc>
          <w:tcPr>
            <w:tcW w:w="1909" w:type="dxa"/>
            <w:tcBorders>
              <w:top w:val="single" w:sz="8" w:space="0" w:color="auto"/>
              <w:left w:val="single" w:sz="4" w:space="0" w:color="auto"/>
              <w:bottom w:val="single" w:sz="4" w:space="0" w:color="auto"/>
              <w:right w:val="single" w:sz="4" w:space="0" w:color="auto"/>
            </w:tcBorders>
            <w:shd w:val="clear" w:color="auto" w:fill="auto"/>
            <w:hideMark/>
          </w:tcPr>
          <w:p w:rsidR="008C7E6B" w:rsidRPr="00F93D0C" w:rsidRDefault="008C7E6B" w:rsidP="002E324D">
            <w:pPr>
              <w:spacing w:before="0" w:after="0"/>
              <w:jc w:val="center"/>
              <w:rPr>
                <w:sz w:val="20"/>
                <w:szCs w:val="20"/>
              </w:rPr>
            </w:pPr>
            <w:r w:rsidRPr="00F93D0C">
              <w:rPr>
                <w:sz w:val="20"/>
                <w:szCs w:val="20"/>
              </w:rPr>
              <w:t>John Geddes</w:t>
            </w:r>
          </w:p>
        </w:tc>
        <w:tc>
          <w:tcPr>
            <w:tcW w:w="2926" w:type="dxa"/>
            <w:tcBorders>
              <w:top w:val="single" w:sz="8" w:space="0" w:color="auto"/>
              <w:left w:val="nil"/>
              <w:bottom w:val="single" w:sz="4" w:space="0" w:color="auto"/>
              <w:right w:val="nil"/>
            </w:tcBorders>
            <w:shd w:val="clear" w:color="auto" w:fill="auto"/>
            <w:hideMark/>
          </w:tcPr>
          <w:p w:rsidR="002E324D" w:rsidRPr="00F93D0C" w:rsidRDefault="002E324D" w:rsidP="00A557AC">
            <w:pPr>
              <w:spacing w:before="0" w:after="0"/>
              <w:jc w:val="center"/>
              <w:rPr>
                <w:b/>
                <w:sz w:val="20"/>
                <w:szCs w:val="20"/>
              </w:rPr>
            </w:pPr>
            <w:r w:rsidRPr="00F93D0C">
              <w:rPr>
                <w:b/>
                <w:sz w:val="20"/>
                <w:szCs w:val="20"/>
              </w:rPr>
              <w:t xml:space="preserve">Feasibility Study  </w:t>
            </w:r>
          </w:p>
          <w:p w:rsidR="008C7E6B" w:rsidRPr="00F93D0C" w:rsidRDefault="008C7E6B" w:rsidP="00A557AC">
            <w:pPr>
              <w:spacing w:before="0" w:after="0"/>
              <w:jc w:val="center"/>
              <w:rPr>
                <w:sz w:val="20"/>
                <w:szCs w:val="20"/>
              </w:rPr>
            </w:pPr>
            <w:r w:rsidRPr="00F93D0C">
              <w:rPr>
                <w:sz w:val="20"/>
                <w:szCs w:val="20"/>
              </w:rPr>
              <w:t xml:space="preserve">A double-blind, </w:t>
            </w:r>
            <w:proofErr w:type="spellStart"/>
            <w:r w:rsidRPr="00F93D0C">
              <w:rPr>
                <w:sz w:val="20"/>
                <w:szCs w:val="20"/>
              </w:rPr>
              <w:t>randomised</w:t>
            </w:r>
            <w:proofErr w:type="spellEnd"/>
            <w:r w:rsidRPr="00F93D0C">
              <w:rPr>
                <w:sz w:val="20"/>
                <w:szCs w:val="20"/>
              </w:rPr>
              <w:t xml:space="preserve">, placebo-controlled, parallel group study of </w:t>
            </w:r>
            <w:proofErr w:type="spellStart"/>
            <w:r w:rsidRPr="00F93D0C">
              <w:rPr>
                <w:sz w:val="20"/>
                <w:szCs w:val="20"/>
              </w:rPr>
              <w:t>cannabidiol</w:t>
            </w:r>
            <w:proofErr w:type="spellEnd"/>
            <w:r w:rsidRPr="00F93D0C">
              <w:rPr>
                <w:sz w:val="20"/>
                <w:szCs w:val="20"/>
              </w:rPr>
              <w:t xml:space="preserve"> (CBD) </w:t>
            </w:r>
          </w:p>
        </w:tc>
        <w:tc>
          <w:tcPr>
            <w:tcW w:w="976" w:type="dxa"/>
            <w:tcBorders>
              <w:top w:val="single" w:sz="8" w:space="0" w:color="auto"/>
              <w:left w:val="single" w:sz="4" w:space="0" w:color="auto"/>
              <w:bottom w:val="single" w:sz="4" w:space="0" w:color="auto"/>
              <w:right w:val="single" w:sz="4" w:space="0" w:color="auto"/>
            </w:tcBorders>
            <w:shd w:val="clear" w:color="auto" w:fill="auto"/>
            <w:hideMark/>
          </w:tcPr>
          <w:p w:rsidR="008C7E6B" w:rsidRPr="00F93D0C" w:rsidRDefault="002E324D" w:rsidP="002E324D">
            <w:pPr>
              <w:spacing w:before="0" w:after="0"/>
              <w:jc w:val="center"/>
              <w:rPr>
                <w:sz w:val="20"/>
                <w:szCs w:val="20"/>
              </w:rPr>
            </w:pPr>
            <w:proofErr w:type="spellStart"/>
            <w:r w:rsidRPr="00F93D0C">
              <w:rPr>
                <w:sz w:val="20"/>
                <w:szCs w:val="20"/>
              </w:rPr>
              <w:t>tbc</w:t>
            </w:r>
            <w:proofErr w:type="spellEnd"/>
            <w:r w:rsidR="008C7E6B" w:rsidRPr="00F93D0C">
              <w:rPr>
                <w:sz w:val="20"/>
                <w:szCs w:val="20"/>
              </w:rPr>
              <w:t> </w:t>
            </w:r>
          </w:p>
        </w:tc>
        <w:tc>
          <w:tcPr>
            <w:tcW w:w="1048" w:type="dxa"/>
            <w:tcBorders>
              <w:top w:val="single" w:sz="8" w:space="0" w:color="auto"/>
              <w:left w:val="nil"/>
              <w:bottom w:val="single" w:sz="4" w:space="0" w:color="auto"/>
              <w:right w:val="single" w:sz="4" w:space="0" w:color="auto"/>
            </w:tcBorders>
            <w:shd w:val="clear" w:color="auto" w:fill="auto"/>
            <w:hideMark/>
          </w:tcPr>
          <w:p w:rsidR="008C7E6B" w:rsidRPr="00F93D0C" w:rsidRDefault="002E324D" w:rsidP="002E324D">
            <w:pPr>
              <w:spacing w:before="0" w:after="0"/>
              <w:jc w:val="center"/>
              <w:rPr>
                <w:sz w:val="20"/>
                <w:szCs w:val="20"/>
              </w:rPr>
            </w:pPr>
            <w:proofErr w:type="spellStart"/>
            <w:r w:rsidRPr="00F93D0C">
              <w:rPr>
                <w:sz w:val="20"/>
                <w:szCs w:val="20"/>
              </w:rPr>
              <w:t>tbc</w:t>
            </w:r>
            <w:proofErr w:type="spellEnd"/>
          </w:p>
        </w:tc>
        <w:tc>
          <w:tcPr>
            <w:tcW w:w="3221" w:type="dxa"/>
            <w:tcBorders>
              <w:top w:val="nil"/>
              <w:left w:val="nil"/>
              <w:bottom w:val="single" w:sz="4" w:space="0" w:color="auto"/>
              <w:right w:val="single" w:sz="4" w:space="0" w:color="auto"/>
            </w:tcBorders>
            <w:shd w:val="clear" w:color="auto" w:fill="auto"/>
            <w:hideMark/>
          </w:tcPr>
          <w:p w:rsidR="008C7E6B" w:rsidRPr="00F93D0C" w:rsidRDefault="008C7E6B" w:rsidP="00A557AC">
            <w:pPr>
              <w:spacing w:before="0" w:after="0"/>
              <w:jc w:val="center"/>
              <w:rPr>
                <w:sz w:val="20"/>
                <w:szCs w:val="20"/>
              </w:rPr>
            </w:pPr>
            <w:r w:rsidRPr="00F93D0C">
              <w:rPr>
                <w:sz w:val="20"/>
                <w:szCs w:val="20"/>
              </w:rPr>
              <w:t>GW Pharmaceuticals</w:t>
            </w:r>
          </w:p>
        </w:tc>
      </w:tr>
    </w:tbl>
    <w:p w:rsidR="00CA19EF" w:rsidRDefault="00CA19EF" w:rsidP="009B51DB">
      <w:pPr>
        <w:pStyle w:val="Heading1"/>
      </w:pPr>
      <w:r>
        <w:t>CLAHRC</w:t>
      </w:r>
    </w:p>
    <w:p w:rsidR="00A5483D" w:rsidRDefault="00A5483D" w:rsidP="00FD65E3">
      <w:pPr>
        <w:pStyle w:val="Heading2"/>
      </w:pPr>
      <w:r>
        <w:t>Leadership</w:t>
      </w:r>
    </w:p>
    <w:p w:rsidR="00156834" w:rsidRDefault="00156834" w:rsidP="00E27952">
      <w:r>
        <w:t xml:space="preserve">Membership of the CLAHRC Executive Group has been agreed as CLAHRC Director, R&amp;D Director and Deputy R&amp;D Director, PPI Lead, Chief Executive </w:t>
      </w:r>
      <w:r w:rsidR="00503868">
        <w:t>of the OAHSN, the Theme Leads, a</w:t>
      </w:r>
      <w:r>
        <w:t xml:space="preserve"> representative from the Said Business School and the Head of R&amp;D Finance</w:t>
      </w:r>
    </w:p>
    <w:p w:rsidR="00E27952" w:rsidRDefault="00E27952" w:rsidP="00FD65E3">
      <w:pPr>
        <w:pStyle w:val="Heading2"/>
      </w:pPr>
      <w:r>
        <w:t>Finance</w:t>
      </w:r>
    </w:p>
    <w:p w:rsidR="00A5483D" w:rsidRDefault="00A5483D" w:rsidP="00156834">
      <w:pPr>
        <w:spacing w:before="0" w:after="0"/>
        <w:jc w:val="left"/>
      </w:pPr>
      <w:r>
        <w:t>M</w:t>
      </w:r>
      <w:r w:rsidR="00E27952">
        <w:t>eeting</w:t>
      </w:r>
      <w:r>
        <w:t>s</w:t>
      </w:r>
      <w:r w:rsidR="00E27952">
        <w:t xml:space="preserve"> </w:t>
      </w:r>
      <w:r w:rsidR="00261D54">
        <w:t>ha</w:t>
      </w:r>
      <w:r>
        <w:t xml:space="preserve">ve </w:t>
      </w:r>
      <w:r w:rsidR="00261D54">
        <w:t xml:space="preserve">taken place </w:t>
      </w:r>
      <w:r>
        <w:t xml:space="preserve">involving the </w:t>
      </w:r>
      <w:r w:rsidR="00261D54">
        <w:t>CLAHRC Director</w:t>
      </w:r>
      <w:r>
        <w:t xml:space="preserve">, </w:t>
      </w:r>
      <w:r w:rsidR="0032373A">
        <w:t>H</w:t>
      </w:r>
      <w:r w:rsidR="00261D54">
        <w:t>ead of</w:t>
      </w:r>
      <w:r w:rsidR="0032373A">
        <w:t xml:space="preserve"> R&amp;D</w:t>
      </w:r>
      <w:r>
        <w:t xml:space="preserve">, Head of R&amp;D Finance, one of the Theme leads and the University Finance manager </w:t>
      </w:r>
      <w:r w:rsidR="00261D54">
        <w:t xml:space="preserve">to discuss the </w:t>
      </w:r>
      <w:r>
        <w:t xml:space="preserve">finance </w:t>
      </w:r>
      <w:r w:rsidR="00261D54">
        <w:t>process</w:t>
      </w:r>
      <w:r>
        <w:t xml:space="preserve">. </w:t>
      </w:r>
    </w:p>
    <w:p w:rsidR="00E27952" w:rsidRDefault="00E27952" w:rsidP="00FD65E3">
      <w:pPr>
        <w:pStyle w:val="Heading2"/>
      </w:pPr>
      <w:r>
        <w:t>Legal</w:t>
      </w:r>
    </w:p>
    <w:p w:rsidR="00E27952" w:rsidRDefault="00261D54" w:rsidP="00156834">
      <w:pPr>
        <w:spacing w:before="0" w:after="0"/>
        <w:jc w:val="left"/>
      </w:pPr>
      <w:r>
        <w:t xml:space="preserve">The Chief Executive, CLAHRC Director, Medical Directors and </w:t>
      </w:r>
      <w:r w:rsidR="005C3EC1">
        <w:t xml:space="preserve">the Trust Secretary are due to meet </w:t>
      </w:r>
      <w:r w:rsidR="00E27952">
        <w:t>to discuss the management of the CLAHRC</w:t>
      </w:r>
      <w:r w:rsidR="00D5029F">
        <w:t>. The CLAHRC contract has recently been received from the NIHR and is being reviewed.</w:t>
      </w:r>
    </w:p>
    <w:p w:rsidR="00E27952" w:rsidRDefault="005C3EC1" w:rsidP="00FD65E3">
      <w:pPr>
        <w:pStyle w:val="Heading2"/>
        <w:rPr>
          <w:lang w:val="en-GB"/>
        </w:rPr>
      </w:pPr>
      <w:r>
        <w:rPr>
          <w:lang w:val="en-GB"/>
        </w:rPr>
        <w:t>Staffing</w:t>
      </w:r>
    </w:p>
    <w:p w:rsidR="005C3EC1" w:rsidRPr="00156834" w:rsidRDefault="00156834" w:rsidP="00156834">
      <w:pPr>
        <w:rPr>
          <w:lang w:val="en-GB"/>
        </w:rPr>
      </w:pPr>
      <w:r>
        <w:rPr>
          <w:noProof/>
          <w:lang w:val="en-GB" w:eastAsia="en-GB"/>
        </w:rPr>
        <w:t>Interviews for the C</w:t>
      </w:r>
      <w:r w:rsidR="005C3EC1" w:rsidRPr="00156834">
        <w:rPr>
          <w:noProof/>
          <w:lang w:val="en-GB" w:eastAsia="en-GB"/>
        </w:rPr>
        <w:t xml:space="preserve">LARHC Manager </w:t>
      </w:r>
      <w:r>
        <w:rPr>
          <w:noProof/>
          <w:lang w:val="en-GB" w:eastAsia="en-GB"/>
        </w:rPr>
        <w:t xml:space="preserve">are </w:t>
      </w:r>
      <w:r w:rsidR="00FD65E3">
        <w:rPr>
          <w:noProof/>
          <w:lang w:val="en-GB" w:eastAsia="en-GB"/>
        </w:rPr>
        <w:t xml:space="preserve">scheduled </w:t>
      </w:r>
      <w:r>
        <w:rPr>
          <w:noProof/>
          <w:lang w:val="en-GB" w:eastAsia="en-GB"/>
        </w:rPr>
        <w:t>for the</w:t>
      </w:r>
      <w:r w:rsidR="00FD65E3">
        <w:rPr>
          <w:noProof/>
          <w:lang w:val="en-GB" w:eastAsia="en-GB"/>
        </w:rPr>
        <w:t xml:space="preserve"> 25</w:t>
      </w:r>
      <w:r w:rsidR="00FD65E3" w:rsidRPr="00FD65E3">
        <w:rPr>
          <w:noProof/>
          <w:vertAlign w:val="superscript"/>
          <w:lang w:val="en-GB" w:eastAsia="en-GB"/>
        </w:rPr>
        <w:t>th</w:t>
      </w:r>
      <w:r w:rsidR="00FD65E3">
        <w:rPr>
          <w:noProof/>
          <w:lang w:val="en-GB" w:eastAsia="en-GB"/>
        </w:rPr>
        <w:t xml:space="preserve"> </w:t>
      </w:r>
      <w:r>
        <w:rPr>
          <w:noProof/>
          <w:lang w:val="en-GB" w:eastAsia="en-GB"/>
        </w:rPr>
        <w:t>November.</w:t>
      </w:r>
    </w:p>
    <w:p w:rsidR="00B466A4" w:rsidRDefault="009B51DB" w:rsidP="009B51DB">
      <w:pPr>
        <w:pStyle w:val="Heading1"/>
      </w:pPr>
      <w:r>
        <w:lastRenderedPageBreak/>
        <w:t>Estates</w:t>
      </w:r>
    </w:p>
    <w:p w:rsidR="002D020A" w:rsidRDefault="002D020A" w:rsidP="002D020A">
      <w:pPr>
        <w:rPr>
          <w:lang w:val="en-GB"/>
        </w:rPr>
      </w:pPr>
      <w:r>
        <w:rPr>
          <w:lang w:val="en-GB"/>
        </w:rPr>
        <w:t>The Trust R&amp;D Department, including the CRF</w:t>
      </w:r>
      <w:r w:rsidR="00F65A6F">
        <w:rPr>
          <w:lang w:val="en-GB"/>
        </w:rPr>
        <w:t>,</w:t>
      </w:r>
      <w:r>
        <w:rPr>
          <w:lang w:val="en-GB"/>
        </w:rPr>
        <w:t xml:space="preserve"> is based at the Warneford hospital site.  The CRF is now fully operational and eight research rooms are open for researchers to utilise.  </w:t>
      </w:r>
      <w:r w:rsidR="00F20B96">
        <w:rPr>
          <w:lang w:val="en-GB"/>
        </w:rPr>
        <w:t>Some of the core R&amp;D team have moved</w:t>
      </w:r>
      <w:r w:rsidR="002A1517">
        <w:rPr>
          <w:lang w:val="en-GB"/>
        </w:rPr>
        <w:t xml:space="preserve"> offices</w:t>
      </w:r>
      <w:r w:rsidR="00503868">
        <w:rPr>
          <w:lang w:val="en-GB"/>
        </w:rPr>
        <w:t xml:space="preserve"> to facilitate the E</w:t>
      </w:r>
      <w:r w:rsidR="00DC3177">
        <w:rPr>
          <w:lang w:val="en-GB"/>
        </w:rPr>
        <w:t xml:space="preserve">xecutive </w:t>
      </w:r>
      <w:r w:rsidR="00503868">
        <w:rPr>
          <w:lang w:val="en-GB"/>
        </w:rPr>
        <w:t xml:space="preserve">Team’s </w:t>
      </w:r>
      <w:r w:rsidR="00DC3177">
        <w:rPr>
          <w:lang w:val="en-GB"/>
        </w:rPr>
        <w:t>move</w:t>
      </w:r>
      <w:r w:rsidR="002A1517">
        <w:rPr>
          <w:lang w:val="en-GB"/>
        </w:rPr>
        <w:t xml:space="preserve"> but remain on the Wa</w:t>
      </w:r>
      <w:r w:rsidR="00DC3177">
        <w:rPr>
          <w:lang w:val="en-GB"/>
        </w:rPr>
        <w:t>r</w:t>
      </w:r>
      <w:r w:rsidR="002A1517">
        <w:rPr>
          <w:lang w:val="en-GB"/>
        </w:rPr>
        <w:t>n</w:t>
      </w:r>
      <w:r w:rsidR="00D5029F">
        <w:rPr>
          <w:lang w:val="en-GB"/>
        </w:rPr>
        <w:t>e</w:t>
      </w:r>
      <w:r w:rsidR="002A1517">
        <w:rPr>
          <w:lang w:val="en-GB"/>
        </w:rPr>
        <w:t>ford site</w:t>
      </w:r>
    </w:p>
    <w:p w:rsidR="002D020A" w:rsidRDefault="00A941AF" w:rsidP="002D020A">
      <w:pPr>
        <w:rPr>
          <w:lang w:val="en-GB"/>
        </w:rPr>
      </w:pPr>
      <w:r>
        <w:rPr>
          <w:lang w:val="en-GB"/>
        </w:rPr>
        <w:t xml:space="preserve">In collaboration with the Department of Psychiatry in the University of Oxford, the Trust is </w:t>
      </w:r>
      <w:r w:rsidR="00503868">
        <w:rPr>
          <w:lang w:val="en-GB"/>
        </w:rPr>
        <w:t xml:space="preserve">working towards </w:t>
      </w:r>
      <w:r>
        <w:rPr>
          <w:lang w:val="en-GB"/>
        </w:rPr>
        <w:t xml:space="preserve">installing an MRI scanner in the Oxford Centre for Human Brain Activity (OHBA) which, in combination with the existing </w:t>
      </w:r>
      <w:proofErr w:type="spellStart"/>
      <w:r>
        <w:rPr>
          <w:lang w:val="en-GB"/>
        </w:rPr>
        <w:t>magnetoencephalograp</w:t>
      </w:r>
      <w:r w:rsidR="00C91374">
        <w:rPr>
          <w:lang w:val="en-GB"/>
        </w:rPr>
        <w:t>h</w:t>
      </w:r>
      <w:r>
        <w:rPr>
          <w:lang w:val="en-GB"/>
        </w:rPr>
        <w:t>y</w:t>
      </w:r>
      <w:proofErr w:type="spellEnd"/>
      <w:r>
        <w:rPr>
          <w:lang w:val="en-GB"/>
        </w:rPr>
        <w:t xml:space="preserve"> (MEG) scanner and the technical and scientific expertise in </w:t>
      </w:r>
      <w:r w:rsidR="002E6985">
        <w:rPr>
          <w:lang w:val="en-GB"/>
        </w:rPr>
        <w:t xml:space="preserve">the </w:t>
      </w:r>
      <w:r>
        <w:rPr>
          <w:lang w:val="en-GB"/>
        </w:rPr>
        <w:t xml:space="preserve">FMRIB </w:t>
      </w:r>
      <w:r w:rsidR="007343B4">
        <w:rPr>
          <w:lang w:val="en-GB"/>
        </w:rPr>
        <w:t>facility</w:t>
      </w:r>
      <w:r w:rsidR="002E6985">
        <w:rPr>
          <w:lang w:val="en-GB"/>
        </w:rPr>
        <w:t>,</w:t>
      </w:r>
      <w:r w:rsidR="007343B4">
        <w:rPr>
          <w:lang w:val="en-GB"/>
        </w:rPr>
        <w:t xml:space="preserve"> </w:t>
      </w:r>
      <w:r>
        <w:rPr>
          <w:lang w:val="en-GB"/>
        </w:rPr>
        <w:t xml:space="preserve">will give leading edge scientific and clinical imaging capacity on the Warneford site.   </w:t>
      </w:r>
      <w:r w:rsidR="00F20B96">
        <w:rPr>
          <w:lang w:val="en-GB"/>
        </w:rPr>
        <w:t>This is expected to take place within the next 12 to 18 months</w:t>
      </w:r>
      <w:r w:rsidR="00DC3177">
        <w:rPr>
          <w:lang w:val="en-GB"/>
        </w:rPr>
        <w:t xml:space="preserve"> </w:t>
      </w:r>
    </w:p>
    <w:p w:rsidR="002D020A" w:rsidRPr="002D020A" w:rsidRDefault="009B51DB" w:rsidP="00DD76D3">
      <w:pPr>
        <w:pStyle w:val="Heading1"/>
      </w:pPr>
      <w:r>
        <w:t>Staffing</w:t>
      </w:r>
    </w:p>
    <w:p w:rsidR="002D020A" w:rsidRDefault="00605F5F" w:rsidP="007B54B0">
      <w:pPr>
        <w:rPr>
          <w:lang w:val="en-GB"/>
        </w:rPr>
      </w:pPr>
      <w:r>
        <w:rPr>
          <w:lang w:val="en-GB"/>
        </w:rPr>
        <w:t>Cindy Whitbread, the new</w:t>
      </w:r>
      <w:r w:rsidR="002A1517">
        <w:rPr>
          <w:lang w:val="en-GB"/>
        </w:rPr>
        <w:t xml:space="preserve"> matron for the CRF has now been appointed and started work at the beginning of July 2013.  </w:t>
      </w:r>
    </w:p>
    <w:p w:rsidR="002A1517" w:rsidRDefault="00605F5F" w:rsidP="007B54B0">
      <w:pPr>
        <w:rPr>
          <w:lang w:val="en-GB"/>
        </w:rPr>
      </w:pPr>
      <w:r>
        <w:rPr>
          <w:lang w:val="en-GB"/>
        </w:rPr>
        <w:t xml:space="preserve">Dr Andreas Cipriani </w:t>
      </w:r>
      <w:r w:rsidR="00B40BBD">
        <w:rPr>
          <w:lang w:val="en-GB"/>
        </w:rPr>
        <w:t>joined</w:t>
      </w:r>
      <w:r>
        <w:rPr>
          <w:lang w:val="en-GB"/>
        </w:rPr>
        <w:t xml:space="preserve"> the CRF medical staff</w:t>
      </w:r>
      <w:r w:rsidR="00B40BBD">
        <w:rPr>
          <w:lang w:val="en-GB"/>
        </w:rPr>
        <w:t xml:space="preserve"> in September 2013</w:t>
      </w:r>
      <w:r>
        <w:rPr>
          <w:lang w:val="en-GB"/>
        </w:rPr>
        <w:t xml:space="preserve"> to support research within the Trust and in collaboration with the University of Oxford.</w:t>
      </w:r>
    </w:p>
    <w:p w:rsidR="00D03AD6" w:rsidRDefault="00D03AD6" w:rsidP="007B54B0">
      <w:pPr>
        <w:rPr>
          <w:lang w:val="en-GB"/>
        </w:rPr>
      </w:pPr>
      <w:r>
        <w:rPr>
          <w:lang w:val="en-GB"/>
        </w:rPr>
        <w:t xml:space="preserve">Following the resignation of the Research Governance Manager within the R&amp;D department </w:t>
      </w:r>
      <w:r w:rsidR="00B40BBD">
        <w:rPr>
          <w:lang w:val="en-GB"/>
        </w:rPr>
        <w:t>there is a current vacancy</w:t>
      </w:r>
      <w:r>
        <w:rPr>
          <w:lang w:val="en-GB"/>
        </w:rPr>
        <w:t>.  This is a potential risk as the post holder currently manages the NHS permission processes, research passports and letter of access for researchers within the Trust should there be a delay in the identification and recruitment of a suitable replacement</w:t>
      </w:r>
      <w:r w:rsidR="00B40BBD">
        <w:rPr>
          <w:lang w:val="en-GB"/>
        </w:rPr>
        <w:t xml:space="preserve">.  The job description is currently within HR system for </w:t>
      </w:r>
      <w:proofErr w:type="spellStart"/>
      <w:r w:rsidR="00B40BBD">
        <w:rPr>
          <w:lang w:val="en-GB"/>
        </w:rPr>
        <w:t>rebanding</w:t>
      </w:r>
      <w:proofErr w:type="spellEnd"/>
      <w:r w:rsidR="00B40BBD">
        <w:rPr>
          <w:lang w:val="en-GB"/>
        </w:rPr>
        <w:t xml:space="preserve"> to make the post more strategic and incorporate more responsibility for NIHR metric reports, monitoring and auditing of sponsored and hosted studies and training programmes for researchers.</w:t>
      </w:r>
    </w:p>
    <w:p w:rsidR="002A1517" w:rsidRDefault="002A1517" w:rsidP="007B54B0">
      <w:pPr>
        <w:rPr>
          <w:lang w:val="en-GB"/>
        </w:rPr>
      </w:pPr>
      <w:r>
        <w:rPr>
          <w:lang w:val="en-GB"/>
        </w:rPr>
        <w:t>Additional administrative support has now been recruited to support the R&amp;D department.</w:t>
      </w:r>
    </w:p>
    <w:p w:rsidR="002A1517" w:rsidRDefault="002A1517" w:rsidP="000C040F">
      <w:pPr>
        <w:rPr>
          <w:lang w:val="en-GB"/>
        </w:rPr>
      </w:pPr>
      <w:r>
        <w:rPr>
          <w:lang w:val="en-GB"/>
        </w:rPr>
        <w:t>Following the resignation of a junior research nurse within the CRF</w:t>
      </w:r>
      <w:r w:rsidR="00B40BBD">
        <w:rPr>
          <w:lang w:val="en-GB"/>
        </w:rPr>
        <w:t>, a</w:t>
      </w:r>
      <w:r>
        <w:rPr>
          <w:lang w:val="en-GB"/>
        </w:rPr>
        <w:t xml:space="preserve"> replacement post is </w:t>
      </w:r>
      <w:r w:rsidR="00B40BBD">
        <w:rPr>
          <w:lang w:val="en-GB"/>
        </w:rPr>
        <w:t>to be filled.  The first recruitment process failed to identify a suitable candidate</w:t>
      </w:r>
    </w:p>
    <w:p w:rsidR="00B02568" w:rsidRPr="000C040F" w:rsidRDefault="000C040F" w:rsidP="000C040F">
      <w:pPr>
        <w:rPr>
          <w:lang w:val="en-GB" w:eastAsia="en-GB"/>
        </w:rPr>
      </w:pPr>
      <w:r w:rsidRPr="000C040F">
        <w:rPr>
          <w:lang w:val="en-GB"/>
        </w:rPr>
        <w:t xml:space="preserve">Funding from OUH RCF generated by the NIHR CRF funding has been secured to fund a research nurse to </w:t>
      </w:r>
      <w:r w:rsidRPr="000C040F">
        <w:t>support</w:t>
      </w:r>
      <w:r>
        <w:t xml:space="preserve"> activity at </w:t>
      </w:r>
      <w:r w:rsidRPr="000C040F">
        <w:rPr>
          <w:lang w:val="en-GB" w:eastAsia="en-GB"/>
        </w:rPr>
        <w:t xml:space="preserve">Charles </w:t>
      </w:r>
      <w:proofErr w:type="spellStart"/>
      <w:r w:rsidRPr="000C040F">
        <w:rPr>
          <w:lang w:val="en-GB" w:eastAsia="en-GB"/>
        </w:rPr>
        <w:t>Wolfson</w:t>
      </w:r>
      <w:proofErr w:type="spellEnd"/>
      <w:r w:rsidRPr="000C040F">
        <w:rPr>
          <w:lang w:val="en-GB" w:eastAsia="en-GB"/>
        </w:rPr>
        <w:t xml:space="preserve"> Clinical Neuroscience Facility </w:t>
      </w:r>
    </w:p>
    <w:p w:rsidR="00B40BBD" w:rsidRDefault="00B40BBD" w:rsidP="007B54B0">
      <w:pPr>
        <w:rPr>
          <w:lang w:val="en-GB"/>
        </w:rPr>
      </w:pPr>
      <w:r>
        <w:rPr>
          <w:lang w:val="en-GB"/>
        </w:rPr>
        <w:t>A new role, Research Recruitment Manager, has been developed within R&amp;D wh</w:t>
      </w:r>
      <w:r w:rsidR="00E3381E">
        <w:rPr>
          <w:lang w:val="en-GB"/>
        </w:rPr>
        <w:t>i</w:t>
      </w:r>
      <w:r>
        <w:rPr>
          <w:lang w:val="en-GB"/>
        </w:rPr>
        <w:t xml:space="preserve">ch is currently being advertised. </w:t>
      </w:r>
    </w:p>
    <w:p w:rsidR="00DD76D3" w:rsidRDefault="00DD76D3" w:rsidP="00DD76D3">
      <w:pPr>
        <w:pStyle w:val="Heading1"/>
      </w:pPr>
      <w:r>
        <w:t>Communications</w:t>
      </w:r>
    </w:p>
    <w:p w:rsidR="00DD76D3" w:rsidRDefault="00DD76D3" w:rsidP="00DD76D3">
      <w:r>
        <w:t>The CRF hosted successful open day on 22</w:t>
      </w:r>
      <w:r w:rsidRPr="00DD76D3">
        <w:rPr>
          <w:vertAlign w:val="superscript"/>
        </w:rPr>
        <w:t>nd</w:t>
      </w:r>
      <w:r>
        <w:t xml:space="preserve"> May 2013 to coincide with International Clinical Trials Day.  Throughout the day there were presentations from </w:t>
      </w:r>
      <w:r w:rsidR="003E6096">
        <w:t>researchers and research participants in addition to general talks.</w:t>
      </w:r>
    </w:p>
    <w:p w:rsidR="003E6096" w:rsidRDefault="003E6096" w:rsidP="00DD76D3">
      <w:r>
        <w:t>The CRF were visited by the NIHR Office for Clinical Resea</w:t>
      </w:r>
      <w:bookmarkStart w:id="0" w:name="_GoBack"/>
      <w:bookmarkEnd w:id="0"/>
      <w:r>
        <w:t>rch Infrastructure (NOCRI) to discuss progress of the Trust CRF and reporting formats and content.</w:t>
      </w:r>
    </w:p>
    <w:p w:rsidR="003E6096" w:rsidRDefault="003E6096" w:rsidP="00DD76D3">
      <w:r>
        <w:lastRenderedPageBreak/>
        <w:t>The R&amp;D department attended the Trust AGM to promote research.  Attendance at the Consultants Away Day in October is also scheduled.</w:t>
      </w:r>
    </w:p>
    <w:p w:rsidR="003E6096" w:rsidRDefault="003E6096" w:rsidP="00DD76D3">
      <w:r w:rsidRPr="000B3543">
        <w:t xml:space="preserve">A quarterly newsletter is produced and circulated internally and externally.  This is currently under review with the thought of an article being included in the Trust monthly Insight publication.  This will be supported </w:t>
      </w:r>
      <w:r w:rsidR="0053659B" w:rsidRPr="000B3543">
        <w:t>regular R&amp;D updates generated and circulated by the R&amp;D department.</w:t>
      </w:r>
    </w:p>
    <w:p w:rsidR="0053659B" w:rsidRDefault="0053659B" w:rsidP="00DD76D3">
      <w:r>
        <w:t xml:space="preserve">The NIHR CRF and Trust R&amp;D </w:t>
      </w:r>
      <w:r w:rsidR="00333D76">
        <w:t>intranet and internet pages</w:t>
      </w:r>
      <w:r>
        <w:t xml:space="preserve"> are currently under construction and the content </w:t>
      </w:r>
      <w:r w:rsidR="00333D76">
        <w:t>being drafted.</w:t>
      </w:r>
    </w:p>
    <w:p w:rsidR="00DC3177" w:rsidRPr="009D6E3B" w:rsidRDefault="00DC3177" w:rsidP="009D6E3B">
      <w:r w:rsidRPr="009D6E3B">
        <w:t>The Head of R&amp;D attend</w:t>
      </w:r>
      <w:r w:rsidR="00156834">
        <w:t>ed</w:t>
      </w:r>
      <w:r w:rsidRPr="009D6E3B">
        <w:t xml:space="preserve"> </w:t>
      </w:r>
      <w:r w:rsidR="005C3EC1">
        <w:t xml:space="preserve">a senior management meeting of the </w:t>
      </w:r>
      <w:r w:rsidRPr="009D6E3B">
        <w:t xml:space="preserve">Children and Families </w:t>
      </w:r>
      <w:r w:rsidR="005C3EC1">
        <w:t xml:space="preserve">division </w:t>
      </w:r>
      <w:r w:rsidRPr="009D6E3B">
        <w:t>to provide an overview of R&amp;D</w:t>
      </w:r>
      <w:r w:rsidR="00156834">
        <w:t xml:space="preserve"> and </w:t>
      </w:r>
      <w:r w:rsidR="00503868">
        <w:t>presented, with the Medical Director, at</w:t>
      </w:r>
      <w:r w:rsidRPr="009D6E3B">
        <w:t xml:space="preserve"> the Children and Families Division Research and Development Day on the 14th November 2013</w:t>
      </w:r>
    </w:p>
    <w:p w:rsidR="00CA19EF" w:rsidRDefault="00CA19EF" w:rsidP="009D6E3B">
      <w:r w:rsidRPr="009D6E3B">
        <w:t xml:space="preserve">The Head of R&amp;D and the Head of R&amp;D Finance </w:t>
      </w:r>
      <w:r w:rsidR="005C3EC1">
        <w:t xml:space="preserve">were asked to </w:t>
      </w:r>
      <w:r w:rsidRPr="009D6E3B">
        <w:t>provide input into an R&amp;D costing project currently being undertaken by Oxford University Hospitals Trust. Links have also been developed with the new Head of Commercial Services</w:t>
      </w:r>
    </w:p>
    <w:p w:rsidR="00CA19EF" w:rsidRPr="0069120C" w:rsidRDefault="009D6E3B" w:rsidP="0069120C">
      <w:pPr>
        <w:pStyle w:val="Heading1"/>
      </w:pPr>
      <w:r w:rsidRPr="0069120C">
        <w:t>U</w:t>
      </w:r>
      <w:r w:rsidR="007057D4" w:rsidRPr="0069120C">
        <w:t>niforms</w:t>
      </w:r>
    </w:p>
    <w:p w:rsidR="0069120C" w:rsidRDefault="007057D4" w:rsidP="0073522A">
      <w:pPr>
        <w:rPr>
          <w:lang w:val="en-GB"/>
        </w:rPr>
      </w:pPr>
      <w:r>
        <w:rPr>
          <w:lang w:val="en-GB"/>
        </w:rPr>
        <w:t xml:space="preserve">CRF nurses are now wearing appropriate uniforms in accordance with the dress and uniform policy.  Non clinical research </w:t>
      </w:r>
      <w:proofErr w:type="gramStart"/>
      <w:r>
        <w:rPr>
          <w:lang w:val="en-GB"/>
        </w:rPr>
        <w:t>staff have</w:t>
      </w:r>
      <w:proofErr w:type="gramEnd"/>
      <w:r>
        <w:rPr>
          <w:lang w:val="en-GB"/>
        </w:rPr>
        <w:t xml:space="preserve"> selected a grey dress/tunic as standard research uniform, that will be adopted within the trust over time.</w:t>
      </w:r>
    </w:p>
    <w:p w:rsidR="00CE32B2" w:rsidRDefault="00CE32B2" w:rsidP="0073522A">
      <w:pPr>
        <w:rPr>
          <w:lang w:val="en-GB"/>
        </w:rPr>
      </w:pPr>
    </w:p>
    <w:p w:rsidR="00CE32B2" w:rsidRDefault="00CE32B2" w:rsidP="0073522A">
      <w:pPr>
        <w:rPr>
          <w:lang w:val="en-GB"/>
        </w:rPr>
      </w:pPr>
    </w:p>
    <w:p w:rsidR="0073522A" w:rsidRDefault="002619EF" w:rsidP="0073522A">
      <w:pPr>
        <w:ind w:left="1440" w:hanging="1440"/>
        <w:rPr>
          <w:rFonts w:cs="Arial"/>
        </w:rPr>
      </w:pPr>
      <w:r>
        <w:rPr>
          <w:rFonts w:cs="Arial"/>
          <w:b/>
        </w:rPr>
        <w:t>Author and T</w:t>
      </w:r>
      <w:r w:rsidR="0073522A">
        <w:rPr>
          <w:rFonts w:cs="Arial"/>
          <w:b/>
        </w:rPr>
        <w:t>itle:</w:t>
      </w:r>
      <w:r w:rsidR="0073522A">
        <w:rPr>
          <w:rFonts w:cs="Arial"/>
        </w:rPr>
        <w:t xml:space="preserve"> </w:t>
      </w:r>
      <w:r w:rsidR="0073522A">
        <w:rPr>
          <w:rFonts w:cs="Arial"/>
        </w:rPr>
        <w:tab/>
      </w:r>
      <w:r w:rsidR="00AC6AE5">
        <w:rPr>
          <w:rFonts w:cs="Arial"/>
        </w:rPr>
        <w:t xml:space="preserve">Professor </w:t>
      </w:r>
      <w:r w:rsidR="00A941AF">
        <w:rPr>
          <w:rFonts w:cs="Arial"/>
        </w:rPr>
        <w:t>John Geddes</w:t>
      </w:r>
      <w:r w:rsidR="00516AE8">
        <w:rPr>
          <w:rFonts w:cs="Arial"/>
        </w:rPr>
        <w:t>,</w:t>
      </w:r>
      <w:r w:rsidR="00A941AF">
        <w:rPr>
          <w:rFonts w:cs="Arial"/>
        </w:rPr>
        <w:t xml:space="preserve"> Emma Stratful</w:t>
      </w:r>
      <w:r w:rsidR="00516AE8">
        <w:rPr>
          <w:rFonts w:cs="Arial"/>
        </w:rPr>
        <w:t xml:space="preserve"> &amp; Dr Clive Meux</w:t>
      </w:r>
    </w:p>
    <w:p w:rsidR="0073522A" w:rsidRDefault="0073522A" w:rsidP="0073522A">
      <w:pPr>
        <w:rPr>
          <w:rFonts w:cs="Arial"/>
          <w:b/>
        </w:rPr>
      </w:pPr>
      <w:r>
        <w:rPr>
          <w:rFonts w:cs="Arial"/>
          <w:b/>
        </w:rPr>
        <w:t>Lead Executive Director:</w:t>
      </w:r>
      <w:r>
        <w:rPr>
          <w:rFonts w:cs="Arial"/>
          <w:b/>
        </w:rPr>
        <w:tab/>
      </w:r>
      <w:r w:rsidR="00AC6AE5" w:rsidRPr="00AC6AE5">
        <w:rPr>
          <w:rFonts w:cs="Arial"/>
        </w:rPr>
        <w:t xml:space="preserve">Dr </w:t>
      </w:r>
      <w:r w:rsidR="00A941AF" w:rsidRPr="00A941AF">
        <w:rPr>
          <w:rFonts w:cs="Arial"/>
        </w:rPr>
        <w:t>Clive Meux</w:t>
      </w:r>
    </w:p>
    <w:p w:rsidR="0069120C" w:rsidRDefault="0069120C">
      <w:pPr>
        <w:spacing w:before="0" w:after="0"/>
        <w:jc w:val="left"/>
        <w:rPr>
          <w:rFonts w:cs="Arial"/>
        </w:rPr>
      </w:pPr>
      <w:r>
        <w:rPr>
          <w:rFonts w:cs="Arial"/>
        </w:rPr>
        <w:br w:type="page"/>
      </w:r>
    </w:p>
    <w:p w:rsidR="004F4BBA" w:rsidRDefault="004F4BBA" w:rsidP="009B51DB">
      <w:pPr>
        <w:numPr>
          <w:ilvl w:val="0"/>
          <w:numId w:val="2"/>
        </w:numPr>
        <w:spacing w:before="0" w:after="0"/>
        <w:rPr>
          <w:rFonts w:cs="Arial"/>
          <w:i/>
          <w:sz w:val="20"/>
          <w:szCs w:val="20"/>
        </w:rPr>
      </w:pPr>
      <w:r w:rsidRPr="0073522A">
        <w:rPr>
          <w:rFonts w:cs="Arial"/>
          <w:i/>
          <w:sz w:val="20"/>
          <w:szCs w:val="20"/>
        </w:rPr>
        <w:lastRenderedPageBreak/>
        <w:t>A risk assessment has been undertaken around the legal issues that this paper presents and there are no issues that need to be r</w:t>
      </w:r>
      <w:r w:rsidR="0073522A">
        <w:rPr>
          <w:rFonts w:cs="Arial"/>
          <w:i/>
          <w:sz w:val="20"/>
          <w:szCs w:val="20"/>
        </w:rPr>
        <w:t>eferred to the Trust Solicitors.</w:t>
      </w:r>
    </w:p>
    <w:p w:rsidR="00AA0C3F" w:rsidRDefault="00AA0C3F" w:rsidP="009B51DB">
      <w:pPr>
        <w:spacing w:before="0" w:after="0"/>
        <w:rPr>
          <w:rFonts w:cs="Arial"/>
          <w:i/>
          <w:sz w:val="20"/>
          <w:szCs w:val="20"/>
        </w:rPr>
      </w:pPr>
    </w:p>
    <w:p w:rsidR="00AA0C3F" w:rsidRDefault="00781566" w:rsidP="009B51DB">
      <w:pPr>
        <w:numPr>
          <w:ilvl w:val="0"/>
          <w:numId w:val="2"/>
        </w:numPr>
        <w:spacing w:before="0" w:after="0"/>
        <w:rPr>
          <w:rFonts w:cs="Arial"/>
          <w:i/>
          <w:sz w:val="20"/>
          <w:szCs w:val="20"/>
        </w:rPr>
      </w:pPr>
      <w:r>
        <w:rPr>
          <w:rFonts w:cs="Arial"/>
          <w:i/>
          <w:sz w:val="20"/>
          <w:szCs w:val="20"/>
        </w:rPr>
        <w:t>This paper (including all appendices) has been assessed against the Freedom of Information Act and the following applies:</w:t>
      </w:r>
    </w:p>
    <w:p w:rsidR="00CE32B2" w:rsidRDefault="00CE32B2" w:rsidP="00CE32B2">
      <w:pPr>
        <w:pStyle w:val="ListParagraph"/>
        <w:rPr>
          <w:rFonts w:cs="Arial"/>
          <w:i/>
          <w:sz w:val="20"/>
          <w:szCs w:val="20"/>
        </w:rPr>
      </w:pPr>
    </w:p>
    <w:p w:rsidR="00781566" w:rsidRDefault="00CE32B2" w:rsidP="009B51DB">
      <w:pPr>
        <w:numPr>
          <w:ilvl w:val="0"/>
          <w:numId w:val="3"/>
        </w:numPr>
        <w:spacing w:before="0" w:after="0"/>
        <w:rPr>
          <w:rFonts w:cs="Arial"/>
          <w:i/>
          <w:sz w:val="20"/>
          <w:szCs w:val="20"/>
        </w:rPr>
      </w:pPr>
      <w:r>
        <w:rPr>
          <w:rFonts w:cs="Arial"/>
          <w:i/>
          <w:sz w:val="20"/>
          <w:szCs w:val="20"/>
        </w:rPr>
        <w:t>T</w:t>
      </w:r>
      <w:r w:rsidR="00781566">
        <w:rPr>
          <w:rFonts w:cs="Arial"/>
          <w:i/>
          <w:sz w:val="20"/>
          <w:szCs w:val="20"/>
        </w:rPr>
        <w:t>HIS PAPER MAY BE PUBLISHED UNDER FOI</w:t>
      </w:r>
    </w:p>
    <w:p w:rsidR="00781566" w:rsidRDefault="00781566" w:rsidP="009B51DB">
      <w:pPr>
        <w:spacing w:before="0" w:after="0"/>
        <w:rPr>
          <w:rFonts w:cs="Arial"/>
          <w:i/>
          <w:sz w:val="20"/>
          <w:szCs w:val="20"/>
        </w:rPr>
      </w:pPr>
    </w:p>
    <w:p w:rsidR="00781566" w:rsidRDefault="00781566" w:rsidP="009B51DB">
      <w:pPr>
        <w:spacing w:before="0" w:after="0"/>
        <w:ind w:left="720"/>
        <w:rPr>
          <w:rFonts w:cs="Arial"/>
          <w:i/>
          <w:sz w:val="20"/>
          <w:szCs w:val="20"/>
        </w:rPr>
      </w:pPr>
    </w:p>
    <w:p w:rsidR="00AA0C3F" w:rsidRPr="0073522A" w:rsidRDefault="00AA0C3F" w:rsidP="009B51DB">
      <w:pPr>
        <w:spacing w:before="0" w:after="0"/>
        <w:rPr>
          <w:rFonts w:cs="Arial"/>
          <w:i/>
          <w:sz w:val="20"/>
          <w:szCs w:val="20"/>
        </w:rPr>
      </w:pPr>
    </w:p>
    <w:p w:rsidR="005D3499" w:rsidRPr="00AF0562" w:rsidRDefault="004F4BBA" w:rsidP="009B51DB">
      <w:pPr>
        <w:numPr>
          <w:ilvl w:val="0"/>
          <w:numId w:val="2"/>
        </w:numPr>
        <w:spacing w:before="0" w:after="0"/>
        <w:rPr>
          <w:rFonts w:cs="Arial"/>
          <w:sz w:val="20"/>
          <w:szCs w:val="20"/>
        </w:rPr>
      </w:pPr>
      <w:r w:rsidRPr="0073522A">
        <w:rPr>
          <w:rFonts w:cs="Arial"/>
          <w:i/>
          <w:sz w:val="20"/>
          <w:szCs w:val="20"/>
        </w:rPr>
        <w:t xml:space="preserve">This paper provides assurance and evidence against </w:t>
      </w:r>
      <w:r w:rsidR="00CE32B2">
        <w:rPr>
          <w:rFonts w:cs="Arial"/>
          <w:i/>
          <w:sz w:val="20"/>
          <w:szCs w:val="20"/>
        </w:rPr>
        <w:t xml:space="preserve">various </w:t>
      </w:r>
      <w:r w:rsidR="00946E6E">
        <w:rPr>
          <w:rFonts w:cs="Arial"/>
          <w:i/>
          <w:sz w:val="20"/>
          <w:szCs w:val="20"/>
        </w:rPr>
        <w:t>Care Quality Commission Outcome</w:t>
      </w:r>
      <w:r w:rsidR="00CE32B2">
        <w:rPr>
          <w:rFonts w:cs="Arial"/>
          <w:i/>
          <w:sz w:val="20"/>
          <w:szCs w:val="20"/>
        </w:rPr>
        <w:t>s</w:t>
      </w:r>
    </w:p>
    <w:p w:rsidR="00AF0562" w:rsidRDefault="00AF0562" w:rsidP="00AF0562">
      <w:pPr>
        <w:ind w:left="720"/>
        <w:rPr>
          <w:rFonts w:cs="Arial"/>
          <w:sz w:val="20"/>
          <w:szCs w:val="20"/>
        </w:rPr>
      </w:pPr>
    </w:p>
    <w:p w:rsidR="007B7252" w:rsidRDefault="007B7252" w:rsidP="00AF0562">
      <w:pPr>
        <w:ind w:left="720"/>
        <w:rPr>
          <w:rFonts w:cs="Arial"/>
          <w:sz w:val="20"/>
          <w:szCs w:val="20"/>
        </w:rPr>
      </w:pPr>
    </w:p>
    <w:p w:rsidR="007B7252" w:rsidRDefault="007B7252" w:rsidP="00AF0562">
      <w:pPr>
        <w:ind w:left="720"/>
        <w:rPr>
          <w:rFonts w:cs="Arial"/>
          <w:sz w:val="20"/>
          <w:szCs w:val="20"/>
        </w:rPr>
      </w:pPr>
    </w:p>
    <w:p w:rsidR="007B7252" w:rsidRDefault="007B7252" w:rsidP="00AF0562">
      <w:pPr>
        <w:ind w:left="720"/>
        <w:rPr>
          <w:rFonts w:cs="Arial"/>
          <w:sz w:val="20"/>
          <w:szCs w:val="20"/>
        </w:rPr>
      </w:pPr>
    </w:p>
    <w:p w:rsidR="007B7252" w:rsidRDefault="007B7252" w:rsidP="00AF0562">
      <w:pPr>
        <w:ind w:left="720"/>
        <w:rPr>
          <w:rFonts w:cs="Arial"/>
          <w:sz w:val="20"/>
          <w:szCs w:val="20"/>
        </w:rPr>
      </w:pPr>
    </w:p>
    <w:p w:rsidR="0069120C" w:rsidRDefault="0069120C">
      <w:pPr>
        <w:spacing w:before="0" w:after="0"/>
        <w:jc w:val="left"/>
        <w:rPr>
          <w:b/>
        </w:rPr>
      </w:pPr>
      <w:r>
        <w:rPr>
          <w:b/>
        </w:rPr>
        <w:br w:type="page"/>
      </w:r>
    </w:p>
    <w:p w:rsidR="007B7252" w:rsidRDefault="00C60A2E" w:rsidP="007B7252">
      <w:pPr>
        <w:jc w:val="center"/>
        <w:rPr>
          <w:b/>
        </w:rPr>
      </w:pPr>
      <w:r w:rsidRPr="007B7252">
        <w:rPr>
          <w:b/>
        </w:rPr>
        <w:lastRenderedPageBreak/>
        <w:t>Appendix A</w:t>
      </w:r>
      <w:r w:rsidR="004E5249" w:rsidRPr="007B7252">
        <w:rPr>
          <w:b/>
        </w:rPr>
        <w:t xml:space="preserve"> </w:t>
      </w:r>
    </w:p>
    <w:p w:rsidR="00C60A2E" w:rsidRPr="007B7252" w:rsidRDefault="007B7252" w:rsidP="007B7252">
      <w:pPr>
        <w:jc w:val="center"/>
        <w:rPr>
          <w:b/>
        </w:rPr>
      </w:pPr>
      <w:r>
        <w:rPr>
          <w:b/>
        </w:rPr>
        <w:t>Non-Commercial f</w:t>
      </w:r>
      <w:r w:rsidR="004E5249" w:rsidRPr="007B7252">
        <w:rPr>
          <w:b/>
        </w:rPr>
        <w:t>unded studies</w:t>
      </w:r>
    </w:p>
    <w:tbl>
      <w:tblPr>
        <w:tblW w:w="9880" w:type="dxa"/>
        <w:tblInd w:w="93" w:type="dxa"/>
        <w:tblLook w:val="04A0"/>
      </w:tblPr>
      <w:tblGrid>
        <w:gridCol w:w="5544"/>
        <w:gridCol w:w="1559"/>
        <w:gridCol w:w="1559"/>
        <w:gridCol w:w="1218"/>
      </w:tblGrid>
      <w:tr w:rsidR="007B7252" w:rsidRPr="00700DF1" w:rsidTr="00E51CDA">
        <w:trPr>
          <w:trHeight w:val="319"/>
        </w:trPr>
        <w:tc>
          <w:tcPr>
            <w:tcW w:w="5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7252" w:rsidRPr="00E51CDA" w:rsidRDefault="007B7252" w:rsidP="00A557AC">
            <w:pPr>
              <w:spacing w:before="0" w:after="0"/>
              <w:jc w:val="center"/>
              <w:rPr>
                <w:rFonts w:cs="Arial"/>
                <w:b/>
                <w:bCs/>
                <w:color w:val="000000"/>
                <w:sz w:val="20"/>
                <w:szCs w:val="20"/>
                <w:lang w:val="en-GB" w:eastAsia="en-GB"/>
              </w:rPr>
            </w:pPr>
            <w:r w:rsidRPr="00E51CDA">
              <w:rPr>
                <w:rFonts w:cs="Arial"/>
                <w:b/>
                <w:bCs/>
                <w:color w:val="000000"/>
                <w:sz w:val="20"/>
                <w:szCs w:val="20"/>
                <w:lang w:val="en-GB" w:eastAsia="en-GB"/>
              </w:rPr>
              <w:t>Study</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B7252" w:rsidRPr="00E51CDA" w:rsidRDefault="007B7252" w:rsidP="00A557AC">
            <w:pPr>
              <w:spacing w:before="0" w:after="0"/>
              <w:jc w:val="center"/>
              <w:rPr>
                <w:rFonts w:cs="Arial"/>
                <w:b/>
                <w:bCs/>
                <w:color w:val="000000"/>
                <w:sz w:val="20"/>
                <w:szCs w:val="20"/>
                <w:lang w:val="en-GB" w:eastAsia="en-GB"/>
              </w:rPr>
            </w:pPr>
            <w:r w:rsidRPr="00E51CDA">
              <w:rPr>
                <w:rFonts w:cs="Arial"/>
                <w:b/>
                <w:bCs/>
                <w:color w:val="000000"/>
                <w:sz w:val="20"/>
                <w:szCs w:val="20"/>
                <w:lang w:val="en-GB" w:eastAsia="en-GB"/>
              </w:rPr>
              <w:t>Funder</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B7252" w:rsidRPr="00E51CDA" w:rsidRDefault="007B7252" w:rsidP="00A557AC">
            <w:pPr>
              <w:spacing w:before="0" w:after="0"/>
              <w:jc w:val="center"/>
              <w:rPr>
                <w:rFonts w:cs="Arial"/>
                <w:b/>
                <w:bCs/>
                <w:color w:val="000000"/>
                <w:sz w:val="20"/>
                <w:szCs w:val="20"/>
                <w:lang w:val="en-GB" w:eastAsia="en-GB"/>
              </w:rPr>
            </w:pPr>
            <w:r w:rsidRPr="00E51CDA">
              <w:rPr>
                <w:rFonts w:cs="Arial"/>
                <w:b/>
                <w:bCs/>
                <w:color w:val="000000"/>
                <w:sz w:val="20"/>
                <w:szCs w:val="20"/>
                <w:lang w:val="en-GB" w:eastAsia="en-GB"/>
              </w:rPr>
              <w:t>End Date</w:t>
            </w:r>
          </w:p>
        </w:tc>
        <w:tc>
          <w:tcPr>
            <w:tcW w:w="12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B7252" w:rsidRPr="00E51CDA" w:rsidRDefault="007B7252" w:rsidP="00A557AC">
            <w:pPr>
              <w:spacing w:before="0" w:after="0"/>
              <w:jc w:val="center"/>
              <w:rPr>
                <w:rFonts w:cs="Arial"/>
                <w:b/>
                <w:bCs/>
                <w:color w:val="000000"/>
                <w:sz w:val="20"/>
                <w:szCs w:val="20"/>
                <w:lang w:val="en-GB" w:eastAsia="en-GB"/>
              </w:rPr>
            </w:pPr>
            <w:r w:rsidRPr="00E51CDA">
              <w:rPr>
                <w:rFonts w:cs="Arial"/>
                <w:b/>
                <w:bCs/>
                <w:color w:val="000000"/>
                <w:sz w:val="20"/>
                <w:szCs w:val="20"/>
                <w:lang w:val="en-GB" w:eastAsia="en-GB"/>
              </w:rPr>
              <w:t>Value</w:t>
            </w:r>
          </w:p>
        </w:tc>
      </w:tr>
      <w:tr w:rsidR="007B7252" w:rsidRPr="00700DF1" w:rsidTr="007B7252">
        <w:trPr>
          <w:trHeight w:val="657"/>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7B7252" w:rsidRPr="00E51CDA" w:rsidRDefault="007B7252" w:rsidP="007B7252">
            <w:pPr>
              <w:spacing w:before="0" w:after="0"/>
              <w:jc w:val="left"/>
              <w:rPr>
                <w:rFonts w:cs="Arial"/>
                <w:color w:val="000000"/>
                <w:sz w:val="20"/>
                <w:szCs w:val="20"/>
                <w:lang w:val="en-GB" w:eastAsia="en-GB"/>
              </w:rPr>
            </w:pPr>
            <w:proofErr w:type="spellStart"/>
            <w:r w:rsidRPr="00E51CDA">
              <w:rPr>
                <w:rFonts w:cs="Arial"/>
                <w:color w:val="000000"/>
                <w:sz w:val="20"/>
                <w:szCs w:val="20"/>
                <w:lang w:val="en-GB" w:eastAsia="en-GB"/>
              </w:rPr>
              <w:t>Electroconvulcive</w:t>
            </w:r>
            <w:proofErr w:type="spellEnd"/>
            <w:r w:rsidRPr="00E51CDA">
              <w:rPr>
                <w:rFonts w:cs="Arial"/>
                <w:color w:val="000000"/>
                <w:sz w:val="20"/>
                <w:szCs w:val="20"/>
                <w:lang w:val="en-GB" w:eastAsia="en-GB"/>
              </w:rPr>
              <w:t xml:space="preserve"> therapy: a qualitative study of the experiences of patients and their carers ( </w:t>
            </w:r>
            <w:proofErr w:type="spellStart"/>
            <w:r w:rsidRPr="00E51CDA">
              <w:rPr>
                <w:rFonts w:cs="Arial"/>
                <w:color w:val="000000"/>
                <w:sz w:val="20"/>
                <w:szCs w:val="20"/>
                <w:lang w:val="en-GB" w:eastAsia="en-GB"/>
              </w:rPr>
              <w:t>healthtalkonline</w:t>
            </w:r>
            <w:proofErr w:type="spellEnd"/>
            <w:r w:rsidRPr="00E51CDA">
              <w:rPr>
                <w:rFonts w:cs="Arial"/>
                <w:color w:val="000000"/>
                <w:sz w:val="20"/>
                <w:szCs w:val="20"/>
                <w:lang w:val="en-GB" w:eastAsia="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B7252" w:rsidRPr="00E51CDA" w:rsidRDefault="007B7252" w:rsidP="00A557AC">
            <w:pPr>
              <w:spacing w:before="0" w:after="0"/>
              <w:jc w:val="center"/>
              <w:rPr>
                <w:rFonts w:cs="Arial"/>
                <w:color w:val="000000"/>
                <w:sz w:val="20"/>
                <w:szCs w:val="20"/>
                <w:lang w:val="en-GB" w:eastAsia="en-GB"/>
              </w:rPr>
            </w:pPr>
            <w:r w:rsidRPr="00E51CDA">
              <w:rPr>
                <w:rFonts w:cs="Arial"/>
                <w:color w:val="000000"/>
                <w:sz w:val="20"/>
                <w:szCs w:val="20"/>
                <w:lang w:val="en-GB" w:eastAsia="en-GB"/>
              </w:rPr>
              <w:t>NIHR</w:t>
            </w:r>
          </w:p>
        </w:tc>
        <w:tc>
          <w:tcPr>
            <w:tcW w:w="1559" w:type="dxa"/>
            <w:tcBorders>
              <w:top w:val="nil"/>
              <w:left w:val="nil"/>
              <w:bottom w:val="single" w:sz="4" w:space="0" w:color="auto"/>
              <w:right w:val="single" w:sz="4" w:space="0" w:color="auto"/>
            </w:tcBorders>
            <w:shd w:val="clear" w:color="auto" w:fill="auto"/>
            <w:noWrap/>
            <w:vAlign w:val="center"/>
            <w:hideMark/>
          </w:tcPr>
          <w:p w:rsidR="007B7252" w:rsidRPr="00E51CDA" w:rsidRDefault="007B7252" w:rsidP="00A557AC">
            <w:pPr>
              <w:spacing w:before="0" w:after="0"/>
              <w:jc w:val="center"/>
              <w:rPr>
                <w:rFonts w:cs="Arial"/>
                <w:sz w:val="20"/>
                <w:szCs w:val="20"/>
                <w:lang w:val="en-GB" w:eastAsia="en-GB"/>
              </w:rPr>
            </w:pPr>
            <w:r w:rsidRPr="00E51CDA">
              <w:rPr>
                <w:rFonts w:cs="Arial"/>
                <w:sz w:val="20"/>
                <w:szCs w:val="20"/>
                <w:lang w:val="en-GB" w:eastAsia="en-GB"/>
              </w:rPr>
              <w:t>02/04/2014</w:t>
            </w:r>
          </w:p>
        </w:tc>
        <w:tc>
          <w:tcPr>
            <w:tcW w:w="1218" w:type="dxa"/>
            <w:tcBorders>
              <w:top w:val="nil"/>
              <w:left w:val="nil"/>
              <w:bottom w:val="single" w:sz="4" w:space="0" w:color="auto"/>
              <w:right w:val="single" w:sz="4" w:space="0" w:color="auto"/>
            </w:tcBorders>
            <w:shd w:val="clear" w:color="auto" w:fill="auto"/>
            <w:noWrap/>
            <w:vAlign w:val="center"/>
            <w:hideMark/>
          </w:tcPr>
          <w:p w:rsidR="007B7252" w:rsidRPr="00E51CDA" w:rsidRDefault="007B7252" w:rsidP="00A557AC">
            <w:pPr>
              <w:spacing w:before="0" w:after="0"/>
              <w:jc w:val="center"/>
              <w:rPr>
                <w:rFonts w:cs="Arial"/>
                <w:sz w:val="20"/>
                <w:szCs w:val="20"/>
                <w:lang w:val="en-GB" w:eastAsia="en-GB"/>
              </w:rPr>
            </w:pPr>
            <w:r w:rsidRPr="00E51CDA">
              <w:rPr>
                <w:rFonts w:cs="Arial"/>
                <w:sz w:val="20"/>
                <w:szCs w:val="20"/>
                <w:lang w:val="en-GB" w:eastAsia="en-GB"/>
              </w:rPr>
              <w:t>£246,656</w:t>
            </w:r>
          </w:p>
        </w:tc>
      </w:tr>
      <w:tr w:rsidR="007B7252" w:rsidRPr="00700DF1" w:rsidTr="007B7252">
        <w:trPr>
          <w:trHeight w:val="415"/>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252" w:rsidRPr="00E51CDA" w:rsidRDefault="007B7252" w:rsidP="00A557AC">
            <w:pPr>
              <w:spacing w:before="0" w:after="0"/>
              <w:jc w:val="left"/>
              <w:rPr>
                <w:rFonts w:cs="Arial"/>
                <w:color w:val="000000"/>
                <w:sz w:val="20"/>
                <w:szCs w:val="20"/>
                <w:lang w:val="en-GB" w:eastAsia="en-GB"/>
              </w:rPr>
            </w:pPr>
            <w:r w:rsidRPr="00E51CDA">
              <w:rPr>
                <w:rFonts w:cs="Arial"/>
                <w:color w:val="000000"/>
                <w:sz w:val="20"/>
                <w:szCs w:val="20"/>
                <w:lang w:val="en-GB" w:eastAsia="en-GB"/>
              </w:rPr>
              <w:t>Ketamine as an alternative to ECT in treatment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B7252" w:rsidRPr="00E51CDA" w:rsidRDefault="007B7252" w:rsidP="00A557AC">
            <w:pPr>
              <w:spacing w:before="0" w:after="0"/>
              <w:jc w:val="center"/>
              <w:rPr>
                <w:rFonts w:cs="Arial"/>
                <w:color w:val="000000"/>
                <w:sz w:val="20"/>
                <w:szCs w:val="20"/>
                <w:lang w:val="en-GB" w:eastAsia="en-GB"/>
              </w:rPr>
            </w:pPr>
            <w:r w:rsidRPr="00E51CDA">
              <w:rPr>
                <w:rFonts w:cs="Arial"/>
                <w:color w:val="000000"/>
                <w:sz w:val="20"/>
                <w:szCs w:val="20"/>
                <w:lang w:val="en-GB" w:eastAsia="en-GB"/>
              </w:rPr>
              <w:t>NIHR</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B7252" w:rsidRPr="00E51CDA" w:rsidRDefault="007B7252" w:rsidP="00A557AC">
            <w:pPr>
              <w:spacing w:before="0" w:after="0"/>
              <w:jc w:val="center"/>
              <w:rPr>
                <w:rFonts w:cs="Arial"/>
                <w:sz w:val="20"/>
                <w:szCs w:val="20"/>
                <w:lang w:val="en-GB" w:eastAsia="en-GB"/>
              </w:rPr>
            </w:pPr>
            <w:r w:rsidRPr="00E51CDA">
              <w:rPr>
                <w:rFonts w:cs="Arial"/>
                <w:sz w:val="20"/>
                <w:szCs w:val="20"/>
                <w:lang w:val="en-GB" w:eastAsia="en-GB"/>
              </w:rPr>
              <w:t>31/08/2012 #</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7B7252" w:rsidRPr="00E51CDA" w:rsidRDefault="007B7252" w:rsidP="00A557AC">
            <w:pPr>
              <w:spacing w:before="0" w:after="0"/>
              <w:jc w:val="center"/>
              <w:rPr>
                <w:rFonts w:cs="Arial"/>
                <w:sz w:val="20"/>
                <w:szCs w:val="20"/>
                <w:lang w:val="en-GB" w:eastAsia="en-GB"/>
              </w:rPr>
            </w:pPr>
            <w:r w:rsidRPr="00E51CDA">
              <w:rPr>
                <w:rFonts w:cs="Arial"/>
                <w:sz w:val="20"/>
                <w:szCs w:val="20"/>
                <w:lang w:val="en-GB" w:eastAsia="en-GB"/>
              </w:rPr>
              <w:t>£198,330</w:t>
            </w:r>
          </w:p>
        </w:tc>
      </w:tr>
      <w:tr w:rsidR="007B7252" w:rsidRPr="00700DF1" w:rsidTr="007B7252">
        <w:trPr>
          <w:trHeight w:val="407"/>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252" w:rsidRPr="00E51CDA" w:rsidRDefault="007B7252" w:rsidP="00A557AC">
            <w:pPr>
              <w:spacing w:before="0" w:after="0"/>
              <w:jc w:val="left"/>
              <w:rPr>
                <w:rFonts w:cs="Arial"/>
                <w:color w:val="000000"/>
                <w:sz w:val="20"/>
                <w:szCs w:val="20"/>
                <w:lang w:val="en-GB" w:eastAsia="en-GB"/>
              </w:rPr>
            </w:pPr>
            <w:r w:rsidRPr="00E51CDA">
              <w:rPr>
                <w:rFonts w:cs="Arial"/>
                <w:color w:val="000000"/>
                <w:sz w:val="20"/>
                <w:szCs w:val="20"/>
                <w:lang w:val="en-GB" w:eastAsia="en-GB"/>
              </w:rPr>
              <w:t>Melatonin in Acute Mania Investigation (MIAMI-UK)</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B7252" w:rsidRPr="00E51CDA" w:rsidRDefault="007B7252" w:rsidP="00A557AC">
            <w:pPr>
              <w:spacing w:before="0" w:after="0"/>
              <w:jc w:val="center"/>
              <w:rPr>
                <w:rFonts w:cs="Arial"/>
                <w:color w:val="000000"/>
                <w:sz w:val="20"/>
                <w:szCs w:val="20"/>
                <w:lang w:val="en-GB" w:eastAsia="en-GB"/>
              </w:rPr>
            </w:pPr>
            <w:r w:rsidRPr="00E51CDA">
              <w:rPr>
                <w:rFonts w:cs="Arial"/>
                <w:color w:val="000000"/>
                <w:sz w:val="20"/>
                <w:szCs w:val="20"/>
                <w:lang w:val="en-GB" w:eastAsia="en-GB"/>
              </w:rPr>
              <w:t>NIHR</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B7252" w:rsidRPr="00E51CDA" w:rsidRDefault="007B7252" w:rsidP="00A557AC">
            <w:pPr>
              <w:spacing w:before="0" w:after="0"/>
              <w:jc w:val="center"/>
              <w:rPr>
                <w:rFonts w:cs="Arial"/>
                <w:sz w:val="20"/>
                <w:szCs w:val="20"/>
                <w:lang w:val="en-GB" w:eastAsia="en-GB"/>
              </w:rPr>
            </w:pPr>
            <w:r w:rsidRPr="00E51CDA">
              <w:rPr>
                <w:rFonts w:cs="Arial"/>
                <w:sz w:val="20"/>
                <w:szCs w:val="20"/>
                <w:lang w:val="en-GB" w:eastAsia="en-GB"/>
              </w:rPr>
              <w:t>30/06/2012 #</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7B7252" w:rsidRPr="00E51CDA" w:rsidRDefault="007B7252" w:rsidP="00A557AC">
            <w:pPr>
              <w:spacing w:before="0" w:after="0"/>
              <w:jc w:val="center"/>
              <w:rPr>
                <w:rFonts w:cs="Arial"/>
                <w:sz w:val="20"/>
                <w:szCs w:val="20"/>
                <w:lang w:val="en-GB" w:eastAsia="en-GB"/>
              </w:rPr>
            </w:pPr>
            <w:r w:rsidRPr="00E51CDA">
              <w:rPr>
                <w:rFonts w:cs="Arial"/>
                <w:sz w:val="20"/>
                <w:szCs w:val="20"/>
                <w:lang w:val="en-GB" w:eastAsia="en-GB"/>
              </w:rPr>
              <w:t>£99,918</w:t>
            </w:r>
          </w:p>
        </w:tc>
      </w:tr>
      <w:tr w:rsidR="007B7252" w:rsidRPr="00700DF1" w:rsidTr="007B7252">
        <w:trPr>
          <w:trHeight w:val="980"/>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252" w:rsidRPr="00E51CDA" w:rsidRDefault="007B7252" w:rsidP="00A557AC">
            <w:pPr>
              <w:spacing w:before="0" w:after="0"/>
              <w:jc w:val="left"/>
              <w:rPr>
                <w:rFonts w:cs="Arial"/>
                <w:color w:val="000000"/>
                <w:sz w:val="20"/>
                <w:szCs w:val="20"/>
                <w:lang w:val="en-GB" w:eastAsia="en-GB"/>
              </w:rPr>
            </w:pPr>
            <w:proofErr w:type="spellStart"/>
            <w:r w:rsidRPr="00E51CDA">
              <w:rPr>
                <w:rFonts w:cs="Arial"/>
                <w:color w:val="000000"/>
                <w:sz w:val="20"/>
                <w:szCs w:val="20"/>
                <w:lang w:val="en-GB" w:eastAsia="en-GB"/>
              </w:rPr>
              <w:t>Aripiprazole</w:t>
            </w:r>
            <w:proofErr w:type="spellEnd"/>
            <w:r w:rsidRPr="00E51CDA">
              <w:rPr>
                <w:rFonts w:cs="Arial"/>
                <w:color w:val="000000"/>
                <w:sz w:val="20"/>
                <w:szCs w:val="20"/>
                <w:lang w:val="en-GB" w:eastAsia="en-GB"/>
              </w:rPr>
              <w:t xml:space="preserve"> treatment for antipsychotic induced </w:t>
            </w:r>
            <w:proofErr w:type="spellStart"/>
            <w:r w:rsidRPr="00E51CDA">
              <w:rPr>
                <w:rFonts w:cs="Arial"/>
                <w:color w:val="000000"/>
                <w:sz w:val="20"/>
                <w:szCs w:val="20"/>
                <w:lang w:val="en-GB" w:eastAsia="en-GB"/>
              </w:rPr>
              <w:t>hyperprolactinaemia</w:t>
            </w:r>
            <w:proofErr w:type="spellEnd"/>
            <w:r w:rsidRPr="00E51CDA">
              <w:rPr>
                <w:rFonts w:cs="Arial"/>
                <w:color w:val="000000"/>
                <w:sz w:val="20"/>
                <w:szCs w:val="20"/>
                <w:lang w:val="en-GB" w:eastAsia="en-GB"/>
              </w:rPr>
              <w:t xml:space="preserve"> in young patients with severe mental illness and learning disabilities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B7252" w:rsidRPr="00E51CDA" w:rsidRDefault="007B7252" w:rsidP="00A557AC">
            <w:pPr>
              <w:spacing w:before="0" w:after="0"/>
              <w:jc w:val="center"/>
              <w:rPr>
                <w:rFonts w:cs="Arial"/>
                <w:color w:val="000000"/>
                <w:sz w:val="20"/>
                <w:szCs w:val="20"/>
                <w:lang w:val="en-GB" w:eastAsia="en-GB"/>
              </w:rPr>
            </w:pPr>
            <w:r w:rsidRPr="00E51CDA">
              <w:rPr>
                <w:rFonts w:cs="Arial"/>
                <w:color w:val="000000"/>
                <w:sz w:val="20"/>
                <w:szCs w:val="20"/>
                <w:lang w:val="en-GB" w:eastAsia="en-GB"/>
              </w:rPr>
              <w:t>NIHR</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B7252" w:rsidRPr="00E51CDA" w:rsidRDefault="007B7252" w:rsidP="00A557AC">
            <w:pPr>
              <w:spacing w:before="0" w:after="0"/>
              <w:jc w:val="center"/>
              <w:rPr>
                <w:rFonts w:cs="Arial"/>
                <w:sz w:val="20"/>
                <w:szCs w:val="20"/>
                <w:lang w:val="en-GB" w:eastAsia="en-GB"/>
              </w:rPr>
            </w:pPr>
            <w:r w:rsidRPr="00E51CDA">
              <w:rPr>
                <w:rFonts w:cs="Arial"/>
                <w:sz w:val="20"/>
                <w:szCs w:val="20"/>
                <w:lang w:val="en-GB" w:eastAsia="en-GB"/>
              </w:rPr>
              <w:t>28/02/2015</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7B7252" w:rsidRPr="00E51CDA" w:rsidRDefault="007B7252" w:rsidP="00A557AC">
            <w:pPr>
              <w:spacing w:before="0" w:after="0"/>
              <w:jc w:val="center"/>
              <w:rPr>
                <w:rFonts w:cs="Arial"/>
                <w:sz w:val="20"/>
                <w:szCs w:val="20"/>
                <w:lang w:val="en-GB" w:eastAsia="en-GB"/>
              </w:rPr>
            </w:pPr>
            <w:r w:rsidRPr="00E51CDA">
              <w:rPr>
                <w:rFonts w:cs="Arial"/>
                <w:sz w:val="20"/>
                <w:szCs w:val="20"/>
                <w:lang w:val="en-GB" w:eastAsia="en-GB"/>
              </w:rPr>
              <w:t>£201,626</w:t>
            </w:r>
          </w:p>
        </w:tc>
      </w:tr>
      <w:tr w:rsidR="007B7252" w:rsidRPr="00700DF1" w:rsidTr="007B7252">
        <w:trPr>
          <w:trHeight w:val="696"/>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252" w:rsidRPr="00E51CDA" w:rsidRDefault="007B7252" w:rsidP="00A557AC">
            <w:pPr>
              <w:spacing w:before="0" w:after="0"/>
              <w:jc w:val="left"/>
              <w:rPr>
                <w:rFonts w:cs="Arial"/>
                <w:color w:val="000000"/>
                <w:sz w:val="20"/>
                <w:szCs w:val="20"/>
                <w:lang w:val="en-GB" w:eastAsia="en-GB"/>
              </w:rPr>
            </w:pPr>
            <w:r w:rsidRPr="00E51CDA">
              <w:rPr>
                <w:rFonts w:cs="Arial"/>
                <w:color w:val="000000"/>
                <w:sz w:val="20"/>
                <w:szCs w:val="20"/>
                <w:lang w:val="en-GB" w:eastAsia="en-GB"/>
              </w:rPr>
              <w:t>Risks, roles and responsibilities: Evaluating falls in inpatient mental healthcare settings for older people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B7252" w:rsidRPr="00E51CDA" w:rsidRDefault="007B7252" w:rsidP="00A557AC">
            <w:pPr>
              <w:spacing w:before="0" w:after="0"/>
              <w:jc w:val="center"/>
              <w:rPr>
                <w:rFonts w:cs="Arial"/>
                <w:color w:val="000000"/>
                <w:sz w:val="20"/>
                <w:szCs w:val="20"/>
                <w:lang w:val="en-GB" w:eastAsia="en-GB"/>
              </w:rPr>
            </w:pPr>
            <w:r w:rsidRPr="00E51CDA">
              <w:rPr>
                <w:rFonts w:cs="Arial"/>
                <w:color w:val="000000"/>
                <w:sz w:val="20"/>
                <w:szCs w:val="20"/>
                <w:lang w:val="en-GB" w:eastAsia="en-GB"/>
              </w:rPr>
              <w:t>NIHR</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B7252" w:rsidRPr="00E51CDA" w:rsidRDefault="007B7252" w:rsidP="00A557AC">
            <w:pPr>
              <w:spacing w:before="0" w:after="0"/>
              <w:jc w:val="center"/>
              <w:rPr>
                <w:rFonts w:cs="Arial"/>
                <w:sz w:val="20"/>
                <w:szCs w:val="20"/>
                <w:lang w:val="en-GB" w:eastAsia="en-GB"/>
              </w:rPr>
            </w:pPr>
            <w:r w:rsidRPr="00E51CDA">
              <w:rPr>
                <w:rFonts w:cs="Arial"/>
                <w:sz w:val="20"/>
                <w:szCs w:val="20"/>
                <w:lang w:val="en-GB" w:eastAsia="en-GB"/>
              </w:rPr>
              <w:t>31/05/2013 #</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7B7252" w:rsidRPr="00E51CDA" w:rsidRDefault="007B7252" w:rsidP="00A557AC">
            <w:pPr>
              <w:spacing w:before="0" w:after="0"/>
              <w:jc w:val="center"/>
              <w:rPr>
                <w:rFonts w:cs="Arial"/>
                <w:sz w:val="20"/>
                <w:szCs w:val="20"/>
                <w:lang w:val="en-GB" w:eastAsia="en-GB"/>
              </w:rPr>
            </w:pPr>
            <w:r w:rsidRPr="00E51CDA">
              <w:rPr>
                <w:rFonts w:cs="Arial"/>
                <w:sz w:val="20"/>
                <w:szCs w:val="20"/>
                <w:lang w:val="en-GB" w:eastAsia="en-GB"/>
              </w:rPr>
              <w:t>£249,733</w:t>
            </w:r>
          </w:p>
        </w:tc>
      </w:tr>
      <w:tr w:rsidR="007B7252" w:rsidRPr="00700DF1" w:rsidTr="007B7252">
        <w:trPr>
          <w:trHeight w:val="497"/>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7B7252" w:rsidRPr="00E51CDA" w:rsidRDefault="007B7252" w:rsidP="00A557AC">
            <w:pPr>
              <w:spacing w:before="0" w:after="0"/>
              <w:jc w:val="left"/>
              <w:rPr>
                <w:rFonts w:cs="Arial"/>
                <w:color w:val="000000"/>
                <w:sz w:val="20"/>
                <w:szCs w:val="20"/>
                <w:lang w:val="en-GB" w:eastAsia="en-GB"/>
              </w:rPr>
            </w:pPr>
            <w:r w:rsidRPr="00E51CDA">
              <w:rPr>
                <w:rFonts w:cs="Arial"/>
                <w:color w:val="000000"/>
                <w:sz w:val="20"/>
                <w:szCs w:val="20"/>
                <w:lang w:val="en-GB" w:eastAsia="en-GB"/>
              </w:rPr>
              <w:t xml:space="preserve">Challenge </w:t>
            </w:r>
            <w:proofErr w:type="spellStart"/>
            <w:r w:rsidRPr="00E51CDA">
              <w:rPr>
                <w:rFonts w:cs="Arial"/>
                <w:color w:val="000000"/>
                <w:sz w:val="20"/>
                <w:szCs w:val="20"/>
                <w:lang w:val="en-GB" w:eastAsia="en-GB"/>
              </w:rPr>
              <w:t>FamCare</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7B7252" w:rsidRPr="00E51CDA" w:rsidRDefault="007B7252" w:rsidP="007B7252">
            <w:pPr>
              <w:spacing w:before="0" w:after="0"/>
              <w:jc w:val="center"/>
              <w:rPr>
                <w:rFonts w:cs="Arial"/>
                <w:color w:val="000000"/>
                <w:sz w:val="20"/>
                <w:szCs w:val="20"/>
                <w:lang w:val="en-GB" w:eastAsia="en-GB"/>
              </w:rPr>
            </w:pPr>
            <w:r w:rsidRPr="00E51CDA">
              <w:rPr>
                <w:rFonts w:cs="Arial"/>
                <w:color w:val="000000"/>
                <w:sz w:val="20"/>
                <w:szCs w:val="20"/>
                <w:lang w:val="en-GB" w:eastAsia="en-GB"/>
              </w:rPr>
              <w:t>Humber NHS FT</w:t>
            </w:r>
          </w:p>
        </w:tc>
        <w:tc>
          <w:tcPr>
            <w:tcW w:w="1559" w:type="dxa"/>
            <w:tcBorders>
              <w:top w:val="nil"/>
              <w:left w:val="nil"/>
              <w:bottom w:val="single" w:sz="4" w:space="0" w:color="auto"/>
              <w:right w:val="single" w:sz="4" w:space="0" w:color="auto"/>
            </w:tcBorders>
            <w:shd w:val="clear" w:color="auto" w:fill="auto"/>
            <w:noWrap/>
            <w:vAlign w:val="center"/>
            <w:hideMark/>
          </w:tcPr>
          <w:p w:rsidR="007B7252" w:rsidRPr="00E51CDA" w:rsidRDefault="007B7252" w:rsidP="00A557AC">
            <w:pPr>
              <w:spacing w:before="0" w:after="0"/>
              <w:jc w:val="center"/>
              <w:rPr>
                <w:rFonts w:cs="Arial"/>
                <w:sz w:val="20"/>
                <w:szCs w:val="20"/>
                <w:lang w:val="en-GB" w:eastAsia="en-GB"/>
              </w:rPr>
            </w:pPr>
            <w:r w:rsidRPr="00E51CDA">
              <w:rPr>
                <w:rFonts w:cs="Arial"/>
                <w:sz w:val="20"/>
                <w:szCs w:val="20"/>
                <w:lang w:val="en-GB" w:eastAsia="en-GB"/>
              </w:rPr>
              <w:t>30/09/2013</w:t>
            </w:r>
          </w:p>
        </w:tc>
        <w:tc>
          <w:tcPr>
            <w:tcW w:w="1218" w:type="dxa"/>
            <w:tcBorders>
              <w:top w:val="nil"/>
              <w:left w:val="nil"/>
              <w:bottom w:val="single" w:sz="4" w:space="0" w:color="auto"/>
              <w:right w:val="single" w:sz="4" w:space="0" w:color="auto"/>
            </w:tcBorders>
            <w:shd w:val="clear" w:color="auto" w:fill="auto"/>
            <w:noWrap/>
            <w:vAlign w:val="center"/>
            <w:hideMark/>
          </w:tcPr>
          <w:p w:rsidR="007B7252" w:rsidRPr="00E51CDA" w:rsidRDefault="007B7252" w:rsidP="00A557AC">
            <w:pPr>
              <w:spacing w:before="0" w:after="0"/>
              <w:jc w:val="center"/>
              <w:rPr>
                <w:rFonts w:cs="Arial"/>
                <w:sz w:val="20"/>
                <w:szCs w:val="20"/>
                <w:lang w:val="en-GB" w:eastAsia="en-GB"/>
              </w:rPr>
            </w:pPr>
            <w:r w:rsidRPr="00E51CDA">
              <w:rPr>
                <w:rFonts w:cs="Arial"/>
                <w:sz w:val="20"/>
                <w:szCs w:val="20"/>
                <w:lang w:val="en-GB" w:eastAsia="en-GB"/>
              </w:rPr>
              <w:t>£175,989</w:t>
            </w:r>
          </w:p>
        </w:tc>
      </w:tr>
      <w:tr w:rsidR="007B7252" w:rsidRPr="00700DF1" w:rsidTr="007B7252">
        <w:trPr>
          <w:trHeight w:val="729"/>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7B7252" w:rsidRPr="00E51CDA" w:rsidRDefault="007B7252" w:rsidP="00A557AC">
            <w:pPr>
              <w:spacing w:before="0" w:after="0"/>
              <w:jc w:val="left"/>
              <w:rPr>
                <w:rFonts w:cs="Arial"/>
                <w:color w:val="000000"/>
                <w:sz w:val="20"/>
                <w:szCs w:val="20"/>
                <w:lang w:val="en-GB" w:eastAsia="en-GB"/>
              </w:rPr>
            </w:pPr>
            <w:r w:rsidRPr="00E51CDA">
              <w:rPr>
                <w:rFonts w:cs="Arial"/>
                <w:color w:val="000000"/>
                <w:sz w:val="20"/>
                <w:szCs w:val="20"/>
                <w:lang w:val="en-GB" w:eastAsia="en-GB"/>
              </w:rPr>
              <w:t>Development and evaluation of SMS-based monitoring and management service for people with bipolar disorder</w:t>
            </w:r>
          </w:p>
        </w:tc>
        <w:tc>
          <w:tcPr>
            <w:tcW w:w="1559" w:type="dxa"/>
            <w:tcBorders>
              <w:top w:val="nil"/>
              <w:left w:val="nil"/>
              <w:bottom w:val="single" w:sz="4" w:space="0" w:color="auto"/>
              <w:right w:val="single" w:sz="4" w:space="0" w:color="auto"/>
            </w:tcBorders>
            <w:shd w:val="clear" w:color="auto" w:fill="auto"/>
            <w:vAlign w:val="center"/>
            <w:hideMark/>
          </w:tcPr>
          <w:p w:rsidR="007B7252" w:rsidRPr="00E51CDA" w:rsidRDefault="007B7252" w:rsidP="00A557AC">
            <w:pPr>
              <w:spacing w:before="0" w:after="0"/>
              <w:jc w:val="center"/>
              <w:rPr>
                <w:rFonts w:cs="Arial"/>
                <w:color w:val="000000"/>
                <w:sz w:val="20"/>
                <w:szCs w:val="20"/>
                <w:lang w:val="en-GB" w:eastAsia="en-GB"/>
              </w:rPr>
            </w:pPr>
            <w:r w:rsidRPr="00E51CDA">
              <w:rPr>
                <w:rFonts w:cs="Arial"/>
                <w:color w:val="000000"/>
                <w:sz w:val="20"/>
                <w:szCs w:val="20"/>
                <w:lang w:val="en-GB" w:eastAsia="en-GB"/>
              </w:rPr>
              <w:t>NIHR</w:t>
            </w:r>
          </w:p>
        </w:tc>
        <w:tc>
          <w:tcPr>
            <w:tcW w:w="1559" w:type="dxa"/>
            <w:tcBorders>
              <w:top w:val="nil"/>
              <w:left w:val="nil"/>
              <w:bottom w:val="single" w:sz="4" w:space="0" w:color="auto"/>
              <w:right w:val="single" w:sz="4" w:space="0" w:color="auto"/>
            </w:tcBorders>
            <w:shd w:val="clear" w:color="auto" w:fill="auto"/>
            <w:noWrap/>
            <w:vAlign w:val="center"/>
            <w:hideMark/>
          </w:tcPr>
          <w:p w:rsidR="007B7252" w:rsidRPr="00E51CDA" w:rsidRDefault="007B7252" w:rsidP="00A557AC">
            <w:pPr>
              <w:spacing w:before="0" w:after="0"/>
              <w:jc w:val="center"/>
              <w:rPr>
                <w:rFonts w:cs="Arial"/>
                <w:sz w:val="20"/>
                <w:szCs w:val="20"/>
                <w:lang w:val="en-GB" w:eastAsia="en-GB"/>
              </w:rPr>
            </w:pPr>
            <w:r w:rsidRPr="00E51CDA">
              <w:rPr>
                <w:rFonts w:cs="Arial"/>
                <w:sz w:val="20"/>
                <w:szCs w:val="20"/>
                <w:lang w:val="en-GB" w:eastAsia="en-GB"/>
              </w:rPr>
              <w:t>31/12/2014</w:t>
            </w:r>
          </w:p>
        </w:tc>
        <w:tc>
          <w:tcPr>
            <w:tcW w:w="1218" w:type="dxa"/>
            <w:tcBorders>
              <w:top w:val="nil"/>
              <w:left w:val="nil"/>
              <w:bottom w:val="single" w:sz="4" w:space="0" w:color="auto"/>
              <w:right w:val="single" w:sz="4" w:space="0" w:color="auto"/>
            </w:tcBorders>
            <w:shd w:val="clear" w:color="auto" w:fill="auto"/>
            <w:noWrap/>
            <w:vAlign w:val="center"/>
            <w:hideMark/>
          </w:tcPr>
          <w:p w:rsidR="007B7252" w:rsidRPr="00E51CDA" w:rsidRDefault="007B7252" w:rsidP="00A557AC">
            <w:pPr>
              <w:spacing w:before="0" w:after="0"/>
              <w:jc w:val="center"/>
              <w:rPr>
                <w:rFonts w:cs="Arial"/>
                <w:sz w:val="20"/>
                <w:szCs w:val="20"/>
                <w:lang w:val="en-GB" w:eastAsia="en-GB"/>
              </w:rPr>
            </w:pPr>
            <w:r w:rsidRPr="00E51CDA">
              <w:rPr>
                <w:rFonts w:cs="Arial"/>
                <w:sz w:val="20"/>
                <w:szCs w:val="20"/>
                <w:lang w:val="en-GB" w:eastAsia="en-GB"/>
              </w:rPr>
              <w:t>£1,660,037</w:t>
            </w:r>
          </w:p>
        </w:tc>
      </w:tr>
      <w:tr w:rsidR="007B7252" w:rsidRPr="00700DF1" w:rsidTr="00E51CDA">
        <w:trPr>
          <w:trHeight w:val="794"/>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7B7252" w:rsidRPr="00E51CDA" w:rsidRDefault="007B7252" w:rsidP="00A557AC">
            <w:pPr>
              <w:spacing w:before="0" w:after="0"/>
              <w:jc w:val="left"/>
              <w:rPr>
                <w:rFonts w:cs="Arial"/>
                <w:color w:val="000000"/>
                <w:sz w:val="20"/>
                <w:szCs w:val="20"/>
                <w:lang w:val="en-GB" w:eastAsia="en-GB"/>
              </w:rPr>
            </w:pPr>
            <w:r w:rsidRPr="00E51CDA">
              <w:rPr>
                <w:rFonts w:cs="Arial"/>
                <w:color w:val="000000"/>
                <w:sz w:val="20"/>
                <w:szCs w:val="20"/>
                <w:lang w:val="en-GB" w:eastAsia="en-GB"/>
              </w:rPr>
              <w:t>Bipolar affective disorder or borderline personality disorder? An exploration of patient and clinician experience</w:t>
            </w:r>
          </w:p>
        </w:tc>
        <w:tc>
          <w:tcPr>
            <w:tcW w:w="1559" w:type="dxa"/>
            <w:tcBorders>
              <w:top w:val="nil"/>
              <w:left w:val="nil"/>
              <w:bottom w:val="single" w:sz="4" w:space="0" w:color="auto"/>
              <w:right w:val="single" w:sz="4" w:space="0" w:color="auto"/>
            </w:tcBorders>
            <w:shd w:val="clear" w:color="auto" w:fill="auto"/>
            <w:vAlign w:val="center"/>
            <w:hideMark/>
          </w:tcPr>
          <w:p w:rsidR="007B7252" w:rsidRPr="00E51CDA" w:rsidRDefault="007B7252" w:rsidP="00A557AC">
            <w:pPr>
              <w:spacing w:before="0" w:after="0"/>
              <w:jc w:val="center"/>
              <w:rPr>
                <w:rFonts w:cs="Arial"/>
                <w:color w:val="000000"/>
                <w:sz w:val="20"/>
                <w:szCs w:val="20"/>
                <w:lang w:val="en-GB" w:eastAsia="en-GB"/>
              </w:rPr>
            </w:pPr>
            <w:r w:rsidRPr="00E51CDA">
              <w:rPr>
                <w:rFonts w:cs="Arial"/>
                <w:color w:val="000000"/>
                <w:sz w:val="20"/>
                <w:szCs w:val="20"/>
                <w:lang w:val="en-GB" w:eastAsia="en-GB"/>
              </w:rPr>
              <w:t>NIHR</w:t>
            </w:r>
          </w:p>
        </w:tc>
        <w:tc>
          <w:tcPr>
            <w:tcW w:w="1559" w:type="dxa"/>
            <w:tcBorders>
              <w:top w:val="nil"/>
              <w:left w:val="nil"/>
              <w:bottom w:val="single" w:sz="4" w:space="0" w:color="auto"/>
              <w:right w:val="single" w:sz="4" w:space="0" w:color="auto"/>
            </w:tcBorders>
            <w:shd w:val="clear" w:color="auto" w:fill="auto"/>
            <w:noWrap/>
            <w:vAlign w:val="center"/>
            <w:hideMark/>
          </w:tcPr>
          <w:p w:rsidR="007B7252" w:rsidRPr="00E51CDA" w:rsidRDefault="007B7252" w:rsidP="00A557AC">
            <w:pPr>
              <w:spacing w:before="0" w:after="0"/>
              <w:jc w:val="center"/>
              <w:rPr>
                <w:rFonts w:cs="Arial"/>
                <w:sz w:val="20"/>
                <w:szCs w:val="20"/>
                <w:lang w:val="en-GB" w:eastAsia="en-GB"/>
              </w:rPr>
            </w:pPr>
            <w:r w:rsidRPr="00E51CDA">
              <w:rPr>
                <w:rFonts w:cs="Arial"/>
                <w:sz w:val="20"/>
                <w:szCs w:val="20"/>
                <w:lang w:val="en-GB" w:eastAsia="en-GB"/>
              </w:rPr>
              <w:t>31/07/2013 #</w:t>
            </w:r>
          </w:p>
        </w:tc>
        <w:tc>
          <w:tcPr>
            <w:tcW w:w="1218" w:type="dxa"/>
            <w:tcBorders>
              <w:top w:val="nil"/>
              <w:left w:val="nil"/>
              <w:bottom w:val="single" w:sz="4" w:space="0" w:color="auto"/>
              <w:right w:val="single" w:sz="4" w:space="0" w:color="auto"/>
            </w:tcBorders>
            <w:shd w:val="clear" w:color="auto" w:fill="auto"/>
            <w:noWrap/>
            <w:vAlign w:val="center"/>
            <w:hideMark/>
          </w:tcPr>
          <w:p w:rsidR="007B7252" w:rsidRPr="00E51CDA" w:rsidRDefault="007B7252" w:rsidP="00A557AC">
            <w:pPr>
              <w:spacing w:before="0" w:after="0"/>
              <w:jc w:val="center"/>
              <w:rPr>
                <w:rFonts w:cs="Arial"/>
                <w:sz w:val="20"/>
                <w:szCs w:val="20"/>
                <w:lang w:val="en-GB" w:eastAsia="en-GB"/>
              </w:rPr>
            </w:pPr>
            <w:r w:rsidRPr="00E51CDA">
              <w:rPr>
                <w:rFonts w:cs="Arial"/>
                <w:sz w:val="20"/>
                <w:szCs w:val="20"/>
                <w:lang w:val="en-GB" w:eastAsia="en-GB"/>
              </w:rPr>
              <w:t>£195,073</w:t>
            </w:r>
          </w:p>
        </w:tc>
      </w:tr>
      <w:tr w:rsidR="007B7252" w:rsidRPr="00700DF1" w:rsidTr="007B7252">
        <w:trPr>
          <w:trHeight w:val="1112"/>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7B7252" w:rsidRPr="00E51CDA" w:rsidRDefault="007B7252" w:rsidP="007B7252">
            <w:pPr>
              <w:spacing w:before="0" w:after="100" w:afterAutospacing="1"/>
              <w:jc w:val="left"/>
              <w:rPr>
                <w:rFonts w:cs="Arial"/>
                <w:color w:val="000000"/>
                <w:sz w:val="20"/>
                <w:szCs w:val="20"/>
                <w:lang w:val="en-GB" w:eastAsia="en-GB"/>
              </w:rPr>
            </w:pPr>
            <w:r w:rsidRPr="00E51CDA">
              <w:rPr>
                <w:rFonts w:cs="Arial"/>
                <w:color w:val="000000"/>
                <w:sz w:val="20"/>
                <w:szCs w:val="20"/>
                <w:lang w:val="en-GB" w:eastAsia="en-GB"/>
              </w:rPr>
              <w:t>Coercion in mental health. Patterns and prevalence of coercion in mental health care and a trial of the effectiveness &amp; costs of Supervised Community Treatment orders</w:t>
            </w:r>
          </w:p>
        </w:tc>
        <w:tc>
          <w:tcPr>
            <w:tcW w:w="1559" w:type="dxa"/>
            <w:tcBorders>
              <w:top w:val="nil"/>
              <w:left w:val="nil"/>
              <w:bottom w:val="single" w:sz="4" w:space="0" w:color="auto"/>
              <w:right w:val="single" w:sz="4" w:space="0" w:color="auto"/>
            </w:tcBorders>
            <w:shd w:val="clear" w:color="auto" w:fill="auto"/>
            <w:vAlign w:val="center"/>
            <w:hideMark/>
          </w:tcPr>
          <w:p w:rsidR="007B7252" w:rsidRPr="00E51CDA" w:rsidRDefault="007B7252" w:rsidP="00A557AC">
            <w:pPr>
              <w:spacing w:before="0" w:after="0"/>
              <w:jc w:val="center"/>
              <w:rPr>
                <w:rFonts w:cs="Arial"/>
                <w:color w:val="000000"/>
                <w:sz w:val="20"/>
                <w:szCs w:val="20"/>
                <w:lang w:val="en-GB" w:eastAsia="en-GB"/>
              </w:rPr>
            </w:pPr>
            <w:r w:rsidRPr="00E51CDA">
              <w:rPr>
                <w:rFonts w:cs="Arial"/>
                <w:color w:val="000000"/>
                <w:sz w:val="20"/>
                <w:szCs w:val="20"/>
                <w:lang w:val="en-GB" w:eastAsia="en-GB"/>
              </w:rPr>
              <w:t>NIHR</w:t>
            </w:r>
          </w:p>
        </w:tc>
        <w:tc>
          <w:tcPr>
            <w:tcW w:w="1559" w:type="dxa"/>
            <w:tcBorders>
              <w:top w:val="nil"/>
              <w:left w:val="nil"/>
              <w:bottom w:val="single" w:sz="4" w:space="0" w:color="auto"/>
              <w:right w:val="single" w:sz="4" w:space="0" w:color="auto"/>
            </w:tcBorders>
            <w:shd w:val="clear" w:color="auto" w:fill="auto"/>
            <w:noWrap/>
            <w:vAlign w:val="center"/>
            <w:hideMark/>
          </w:tcPr>
          <w:p w:rsidR="007B7252" w:rsidRPr="00E51CDA" w:rsidRDefault="007B7252" w:rsidP="00A557AC">
            <w:pPr>
              <w:tabs>
                <w:tab w:val="center" w:pos="4513"/>
                <w:tab w:val="right" w:pos="9026"/>
              </w:tabs>
              <w:spacing w:before="0" w:after="0"/>
              <w:jc w:val="center"/>
              <w:rPr>
                <w:rFonts w:cs="Arial"/>
                <w:sz w:val="20"/>
                <w:szCs w:val="20"/>
                <w:lang w:val="en-GB" w:eastAsia="en-GB"/>
              </w:rPr>
            </w:pPr>
            <w:r w:rsidRPr="00E51CDA">
              <w:rPr>
                <w:rFonts w:cs="Arial"/>
                <w:sz w:val="20"/>
                <w:szCs w:val="20"/>
                <w:lang w:val="en-GB" w:eastAsia="en-GB"/>
              </w:rPr>
              <w:t>31/07/2014</w:t>
            </w:r>
          </w:p>
        </w:tc>
        <w:tc>
          <w:tcPr>
            <w:tcW w:w="1218" w:type="dxa"/>
            <w:tcBorders>
              <w:top w:val="nil"/>
              <w:left w:val="nil"/>
              <w:bottom w:val="single" w:sz="4" w:space="0" w:color="auto"/>
              <w:right w:val="single" w:sz="4" w:space="0" w:color="auto"/>
            </w:tcBorders>
            <w:shd w:val="clear" w:color="auto" w:fill="auto"/>
            <w:noWrap/>
            <w:vAlign w:val="center"/>
            <w:hideMark/>
          </w:tcPr>
          <w:p w:rsidR="007B7252" w:rsidRPr="00E51CDA" w:rsidRDefault="007B7252" w:rsidP="00A557AC">
            <w:pPr>
              <w:tabs>
                <w:tab w:val="center" w:pos="4513"/>
                <w:tab w:val="right" w:pos="9026"/>
              </w:tabs>
              <w:spacing w:before="0" w:after="0"/>
              <w:jc w:val="center"/>
              <w:rPr>
                <w:rFonts w:cs="Arial"/>
                <w:sz w:val="20"/>
                <w:szCs w:val="20"/>
                <w:lang w:val="en-GB" w:eastAsia="en-GB"/>
              </w:rPr>
            </w:pPr>
            <w:r w:rsidRPr="00E51CDA">
              <w:rPr>
                <w:rFonts w:cs="Arial"/>
                <w:sz w:val="20"/>
                <w:szCs w:val="20"/>
                <w:lang w:val="en-GB" w:eastAsia="en-GB"/>
              </w:rPr>
              <w:t>£2,072,032</w:t>
            </w:r>
          </w:p>
        </w:tc>
      </w:tr>
      <w:tr w:rsidR="007B7252" w:rsidRPr="00700DF1" w:rsidTr="007B7252">
        <w:trPr>
          <w:trHeight w:val="97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7B7252" w:rsidRPr="00E51CDA" w:rsidRDefault="007B7252" w:rsidP="007B7252">
            <w:pPr>
              <w:spacing w:before="0" w:after="100" w:afterAutospacing="1"/>
              <w:jc w:val="left"/>
              <w:rPr>
                <w:rFonts w:cs="Arial"/>
                <w:color w:val="000000"/>
                <w:sz w:val="20"/>
                <w:szCs w:val="20"/>
                <w:lang w:val="en-GB" w:eastAsia="en-GB"/>
              </w:rPr>
            </w:pPr>
            <w:r w:rsidRPr="00E51CDA">
              <w:rPr>
                <w:rFonts w:cs="Arial"/>
                <w:color w:val="000000"/>
                <w:sz w:val="20"/>
                <w:szCs w:val="20"/>
                <w:lang w:val="en-GB" w:eastAsia="en-GB"/>
              </w:rPr>
              <w:t xml:space="preserve">An Optimised Person Centred Intervention to Improve Mental Health and Reduce </w:t>
            </w:r>
            <w:proofErr w:type="spellStart"/>
            <w:r w:rsidRPr="00E51CDA">
              <w:rPr>
                <w:rFonts w:cs="Arial"/>
                <w:color w:val="000000"/>
                <w:sz w:val="20"/>
                <w:szCs w:val="20"/>
                <w:lang w:val="en-GB" w:eastAsia="en-GB"/>
              </w:rPr>
              <w:t>antiphychotic</w:t>
            </w:r>
            <w:proofErr w:type="spellEnd"/>
            <w:r w:rsidRPr="00E51CDA">
              <w:rPr>
                <w:rFonts w:cs="Arial"/>
                <w:color w:val="000000"/>
                <w:sz w:val="20"/>
                <w:szCs w:val="20"/>
                <w:lang w:val="en-GB" w:eastAsia="en-GB"/>
              </w:rPr>
              <w:t xml:space="preserve"> amongst </w:t>
            </w:r>
            <w:proofErr w:type="spellStart"/>
            <w:r w:rsidRPr="00E51CDA">
              <w:rPr>
                <w:rFonts w:cs="Arial"/>
                <w:color w:val="000000"/>
                <w:sz w:val="20"/>
                <w:szCs w:val="20"/>
                <w:lang w:val="en-GB" w:eastAsia="en-GB"/>
              </w:rPr>
              <w:t>peple</w:t>
            </w:r>
            <w:proofErr w:type="spellEnd"/>
            <w:r w:rsidRPr="00E51CDA">
              <w:rPr>
                <w:rFonts w:cs="Arial"/>
                <w:color w:val="000000"/>
                <w:sz w:val="20"/>
                <w:szCs w:val="20"/>
                <w:lang w:val="en-GB" w:eastAsia="en-GB"/>
              </w:rPr>
              <w:t xml:space="preserve"> with Dementia in Care Homes</w:t>
            </w:r>
          </w:p>
        </w:tc>
        <w:tc>
          <w:tcPr>
            <w:tcW w:w="1559" w:type="dxa"/>
            <w:tcBorders>
              <w:top w:val="nil"/>
              <w:left w:val="nil"/>
              <w:bottom w:val="single" w:sz="4" w:space="0" w:color="auto"/>
              <w:right w:val="single" w:sz="4" w:space="0" w:color="auto"/>
            </w:tcBorders>
            <w:shd w:val="clear" w:color="auto" w:fill="auto"/>
            <w:vAlign w:val="center"/>
            <w:hideMark/>
          </w:tcPr>
          <w:p w:rsidR="007B7252" w:rsidRPr="00E51CDA" w:rsidRDefault="007B7252" w:rsidP="00A557AC">
            <w:pPr>
              <w:spacing w:before="0" w:after="0"/>
              <w:jc w:val="center"/>
              <w:rPr>
                <w:rFonts w:cs="Arial"/>
                <w:color w:val="000000"/>
                <w:sz w:val="20"/>
                <w:szCs w:val="20"/>
                <w:lang w:val="en-GB" w:eastAsia="en-GB"/>
              </w:rPr>
            </w:pPr>
            <w:r w:rsidRPr="00E51CDA">
              <w:rPr>
                <w:rFonts w:cs="Arial"/>
                <w:color w:val="000000"/>
                <w:sz w:val="20"/>
                <w:szCs w:val="20"/>
                <w:lang w:val="en-GB" w:eastAsia="en-GB"/>
              </w:rPr>
              <w:t>NIHR</w:t>
            </w:r>
          </w:p>
        </w:tc>
        <w:tc>
          <w:tcPr>
            <w:tcW w:w="1559" w:type="dxa"/>
            <w:tcBorders>
              <w:top w:val="nil"/>
              <w:left w:val="nil"/>
              <w:bottom w:val="single" w:sz="4" w:space="0" w:color="auto"/>
              <w:right w:val="single" w:sz="4" w:space="0" w:color="auto"/>
            </w:tcBorders>
            <w:shd w:val="clear" w:color="auto" w:fill="auto"/>
            <w:noWrap/>
            <w:vAlign w:val="center"/>
            <w:hideMark/>
          </w:tcPr>
          <w:p w:rsidR="007B7252" w:rsidRPr="00E51CDA" w:rsidRDefault="007B7252" w:rsidP="00A557AC">
            <w:pPr>
              <w:spacing w:before="0" w:after="0"/>
              <w:jc w:val="center"/>
              <w:rPr>
                <w:rFonts w:cs="Arial"/>
                <w:sz w:val="20"/>
                <w:szCs w:val="20"/>
                <w:lang w:val="en-GB" w:eastAsia="en-GB"/>
              </w:rPr>
            </w:pPr>
            <w:r w:rsidRPr="00E51CDA">
              <w:rPr>
                <w:rFonts w:cs="Arial"/>
                <w:sz w:val="20"/>
                <w:szCs w:val="20"/>
                <w:lang w:val="en-GB" w:eastAsia="en-GB"/>
              </w:rPr>
              <w:t>31/03/2015</w:t>
            </w:r>
          </w:p>
        </w:tc>
        <w:tc>
          <w:tcPr>
            <w:tcW w:w="1218" w:type="dxa"/>
            <w:tcBorders>
              <w:top w:val="nil"/>
              <w:left w:val="nil"/>
              <w:bottom w:val="single" w:sz="4" w:space="0" w:color="auto"/>
              <w:right w:val="single" w:sz="4" w:space="0" w:color="auto"/>
            </w:tcBorders>
            <w:shd w:val="clear" w:color="auto" w:fill="auto"/>
            <w:noWrap/>
            <w:vAlign w:val="center"/>
            <w:hideMark/>
          </w:tcPr>
          <w:p w:rsidR="007B7252" w:rsidRPr="00E51CDA" w:rsidRDefault="007B7252" w:rsidP="00A557AC">
            <w:pPr>
              <w:spacing w:before="0" w:after="0"/>
              <w:jc w:val="center"/>
              <w:rPr>
                <w:rFonts w:cs="Arial"/>
                <w:sz w:val="20"/>
                <w:szCs w:val="20"/>
                <w:lang w:val="en-GB" w:eastAsia="en-GB"/>
              </w:rPr>
            </w:pPr>
            <w:r w:rsidRPr="00E51CDA">
              <w:rPr>
                <w:rFonts w:cs="Arial"/>
                <w:sz w:val="20"/>
                <w:szCs w:val="20"/>
                <w:lang w:val="en-GB" w:eastAsia="en-GB"/>
              </w:rPr>
              <w:t>£2,042,199</w:t>
            </w:r>
          </w:p>
        </w:tc>
      </w:tr>
      <w:tr w:rsidR="007B7252" w:rsidRPr="00700DF1" w:rsidTr="007B7252">
        <w:trPr>
          <w:trHeight w:val="304"/>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7B7252" w:rsidRPr="00E51CDA" w:rsidRDefault="007B7252" w:rsidP="00A557AC">
            <w:pPr>
              <w:spacing w:before="0" w:after="0"/>
              <w:jc w:val="left"/>
              <w:rPr>
                <w:rFonts w:cs="Arial"/>
                <w:color w:val="000000"/>
                <w:sz w:val="20"/>
                <w:szCs w:val="20"/>
                <w:lang w:val="en-GB" w:eastAsia="en-GB"/>
              </w:rPr>
            </w:pPr>
            <w:r w:rsidRPr="00E51CDA">
              <w:rPr>
                <w:rFonts w:cs="Arial"/>
                <w:color w:val="000000"/>
                <w:sz w:val="20"/>
                <w:szCs w:val="20"/>
                <w:lang w:val="en-GB" w:eastAsia="en-GB"/>
              </w:rPr>
              <w:t>Friends</w:t>
            </w:r>
          </w:p>
        </w:tc>
        <w:tc>
          <w:tcPr>
            <w:tcW w:w="1559" w:type="dxa"/>
            <w:tcBorders>
              <w:top w:val="nil"/>
              <w:left w:val="nil"/>
              <w:bottom w:val="single" w:sz="4" w:space="0" w:color="auto"/>
              <w:right w:val="single" w:sz="4" w:space="0" w:color="auto"/>
            </w:tcBorders>
            <w:shd w:val="clear" w:color="auto" w:fill="auto"/>
            <w:vAlign w:val="center"/>
            <w:hideMark/>
          </w:tcPr>
          <w:p w:rsidR="007B7252" w:rsidRPr="00E51CDA" w:rsidRDefault="007B7252" w:rsidP="00A557AC">
            <w:pPr>
              <w:spacing w:before="0" w:after="0"/>
              <w:jc w:val="center"/>
              <w:rPr>
                <w:rFonts w:cs="Arial"/>
                <w:color w:val="000000"/>
                <w:sz w:val="20"/>
                <w:szCs w:val="20"/>
                <w:lang w:val="en-GB" w:eastAsia="en-GB"/>
              </w:rPr>
            </w:pPr>
            <w:r w:rsidRPr="00E51CDA">
              <w:rPr>
                <w:rFonts w:cs="Arial"/>
                <w:color w:val="000000"/>
                <w:sz w:val="20"/>
                <w:szCs w:val="20"/>
                <w:lang w:val="en-GB" w:eastAsia="en-GB"/>
              </w:rPr>
              <w:t>NIHR</w:t>
            </w:r>
          </w:p>
        </w:tc>
        <w:tc>
          <w:tcPr>
            <w:tcW w:w="1559" w:type="dxa"/>
            <w:tcBorders>
              <w:top w:val="nil"/>
              <w:left w:val="nil"/>
              <w:bottom w:val="single" w:sz="4" w:space="0" w:color="auto"/>
              <w:right w:val="single" w:sz="4" w:space="0" w:color="auto"/>
            </w:tcBorders>
            <w:shd w:val="clear" w:color="auto" w:fill="auto"/>
            <w:noWrap/>
            <w:vAlign w:val="center"/>
            <w:hideMark/>
          </w:tcPr>
          <w:p w:rsidR="007B7252" w:rsidRPr="00E51CDA" w:rsidRDefault="007B7252" w:rsidP="00A557AC">
            <w:pPr>
              <w:spacing w:before="0" w:after="0"/>
              <w:jc w:val="center"/>
              <w:rPr>
                <w:rFonts w:cs="Arial"/>
                <w:sz w:val="20"/>
                <w:szCs w:val="20"/>
                <w:lang w:val="en-GB" w:eastAsia="en-GB"/>
              </w:rPr>
            </w:pPr>
            <w:r w:rsidRPr="00E51CDA">
              <w:rPr>
                <w:rFonts w:cs="Arial"/>
                <w:sz w:val="20"/>
                <w:szCs w:val="20"/>
                <w:lang w:val="en-GB" w:eastAsia="en-GB"/>
              </w:rPr>
              <w:t>31/12/2014</w:t>
            </w:r>
          </w:p>
        </w:tc>
        <w:tc>
          <w:tcPr>
            <w:tcW w:w="1218" w:type="dxa"/>
            <w:tcBorders>
              <w:top w:val="nil"/>
              <w:left w:val="nil"/>
              <w:bottom w:val="single" w:sz="4" w:space="0" w:color="auto"/>
              <w:right w:val="single" w:sz="4" w:space="0" w:color="auto"/>
            </w:tcBorders>
            <w:shd w:val="clear" w:color="auto" w:fill="auto"/>
            <w:noWrap/>
            <w:vAlign w:val="center"/>
            <w:hideMark/>
          </w:tcPr>
          <w:p w:rsidR="007B7252" w:rsidRPr="00E51CDA" w:rsidRDefault="007B7252" w:rsidP="00A557AC">
            <w:pPr>
              <w:spacing w:before="0" w:after="0"/>
              <w:jc w:val="center"/>
              <w:rPr>
                <w:rFonts w:cs="Arial"/>
                <w:sz w:val="20"/>
                <w:szCs w:val="20"/>
                <w:lang w:val="en-GB" w:eastAsia="en-GB"/>
              </w:rPr>
            </w:pPr>
            <w:r w:rsidRPr="00E51CDA">
              <w:rPr>
                <w:rFonts w:cs="Arial"/>
                <w:sz w:val="20"/>
                <w:szCs w:val="20"/>
                <w:lang w:val="en-GB" w:eastAsia="en-GB"/>
              </w:rPr>
              <w:t>£1,306,805</w:t>
            </w:r>
          </w:p>
        </w:tc>
      </w:tr>
      <w:tr w:rsidR="007B7252" w:rsidRPr="00700DF1" w:rsidTr="007B7252">
        <w:trPr>
          <w:trHeight w:val="841"/>
        </w:trPr>
        <w:tc>
          <w:tcPr>
            <w:tcW w:w="5544" w:type="dxa"/>
            <w:tcBorders>
              <w:top w:val="single" w:sz="4" w:space="0" w:color="auto"/>
              <w:left w:val="single" w:sz="4" w:space="0" w:color="auto"/>
              <w:bottom w:val="single" w:sz="4" w:space="0" w:color="auto"/>
              <w:right w:val="nil"/>
            </w:tcBorders>
            <w:shd w:val="clear" w:color="auto" w:fill="auto"/>
            <w:hideMark/>
          </w:tcPr>
          <w:p w:rsidR="007B7252" w:rsidRPr="00E51CDA" w:rsidRDefault="007B7252" w:rsidP="00A557AC">
            <w:pPr>
              <w:spacing w:before="0" w:after="0"/>
              <w:jc w:val="left"/>
              <w:rPr>
                <w:rFonts w:cs="Arial"/>
                <w:color w:val="000000"/>
                <w:sz w:val="20"/>
                <w:szCs w:val="20"/>
                <w:lang w:val="en-GB" w:eastAsia="en-GB"/>
              </w:rPr>
            </w:pPr>
            <w:r w:rsidRPr="00E51CDA">
              <w:rPr>
                <w:rFonts w:cs="Arial"/>
                <w:color w:val="000000"/>
                <w:sz w:val="20"/>
                <w:szCs w:val="20"/>
                <w:lang w:val="en-GB" w:eastAsia="en-GB"/>
              </w:rPr>
              <w:t>A multi-centre programme of clinical and public health research to guide health service priorities for preventing suicide in England</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7B7252" w:rsidRPr="00E51CDA" w:rsidRDefault="007B7252" w:rsidP="007B7252">
            <w:pPr>
              <w:spacing w:before="0" w:after="0"/>
              <w:jc w:val="center"/>
              <w:rPr>
                <w:rFonts w:cs="Arial"/>
                <w:color w:val="000000"/>
                <w:sz w:val="20"/>
                <w:szCs w:val="20"/>
                <w:lang w:val="en-GB" w:eastAsia="en-GB"/>
              </w:rPr>
            </w:pPr>
            <w:r w:rsidRPr="00E51CDA">
              <w:rPr>
                <w:rFonts w:cs="Arial"/>
                <w:color w:val="000000"/>
                <w:sz w:val="20"/>
                <w:szCs w:val="20"/>
                <w:lang w:val="en-GB" w:eastAsia="en-GB"/>
              </w:rPr>
              <w:t xml:space="preserve">NIHR via Avon &amp; Wiltshire </w:t>
            </w:r>
          </w:p>
        </w:tc>
        <w:tc>
          <w:tcPr>
            <w:tcW w:w="1559" w:type="dxa"/>
            <w:tcBorders>
              <w:top w:val="nil"/>
              <w:left w:val="nil"/>
              <w:bottom w:val="single" w:sz="4" w:space="0" w:color="auto"/>
              <w:right w:val="single" w:sz="4" w:space="0" w:color="auto"/>
            </w:tcBorders>
            <w:shd w:val="clear" w:color="auto" w:fill="auto"/>
            <w:noWrap/>
            <w:vAlign w:val="center"/>
            <w:hideMark/>
          </w:tcPr>
          <w:p w:rsidR="007B7252" w:rsidRPr="00E51CDA" w:rsidRDefault="007B7252" w:rsidP="00A557AC">
            <w:pPr>
              <w:spacing w:before="0" w:after="0"/>
              <w:jc w:val="center"/>
              <w:rPr>
                <w:rFonts w:cs="Arial"/>
                <w:sz w:val="20"/>
                <w:szCs w:val="20"/>
                <w:lang w:val="en-GB" w:eastAsia="en-GB"/>
              </w:rPr>
            </w:pPr>
            <w:r w:rsidRPr="00E51CDA">
              <w:rPr>
                <w:rFonts w:cs="Arial"/>
                <w:sz w:val="20"/>
                <w:szCs w:val="20"/>
                <w:lang w:val="en-GB" w:eastAsia="en-GB"/>
              </w:rPr>
              <w:t>30/04/2017</w:t>
            </w:r>
          </w:p>
        </w:tc>
        <w:tc>
          <w:tcPr>
            <w:tcW w:w="1218" w:type="dxa"/>
            <w:tcBorders>
              <w:top w:val="nil"/>
              <w:left w:val="nil"/>
              <w:bottom w:val="single" w:sz="4" w:space="0" w:color="auto"/>
              <w:right w:val="single" w:sz="4" w:space="0" w:color="auto"/>
            </w:tcBorders>
            <w:shd w:val="clear" w:color="auto" w:fill="auto"/>
            <w:noWrap/>
            <w:vAlign w:val="center"/>
            <w:hideMark/>
          </w:tcPr>
          <w:p w:rsidR="007B7252" w:rsidRPr="00E51CDA" w:rsidRDefault="007B7252" w:rsidP="00A557AC">
            <w:pPr>
              <w:spacing w:before="0" w:after="0"/>
              <w:jc w:val="center"/>
              <w:rPr>
                <w:rFonts w:cs="Arial"/>
                <w:sz w:val="20"/>
                <w:szCs w:val="20"/>
                <w:lang w:val="en-GB" w:eastAsia="en-GB"/>
              </w:rPr>
            </w:pPr>
            <w:r w:rsidRPr="00E51CDA">
              <w:rPr>
                <w:rFonts w:cs="Arial"/>
                <w:sz w:val="20"/>
                <w:szCs w:val="20"/>
                <w:lang w:val="en-GB" w:eastAsia="en-GB"/>
              </w:rPr>
              <w:t>£562,491</w:t>
            </w:r>
          </w:p>
        </w:tc>
      </w:tr>
      <w:tr w:rsidR="007B7252" w:rsidRPr="00700DF1" w:rsidTr="007B7252">
        <w:trPr>
          <w:trHeight w:val="788"/>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252" w:rsidRPr="00E51CDA" w:rsidRDefault="007B7252" w:rsidP="00A557AC">
            <w:pPr>
              <w:spacing w:before="0" w:after="0"/>
              <w:jc w:val="left"/>
              <w:rPr>
                <w:rFonts w:cs="Arial"/>
                <w:color w:val="000000"/>
                <w:sz w:val="20"/>
                <w:szCs w:val="20"/>
                <w:lang w:val="en-GB" w:eastAsia="en-GB"/>
              </w:rPr>
            </w:pPr>
            <w:r w:rsidRPr="00E51CDA">
              <w:rPr>
                <w:rFonts w:cs="Arial"/>
                <w:color w:val="000000"/>
                <w:sz w:val="20"/>
                <w:szCs w:val="20"/>
                <w:lang w:val="en-GB" w:eastAsia="en-GB"/>
              </w:rPr>
              <w:t xml:space="preserve">Development of content for an online Cognitive Behavioural Therapy (CBT) platform </w:t>
            </w:r>
          </w:p>
        </w:tc>
        <w:tc>
          <w:tcPr>
            <w:tcW w:w="1559" w:type="dxa"/>
            <w:tcBorders>
              <w:top w:val="nil"/>
              <w:left w:val="nil"/>
              <w:bottom w:val="single" w:sz="4" w:space="0" w:color="auto"/>
              <w:right w:val="single" w:sz="4" w:space="0" w:color="auto"/>
            </w:tcBorders>
            <w:shd w:val="clear" w:color="auto" w:fill="auto"/>
            <w:vAlign w:val="center"/>
            <w:hideMark/>
          </w:tcPr>
          <w:p w:rsidR="007B7252" w:rsidRPr="00E51CDA" w:rsidRDefault="007B7252" w:rsidP="00A557AC">
            <w:pPr>
              <w:spacing w:before="0" w:after="0"/>
              <w:jc w:val="center"/>
              <w:rPr>
                <w:rFonts w:cs="Arial"/>
                <w:color w:val="000000"/>
                <w:sz w:val="20"/>
                <w:szCs w:val="20"/>
                <w:lang w:val="en-GB" w:eastAsia="en-GB"/>
              </w:rPr>
            </w:pPr>
            <w:r w:rsidRPr="00E51CDA">
              <w:rPr>
                <w:rFonts w:cs="Arial"/>
                <w:color w:val="000000"/>
                <w:sz w:val="20"/>
                <w:szCs w:val="20"/>
                <w:lang w:val="en-GB" w:eastAsia="en-GB"/>
              </w:rPr>
              <w:t>Alzheimer’s Society</w:t>
            </w:r>
          </w:p>
        </w:tc>
        <w:tc>
          <w:tcPr>
            <w:tcW w:w="1559" w:type="dxa"/>
            <w:tcBorders>
              <w:top w:val="nil"/>
              <w:left w:val="nil"/>
              <w:bottom w:val="single" w:sz="4" w:space="0" w:color="auto"/>
              <w:right w:val="single" w:sz="4" w:space="0" w:color="auto"/>
            </w:tcBorders>
            <w:shd w:val="clear" w:color="auto" w:fill="auto"/>
            <w:noWrap/>
            <w:vAlign w:val="center"/>
            <w:hideMark/>
          </w:tcPr>
          <w:p w:rsidR="007B7252" w:rsidRPr="00E51CDA" w:rsidRDefault="007B7252" w:rsidP="004A2971">
            <w:pPr>
              <w:spacing w:before="0" w:after="0"/>
              <w:jc w:val="center"/>
              <w:rPr>
                <w:rFonts w:cs="Arial"/>
                <w:sz w:val="20"/>
                <w:szCs w:val="20"/>
                <w:lang w:val="en-GB" w:eastAsia="en-GB"/>
              </w:rPr>
            </w:pPr>
            <w:r w:rsidRPr="00E51CDA">
              <w:rPr>
                <w:rFonts w:cs="Arial"/>
                <w:sz w:val="20"/>
                <w:szCs w:val="20"/>
                <w:lang w:val="en-GB" w:eastAsia="en-GB"/>
              </w:rPr>
              <w:t>TBA</w:t>
            </w:r>
          </w:p>
        </w:tc>
        <w:tc>
          <w:tcPr>
            <w:tcW w:w="1218" w:type="dxa"/>
            <w:tcBorders>
              <w:top w:val="nil"/>
              <w:left w:val="nil"/>
              <w:bottom w:val="single" w:sz="4" w:space="0" w:color="auto"/>
              <w:right w:val="single" w:sz="4" w:space="0" w:color="auto"/>
            </w:tcBorders>
            <w:shd w:val="clear" w:color="auto" w:fill="auto"/>
            <w:noWrap/>
            <w:vAlign w:val="center"/>
            <w:hideMark/>
          </w:tcPr>
          <w:p w:rsidR="007B7252" w:rsidRPr="00E51CDA" w:rsidRDefault="007B7252" w:rsidP="00A557AC">
            <w:pPr>
              <w:spacing w:before="0" w:after="0"/>
              <w:jc w:val="center"/>
              <w:rPr>
                <w:rFonts w:cs="Arial"/>
                <w:sz w:val="20"/>
                <w:szCs w:val="20"/>
                <w:lang w:val="en-GB" w:eastAsia="en-GB"/>
              </w:rPr>
            </w:pPr>
            <w:r w:rsidRPr="00E51CDA">
              <w:rPr>
                <w:rFonts w:cs="Arial"/>
                <w:sz w:val="20"/>
                <w:szCs w:val="20"/>
                <w:lang w:val="en-GB" w:eastAsia="en-GB"/>
              </w:rPr>
              <w:t>£108,869</w:t>
            </w:r>
          </w:p>
        </w:tc>
      </w:tr>
      <w:tr w:rsidR="007B7252" w:rsidRPr="00700DF1" w:rsidTr="007B7252">
        <w:trPr>
          <w:trHeight w:val="587"/>
        </w:trPr>
        <w:tc>
          <w:tcPr>
            <w:tcW w:w="5544" w:type="dxa"/>
            <w:tcBorders>
              <w:top w:val="nil"/>
              <w:left w:val="single" w:sz="4" w:space="0" w:color="auto"/>
              <w:bottom w:val="single" w:sz="4" w:space="0" w:color="auto"/>
              <w:right w:val="single" w:sz="4" w:space="0" w:color="auto"/>
            </w:tcBorders>
            <w:shd w:val="clear" w:color="auto" w:fill="auto"/>
          </w:tcPr>
          <w:p w:rsidR="007B7252" w:rsidRPr="00E51CDA" w:rsidRDefault="007B7252" w:rsidP="00A557AC">
            <w:pPr>
              <w:spacing w:before="0" w:after="0"/>
              <w:jc w:val="left"/>
              <w:rPr>
                <w:rFonts w:cs="Arial"/>
                <w:color w:val="000000"/>
                <w:sz w:val="20"/>
                <w:szCs w:val="20"/>
                <w:lang w:val="en-GB" w:eastAsia="en-GB"/>
              </w:rPr>
            </w:pPr>
            <w:r w:rsidRPr="00E51CDA">
              <w:rPr>
                <w:rFonts w:cs="Arial"/>
                <w:color w:val="000000"/>
                <w:sz w:val="20"/>
                <w:szCs w:val="20"/>
                <w:lang w:val="en-GB" w:eastAsia="en-GB"/>
              </w:rPr>
              <w:t>Antidepressant Controlled Trial for Negative symptoms in Schizophrenia (ACTIONS)</w:t>
            </w:r>
          </w:p>
        </w:tc>
        <w:tc>
          <w:tcPr>
            <w:tcW w:w="1559" w:type="dxa"/>
            <w:tcBorders>
              <w:top w:val="nil"/>
              <w:left w:val="nil"/>
              <w:bottom w:val="single" w:sz="4" w:space="0" w:color="auto"/>
              <w:right w:val="single" w:sz="4" w:space="0" w:color="auto"/>
            </w:tcBorders>
            <w:shd w:val="clear" w:color="auto" w:fill="auto"/>
            <w:vAlign w:val="center"/>
          </w:tcPr>
          <w:p w:rsidR="007B7252" w:rsidRPr="00E51CDA" w:rsidRDefault="007B7252" w:rsidP="007B7252">
            <w:pPr>
              <w:spacing w:before="0" w:after="0"/>
              <w:jc w:val="center"/>
              <w:rPr>
                <w:rFonts w:cs="Arial"/>
                <w:color w:val="000000"/>
                <w:sz w:val="20"/>
                <w:szCs w:val="20"/>
                <w:lang w:val="en-GB" w:eastAsia="en-GB"/>
              </w:rPr>
            </w:pPr>
            <w:r w:rsidRPr="00E51CDA">
              <w:rPr>
                <w:rFonts w:cs="Arial"/>
                <w:color w:val="000000"/>
                <w:sz w:val="20"/>
                <w:szCs w:val="20"/>
                <w:lang w:val="en-GB" w:eastAsia="en-GB"/>
              </w:rPr>
              <w:t xml:space="preserve">NIHR via Imperial </w:t>
            </w:r>
          </w:p>
        </w:tc>
        <w:tc>
          <w:tcPr>
            <w:tcW w:w="1559" w:type="dxa"/>
            <w:tcBorders>
              <w:top w:val="nil"/>
              <w:left w:val="nil"/>
              <w:bottom w:val="single" w:sz="4" w:space="0" w:color="auto"/>
              <w:right w:val="single" w:sz="4" w:space="0" w:color="auto"/>
            </w:tcBorders>
            <w:shd w:val="clear" w:color="auto" w:fill="auto"/>
            <w:noWrap/>
            <w:vAlign w:val="center"/>
          </w:tcPr>
          <w:p w:rsidR="007B7252" w:rsidRPr="00E51CDA" w:rsidRDefault="007B7252" w:rsidP="007B7252">
            <w:pPr>
              <w:spacing w:before="0" w:after="0"/>
              <w:rPr>
                <w:rFonts w:cs="Arial"/>
                <w:sz w:val="20"/>
                <w:szCs w:val="20"/>
                <w:lang w:val="en-GB" w:eastAsia="en-GB"/>
              </w:rPr>
            </w:pPr>
          </w:p>
        </w:tc>
        <w:tc>
          <w:tcPr>
            <w:tcW w:w="1218" w:type="dxa"/>
            <w:tcBorders>
              <w:top w:val="nil"/>
              <w:left w:val="nil"/>
              <w:bottom w:val="single" w:sz="4" w:space="0" w:color="auto"/>
              <w:right w:val="single" w:sz="4" w:space="0" w:color="auto"/>
            </w:tcBorders>
            <w:shd w:val="clear" w:color="auto" w:fill="auto"/>
            <w:noWrap/>
            <w:vAlign w:val="center"/>
          </w:tcPr>
          <w:p w:rsidR="007B7252" w:rsidRPr="00E51CDA" w:rsidRDefault="007B7252" w:rsidP="00A557AC">
            <w:pPr>
              <w:spacing w:before="0" w:after="0"/>
              <w:jc w:val="center"/>
              <w:rPr>
                <w:rFonts w:cs="Arial"/>
                <w:sz w:val="20"/>
                <w:szCs w:val="20"/>
                <w:lang w:val="en-GB" w:eastAsia="en-GB"/>
              </w:rPr>
            </w:pPr>
            <w:r w:rsidRPr="00E51CDA">
              <w:rPr>
                <w:rFonts w:cs="Arial"/>
                <w:sz w:val="20"/>
                <w:szCs w:val="20"/>
                <w:lang w:val="en-GB" w:eastAsia="en-GB"/>
              </w:rPr>
              <w:t>£138,814</w:t>
            </w:r>
          </w:p>
        </w:tc>
      </w:tr>
      <w:tr w:rsidR="007B7252" w:rsidRPr="00700DF1" w:rsidTr="007B7252">
        <w:trPr>
          <w:trHeight w:val="425"/>
        </w:trPr>
        <w:tc>
          <w:tcPr>
            <w:tcW w:w="5544" w:type="dxa"/>
            <w:tcBorders>
              <w:top w:val="nil"/>
              <w:left w:val="single" w:sz="4" w:space="0" w:color="auto"/>
              <w:bottom w:val="single" w:sz="4" w:space="0" w:color="auto"/>
              <w:right w:val="single" w:sz="4" w:space="0" w:color="auto"/>
            </w:tcBorders>
            <w:shd w:val="clear" w:color="auto" w:fill="auto"/>
            <w:hideMark/>
          </w:tcPr>
          <w:p w:rsidR="007B7252" w:rsidRPr="00E51CDA" w:rsidRDefault="007B7252" w:rsidP="00A557AC">
            <w:pPr>
              <w:spacing w:before="0" w:after="0"/>
              <w:jc w:val="left"/>
              <w:rPr>
                <w:rFonts w:cs="Arial"/>
                <w:color w:val="000000"/>
                <w:sz w:val="20"/>
                <w:szCs w:val="20"/>
                <w:lang w:val="en-GB" w:eastAsia="en-GB"/>
              </w:rPr>
            </w:pPr>
            <w:r w:rsidRPr="00E51CDA">
              <w:rPr>
                <w:rFonts w:cs="Arial"/>
                <w:color w:val="000000"/>
                <w:sz w:val="20"/>
                <w:szCs w:val="20"/>
                <w:lang w:val="en-GB" w:eastAsia="en-GB"/>
              </w:rPr>
              <w:t>Treating insomnia in patients with delusions and hallucinations: a pilot randomised</w:t>
            </w:r>
          </w:p>
        </w:tc>
        <w:tc>
          <w:tcPr>
            <w:tcW w:w="1559" w:type="dxa"/>
            <w:tcBorders>
              <w:top w:val="nil"/>
              <w:left w:val="nil"/>
              <w:bottom w:val="single" w:sz="4" w:space="0" w:color="auto"/>
              <w:right w:val="single" w:sz="4" w:space="0" w:color="auto"/>
            </w:tcBorders>
            <w:shd w:val="clear" w:color="auto" w:fill="auto"/>
            <w:vAlign w:val="center"/>
            <w:hideMark/>
          </w:tcPr>
          <w:p w:rsidR="007B7252" w:rsidRPr="00E51CDA" w:rsidRDefault="007B7252" w:rsidP="00A557AC">
            <w:pPr>
              <w:spacing w:before="0" w:after="0"/>
              <w:jc w:val="center"/>
              <w:rPr>
                <w:rFonts w:cs="Arial"/>
                <w:color w:val="000000"/>
                <w:sz w:val="20"/>
                <w:szCs w:val="20"/>
                <w:lang w:val="en-GB" w:eastAsia="en-GB"/>
              </w:rPr>
            </w:pPr>
            <w:r w:rsidRPr="00E51CDA">
              <w:rPr>
                <w:rFonts w:cs="Arial"/>
                <w:color w:val="000000"/>
                <w:sz w:val="20"/>
                <w:szCs w:val="20"/>
                <w:lang w:val="en-GB" w:eastAsia="en-GB"/>
              </w:rPr>
              <w:t>NIHR</w:t>
            </w:r>
          </w:p>
        </w:tc>
        <w:tc>
          <w:tcPr>
            <w:tcW w:w="1559" w:type="dxa"/>
            <w:tcBorders>
              <w:top w:val="nil"/>
              <w:left w:val="nil"/>
              <w:bottom w:val="single" w:sz="4" w:space="0" w:color="auto"/>
              <w:right w:val="single" w:sz="4" w:space="0" w:color="auto"/>
            </w:tcBorders>
            <w:shd w:val="clear" w:color="auto" w:fill="auto"/>
            <w:noWrap/>
            <w:vAlign w:val="center"/>
            <w:hideMark/>
          </w:tcPr>
          <w:p w:rsidR="007B7252" w:rsidRPr="00E51CDA" w:rsidRDefault="007B7252" w:rsidP="00A557AC">
            <w:pPr>
              <w:spacing w:before="0" w:after="0"/>
              <w:jc w:val="center"/>
              <w:rPr>
                <w:rFonts w:cs="Arial"/>
                <w:sz w:val="20"/>
                <w:szCs w:val="20"/>
                <w:lang w:val="en-GB" w:eastAsia="en-GB"/>
              </w:rPr>
            </w:pPr>
            <w:r w:rsidRPr="00E51CDA">
              <w:rPr>
                <w:rFonts w:cs="Arial"/>
                <w:sz w:val="20"/>
                <w:szCs w:val="20"/>
                <w:lang w:val="en-GB" w:eastAsia="en-GB"/>
              </w:rPr>
              <w:t>30/09/2014</w:t>
            </w:r>
          </w:p>
        </w:tc>
        <w:tc>
          <w:tcPr>
            <w:tcW w:w="1218" w:type="dxa"/>
            <w:tcBorders>
              <w:top w:val="nil"/>
              <w:left w:val="nil"/>
              <w:bottom w:val="single" w:sz="4" w:space="0" w:color="auto"/>
              <w:right w:val="single" w:sz="4" w:space="0" w:color="auto"/>
            </w:tcBorders>
            <w:shd w:val="clear" w:color="auto" w:fill="auto"/>
            <w:noWrap/>
            <w:vAlign w:val="center"/>
            <w:hideMark/>
          </w:tcPr>
          <w:p w:rsidR="007B7252" w:rsidRPr="00E51CDA" w:rsidRDefault="007B7252" w:rsidP="00A557AC">
            <w:pPr>
              <w:spacing w:before="0" w:after="0"/>
              <w:jc w:val="center"/>
              <w:rPr>
                <w:rFonts w:cs="Arial"/>
                <w:sz w:val="20"/>
                <w:szCs w:val="20"/>
                <w:lang w:val="en-GB" w:eastAsia="en-GB"/>
              </w:rPr>
            </w:pPr>
            <w:r w:rsidRPr="00E51CDA">
              <w:rPr>
                <w:rFonts w:cs="Arial"/>
                <w:sz w:val="20"/>
                <w:szCs w:val="20"/>
                <w:lang w:val="en-GB" w:eastAsia="en-GB"/>
              </w:rPr>
              <w:t>£250,556</w:t>
            </w:r>
          </w:p>
        </w:tc>
      </w:tr>
      <w:tr w:rsidR="007B7252" w:rsidRPr="00700DF1" w:rsidTr="007B7252">
        <w:trPr>
          <w:trHeight w:val="304"/>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7B7252" w:rsidRPr="00E51CDA" w:rsidRDefault="007B7252" w:rsidP="00A557AC">
            <w:pPr>
              <w:tabs>
                <w:tab w:val="center" w:pos="4513"/>
                <w:tab w:val="right" w:pos="9026"/>
              </w:tabs>
              <w:spacing w:before="0" w:after="0"/>
              <w:jc w:val="left"/>
              <w:rPr>
                <w:rFonts w:cs="Arial"/>
                <w:color w:val="000000"/>
                <w:sz w:val="20"/>
                <w:szCs w:val="20"/>
                <w:lang w:val="en-GB" w:eastAsia="en-GB"/>
              </w:rPr>
            </w:pPr>
            <w:r w:rsidRPr="00E51CDA">
              <w:rPr>
                <w:rFonts w:cs="Arial"/>
                <w:color w:val="000000"/>
                <w:sz w:val="20"/>
                <w:szCs w:val="20"/>
                <w:lang w:val="en-GB" w:eastAsia="en-GB"/>
              </w:rPr>
              <w:t>NIHR Diagnostic Evidence Co-operative</w:t>
            </w:r>
          </w:p>
        </w:tc>
        <w:tc>
          <w:tcPr>
            <w:tcW w:w="1559" w:type="dxa"/>
            <w:tcBorders>
              <w:top w:val="nil"/>
              <w:left w:val="nil"/>
              <w:bottom w:val="single" w:sz="4" w:space="0" w:color="auto"/>
              <w:right w:val="single" w:sz="4" w:space="0" w:color="auto"/>
            </w:tcBorders>
            <w:shd w:val="clear" w:color="auto" w:fill="auto"/>
            <w:vAlign w:val="center"/>
            <w:hideMark/>
          </w:tcPr>
          <w:p w:rsidR="007B7252" w:rsidRPr="00E51CDA" w:rsidRDefault="007B7252" w:rsidP="00A557AC">
            <w:pPr>
              <w:tabs>
                <w:tab w:val="center" w:pos="4513"/>
                <w:tab w:val="right" w:pos="9026"/>
              </w:tabs>
              <w:spacing w:before="0" w:after="0"/>
              <w:jc w:val="center"/>
              <w:rPr>
                <w:rFonts w:cs="Arial"/>
                <w:color w:val="000000"/>
                <w:sz w:val="20"/>
                <w:szCs w:val="20"/>
                <w:lang w:val="en-GB" w:eastAsia="en-GB"/>
              </w:rPr>
            </w:pPr>
            <w:r w:rsidRPr="00E51CDA">
              <w:rPr>
                <w:rFonts w:cs="Arial"/>
                <w:color w:val="000000"/>
                <w:sz w:val="20"/>
                <w:szCs w:val="20"/>
                <w:lang w:val="en-GB" w:eastAsia="en-GB"/>
              </w:rPr>
              <w:t>NIHR</w:t>
            </w:r>
          </w:p>
        </w:tc>
        <w:tc>
          <w:tcPr>
            <w:tcW w:w="1559" w:type="dxa"/>
            <w:tcBorders>
              <w:top w:val="nil"/>
              <w:left w:val="nil"/>
              <w:bottom w:val="single" w:sz="4" w:space="0" w:color="auto"/>
              <w:right w:val="single" w:sz="4" w:space="0" w:color="auto"/>
            </w:tcBorders>
            <w:shd w:val="clear" w:color="auto" w:fill="auto"/>
            <w:noWrap/>
            <w:vAlign w:val="center"/>
            <w:hideMark/>
          </w:tcPr>
          <w:p w:rsidR="007B7252" w:rsidRPr="00E51CDA" w:rsidRDefault="007B7252" w:rsidP="00A557AC">
            <w:pPr>
              <w:tabs>
                <w:tab w:val="center" w:pos="4513"/>
                <w:tab w:val="right" w:pos="9026"/>
              </w:tabs>
              <w:spacing w:before="0" w:after="0"/>
              <w:jc w:val="center"/>
              <w:rPr>
                <w:rFonts w:cs="Arial"/>
                <w:sz w:val="20"/>
                <w:szCs w:val="20"/>
                <w:lang w:val="en-GB" w:eastAsia="en-GB"/>
              </w:rPr>
            </w:pPr>
            <w:r w:rsidRPr="00E51CDA">
              <w:rPr>
                <w:rFonts w:cs="Arial"/>
                <w:sz w:val="20"/>
                <w:szCs w:val="20"/>
                <w:lang w:val="en-GB" w:eastAsia="en-GB"/>
              </w:rPr>
              <w:t>30/09/2017</w:t>
            </w:r>
          </w:p>
        </w:tc>
        <w:tc>
          <w:tcPr>
            <w:tcW w:w="1218" w:type="dxa"/>
            <w:tcBorders>
              <w:top w:val="nil"/>
              <w:left w:val="nil"/>
              <w:bottom w:val="single" w:sz="4" w:space="0" w:color="auto"/>
              <w:right w:val="single" w:sz="4" w:space="0" w:color="auto"/>
            </w:tcBorders>
            <w:shd w:val="clear" w:color="auto" w:fill="auto"/>
            <w:noWrap/>
            <w:vAlign w:val="center"/>
            <w:hideMark/>
          </w:tcPr>
          <w:p w:rsidR="007B7252" w:rsidRPr="00E51CDA" w:rsidRDefault="007B7252" w:rsidP="00A557AC">
            <w:pPr>
              <w:tabs>
                <w:tab w:val="center" w:pos="4513"/>
                <w:tab w:val="right" w:pos="9026"/>
              </w:tabs>
              <w:spacing w:before="0" w:after="0"/>
              <w:jc w:val="center"/>
              <w:rPr>
                <w:rFonts w:cs="Arial"/>
                <w:sz w:val="20"/>
                <w:szCs w:val="20"/>
                <w:lang w:val="en-GB" w:eastAsia="en-GB"/>
              </w:rPr>
            </w:pPr>
            <w:r w:rsidRPr="00E51CDA">
              <w:rPr>
                <w:rFonts w:cs="Arial"/>
                <w:sz w:val="20"/>
                <w:szCs w:val="20"/>
                <w:lang w:val="en-GB" w:eastAsia="en-GB"/>
              </w:rPr>
              <w:t>£989,754</w:t>
            </w:r>
          </w:p>
        </w:tc>
      </w:tr>
    </w:tbl>
    <w:p w:rsidR="00144009" w:rsidRPr="00774751" w:rsidRDefault="00774751" w:rsidP="00C60A2E">
      <w:pPr>
        <w:jc w:val="left"/>
        <w:rPr>
          <w:sz w:val="22"/>
          <w:szCs w:val="22"/>
        </w:rPr>
      </w:pPr>
      <w:r w:rsidRPr="00774751">
        <w:rPr>
          <w:sz w:val="22"/>
          <w:szCs w:val="22"/>
        </w:rPr>
        <w:t># waiting on final study report</w:t>
      </w:r>
    </w:p>
    <w:p w:rsidR="00C60A2E" w:rsidRPr="005C3EC1" w:rsidRDefault="00D04B31" w:rsidP="00D04B31">
      <w:pPr>
        <w:jc w:val="center"/>
        <w:rPr>
          <w:rFonts w:cs="Arial"/>
          <w:sz w:val="36"/>
          <w:szCs w:val="36"/>
        </w:rPr>
      </w:pPr>
      <w:r>
        <w:rPr>
          <w:b/>
        </w:rPr>
        <w:lastRenderedPageBreak/>
        <w:t>Commercial f</w:t>
      </w:r>
      <w:r w:rsidRPr="007B7252">
        <w:rPr>
          <w:b/>
        </w:rPr>
        <w:t>unded studies</w:t>
      </w:r>
    </w:p>
    <w:tbl>
      <w:tblPr>
        <w:tblW w:w="10024" w:type="dxa"/>
        <w:tblInd w:w="93" w:type="dxa"/>
        <w:tblLook w:val="04A0"/>
      </w:tblPr>
      <w:tblGrid>
        <w:gridCol w:w="6865"/>
        <w:gridCol w:w="3159"/>
      </w:tblGrid>
      <w:tr w:rsidR="00C60A2E" w:rsidRPr="00700DF1" w:rsidTr="00E51CDA">
        <w:trPr>
          <w:trHeight w:val="632"/>
        </w:trPr>
        <w:tc>
          <w:tcPr>
            <w:tcW w:w="68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60A2E" w:rsidRPr="00E51CDA" w:rsidRDefault="00C60A2E" w:rsidP="00A557AC">
            <w:pPr>
              <w:spacing w:before="120" w:after="120"/>
              <w:jc w:val="left"/>
              <w:rPr>
                <w:rFonts w:cs="Arial"/>
                <w:sz w:val="20"/>
                <w:szCs w:val="20"/>
              </w:rPr>
            </w:pPr>
            <w:r w:rsidRPr="00E51CDA">
              <w:rPr>
                <w:rFonts w:cs="Arial"/>
                <w:sz w:val="20"/>
                <w:szCs w:val="20"/>
              </w:rPr>
              <w:t>Study</w:t>
            </w:r>
          </w:p>
        </w:tc>
        <w:tc>
          <w:tcPr>
            <w:tcW w:w="31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60A2E" w:rsidRPr="00E51CDA" w:rsidRDefault="00C60A2E" w:rsidP="00A557AC">
            <w:pPr>
              <w:spacing w:before="120" w:after="120"/>
              <w:jc w:val="left"/>
              <w:rPr>
                <w:rFonts w:cs="Arial"/>
                <w:sz w:val="20"/>
                <w:szCs w:val="20"/>
              </w:rPr>
            </w:pPr>
            <w:r w:rsidRPr="00E51CDA">
              <w:rPr>
                <w:rFonts w:cs="Arial"/>
                <w:sz w:val="20"/>
                <w:szCs w:val="20"/>
              </w:rPr>
              <w:t xml:space="preserve">Sponsor/Clinical Research </w:t>
            </w:r>
            <w:proofErr w:type="spellStart"/>
            <w:r w:rsidRPr="00E51CDA">
              <w:rPr>
                <w:rFonts w:cs="Arial"/>
                <w:sz w:val="20"/>
                <w:szCs w:val="20"/>
              </w:rPr>
              <w:t>Organisation</w:t>
            </w:r>
            <w:proofErr w:type="spellEnd"/>
          </w:p>
        </w:tc>
      </w:tr>
      <w:tr w:rsidR="002143B8" w:rsidRPr="00700DF1" w:rsidTr="002143B8">
        <w:trPr>
          <w:trHeight w:val="1420"/>
        </w:trPr>
        <w:tc>
          <w:tcPr>
            <w:tcW w:w="6865" w:type="dxa"/>
            <w:tcBorders>
              <w:top w:val="nil"/>
              <w:left w:val="single" w:sz="4" w:space="0" w:color="auto"/>
              <w:bottom w:val="single" w:sz="4" w:space="0" w:color="auto"/>
              <w:right w:val="single" w:sz="4" w:space="0" w:color="auto"/>
            </w:tcBorders>
            <w:shd w:val="clear" w:color="auto" w:fill="auto"/>
            <w:vAlign w:val="center"/>
          </w:tcPr>
          <w:p w:rsidR="002143B8" w:rsidRPr="00E51CDA" w:rsidRDefault="002143B8" w:rsidP="007057D4">
            <w:pPr>
              <w:spacing w:before="0" w:after="0"/>
              <w:jc w:val="left"/>
              <w:rPr>
                <w:rFonts w:cs="Arial"/>
                <w:color w:val="000000"/>
                <w:sz w:val="20"/>
                <w:szCs w:val="20"/>
                <w:lang w:val="en-GB" w:eastAsia="en-GB"/>
              </w:rPr>
            </w:pPr>
            <w:r w:rsidRPr="00E51CDA">
              <w:rPr>
                <w:rFonts w:cs="Arial"/>
                <w:color w:val="000000"/>
                <w:sz w:val="20"/>
                <w:szCs w:val="20"/>
                <w:lang w:val="en-GB" w:eastAsia="en-GB"/>
              </w:rPr>
              <w:t xml:space="preserve">A phase III, multi </w:t>
            </w:r>
            <w:proofErr w:type="spellStart"/>
            <w:r w:rsidRPr="00E51CDA">
              <w:rPr>
                <w:rFonts w:cs="Arial"/>
                <w:color w:val="000000"/>
                <w:sz w:val="20"/>
                <w:szCs w:val="20"/>
                <w:lang w:val="en-GB" w:eastAsia="en-GB"/>
              </w:rPr>
              <w:t>center</w:t>
            </w:r>
            <w:proofErr w:type="spellEnd"/>
            <w:r w:rsidRPr="00E51CDA">
              <w:rPr>
                <w:rFonts w:cs="Arial"/>
                <w:color w:val="000000"/>
                <w:sz w:val="20"/>
                <w:szCs w:val="20"/>
                <w:lang w:val="en-GB" w:eastAsia="en-GB"/>
              </w:rPr>
              <w:t>, randomized, 24 week, double-blind, parallel-group, placebo</w:t>
            </w:r>
            <w:r w:rsidR="002516BA" w:rsidRPr="00E51CDA">
              <w:rPr>
                <w:rFonts w:cs="Arial"/>
                <w:color w:val="000000"/>
                <w:sz w:val="20"/>
                <w:szCs w:val="20"/>
                <w:lang w:val="en-GB" w:eastAsia="en-GB"/>
              </w:rPr>
              <w:t xml:space="preserve"> </w:t>
            </w:r>
            <w:proofErr w:type="spellStart"/>
            <w:r w:rsidRPr="00E51CDA">
              <w:rPr>
                <w:rFonts w:cs="Arial"/>
                <w:color w:val="000000"/>
                <w:sz w:val="20"/>
                <w:szCs w:val="20"/>
                <w:lang w:val="en-GB" w:eastAsia="en-GB"/>
              </w:rPr>
              <w:t>contralled</w:t>
            </w:r>
            <w:proofErr w:type="spellEnd"/>
            <w:r w:rsidRPr="00E51CDA">
              <w:rPr>
                <w:rFonts w:cs="Arial"/>
                <w:color w:val="000000"/>
                <w:sz w:val="20"/>
                <w:szCs w:val="20"/>
                <w:lang w:val="en-GB" w:eastAsia="en-GB"/>
              </w:rPr>
              <w:t xml:space="preserve"> study to evaluate efficacy and Safety of RO4917838 in stable patients with persistent, predominant nega</w:t>
            </w:r>
            <w:r w:rsidR="002516BA" w:rsidRPr="00E51CDA">
              <w:rPr>
                <w:rFonts w:cs="Arial"/>
                <w:color w:val="000000"/>
                <w:sz w:val="20"/>
                <w:szCs w:val="20"/>
                <w:lang w:val="en-GB" w:eastAsia="en-GB"/>
              </w:rPr>
              <w:t>tive symptom</w:t>
            </w:r>
            <w:r w:rsidRPr="00E51CDA">
              <w:rPr>
                <w:rFonts w:cs="Arial"/>
                <w:color w:val="000000"/>
                <w:sz w:val="20"/>
                <w:szCs w:val="20"/>
                <w:lang w:val="en-GB" w:eastAsia="en-GB"/>
              </w:rPr>
              <w:t>s of schizophrenia</w:t>
            </w:r>
            <w:r w:rsidR="002516BA" w:rsidRPr="00E51CDA">
              <w:rPr>
                <w:rFonts w:cs="Arial"/>
                <w:color w:val="000000"/>
                <w:sz w:val="20"/>
                <w:szCs w:val="20"/>
                <w:lang w:val="en-GB" w:eastAsia="en-GB"/>
              </w:rPr>
              <w:t xml:space="preserve"> – NN25310</w:t>
            </w:r>
          </w:p>
        </w:tc>
        <w:tc>
          <w:tcPr>
            <w:tcW w:w="3159" w:type="dxa"/>
            <w:tcBorders>
              <w:top w:val="nil"/>
              <w:left w:val="nil"/>
              <w:bottom w:val="single" w:sz="4" w:space="0" w:color="auto"/>
              <w:right w:val="single" w:sz="4" w:space="0" w:color="auto"/>
            </w:tcBorders>
            <w:shd w:val="clear" w:color="auto" w:fill="auto"/>
            <w:vAlign w:val="center"/>
          </w:tcPr>
          <w:p w:rsidR="002143B8" w:rsidRPr="00E51CDA" w:rsidRDefault="002143B8" w:rsidP="007057D4">
            <w:pPr>
              <w:spacing w:before="0" w:after="0"/>
              <w:jc w:val="center"/>
              <w:rPr>
                <w:rFonts w:cs="Arial"/>
                <w:color w:val="000000"/>
                <w:sz w:val="20"/>
                <w:szCs w:val="20"/>
                <w:lang w:val="en-GB" w:eastAsia="en-GB"/>
              </w:rPr>
            </w:pPr>
            <w:proofErr w:type="spellStart"/>
            <w:r w:rsidRPr="00E51CDA">
              <w:rPr>
                <w:rFonts w:cs="Arial"/>
                <w:color w:val="000000"/>
                <w:sz w:val="20"/>
                <w:szCs w:val="20"/>
                <w:lang w:val="en-GB" w:eastAsia="en-GB"/>
              </w:rPr>
              <w:t>F.Hoffman</w:t>
            </w:r>
            <w:proofErr w:type="spellEnd"/>
            <w:r w:rsidRPr="00E51CDA">
              <w:rPr>
                <w:rFonts w:cs="Arial"/>
                <w:color w:val="000000"/>
                <w:sz w:val="20"/>
                <w:szCs w:val="20"/>
                <w:lang w:val="en-GB" w:eastAsia="en-GB"/>
              </w:rPr>
              <w:t>-La Roche Limited/Quintiles Limited</w:t>
            </w:r>
          </w:p>
        </w:tc>
      </w:tr>
      <w:tr w:rsidR="002516BA" w:rsidRPr="00700DF1" w:rsidTr="002143B8">
        <w:trPr>
          <w:trHeight w:val="1752"/>
        </w:trPr>
        <w:tc>
          <w:tcPr>
            <w:tcW w:w="6865" w:type="dxa"/>
            <w:tcBorders>
              <w:top w:val="nil"/>
              <w:left w:val="single" w:sz="4" w:space="0" w:color="auto"/>
              <w:bottom w:val="single" w:sz="4" w:space="0" w:color="auto"/>
              <w:right w:val="single" w:sz="4" w:space="0" w:color="auto"/>
            </w:tcBorders>
            <w:shd w:val="clear" w:color="auto" w:fill="auto"/>
            <w:vAlign w:val="center"/>
          </w:tcPr>
          <w:p w:rsidR="002516BA" w:rsidRPr="00E51CDA" w:rsidRDefault="002516BA" w:rsidP="002516BA">
            <w:pPr>
              <w:spacing w:before="0" w:after="0"/>
              <w:jc w:val="left"/>
              <w:rPr>
                <w:rFonts w:cs="Arial"/>
                <w:color w:val="000000"/>
                <w:sz w:val="20"/>
                <w:szCs w:val="20"/>
                <w:lang w:val="en-GB" w:eastAsia="en-GB"/>
              </w:rPr>
            </w:pPr>
            <w:r w:rsidRPr="00E51CDA">
              <w:rPr>
                <w:rFonts w:cs="Arial"/>
                <w:color w:val="000000"/>
                <w:sz w:val="20"/>
                <w:szCs w:val="20"/>
                <w:lang w:val="en-GB" w:eastAsia="en-GB"/>
              </w:rPr>
              <w:t xml:space="preserve">A phase III, multi </w:t>
            </w:r>
            <w:proofErr w:type="spellStart"/>
            <w:r w:rsidRPr="00E51CDA">
              <w:rPr>
                <w:rFonts w:cs="Arial"/>
                <w:color w:val="000000"/>
                <w:sz w:val="20"/>
                <w:szCs w:val="20"/>
                <w:lang w:val="en-GB" w:eastAsia="en-GB"/>
              </w:rPr>
              <w:t>center</w:t>
            </w:r>
            <w:proofErr w:type="spellEnd"/>
            <w:r w:rsidRPr="00E51CDA">
              <w:rPr>
                <w:rFonts w:cs="Arial"/>
                <w:color w:val="000000"/>
                <w:sz w:val="20"/>
                <w:szCs w:val="20"/>
                <w:lang w:val="en-GB" w:eastAsia="en-GB"/>
              </w:rPr>
              <w:t xml:space="preserve">, randomized, 24 week, double-blind, parallel-group, placebo </w:t>
            </w:r>
            <w:proofErr w:type="spellStart"/>
            <w:r w:rsidRPr="00E51CDA">
              <w:rPr>
                <w:rFonts w:cs="Arial"/>
                <w:color w:val="000000"/>
                <w:sz w:val="20"/>
                <w:szCs w:val="20"/>
                <w:lang w:val="en-GB" w:eastAsia="en-GB"/>
              </w:rPr>
              <w:t>contralled</w:t>
            </w:r>
            <w:proofErr w:type="spellEnd"/>
            <w:r w:rsidRPr="00E51CDA">
              <w:rPr>
                <w:rFonts w:cs="Arial"/>
                <w:color w:val="000000"/>
                <w:sz w:val="20"/>
                <w:szCs w:val="20"/>
                <w:lang w:val="en-GB" w:eastAsia="en-GB"/>
              </w:rPr>
              <w:t xml:space="preserve"> study to evaluate efficacy and Safety of RO4917838 in patients with sub-optimally controlled symptoms of schizophrenia treated with </w:t>
            </w:r>
            <w:proofErr w:type="spellStart"/>
            <w:r w:rsidRPr="00E51CDA">
              <w:rPr>
                <w:rFonts w:cs="Arial"/>
                <w:color w:val="000000"/>
                <w:sz w:val="20"/>
                <w:szCs w:val="20"/>
                <w:lang w:val="en-GB" w:eastAsia="en-GB"/>
              </w:rPr>
              <w:t>anticpsychotics</w:t>
            </w:r>
            <w:proofErr w:type="spellEnd"/>
            <w:r w:rsidRPr="00E51CDA">
              <w:rPr>
                <w:rFonts w:cs="Arial"/>
                <w:color w:val="000000"/>
                <w:sz w:val="20"/>
                <w:szCs w:val="20"/>
                <w:lang w:val="en-GB" w:eastAsia="en-GB"/>
              </w:rPr>
              <w:t xml:space="preserve"> – NN25307</w:t>
            </w:r>
          </w:p>
        </w:tc>
        <w:tc>
          <w:tcPr>
            <w:tcW w:w="3159" w:type="dxa"/>
            <w:tcBorders>
              <w:top w:val="nil"/>
              <w:left w:val="nil"/>
              <w:bottom w:val="single" w:sz="4" w:space="0" w:color="auto"/>
              <w:right w:val="single" w:sz="4" w:space="0" w:color="auto"/>
            </w:tcBorders>
            <w:shd w:val="clear" w:color="auto" w:fill="auto"/>
            <w:vAlign w:val="center"/>
          </w:tcPr>
          <w:p w:rsidR="002516BA" w:rsidRPr="00E51CDA" w:rsidRDefault="002516BA" w:rsidP="00B40BBD">
            <w:pPr>
              <w:spacing w:before="0" w:after="0"/>
              <w:jc w:val="center"/>
              <w:rPr>
                <w:rFonts w:cs="Arial"/>
                <w:color w:val="000000"/>
                <w:sz w:val="20"/>
                <w:szCs w:val="20"/>
                <w:lang w:val="en-GB" w:eastAsia="en-GB"/>
              </w:rPr>
            </w:pPr>
            <w:proofErr w:type="spellStart"/>
            <w:r w:rsidRPr="00E51CDA">
              <w:rPr>
                <w:rFonts w:cs="Arial"/>
                <w:color w:val="000000"/>
                <w:sz w:val="20"/>
                <w:szCs w:val="20"/>
                <w:lang w:val="en-GB" w:eastAsia="en-GB"/>
              </w:rPr>
              <w:t>F.Hoffman</w:t>
            </w:r>
            <w:proofErr w:type="spellEnd"/>
            <w:r w:rsidRPr="00E51CDA">
              <w:rPr>
                <w:rFonts w:cs="Arial"/>
                <w:color w:val="000000"/>
                <w:sz w:val="20"/>
                <w:szCs w:val="20"/>
                <w:lang w:val="en-GB" w:eastAsia="en-GB"/>
              </w:rPr>
              <w:t>-La Roche Limited/Quintiles Limited</w:t>
            </w:r>
          </w:p>
        </w:tc>
      </w:tr>
      <w:tr w:rsidR="002516BA" w:rsidRPr="00700DF1" w:rsidTr="002516BA">
        <w:trPr>
          <w:trHeight w:val="1752"/>
        </w:trPr>
        <w:tc>
          <w:tcPr>
            <w:tcW w:w="6865" w:type="dxa"/>
            <w:tcBorders>
              <w:top w:val="nil"/>
              <w:left w:val="single" w:sz="4" w:space="0" w:color="auto"/>
              <w:bottom w:val="single" w:sz="4" w:space="0" w:color="auto"/>
              <w:right w:val="single" w:sz="4" w:space="0" w:color="auto"/>
            </w:tcBorders>
            <w:shd w:val="clear" w:color="auto" w:fill="auto"/>
            <w:vAlign w:val="center"/>
          </w:tcPr>
          <w:p w:rsidR="002516BA" w:rsidRPr="00E51CDA" w:rsidRDefault="002516BA" w:rsidP="002516BA">
            <w:pPr>
              <w:jc w:val="left"/>
              <w:rPr>
                <w:rFonts w:cs="Arial"/>
                <w:color w:val="000000"/>
                <w:sz w:val="20"/>
                <w:szCs w:val="20"/>
              </w:rPr>
            </w:pPr>
            <w:r w:rsidRPr="00E51CDA">
              <w:rPr>
                <w:rFonts w:cs="Arial"/>
                <w:color w:val="000000"/>
                <w:sz w:val="20"/>
                <w:szCs w:val="20"/>
              </w:rPr>
              <w:t xml:space="preserve">A </w:t>
            </w:r>
            <w:proofErr w:type="spellStart"/>
            <w:r w:rsidRPr="00E51CDA">
              <w:rPr>
                <w:rFonts w:cs="Arial"/>
                <w:color w:val="000000"/>
                <w:sz w:val="20"/>
                <w:szCs w:val="20"/>
              </w:rPr>
              <w:t>randomised</w:t>
            </w:r>
            <w:proofErr w:type="spellEnd"/>
            <w:r w:rsidRPr="00E51CDA">
              <w:rPr>
                <w:rFonts w:cs="Arial"/>
                <w:color w:val="000000"/>
                <w:sz w:val="20"/>
                <w:szCs w:val="20"/>
              </w:rPr>
              <w:t>, double-blind, placebo-controlled, dose-ranging, parallel-group, phase 2 study of the safety and efficacy of ABT-126 in the treatment of cognitive deficits in schizophrenia (CDS) in nonsmokers</w:t>
            </w:r>
          </w:p>
          <w:p w:rsidR="002516BA" w:rsidRPr="00E51CDA" w:rsidRDefault="002516BA" w:rsidP="00B40BBD">
            <w:pPr>
              <w:spacing w:before="0" w:after="0"/>
              <w:jc w:val="left"/>
              <w:rPr>
                <w:rFonts w:cs="Arial"/>
                <w:color w:val="000000"/>
                <w:sz w:val="20"/>
                <w:szCs w:val="20"/>
                <w:lang w:val="en-GB" w:eastAsia="en-GB"/>
              </w:rPr>
            </w:pPr>
          </w:p>
        </w:tc>
        <w:tc>
          <w:tcPr>
            <w:tcW w:w="3159" w:type="dxa"/>
            <w:tcBorders>
              <w:top w:val="nil"/>
              <w:left w:val="nil"/>
              <w:bottom w:val="single" w:sz="4" w:space="0" w:color="auto"/>
              <w:right w:val="single" w:sz="4" w:space="0" w:color="auto"/>
            </w:tcBorders>
            <w:shd w:val="clear" w:color="auto" w:fill="auto"/>
            <w:vAlign w:val="center"/>
          </w:tcPr>
          <w:p w:rsidR="002516BA" w:rsidRPr="00E51CDA" w:rsidRDefault="002516BA" w:rsidP="00B40BBD">
            <w:pPr>
              <w:spacing w:before="0" w:after="0"/>
              <w:jc w:val="center"/>
              <w:rPr>
                <w:rFonts w:cs="Arial"/>
                <w:color w:val="000000"/>
                <w:sz w:val="20"/>
                <w:szCs w:val="20"/>
                <w:lang w:val="en-GB" w:eastAsia="en-GB"/>
              </w:rPr>
            </w:pPr>
            <w:proofErr w:type="spellStart"/>
            <w:r w:rsidRPr="00E51CDA">
              <w:rPr>
                <w:rFonts w:cs="Arial"/>
                <w:color w:val="000000"/>
                <w:sz w:val="20"/>
                <w:szCs w:val="20"/>
                <w:lang w:val="en-GB" w:eastAsia="en-GB"/>
              </w:rPr>
              <w:t>AbbVie</w:t>
            </w:r>
            <w:proofErr w:type="spellEnd"/>
          </w:p>
        </w:tc>
      </w:tr>
    </w:tbl>
    <w:p w:rsidR="00C60A2E" w:rsidRPr="0073522A" w:rsidRDefault="00C60A2E" w:rsidP="00AF0562">
      <w:pPr>
        <w:ind w:left="720"/>
        <w:rPr>
          <w:rFonts w:cs="Arial"/>
          <w:sz w:val="20"/>
          <w:szCs w:val="20"/>
        </w:rPr>
      </w:pPr>
    </w:p>
    <w:sectPr w:rsidR="00C60A2E" w:rsidRPr="0073522A" w:rsidSect="00EB0402">
      <w:headerReference w:type="default" r:id="rId10"/>
      <w:footerReference w:type="default" r:id="rId11"/>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179" w:rsidRDefault="00F26179" w:rsidP="005B3E3C">
      <w:r>
        <w:separator/>
      </w:r>
    </w:p>
  </w:endnote>
  <w:endnote w:type="continuationSeparator" w:id="0">
    <w:p w:rsidR="00F26179" w:rsidRDefault="00F26179" w:rsidP="005B3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utiger">
    <w:altName w:val="Segoe UI"/>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69204"/>
      <w:docPartObj>
        <w:docPartGallery w:val="Page Numbers (Bottom of Page)"/>
        <w:docPartUnique/>
      </w:docPartObj>
    </w:sdtPr>
    <w:sdtContent>
      <w:p w:rsidR="00CE32B2" w:rsidRDefault="009E51A3">
        <w:pPr>
          <w:pStyle w:val="Footer"/>
          <w:jc w:val="center"/>
        </w:pPr>
        <w:fldSimple w:instr=" PAGE   \* MERGEFORMAT ">
          <w:r w:rsidR="003335F6">
            <w:rPr>
              <w:noProof/>
            </w:rPr>
            <w:t>1</w:t>
          </w:r>
        </w:fldSimple>
      </w:p>
    </w:sdtContent>
  </w:sdt>
  <w:p w:rsidR="00CE32B2" w:rsidRDefault="00CE32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179" w:rsidRDefault="00F26179" w:rsidP="005B3E3C">
      <w:r>
        <w:separator/>
      </w:r>
    </w:p>
  </w:footnote>
  <w:footnote w:type="continuationSeparator" w:id="0">
    <w:p w:rsidR="00F26179" w:rsidRDefault="00F26179" w:rsidP="005B3E3C">
      <w:r>
        <w:continuationSeparator/>
      </w:r>
    </w:p>
  </w:footnote>
  <w:footnote w:id="1">
    <w:p w:rsidR="00CE32B2" w:rsidRPr="007B2344" w:rsidRDefault="00CE32B2" w:rsidP="00E23B7A">
      <w:pPr>
        <w:pStyle w:val="FootnoteText"/>
        <w:rPr>
          <w:lang w:val="en-GB"/>
        </w:rPr>
      </w:pPr>
      <w:r>
        <w:rPr>
          <w:rStyle w:val="FootnoteReference"/>
        </w:rPr>
        <w:footnoteRef/>
      </w:r>
      <w:r>
        <w:t xml:space="preserve"> </w:t>
      </w:r>
      <w:r>
        <w:rPr>
          <w:lang w:val="en-GB"/>
        </w:rPr>
        <w:t>A valid research application is a complete research application that has been received by the NHS organisation following its submission via Integrated Research Application System (IRAS) that enables review by other agencies (including, but not limited to Research Ethics Committee and MHRA approval) to be conducted in parallel with the work on NHS permission by the contractor.  For studies going through the NIHR Coordinated System for gaining NHS Permission (CSP) this will include a valid site specific information ford (SSI) and local associated documents as detailed on the IRAS checklist.  Non CSP studies are also required to submit a valid application for both study wide and local reviews as detailed on the IRAS checklist.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2B2" w:rsidRPr="005B3E3C" w:rsidRDefault="00CE32B2" w:rsidP="005B3E3C">
    <w:pPr>
      <w:pStyle w:val="Header"/>
      <w:jc w:val="center"/>
      <w:rPr>
        <w:rFonts w:cs="Arial"/>
      </w:rPr>
    </w:pPr>
    <w:r>
      <w:rPr>
        <w:rFonts w:cs="Arial"/>
      </w:rPr>
      <w:t>[</w:t>
    </w:r>
    <w:proofErr w:type="gramStart"/>
    <w:r>
      <w:rPr>
        <w:rFonts w:cs="Arial"/>
        <w:b/>
        <w:i/>
      </w:rPr>
      <w:t>PUBLIC</w:t>
    </w:r>
    <w:r>
      <w:rPr>
        <w:rFonts w:cs="Arial"/>
        <w:sz w:val="20"/>
        <w:szCs w:val="20"/>
      </w:rPr>
      <w:t xml:space="preserve"> </w:t>
    </w:r>
    <w:r>
      <w:rPr>
        <w:rFonts w:cs="Arial"/>
      </w:rPr>
      <w:t>]</w:t>
    </w:r>
    <w:proofErr w:type="gram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4571"/>
    <w:multiLevelType w:val="hybridMultilevel"/>
    <w:tmpl w:val="9EB4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9B70AF"/>
    <w:multiLevelType w:val="hybridMultilevel"/>
    <w:tmpl w:val="6EFAD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6882E88"/>
    <w:multiLevelType w:val="hybridMultilevel"/>
    <w:tmpl w:val="ADC0485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26734"/>
    <w:multiLevelType w:val="hybridMultilevel"/>
    <w:tmpl w:val="F1724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EA074B"/>
    <w:multiLevelType w:val="hybridMultilevel"/>
    <w:tmpl w:val="FC4C8B24"/>
    <w:lvl w:ilvl="0" w:tplc="50FAF900">
      <w:start w:val="1"/>
      <w:numFmt w:val="bullet"/>
      <w:lvlText w:val="•"/>
      <w:lvlJc w:val="left"/>
      <w:pPr>
        <w:tabs>
          <w:tab w:val="num" w:pos="720"/>
        </w:tabs>
        <w:ind w:left="720" w:hanging="360"/>
      </w:pPr>
      <w:rPr>
        <w:rFonts w:ascii="Times New Roman" w:hAnsi="Times New Roman" w:hint="default"/>
      </w:rPr>
    </w:lvl>
    <w:lvl w:ilvl="1" w:tplc="28280AF0" w:tentative="1">
      <w:start w:val="1"/>
      <w:numFmt w:val="bullet"/>
      <w:lvlText w:val="•"/>
      <w:lvlJc w:val="left"/>
      <w:pPr>
        <w:tabs>
          <w:tab w:val="num" w:pos="1440"/>
        </w:tabs>
        <w:ind w:left="1440" w:hanging="360"/>
      </w:pPr>
      <w:rPr>
        <w:rFonts w:ascii="Times New Roman" w:hAnsi="Times New Roman" w:hint="default"/>
      </w:rPr>
    </w:lvl>
    <w:lvl w:ilvl="2" w:tplc="D68A190A" w:tentative="1">
      <w:start w:val="1"/>
      <w:numFmt w:val="bullet"/>
      <w:lvlText w:val="•"/>
      <w:lvlJc w:val="left"/>
      <w:pPr>
        <w:tabs>
          <w:tab w:val="num" w:pos="2160"/>
        </w:tabs>
        <w:ind w:left="2160" w:hanging="360"/>
      </w:pPr>
      <w:rPr>
        <w:rFonts w:ascii="Times New Roman" w:hAnsi="Times New Roman" w:hint="default"/>
      </w:rPr>
    </w:lvl>
    <w:lvl w:ilvl="3" w:tplc="F81C109E" w:tentative="1">
      <w:start w:val="1"/>
      <w:numFmt w:val="bullet"/>
      <w:lvlText w:val="•"/>
      <w:lvlJc w:val="left"/>
      <w:pPr>
        <w:tabs>
          <w:tab w:val="num" w:pos="2880"/>
        </w:tabs>
        <w:ind w:left="2880" w:hanging="360"/>
      </w:pPr>
      <w:rPr>
        <w:rFonts w:ascii="Times New Roman" w:hAnsi="Times New Roman" w:hint="default"/>
      </w:rPr>
    </w:lvl>
    <w:lvl w:ilvl="4" w:tplc="EFB6BA24" w:tentative="1">
      <w:start w:val="1"/>
      <w:numFmt w:val="bullet"/>
      <w:lvlText w:val="•"/>
      <w:lvlJc w:val="left"/>
      <w:pPr>
        <w:tabs>
          <w:tab w:val="num" w:pos="3600"/>
        </w:tabs>
        <w:ind w:left="3600" w:hanging="360"/>
      </w:pPr>
      <w:rPr>
        <w:rFonts w:ascii="Times New Roman" w:hAnsi="Times New Roman" w:hint="default"/>
      </w:rPr>
    </w:lvl>
    <w:lvl w:ilvl="5" w:tplc="B07C0CA2" w:tentative="1">
      <w:start w:val="1"/>
      <w:numFmt w:val="bullet"/>
      <w:lvlText w:val="•"/>
      <w:lvlJc w:val="left"/>
      <w:pPr>
        <w:tabs>
          <w:tab w:val="num" w:pos="4320"/>
        </w:tabs>
        <w:ind w:left="4320" w:hanging="360"/>
      </w:pPr>
      <w:rPr>
        <w:rFonts w:ascii="Times New Roman" w:hAnsi="Times New Roman" w:hint="default"/>
      </w:rPr>
    </w:lvl>
    <w:lvl w:ilvl="6" w:tplc="FD80D67E" w:tentative="1">
      <w:start w:val="1"/>
      <w:numFmt w:val="bullet"/>
      <w:lvlText w:val="•"/>
      <w:lvlJc w:val="left"/>
      <w:pPr>
        <w:tabs>
          <w:tab w:val="num" w:pos="5040"/>
        </w:tabs>
        <w:ind w:left="5040" w:hanging="360"/>
      </w:pPr>
      <w:rPr>
        <w:rFonts w:ascii="Times New Roman" w:hAnsi="Times New Roman" w:hint="default"/>
      </w:rPr>
    </w:lvl>
    <w:lvl w:ilvl="7" w:tplc="4EE060AC" w:tentative="1">
      <w:start w:val="1"/>
      <w:numFmt w:val="bullet"/>
      <w:lvlText w:val="•"/>
      <w:lvlJc w:val="left"/>
      <w:pPr>
        <w:tabs>
          <w:tab w:val="num" w:pos="5760"/>
        </w:tabs>
        <w:ind w:left="5760" w:hanging="360"/>
      </w:pPr>
      <w:rPr>
        <w:rFonts w:ascii="Times New Roman" w:hAnsi="Times New Roman" w:hint="default"/>
      </w:rPr>
    </w:lvl>
    <w:lvl w:ilvl="8" w:tplc="20908144" w:tentative="1">
      <w:start w:val="1"/>
      <w:numFmt w:val="bullet"/>
      <w:lvlText w:val="•"/>
      <w:lvlJc w:val="left"/>
      <w:pPr>
        <w:tabs>
          <w:tab w:val="num" w:pos="6480"/>
        </w:tabs>
        <w:ind w:left="6480" w:hanging="360"/>
      </w:pPr>
      <w:rPr>
        <w:rFonts w:ascii="Times New Roman" w:hAnsi="Times New Roman" w:hint="default"/>
      </w:rPr>
    </w:lvl>
  </w:abstractNum>
  <w:abstractNum w:abstractNumId="5">
    <w:nsid w:val="38A55EED"/>
    <w:multiLevelType w:val="hybridMultilevel"/>
    <w:tmpl w:val="38B28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524F64"/>
    <w:multiLevelType w:val="hybridMultilevel"/>
    <w:tmpl w:val="0E2E5F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D23114"/>
    <w:multiLevelType w:val="hybridMultilevel"/>
    <w:tmpl w:val="25963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4B9F4B86"/>
    <w:multiLevelType w:val="hybridMultilevel"/>
    <w:tmpl w:val="192E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5A704856"/>
    <w:multiLevelType w:val="hybridMultilevel"/>
    <w:tmpl w:val="D5467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C38236C"/>
    <w:multiLevelType w:val="hybridMultilevel"/>
    <w:tmpl w:val="25C6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CE0137"/>
    <w:multiLevelType w:val="multilevel"/>
    <w:tmpl w:val="7B28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1A5519"/>
    <w:multiLevelType w:val="hybridMultilevel"/>
    <w:tmpl w:val="E8188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63DA7869"/>
    <w:multiLevelType w:val="hybridMultilevel"/>
    <w:tmpl w:val="6BE22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ABB6814"/>
    <w:multiLevelType w:val="hybridMultilevel"/>
    <w:tmpl w:val="2B14164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0D5504"/>
    <w:multiLevelType w:val="hybridMultilevel"/>
    <w:tmpl w:val="93604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99F2DEC"/>
    <w:multiLevelType w:val="hybridMultilevel"/>
    <w:tmpl w:val="E658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FDD18B1"/>
    <w:multiLevelType w:val="hybridMultilevel"/>
    <w:tmpl w:val="CE88E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2"/>
  </w:num>
  <w:num w:numId="5">
    <w:abstractNumId w:val="16"/>
  </w:num>
  <w:num w:numId="6">
    <w:abstractNumId w:val="5"/>
  </w:num>
  <w:num w:numId="7">
    <w:abstractNumId w:val="9"/>
  </w:num>
  <w:num w:numId="8">
    <w:abstractNumId w:val="3"/>
  </w:num>
  <w:num w:numId="9">
    <w:abstractNumId w:val="4"/>
  </w:num>
  <w:num w:numId="10">
    <w:abstractNumId w:val="11"/>
  </w:num>
  <w:num w:numId="11">
    <w:abstractNumId w:val="17"/>
  </w:num>
  <w:num w:numId="12">
    <w:abstractNumId w:val="15"/>
  </w:num>
  <w:num w:numId="13">
    <w:abstractNumId w:val="12"/>
  </w:num>
  <w:num w:numId="14">
    <w:abstractNumId w:val="19"/>
  </w:num>
  <w:num w:numId="15">
    <w:abstractNumId w:val="1"/>
  </w:num>
  <w:num w:numId="16">
    <w:abstractNumId w:val="14"/>
  </w:num>
  <w:num w:numId="17">
    <w:abstractNumId w:val="20"/>
  </w:num>
  <w:num w:numId="18">
    <w:abstractNumId w:val="1"/>
  </w:num>
  <w:num w:numId="19">
    <w:abstractNumId w:val="6"/>
  </w:num>
  <w:num w:numId="20">
    <w:abstractNumId w:val="13"/>
  </w:num>
  <w:num w:numId="21">
    <w:abstractNumId w:val="0"/>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stylePaneFormatFilter w:val="3F04"/>
  <w:defaultTabStop w:val="720"/>
  <w:noPunctuationKerning/>
  <w:characterSpacingControl w:val="doNotCompress"/>
  <w:hdrShapeDefaults>
    <o:shapedefaults v:ext="edit" spidmax="64513"/>
  </w:hdrShapeDefaults>
  <w:footnotePr>
    <w:footnote w:id="-1"/>
    <w:footnote w:id="0"/>
  </w:footnotePr>
  <w:endnotePr>
    <w:endnote w:id="-1"/>
    <w:endnote w:id="0"/>
  </w:endnotePr>
  <w:compat/>
  <w:rsids>
    <w:rsidRoot w:val="002A73E8"/>
    <w:rsid w:val="00000017"/>
    <w:rsid w:val="00052014"/>
    <w:rsid w:val="0007743B"/>
    <w:rsid w:val="000963FE"/>
    <w:rsid w:val="000B3543"/>
    <w:rsid w:val="000C040F"/>
    <w:rsid w:val="000D368B"/>
    <w:rsid w:val="000E3068"/>
    <w:rsid w:val="0011026C"/>
    <w:rsid w:val="00110923"/>
    <w:rsid w:val="00112658"/>
    <w:rsid w:val="00143529"/>
    <w:rsid w:val="00144009"/>
    <w:rsid w:val="0015197A"/>
    <w:rsid w:val="00156834"/>
    <w:rsid w:val="00171EAB"/>
    <w:rsid w:val="0018103A"/>
    <w:rsid w:val="00185136"/>
    <w:rsid w:val="00185CF4"/>
    <w:rsid w:val="001909B9"/>
    <w:rsid w:val="00193A96"/>
    <w:rsid w:val="001A193F"/>
    <w:rsid w:val="001F76ED"/>
    <w:rsid w:val="00203704"/>
    <w:rsid w:val="00213AC0"/>
    <w:rsid w:val="002143B8"/>
    <w:rsid w:val="00227FCE"/>
    <w:rsid w:val="00231278"/>
    <w:rsid w:val="00232337"/>
    <w:rsid w:val="00236A0A"/>
    <w:rsid w:val="00237382"/>
    <w:rsid w:val="002516BA"/>
    <w:rsid w:val="002619EF"/>
    <w:rsid w:val="00261D54"/>
    <w:rsid w:val="00272563"/>
    <w:rsid w:val="002821F8"/>
    <w:rsid w:val="00292613"/>
    <w:rsid w:val="002A07AA"/>
    <w:rsid w:val="002A1517"/>
    <w:rsid w:val="002A73E8"/>
    <w:rsid w:val="002C2F97"/>
    <w:rsid w:val="002D020A"/>
    <w:rsid w:val="002D0EB2"/>
    <w:rsid w:val="002D0EF7"/>
    <w:rsid w:val="002E1562"/>
    <w:rsid w:val="002E324D"/>
    <w:rsid w:val="002E6985"/>
    <w:rsid w:val="002E6FC6"/>
    <w:rsid w:val="002F1EDB"/>
    <w:rsid w:val="002F70B5"/>
    <w:rsid w:val="0031398F"/>
    <w:rsid w:val="00322BB7"/>
    <w:rsid w:val="0032373A"/>
    <w:rsid w:val="003335F6"/>
    <w:rsid w:val="00333D76"/>
    <w:rsid w:val="00335416"/>
    <w:rsid w:val="00345BFA"/>
    <w:rsid w:val="00361125"/>
    <w:rsid w:val="003971F6"/>
    <w:rsid w:val="003E6096"/>
    <w:rsid w:val="003F445B"/>
    <w:rsid w:val="004028CD"/>
    <w:rsid w:val="00405489"/>
    <w:rsid w:val="00410BDF"/>
    <w:rsid w:val="004326BB"/>
    <w:rsid w:val="0043292F"/>
    <w:rsid w:val="004458C4"/>
    <w:rsid w:val="00455012"/>
    <w:rsid w:val="00461E18"/>
    <w:rsid w:val="00492871"/>
    <w:rsid w:val="004A2971"/>
    <w:rsid w:val="004C0EF7"/>
    <w:rsid w:val="004C5B30"/>
    <w:rsid w:val="004E5249"/>
    <w:rsid w:val="004F1CE4"/>
    <w:rsid w:val="004F4BBA"/>
    <w:rsid w:val="00503868"/>
    <w:rsid w:val="00507A2F"/>
    <w:rsid w:val="005168CC"/>
    <w:rsid w:val="00516AE8"/>
    <w:rsid w:val="00517C55"/>
    <w:rsid w:val="005233AA"/>
    <w:rsid w:val="00525B71"/>
    <w:rsid w:val="0053659B"/>
    <w:rsid w:val="005462EB"/>
    <w:rsid w:val="00551B0F"/>
    <w:rsid w:val="005659FB"/>
    <w:rsid w:val="00575C61"/>
    <w:rsid w:val="005840C9"/>
    <w:rsid w:val="00594DDB"/>
    <w:rsid w:val="005A6E6C"/>
    <w:rsid w:val="005B33E5"/>
    <w:rsid w:val="005B3E3C"/>
    <w:rsid w:val="005B6446"/>
    <w:rsid w:val="005C179F"/>
    <w:rsid w:val="005C39EB"/>
    <w:rsid w:val="005C3EC1"/>
    <w:rsid w:val="005C3FC1"/>
    <w:rsid w:val="005D3499"/>
    <w:rsid w:val="005E2583"/>
    <w:rsid w:val="005E4C97"/>
    <w:rsid w:val="00605F5F"/>
    <w:rsid w:val="006079FC"/>
    <w:rsid w:val="0061684E"/>
    <w:rsid w:val="00622E28"/>
    <w:rsid w:val="00634A60"/>
    <w:rsid w:val="00653AFF"/>
    <w:rsid w:val="0068138D"/>
    <w:rsid w:val="006820A1"/>
    <w:rsid w:val="0069120C"/>
    <w:rsid w:val="006C27DA"/>
    <w:rsid w:val="006D7D89"/>
    <w:rsid w:val="006E23DA"/>
    <w:rsid w:val="006E39F8"/>
    <w:rsid w:val="006E7ACA"/>
    <w:rsid w:val="006F1415"/>
    <w:rsid w:val="006F36A4"/>
    <w:rsid w:val="00700DF1"/>
    <w:rsid w:val="007057D4"/>
    <w:rsid w:val="007212D6"/>
    <w:rsid w:val="00726459"/>
    <w:rsid w:val="007343B4"/>
    <w:rsid w:val="00734C1D"/>
    <w:rsid w:val="0073522A"/>
    <w:rsid w:val="007567B9"/>
    <w:rsid w:val="00770F15"/>
    <w:rsid w:val="0077209B"/>
    <w:rsid w:val="00774751"/>
    <w:rsid w:val="007769CD"/>
    <w:rsid w:val="00780029"/>
    <w:rsid w:val="0078032B"/>
    <w:rsid w:val="00781566"/>
    <w:rsid w:val="007847D4"/>
    <w:rsid w:val="00787469"/>
    <w:rsid w:val="007976E7"/>
    <w:rsid w:val="007A1909"/>
    <w:rsid w:val="007B2344"/>
    <w:rsid w:val="007B54B0"/>
    <w:rsid w:val="007B7252"/>
    <w:rsid w:val="007F0152"/>
    <w:rsid w:val="007F15E6"/>
    <w:rsid w:val="0080148A"/>
    <w:rsid w:val="00802701"/>
    <w:rsid w:val="008038A2"/>
    <w:rsid w:val="00811FE8"/>
    <w:rsid w:val="008150D8"/>
    <w:rsid w:val="0085140E"/>
    <w:rsid w:val="0086436B"/>
    <w:rsid w:val="00867CEF"/>
    <w:rsid w:val="0087117D"/>
    <w:rsid w:val="008877F4"/>
    <w:rsid w:val="00894B97"/>
    <w:rsid w:val="008A2B27"/>
    <w:rsid w:val="008A4267"/>
    <w:rsid w:val="008A6D5A"/>
    <w:rsid w:val="008B0749"/>
    <w:rsid w:val="008C1316"/>
    <w:rsid w:val="008C7E6B"/>
    <w:rsid w:val="008E44CB"/>
    <w:rsid w:val="0090448C"/>
    <w:rsid w:val="009131A4"/>
    <w:rsid w:val="009314B3"/>
    <w:rsid w:val="00946E6E"/>
    <w:rsid w:val="00964BA8"/>
    <w:rsid w:val="009B13E8"/>
    <w:rsid w:val="009B206D"/>
    <w:rsid w:val="009B4729"/>
    <w:rsid w:val="009B51DB"/>
    <w:rsid w:val="009C3118"/>
    <w:rsid w:val="009D6E3B"/>
    <w:rsid w:val="009E51A3"/>
    <w:rsid w:val="00A00087"/>
    <w:rsid w:val="00A21890"/>
    <w:rsid w:val="00A2673C"/>
    <w:rsid w:val="00A51501"/>
    <w:rsid w:val="00A5483D"/>
    <w:rsid w:val="00A557AC"/>
    <w:rsid w:val="00A674FB"/>
    <w:rsid w:val="00A85311"/>
    <w:rsid w:val="00A941AF"/>
    <w:rsid w:val="00AA0C3F"/>
    <w:rsid w:val="00AC3814"/>
    <w:rsid w:val="00AC50A3"/>
    <w:rsid w:val="00AC5707"/>
    <w:rsid w:val="00AC6AE5"/>
    <w:rsid w:val="00AE06FB"/>
    <w:rsid w:val="00AE11DF"/>
    <w:rsid w:val="00AF0562"/>
    <w:rsid w:val="00B02568"/>
    <w:rsid w:val="00B04DA0"/>
    <w:rsid w:val="00B14CBE"/>
    <w:rsid w:val="00B26E1A"/>
    <w:rsid w:val="00B274C8"/>
    <w:rsid w:val="00B40BBD"/>
    <w:rsid w:val="00B46460"/>
    <w:rsid w:val="00B466A4"/>
    <w:rsid w:val="00B50D5E"/>
    <w:rsid w:val="00B545E8"/>
    <w:rsid w:val="00B63A0A"/>
    <w:rsid w:val="00B9132C"/>
    <w:rsid w:val="00B91A88"/>
    <w:rsid w:val="00BA3B3E"/>
    <w:rsid w:val="00BB00CA"/>
    <w:rsid w:val="00BB2C81"/>
    <w:rsid w:val="00BE1545"/>
    <w:rsid w:val="00BF3C8F"/>
    <w:rsid w:val="00BF5367"/>
    <w:rsid w:val="00C07817"/>
    <w:rsid w:val="00C11AA2"/>
    <w:rsid w:val="00C2360F"/>
    <w:rsid w:val="00C371E8"/>
    <w:rsid w:val="00C4517B"/>
    <w:rsid w:val="00C51B42"/>
    <w:rsid w:val="00C5553A"/>
    <w:rsid w:val="00C60A2E"/>
    <w:rsid w:val="00C61CB9"/>
    <w:rsid w:val="00C620F9"/>
    <w:rsid w:val="00C642FB"/>
    <w:rsid w:val="00C65B5B"/>
    <w:rsid w:val="00C91281"/>
    <w:rsid w:val="00C91374"/>
    <w:rsid w:val="00C91DDA"/>
    <w:rsid w:val="00CA19EF"/>
    <w:rsid w:val="00CA4431"/>
    <w:rsid w:val="00CE03F9"/>
    <w:rsid w:val="00CE0BC3"/>
    <w:rsid w:val="00CE15B9"/>
    <w:rsid w:val="00CE32B2"/>
    <w:rsid w:val="00CE4B87"/>
    <w:rsid w:val="00CF19CD"/>
    <w:rsid w:val="00D03AD6"/>
    <w:rsid w:val="00D04B31"/>
    <w:rsid w:val="00D07064"/>
    <w:rsid w:val="00D17209"/>
    <w:rsid w:val="00D279FC"/>
    <w:rsid w:val="00D5029F"/>
    <w:rsid w:val="00D55ADD"/>
    <w:rsid w:val="00D6695E"/>
    <w:rsid w:val="00D67B8D"/>
    <w:rsid w:val="00D73D56"/>
    <w:rsid w:val="00D76D0B"/>
    <w:rsid w:val="00D80C7D"/>
    <w:rsid w:val="00D82FF9"/>
    <w:rsid w:val="00D8544F"/>
    <w:rsid w:val="00D936BB"/>
    <w:rsid w:val="00DA0FA6"/>
    <w:rsid w:val="00DA106A"/>
    <w:rsid w:val="00DC3177"/>
    <w:rsid w:val="00DD33DF"/>
    <w:rsid w:val="00DD76D3"/>
    <w:rsid w:val="00DE1293"/>
    <w:rsid w:val="00E05341"/>
    <w:rsid w:val="00E23B7A"/>
    <w:rsid w:val="00E27952"/>
    <w:rsid w:val="00E3381E"/>
    <w:rsid w:val="00E41C88"/>
    <w:rsid w:val="00E51CDA"/>
    <w:rsid w:val="00E56B5A"/>
    <w:rsid w:val="00E614BE"/>
    <w:rsid w:val="00E72E7B"/>
    <w:rsid w:val="00E827C5"/>
    <w:rsid w:val="00E82FCD"/>
    <w:rsid w:val="00EB0402"/>
    <w:rsid w:val="00EC1754"/>
    <w:rsid w:val="00ED3AF1"/>
    <w:rsid w:val="00EE0E1A"/>
    <w:rsid w:val="00EE615E"/>
    <w:rsid w:val="00EE7941"/>
    <w:rsid w:val="00F20B96"/>
    <w:rsid w:val="00F22E3C"/>
    <w:rsid w:val="00F24EB2"/>
    <w:rsid w:val="00F26179"/>
    <w:rsid w:val="00F3204A"/>
    <w:rsid w:val="00F36D7C"/>
    <w:rsid w:val="00F45E70"/>
    <w:rsid w:val="00F50A07"/>
    <w:rsid w:val="00F57119"/>
    <w:rsid w:val="00F62972"/>
    <w:rsid w:val="00F62A65"/>
    <w:rsid w:val="00F64089"/>
    <w:rsid w:val="00F65A6F"/>
    <w:rsid w:val="00F86462"/>
    <w:rsid w:val="00F93D0C"/>
    <w:rsid w:val="00FD65E3"/>
    <w:rsid w:val="00FE11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5B5B"/>
    <w:pPr>
      <w:spacing w:before="180" w:after="180"/>
      <w:jc w:val="both"/>
    </w:pPr>
    <w:rPr>
      <w:rFonts w:ascii="Arial" w:hAnsi="Arial"/>
      <w:sz w:val="24"/>
      <w:szCs w:val="24"/>
      <w:lang w:val="en-US" w:eastAsia="en-US"/>
    </w:rPr>
  </w:style>
  <w:style w:type="paragraph" w:styleId="Heading1">
    <w:name w:val="heading 1"/>
    <w:basedOn w:val="Normal"/>
    <w:next w:val="Normal"/>
    <w:qFormat/>
    <w:rsid w:val="003F445B"/>
    <w:pPr>
      <w:keepNext/>
      <w:overflowPunct w:val="0"/>
      <w:autoSpaceDE w:val="0"/>
      <w:autoSpaceDN w:val="0"/>
      <w:adjustRightInd w:val="0"/>
      <w:spacing w:before="360"/>
      <w:textAlignment w:val="baseline"/>
      <w:outlineLvl w:val="0"/>
    </w:pPr>
    <w:rPr>
      <w:b/>
      <w:szCs w:val="20"/>
      <w:u w:val="single"/>
      <w:lang w:val="en-GB"/>
    </w:rPr>
  </w:style>
  <w:style w:type="paragraph" w:styleId="Heading2">
    <w:name w:val="heading 2"/>
    <w:basedOn w:val="Normal"/>
    <w:next w:val="Normal"/>
    <w:link w:val="Heading2Char"/>
    <w:unhideWhenUsed/>
    <w:qFormat/>
    <w:rsid w:val="000B3543"/>
    <w:pPr>
      <w:keepNext/>
      <w:keepLines/>
      <w:spacing w:before="120"/>
      <w:outlineLvl w:val="1"/>
    </w:pPr>
    <w:rPr>
      <w:rFonts w:eastAsiaTheme="majorEastAsia" w:cstheme="majorBidi"/>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113A"/>
    <w:pPr>
      <w:jc w:val="center"/>
    </w:pPr>
    <w:rPr>
      <w:rFonts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87117D"/>
    <w:pPr>
      <w:spacing w:before="0" w:after="0"/>
    </w:pPr>
    <w:rPr>
      <w:rFonts w:ascii="Tahoma" w:hAnsi="Tahoma" w:cs="Tahoma"/>
      <w:sz w:val="16"/>
      <w:szCs w:val="16"/>
    </w:rPr>
  </w:style>
  <w:style w:type="character" w:customStyle="1" w:styleId="BalloonTextChar">
    <w:name w:val="Balloon Text Char"/>
    <w:basedOn w:val="DefaultParagraphFont"/>
    <w:link w:val="BalloonText"/>
    <w:rsid w:val="0087117D"/>
    <w:rPr>
      <w:rFonts w:ascii="Tahoma" w:hAnsi="Tahoma" w:cs="Tahoma"/>
      <w:sz w:val="16"/>
      <w:szCs w:val="16"/>
      <w:lang w:val="en-US" w:eastAsia="en-US"/>
    </w:rPr>
  </w:style>
  <w:style w:type="table" w:styleId="TableGrid">
    <w:name w:val="Table Grid"/>
    <w:basedOn w:val="TableNormal"/>
    <w:uiPriority w:val="59"/>
    <w:rsid w:val="00213A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0B3543"/>
    <w:rPr>
      <w:rFonts w:ascii="Arial" w:eastAsiaTheme="majorEastAsia" w:hAnsi="Arial" w:cstheme="majorBidi"/>
      <w:bCs/>
      <w:i/>
      <w:sz w:val="24"/>
      <w:szCs w:val="26"/>
      <w:u w:val="single"/>
      <w:lang w:val="en-US" w:eastAsia="en-US"/>
    </w:rPr>
  </w:style>
  <w:style w:type="character" w:customStyle="1" w:styleId="BodyTextChar">
    <w:name w:val="Body Text Char"/>
    <w:basedOn w:val="DefaultParagraphFont"/>
    <w:link w:val="BodyText"/>
    <w:rsid w:val="00A51501"/>
    <w:rPr>
      <w:rFonts w:ascii="Arial" w:hAnsi="Arial" w:cs="Arial"/>
      <w:b/>
      <w:sz w:val="24"/>
      <w:szCs w:val="24"/>
      <w:lang w:val="en-US" w:eastAsia="en-US"/>
    </w:rPr>
  </w:style>
  <w:style w:type="character" w:styleId="CommentReference">
    <w:name w:val="annotation reference"/>
    <w:basedOn w:val="DefaultParagraphFont"/>
    <w:rsid w:val="00F36D7C"/>
    <w:rPr>
      <w:sz w:val="16"/>
      <w:szCs w:val="16"/>
    </w:rPr>
  </w:style>
  <w:style w:type="paragraph" w:styleId="CommentText">
    <w:name w:val="annotation text"/>
    <w:basedOn w:val="Normal"/>
    <w:link w:val="CommentTextChar"/>
    <w:rsid w:val="00F36D7C"/>
    <w:rPr>
      <w:sz w:val="20"/>
      <w:szCs w:val="20"/>
    </w:rPr>
  </w:style>
  <w:style w:type="character" w:customStyle="1" w:styleId="CommentTextChar">
    <w:name w:val="Comment Text Char"/>
    <w:basedOn w:val="DefaultParagraphFont"/>
    <w:link w:val="CommentText"/>
    <w:rsid w:val="00F36D7C"/>
    <w:rPr>
      <w:rFonts w:ascii="Arial" w:hAnsi="Arial"/>
      <w:lang w:val="en-US" w:eastAsia="en-US"/>
    </w:rPr>
  </w:style>
  <w:style w:type="paragraph" w:styleId="CommentSubject">
    <w:name w:val="annotation subject"/>
    <w:basedOn w:val="CommentText"/>
    <w:next w:val="CommentText"/>
    <w:link w:val="CommentSubjectChar"/>
    <w:rsid w:val="00F36D7C"/>
    <w:rPr>
      <w:b/>
      <w:bCs/>
    </w:rPr>
  </w:style>
  <w:style w:type="character" w:customStyle="1" w:styleId="CommentSubjectChar">
    <w:name w:val="Comment Subject Char"/>
    <w:basedOn w:val="CommentTextChar"/>
    <w:link w:val="CommentSubject"/>
    <w:rsid w:val="00F36D7C"/>
    <w:rPr>
      <w:rFonts w:ascii="Arial" w:hAnsi="Arial"/>
      <w:b/>
      <w:bCs/>
      <w:lang w:val="en-US" w:eastAsia="en-US"/>
    </w:rPr>
  </w:style>
  <w:style w:type="paragraph" w:customStyle="1" w:styleId="Default">
    <w:name w:val="Default"/>
    <w:rsid w:val="004028CD"/>
    <w:pPr>
      <w:autoSpaceDE w:val="0"/>
      <w:autoSpaceDN w:val="0"/>
      <w:adjustRightInd w:val="0"/>
    </w:pPr>
    <w:rPr>
      <w:rFonts w:ascii="Arial" w:hAnsi="Arial" w:cs="Arial"/>
      <w:color w:val="000000"/>
      <w:sz w:val="24"/>
      <w:szCs w:val="24"/>
    </w:rPr>
  </w:style>
  <w:style w:type="character" w:styleId="Hyperlink">
    <w:name w:val="Hyperlink"/>
    <w:basedOn w:val="DefaultParagraphFont"/>
    <w:rsid w:val="004E5249"/>
    <w:rPr>
      <w:color w:val="0000FF" w:themeColor="hyperlink"/>
      <w:u w:val="single"/>
    </w:rPr>
  </w:style>
  <w:style w:type="paragraph" w:styleId="FootnoteText">
    <w:name w:val="footnote text"/>
    <w:basedOn w:val="Normal"/>
    <w:link w:val="FootnoteTextChar"/>
    <w:rsid w:val="007B2344"/>
    <w:pPr>
      <w:spacing w:before="0" w:after="0"/>
    </w:pPr>
    <w:rPr>
      <w:sz w:val="20"/>
      <w:szCs w:val="20"/>
    </w:rPr>
  </w:style>
  <w:style w:type="character" w:customStyle="1" w:styleId="FootnoteTextChar">
    <w:name w:val="Footnote Text Char"/>
    <w:basedOn w:val="DefaultParagraphFont"/>
    <w:link w:val="FootnoteText"/>
    <w:rsid w:val="007B2344"/>
    <w:rPr>
      <w:rFonts w:ascii="Arial" w:hAnsi="Arial"/>
      <w:lang w:val="en-US" w:eastAsia="en-US"/>
    </w:rPr>
  </w:style>
  <w:style w:type="character" w:styleId="FootnoteReference">
    <w:name w:val="footnote reference"/>
    <w:basedOn w:val="DefaultParagraphFont"/>
    <w:rsid w:val="007B23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5B5B"/>
    <w:pPr>
      <w:spacing w:before="180" w:after="180"/>
      <w:jc w:val="both"/>
    </w:pPr>
    <w:rPr>
      <w:rFonts w:ascii="Arial" w:hAnsi="Arial"/>
      <w:sz w:val="24"/>
      <w:szCs w:val="24"/>
      <w:lang w:val="en-US" w:eastAsia="en-US"/>
    </w:rPr>
  </w:style>
  <w:style w:type="paragraph" w:styleId="Heading1">
    <w:name w:val="heading 1"/>
    <w:basedOn w:val="Normal"/>
    <w:next w:val="Normal"/>
    <w:qFormat/>
    <w:rsid w:val="003F445B"/>
    <w:pPr>
      <w:keepNext/>
      <w:overflowPunct w:val="0"/>
      <w:autoSpaceDE w:val="0"/>
      <w:autoSpaceDN w:val="0"/>
      <w:adjustRightInd w:val="0"/>
      <w:spacing w:before="360"/>
      <w:textAlignment w:val="baseline"/>
      <w:outlineLvl w:val="0"/>
    </w:pPr>
    <w:rPr>
      <w:b/>
      <w:szCs w:val="20"/>
      <w:u w:val="single"/>
      <w:lang w:val="en-GB"/>
    </w:rPr>
  </w:style>
  <w:style w:type="paragraph" w:styleId="Heading2">
    <w:name w:val="heading 2"/>
    <w:basedOn w:val="Normal"/>
    <w:next w:val="Normal"/>
    <w:link w:val="Heading2Char"/>
    <w:unhideWhenUsed/>
    <w:qFormat/>
    <w:rsid w:val="000B3543"/>
    <w:pPr>
      <w:keepNext/>
      <w:keepLines/>
      <w:spacing w:before="120"/>
      <w:outlineLvl w:val="1"/>
    </w:pPr>
    <w:rPr>
      <w:rFonts w:eastAsiaTheme="majorEastAsia" w:cstheme="majorBidi"/>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113A"/>
    <w:pPr>
      <w:jc w:val="center"/>
    </w:pPr>
    <w:rPr>
      <w:rFonts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87117D"/>
    <w:pPr>
      <w:spacing w:before="0" w:after="0"/>
    </w:pPr>
    <w:rPr>
      <w:rFonts w:ascii="Tahoma" w:hAnsi="Tahoma" w:cs="Tahoma"/>
      <w:sz w:val="16"/>
      <w:szCs w:val="16"/>
    </w:rPr>
  </w:style>
  <w:style w:type="character" w:customStyle="1" w:styleId="BalloonTextChar">
    <w:name w:val="Balloon Text Char"/>
    <w:basedOn w:val="DefaultParagraphFont"/>
    <w:link w:val="BalloonText"/>
    <w:rsid w:val="0087117D"/>
    <w:rPr>
      <w:rFonts w:ascii="Tahoma" w:hAnsi="Tahoma" w:cs="Tahoma"/>
      <w:sz w:val="16"/>
      <w:szCs w:val="16"/>
      <w:lang w:val="en-US" w:eastAsia="en-US"/>
    </w:rPr>
  </w:style>
  <w:style w:type="table" w:styleId="TableGrid">
    <w:name w:val="Table Grid"/>
    <w:basedOn w:val="TableNormal"/>
    <w:uiPriority w:val="59"/>
    <w:rsid w:val="00213A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0B3543"/>
    <w:rPr>
      <w:rFonts w:ascii="Arial" w:eastAsiaTheme="majorEastAsia" w:hAnsi="Arial" w:cstheme="majorBidi"/>
      <w:bCs/>
      <w:i/>
      <w:sz w:val="24"/>
      <w:szCs w:val="26"/>
      <w:u w:val="single"/>
      <w:lang w:val="en-US" w:eastAsia="en-US"/>
    </w:rPr>
  </w:style>
  <w:style w:type="character" w:customStyle="1" w:styleId="BodyTextChar">
    <w:name w:val="Body Text Char"/>
    <w:basedOn w:val="DefaultParagraphFont"/>
    <w:link w:val="BodyText"/>
    <w:rsid w:val="00A51501"/>
    <w:rPr>
      <w:rFonts w:ascii="Arial" w:hAnsi="Arial" w:cs="Arial"/>
      <w:b/>
      <w:sz w:val="24"/>
      <w:szCs w:val="24"/>
      <w:lang w:val="en-US" w:eastAsia="en-US"/>
    </w:rPr>
  </w:style>
  <w:style w:type="character" w:styleId="CommentReference">
    <w:name w:val="annotation reference"/>
    <w:basedOn w:val="DefaultParagraphFont"/>
    <w:rsid w:val="00F36D7C"/>
    <w:rPr>
      <w:sz w:val="16"/>
      <w:szCs w:val="16"/>
    </w:rPr>
  </w:style>
  <w:style w:type="paragraph" w:styleId="CommentText">
    <w:name w:val="annotation text"/>
    <w:basedOn w:val="Normal"/>
    <w:link w:val="CommentTextChar"/>
    <w:rsid w:val="00F36D7C"/>
    <w:rPr>
      <w:sz w:val="20"/>
      <w:szCs w:val="20"/>
    </w:rPr>
  </w:style>
  <w:style w:type="character" w:customStyle="1" w:styleId="CommentTextChar">
    <w:name w:val="Comment Text Char"/>
    <w:basedOn w:val="DefaultParagraphFont"/>
    <w:link w:val="CommentText"/>
    <w:rsid w:val="00F36D7C"/>
    <w:rPr>
      <w:rFonts w:ascii="Arial" w:hAnsi="Arial"/>
      <w:lang w:val="en-US" w:eastAsia="en-US"/>
    </w:rPr>
  </w:style>
  <w:style w:type="paragraph" w:styleId="CommentSubject">
    <w:name w:val="annotation subject"/>
    <w:basedOn w:val="CommentText"/>
    <w:next w:val="CommentText"/>
    <w:link w:val="CommentSubjectChar"/>
    <w:rsid w:val="00F36D7C"/>
    <w:rPr>
      <w:b/>
      <w:bCs/>
    </w:rPr>
  </w:style>
  <w:style w:type="character" w:customStyle="1" w:styleId="CommentSubjectChar">
    <w:name w:val="Comment Subject Char"/>
    <w:basedOn w:val="CommentTextChar"/>
    <w:link w:val="CommentSubject"/>
    <w:rsid w:val="00F36D7C"/>
    <w:rPr>
      <w:rFonts w:ascii="Arial" w:hAnsi="Arial"/>
      <w:b/>
      <w:bCs/>
      <w:lang w:val="en-US" w:eastAsia="en-US"/>
    </w:rPr>
  </w:style>
  <w:style w:type="paragraph" w:customStyle="1" w:styleId="Default">
    <w:name w:val="Default"/>
    <w:rsid w:val="004028CD"/>
    <w:pPr>
      <w:autoSpaceDE w:val="0"/>
      <w:autoSpaceDN w:val="0"/>
      <w:adjustRightInd w:val="0"/>
    </w:pPr>
    <w:rPr>
      <w:rFonts w:ascii="Arial" w:hAnsi="Arial" w:cs="Arial"/>
      <w:color w:val="000000"/>
      <w:sz w:val="24"/>
      <w:szCs w:val="24"/>
    </w:rPr>
  </w:style>
  <w:style w:type="character" w:styleId="Hyperlink">
    <w:name w:val="Hyperlink"/>
    <w:basedOn w:val="DefaultParagraphFont"/>
    <w:rsid w:val="004E5249"/>
    <w:rPr>
      <w:color w:val="0000FF" w:themeColor="hyperlink"/>
      <w:u w:val="single"/>
    </w:rPr>
  </w:style>
  <w:style w:type="paragraph" w:styleId="FootnoteText">
    <w:name w:val="footnote text"/>
    <w:basedOn w:val="Normal"/>
    <w:link w:val="FootnoteTextChar"/>
    <w:rsid w:val="007B2344"/>
    <w:pPr>
      <w:spacing w:before="0" w:after="0"/>
    </w:pPr>
    <w:rPr>
      <w:sz w:val="20"/>
      <w:szCs w:val="20"/>
    </w:rPr>
  </w:style>
  <w:style w:type="character" w:customStyle="1" w:styleId="FootnoteTextChar">
    <w:name w:val="Footnote Text Char"/>
    <w:basedOn w:val="DefaultParagraphFont"/>
    <w:link w:val="FootnoteText"/>
    <w:rsid w:val="007B2344"/>
    <w:rPr>
      <w:rFonts w:ascii="Arial" w:hAnsi="Arial"/>
      <w:lang w:val="en-US" w:eastAsia="en-US"/>
    </w:rPr>
  </w:style>
  <w:style w:type="character" w:styleId="FootnoteReference">
    <w:name w:val="footnote reference"/>
    <w:basedOn w:val="DefaultParagraphFont"/>
    <w:rsid w:val="007B2344"/>
    <w:rPr>
      <w:vertAlign w:val="superscript"/>
    </w:rPr>
  </w:style>
</w:styles>
</file>

<file path=word/webSettings.xml><?xml version="1.0" encoding="utf-8"?>
<w:webSettings xmlns:r="http://schemas.openxmlformats.org/officeDocument/2006/relationships" xmlns:w="http://schemas.openxmlformats.org/wordprocessingml/2006/main">
  <w:divs>
    <w:div w:id="12462395">
      <w:bodyDiv w:val="1"/>
      <w:marLeft w:val="0"/>
      <w:marRight w:val="0"/>
      <w:marTop w:val="0"/>
      <w:marBottom w:val="0"/>
      <w:divBdr>
        <w:top w:val="none" w:sz="0" w:space="0" w:color="auto"/>
        <w:left w:val="none" w:sz="0" w:space="0" w:color="auto"/>
        <w:bottom w:val="none" w:sz="0" w:space="0" w:color="auto"/>
        <w:right w:val="none" w:sz="0" w:space="0" w:color="auto"/>
      </w:divBdr>
    </w:div>
    <w:div w:id="49501518">
      <w:bodyDiv w:val="1"/>
      <w:marLeft w:val="0"/>
      <w:marRight w:val="0"/>
      <w:marTop w:val="0"/>
      <w:marBottom w:val="0"/>
      <w:divBdr>
        <w:top w:val="none" w:sz="0" w:space="0" w:color="auto"/>
        <w:left w:val="none" w:sz="0" w:space="0" w:color="auto"/>
        <w:bottom w:val="none" w:sz="0" w:space="0" w:color="auto"/>
        <w:right w:val="none" w:sz="0" w:space="0" w:color="auto"/>
      </w:divBdr>
    </w:div>
    <w:div w:id="119569146">
      <w:bodyDiv w:val="1"/>
      <w:marLeft w:val="0"/>
      <w:marRight w:val="0"/>
      <w:marTop w:val="0"/>
      <w:marBottom w:val="0"/>
      <w:divBdr>
        <w:top w:val="none" w:sz="0" w:space="0" w:color="auto"/>
        <w:left w:val="none" w:sz="0" w:space="0" w:color="auto"/>
        <w:bottom w:val="none" w:sz="0" w:space="0" w:color="auto"/>
        <w:right w:val="none" w:sz="0" w:space="0" w:color="auto"/>
      </w:divBdr>
    </w:div>
    <w:div w:id="166017877">
      <w:bodyDiv w:val="1"/>
      <w:marLeft w:val="0"/>
      <w:marRight w:val="0"/>
      <w:marTop w:val="0"/>
      <w:marBottom w:val="0"/>
      <w:divBdr>
        <w:top w:val="none" w:sz="0" w:space="0" w:color="auto"/>
        <w:left w:val="none" w:sz="0" w:space="0" w:color="auto"/>
        <w:bottom w:val="none" w:sz="0" w:space="0" w:color="auto"/>
        <w:right w:val="none" w:sz="0" w:space="0" w:color="auto"/>
      </w:divBdr>
    </w:div>
    <w:div w:id="363948347">
      <w:bodyDiv w:val="1"/>
      <w:marLeft w:val="0"/>
      <w:marRight w:val="0"/>
      <w:marTop w:val="0"/>
      <w:marBottom w:val="0"/>
      <w:divBdr>
        <w:top w:val="none" w:sz="0" w:space="0" w:color="auto"/>
        <w:left w:val="none" w:sz="0" w:space="0" w:color="auto"/>
        <w:bottom w:val="none" w:sz="0" w:space="0" w:color="auto"/>
        <w:right w:val="none" w:sz="0" w:space="0" w:color="auto"/>
      </w:divBdr>
    </w:div>
    <w:div w:id="404105945">
      <w:bodyDiv w:val="1"/>
      <w:marLeft w:val="0"/>
      <w:marRight w:val="0"/>
      <w:marTop w:val="0"/>
      <w:marBottom w:val="0"/>
      <w:divBdr>
        <w:top w:val="none" w:sz="0" w:space="0" w:color="auto"/>
        <w:left w:val="none" w:sz="0" w:space="0" w:color="auto"/>
        <w:bottom w:val="none" w:sz="0" w:space="0" w:color="auto"/>
        <w:right w:val="none" w:sz="0" w:space="0" w:color="auto"/>
      </w:divBdr>
    </w:div>
    <w:div w:id="603347840">
      <w:bodyDiv w:val="1"/>
      <w:marLeft w:val="0"/>
      <w:marRight w:val="0"/>
      <w:marTop w:val="0"/>
      <w:marBottom w:val="0"/>
      <w:divBdr>
        <w:top w:val="none" w:sz="0" w:space="0" w:color="auto"/>
        <w:left w:val="none" w:sz="0" w:space="0" w:color="auto"/>
        <w:bottom w:val="none" w:sz="0" w:space="0" w:color="auto"/>
        <w:right w:val="none" w:sz="0" w:space="0" w:color="auto"/>
      </w:divBdr>
    </w:div>
    <w:div w:id="669215357">
      <w:bodyDiv w:val="1"/>
      <w:marLeft w:val="0"/>
      <w:marRight w:val="0"/>
      <w:marTop w:val="0"/>
      <w:marBottom w:val="0"/>
      <w:divBdr>
        <w:top w:val="none" w:sz="0" w:space="0" w:color="auto"/>
        <w:left w:val="none" w:sz="0" w:space="0" w:color="auto"/>
        <w:bottom w:val="none" w:sz="0" w:space="0" w:color="auto"/>
        <w:right w:val="none" w:sz="0" w:space="0" w:color="auto"/>
      </w:divBdr>
    </w:div>
    <w:div w:id="856507881">
      <w:bodyDiv w:val="1"/>
      <w:marLeft w:val="0"/>
      <w:marRight w:val="0"/>
      <w:marTop w:val="0"/>
      <w:marBottom w:val="0"/>
      <w:divBdr>
        <w:top w:val="none" w:sz="0" w:space="0" w:color="auto"/>
        <w:left w:val="none" w:sz="0" w:space="0" w:color="auto"/>
        <w:bottom w:val="none" w:sz="0" w:space="0" w:color="auto"/>
        <w:right w:val="none" w:sz="0" w:space="0" w:color="auto"/>
      </w:divBdr>
    </w:div>
    <w:div w:id="1094013595">
      <w:bodyDiv w:val="1"/>
      <w:marLeft w:val="0"/>
      <w:marRight w:val="0"/>
      <w:marTop w:val="0"/>
      <w:marBottom w:val="0"/>
      <w:divBdr>
        <w:top w:val="none" w:sz="0" w:space="0" w:color="auto"/>
        <w:left w:val="none" w:sz="0" w:space="0" w:color="auto"/>
        <w:bottom w:val="none" w:sz="0" w:space="0" w:color="auto"/>
        <w:right w:val="none" w:sz="0" w:space="0" w:color="auto"/>
      </w:divBdr>
      <w:divsChild>
        <w:div w:id="610551478">
          <w:marLeft w:val="167"/>
          <w:marRight w:val="167"/>
          <w:marTop w:val="0"/>
          <w:marBottom w:val="0"/>
          <w:divBdr>
            <w:top w:val="none" w:sz="0" w:space="0" w:color="auto"/>
            <w:left w:val="none" w:sz="0" w:space="0" w:color="auto"/>
            <w:bottom w:val="none" w:sz="0" w:space="0" w:color="auto"/>
            <w:right w:val="none" w:sz="0" w:space="0" w:color="auto"/>
          </w:divBdr>
          <w:divsChild>
            <w:div w:id="46538295">
              <w:marLeft w:val="0"/>
              <w:marRight w:val="0"/>
              <w:marTop w:val="0"/>
              <w:marBottom w:val="0"/>
              <w:divBdr>
                <w:top w:val="none" w:sz="0" w:space="0" w:color="auto"/>
                <w:left w:val="none" w:sz="0" w:space="0" w:color="auto"/>
                <w:bottom w:val="none" w:sz="0" w:space="0" w:color="auto"/>
                <w:right w:val="none" w:sz="0" w:space="0" w:color="auto"/>
              </w:divBdr>
              <w:divsChild>
                <w:div w:id="9016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40266">
      <w:bodyDiv w:val="1"/>
      <w:marLeft w:val="0"/>
      <w:marRight w:val="0"/>
      <w:marTop w:val="0"/>
      <w:marBottom w:val="0"/>
      <w:divBdr>
        <w:top w:val="none" w:sz="0" w:space="0" w:color="auto"/>
        <w:left w:val="none" w:sz="0" w:space="0" w:color="auto"/>
        <w:bottom w:val="none" w:sz="0" w:space="0" w:color="auto"/>
        <w:right w:val="none" w:sz="0" w:space="0" w:color="auto"/>
      </w:divBdr>
    </w:div>
    <w:div w:id="1169713938">
      <w:bodyDiv w:val="1"/>
      <w:marLeft w:val="0"/>
      <w:marRight w:val="0"/>
      <w:marTop w:val="0"/>
      <w:marBottom w:val="0"/>
      <w:divBdr>
        <w:top w:val="none" w:sz="0" w:space="0" w:color="auto"/>
        <w:left w:val="none" w:sz="0" w:space="0" w:color="auto"/>
        <w:bottom w:val="none" w:sz="0" w:space="0" w:color="auto"/>
        <w:right w:val="none" w:sz="0" w:space="0" w:color="auto"/>
      </w:divBdr>
      <w:divsChild>
        <w:div w:id="1299725938">
          <w:marLeft w:val="547"/>
          <w:marRight w:val="0"/>
          <w:marTop w:val="134"/>
          <w:marBottom w:val="0"/>
          <w:divBdr>
            <w:top w:val="none" w:sz="0" w:space="0" w:color="auto"/>
            <w:left w:val="none" w:sz="0" w:space="0" w:color="auto"/>
            <w:bottom w:val="none" w:sz="0" w:space="0" w:color="auto"/>
            <w:right w:val="none" w:sz="0" w:space="0" w:color="auto"/>
          </w:divBdr>
        </w:div>
      </w:divsChild>
    </w:div>
    <w:div w:id="1252203459">
      <w:bodyDiv w:val="1"/>
      <w:marLeft w:val="0"/>
      <w:marRight w:val="0"/>
      <w:marTop w:val="0"/>
      <w:marBottom w:val="0"/>
      <w:divBdr>
        <w:top w:val="none" w:sz="0" w:space="0" w:color="auto"/>
        <w:left w:val="none" w:sz="0" w:space="0" w:color="auto"/>
        <w:bottom w:val="none" w:sz="0" w:space="0" w:color="auto"/>
        <w:right w:val="none" w:sz="0" w:space="0" w:color="auto"/>
      </w:divBdr>
    </w:div>
    <w:div w:id="1509756418">
      <w:bodyDiv w:val="1"/>
      <w:marLeft w:val="0"/>
      <w:marRight w:val="0"/>
      <w:marTop w:val="0"/>
      <w:marBottom w:val="0"/>
      <w:divBdr>
        <w:top w:val="none" w:sz="0" w:space="0" w:color="auto"/>
        <w:left w:val="none" w:sz="0" w:space="0" w:color="auto"/>
        <w:bottom w:val="none" w:sz="0" w:space="0" w:color="auto"/>
        <w:right w:val="none" w:sz="0" w:space="0" w:color="auto"/>
      </w:divBdr>
    </w:div>
    <w:div w:id="1865509672">
      <w:bodyDiv w:val="1"/>
      <w:marLeft w:val="0"/>
      <w:marRight w:val="0"/>
      <w:marTop w:val="0"/>
      <w:marBottom w:val="0"/>
      <w:divBdr>
        <w:top w:val="none" w:sz="0" w:space="0" w:color="auto"/>
        <w:left w:val="none" w:sz="0" w:space="0" w:color="auto"/>
        <w:bottom w:val="none" w:sz="0" w:space="0" w:color="auto"/>
        <w:right w:val="none" w:sz="0" w:space="0" w:color="auto"/>
      </w:divBdr>
    </w:div>
    <w:div w:id="1923054976">
      <w:bodyDiv w:val="1"/>
      <w:marLeft w:val="0"/>
      <w:marRight w:val="0"/>
      <w:marTop w:val="0"/>
      <w:marBottom w:val="0"/>
      <w:divBdr>
        <w:top w:val="none" w:sz="0" w:space="0" w:color="auto"/>
        <w:left w:val="none" w:sz="0" w:space="0" w:color="auto"/>
        <w:bottom w:val="none" w:sz="0" w:space="0" w:color="auto"/>
        <w:right w:val="none" w:sz="0" w:space="0" w:color="auto"/>
      </w:divBdr>
    </w:div>
    <w:div w:id="1928541091">
      <w:bodyDiv w:val="1"/>
      <w:marLeft w:val="0"/>
      <w:marRight w:val="0"/>
      <w:marTop w:val="0"/>
      <w:marBottom w:val="0"/>
      <w:divBdr>
        <w:top w:val="none" w:sz="0" w:space="0" w:color="auto"/>
        <w:left w:val="none" w:sz="0" w:space="0" w:color="auto"/>
        <w:bottom w:val="none" w:sz="0" w:space="0" w:color="auto"/>
        <w:right w:val="none" w:sz="0" w:space="0" w:color="auto"/>
      </w:divBdr>
    </w:div>
    <w:div w:id="1990329747">
      <w:bodyDiv w:val="1"/>
      <w:marLeft w:val="0"/>
      <w:marRight w:val="0"/>
      <w:marTop w:val="0"/>
      <w:marBottom w:val="0"/>
      <w:divBdr>
        <w:top w:val="none" w:sz="0" w:space="0" w:color="auto"/>
        <w:left w:val="none" w:sz="0" w:space="0" w:color="auto"/>
        <w:bottom w:val="none" w:sz="0" w:space="0" w:color="auto"/>
        <w:right w:val="none" w:sz="0" w:space="0" w:color="auto"/>
      </w:divBdr>
    </w:div>
    <w:div w:id="2061440373">
      <w:bodyDiv w:val="1"/>
      <w:marLeft w:val="0"/>
      <w:marRight w:val="0"/>
      <w:marTop w:val="0"/>
      <w:marBottom w:val="0"/>
      <w:divBdr>
        <w:top w:val="none" w:sz="0" w:space="0" w:color="auto"/>
        <w:left w:val="none" w:sz="0" w:space="0" w:color="auto"/>
        <w:bottom w:val="none" w:sz="0" w:space="0" w:color="auto"/>
        <w:right w:val="none" w:sz="0" w:space="0" w:color="auto"/>
      </w:divBdr>
    </w:div>
    <w:div w:id="2062047357">
      <w:bodyDiv w:val="1"/>
      <w:marLeft w:val="0"/>
      <w:marRight w:val="0"/>
      <w:marTop w:val="0"/>
      <w:marBottom w:val="0"/>
      <w:divBdr>
        <w:top w:val="none" w:sz="0" w:space="0" w:color="auto"/>
        <w:left w:val="none" w:sz="0" w:space="0" w:color="auto"/>
        <w:bottom w:val="none" w:sz="0" w:space="0" w:color="auto"/>
        <w:right w:val="none" w:sz="0" w:space="0" w:color="auto"/>
      </w:divBdr>
    </w:div>
    <w:div w:id="210449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2FEBA-AF67-4770-B9CA-CA4F7C70E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4095</Words>
  <Characters>23045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27086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justinian.habner</cp:lastModifiedBy>
  <cp:revision>3</cp:revision>
  <cp:lastPrinted>2013-10-08T09:15:00Z</cp:lastPrinted>
  <dcterms:created xsi:type="dcterms:W3CDTF">2014-01-22T09:10:00Z</dcterms:created>
  <dcterms:modified xsi:type="dcterms:W3CDTF">2014-01-22T10:53:00Z</dcterms:modified>
</cp:coreProperties>
</file>