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7B6D77" w:rsidP="006931C3">
      <w:pPr>
        <w:ind w:right="-900"/>
        <w:rPr>
          <w:lang w:val="en-GB"/>
        </w:rPr>
      </w:pPr>
      <w:r>
        <w:rPr>
          <w:noProof/>
          <w:lang w:val="en-GB" w:eastAsia="en-GB"/>
        </w:rPr>
        <w:drawing>
          <wp:anchor distT="0" distB="0" distL="114300" distR="114300" simplePos="0" relativeHeight="251658752" behindDoc="0" locked="0" layoutInCell="1" allowOverlap="1">
            <wp:simplePos x="0" y="0"/>
            <wp:positionH relativeFrom="column">
              <wp:align>right</wp:align>
            </wp:positionH>
            <wp:positionV relativeFrom="paragraph">
              <wp:align>top</wp:align>
            </wp:positionV>
            <wp:extent cx="2552700" cy="504825"/>
            <wp:effectExtent l="19050" t="0" r="0"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2552700" cy="504825"/>
                    </a:xfrm>
                    <a:prstGeom prst="rect">
                      <a:avLst/>
                    </a:prstGeom>
                    <a:noFill/>
                    <a:ln w="9525">
                      <a:noFill/>
                      <a:miter lim="800000"/>
                      <a:headEnd/>
                      <a:tailEnd/>
                    </a:ln>
                  </pic:spPr>
                </pic:pic>
              </a:graphicData>
            </a:graphic>
          </wp:anchor>
        </w:drawing>
      </w:r>
      <w:r w:rsidR="006931C3">
        <w:rPr>
          <w:lang w:val="en-GB"/>
        </w:rPr>
        <w:br w:type="textWrapping" w:clear="all"/>
      </w:r>
    </w:p>
    <w:p w:rsidR="005D3499" w:rsidRDefault="005D3499"/>
    <w:p w:rsidR="005D3499" w:rsidRDefault="00765B8B">
      <w:pPr>
        <w:jc w:val="center"/>
        <w:rPr>
          <w:rFonts w:ascii="Frutiger" w:hAnsi="Frutiger"/>
        </w:rPr>
      </w:pPr>
      <w:r w:rsidRPr="00765B8B">
        <w:rPr>
          <w:noProof/>
          <w:sz w:val="20"/>
        </w:rPr>
        <w:pict>
          <v:rect id="_x0000_s1034" style="position:absolute;left:0;text-align:left;margin-left:324pt;margin-top:4.05pt;width:108pt;height:45pt;z-index:251657728">
            <v:textbox inset="0,0,0,0">
              <w:txbxContent>
                <w:p w:rsidR="006931C3" w:rsidRDefault="006931C3">
                  <w:pPr>
                    <w:pStyle w:val="Heading1"/>
                    <w:jc w:val="center"/>
                    <w:rPr>
                      <w:sz w:val="24"/>
                      <w:u w:val="none"/>
                    </w:rPr>
                  </w:pPr>
                  <w:r>
                    <w:rPr>
                      <w:sz w:val="24"/>
                      <w:u w:val="none"/>
                    </w:rPr>
                    <w:t>PAPER</w:t>
                  </w:r>
                </w:p>
                <w:p w:rsidR="006931C3" w:rsidRDefault="00292CC0">
                  <w:pPr>
                    <w:pStyle w:val="BodyText"/>
                    <w:rPr>
                      <w:sz w:val="22"/>
                    </w:rPr>
                  </w:pPr>
                  <w:r>
                    <w:rPr>
                      <w:sz w:val="22"/>
                    </w:rPr>
                    <w:t>BOD 14/2014</w:t>
                  </w:r>
                </w:p>
                <w:p w:rsidR="006931C3" w:rsidRPr="00292CC0" w:rsidRDefault="00292CC0">
                  <w:pPr>
                    <w:jc w:val="center"/>
                    <w:rPr>
                      <w:rFonts w:ascii="Arial" w:hAnsi="Arial" w:cs="Arial"/>
                      <w:sz w:val="20"/>
                      <w:szCs w:val="20"/>
                    </w:rPr>
                  </w:pPr>
                  <w:r>
                    <w:rPr>
                      <w:rFonts w:ascii="Arial" w:hAnsi="Arial" w:cs="Arial"/>
                      <w:sz w:val="20"/>
                      <w:szCs w:val="20"/>
                    </w:rPr>
                    <w:t>(Agenda Item: 16)</w:t>
                  </w:r>
                </w:p>
              </w:txbxContent>
            </v:textbox>
          </v:rect>
        </w:pic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6931C3">
      <w:pPr>
        <w:jc w:val="center"/>
        <w:rPr>
          <w:rFonts w:ascii="Arial" w:hAnsi="Arial" w:cs="Arial"/>
          <w:b/>
        </w:rPr>
      </w:pPr>
      <w:r>
        <w:rPr>
          <w:rFonts w:ascii="Arial" w:hAnsi="Arial" w:cs="Arial"/>
          <w:b/>
        </w:rPr>
        <w:t>29 January</w:t>
      </w:r>
      <w:r w:rsidR="004326BB">
        <w:rPr>
          <w:rFonts w:ascii="Arial" w:hAnsi="Arial" w:cs="Arial"/>
          <w:b/>
        </w:rPr>
        <w:t xml:space="preserve"> 20</w:t>
      </w:r>
      <w:r w:rsidR="00D07064">
        <w:rPr>
          <w:rFonts w:ascii="Arial" w:hAnsi="Arial" w:cs="Arial"/>
          <w:b/>
        </w:rPr>
        <w:t>1</w:t>
      </w:r>
      <w:r w:rsidR="007B6D77">
        <w:rPr>
          <w:rFonts w:ascii="Arial" w:hAnsi="Arial" w:cs="Arial"/>
          <w:b/>
        </w:rPr>
        <w:t>4</w:t>
      </w:r>
    </w:p>
    <w:p w:rsidR="005D3499" w:rsidRDefault="005D3499">
      <w:pPr>
        <w:jc w:val="center"/>
        <w:rPr>
          <w:rFonts w:ascii="Arial" w:hAnsi="Arial" w:cs="Arial"/>
          <w:b/>
        </w:rPr>
      </w:pPr>
    </w:p>
    <w:p w:rsidR="005D3499" w:rsidRDefault="006931C3">
      <w:pPr>
        <w:jc w:val="center"/>
        <w:rPr>
          <w:rFonts w:ascii="Arial" w:hAnsi="Arial" w:cs="Arial"/>
          <w:b/>
        </w:rPr>
      </w:pPr>
      <w:r>
        <w:rPr>
          <w:rFonts w:ascii="Arial" w:hAnsi="Arial" w:cs="Arial"/>
          <w:b/>
        </w:rPr>
        <w:t>Board of Directors Scheme of Reservation and Delegation</w:t>
      </w:r>
    </w:p>
    <w:p w:rsidR="005D3499" w:rsidRDefault="005D3499">
      <w:pPr>
        <w:rPr>
          <w:rFonts w:ascii="Arial" w:hAnsi="Arial" w:cs="Arial"/>
          <w:b/>
        </w:rPr>
      </w:pPr>
    </w:p>
    <w:p w:rsidR="005D3499" w:rsidRDefault="005D3499">
      <w:pPr>
        <w:rPr>
          <w:rFonts w:ascii="Arial" w:hAnsi="Arial" w:cs="Arial"/>
          <w:b/>
        </w:rPr>
      </w:pPr>
    </w:p>
    <w:p w:rsidR="00292613" w:rsidRPr="00292613" w:rsidRDefault="00292613" w:rsidP="00292613">
      <w:pPr>
        <w:rPr>
          <w:rFonts w:ascii="Arial" w:hAnsi="Arial" w:cs="Arial"/>
          <w:b/>
          <w:u w:val="single"/>
        </w:rPr>
      </w:pPr>
      <w:r w:rsidRPr="00292613">
        <w:rPr>
          <w:rFonts w:ascii="Arial" w:hAnsi="Arial" w:cs="Arial"/>
          <w:b/>
          <w:u w:val="single"/>
        </w:rPr>
        <w:t>For</w:t>
      </w:r>
      <w:r>
        <w:rPr>
          <w:rFonts w:ascii="Arial" w:hAnsi="Arial" w:cs="Arial"/>
          <w:b/>
          <w:u w:val="single"/>
        </w:rPr>
        <w:t>:</w:t>
      </w:r>
      <w:r w:rsidRPr="00292613">
        <w:rPr>
          <w:rFonts w:ascii="Arial" w:hAnsi="Arial" w:cs="Arial"/>
          <w:b/>
          <w:u w:val="single"/>
        </w:rPr>
        <w:t xml:space="preserve"> Approval</w:t>
      </w:r>
      <w:r>
        <w:rPr>
          <w:rFonts w:ascii="Arial" w:hAnsi="Arial" w:cs="Arial"/>
        </w:rPr>
        <w:t xml:space="preserve"> </w:t>
      </w:r>
    </w:p>
    <w:p w:rsidR="00292613" w:rsidRDefault="00292613">
      <w:pPr>
        <w:rPr>
          <w:rFonts w:ascii="Arial" w:hAnsi="Arial" w:cs="Arial"/>
          <w:b/>
        </w:rPr>
      </w:pPr>
    </w:p>
    <w:p w:rsidR="006931C3" w:rsidRDefault="006931C3" w:rsidP="006931C3">
      <w:pPr>
        <w:jc w:val="both"/>
        <w:rPr>
          <w:rFonts w:ascii="Arial" w:hAnsi="Arial" w:cs="Arial"/>
          <w:b/>
        </w:rPr>
      </w:pPr>
      <w:r>
        <w:rPr>
          <w:rFonts w:ascii="Arial" w:hAnsi="Arial" w:cs="Arial"/>
          <w:b/>
        </w:rPr>
        <w:t>Executive Summary</w:t>
      </w:r>
    </w:p>
    <w:p w:rsidR="006931C3" w:rsidRDefault="006931C3" w:rsidP="006931C3">
      <w:pPr>
        <w:tabs>
          <w:tab w:val="left" w:pos="2127"/>
        </w:tabs>
        <w:jc w:val="both"/>
        <w:rPr>
          <w:rFonts w:ascii="Arial" w:hAnsi="Arial" w:cs="Arial"/>
        </w:rPr>
      </w:pPr>
    </w:p>
    <w:p w:rsidR="006931C3" w:rsidRDefault="006931C3" w:rsidP="006931C3">
      <w:pPr>
        <w:jc w:val="both"/>
        <w:rPr>
          <w:rFonts w:ascii="Arial" w:hAnsi="Arial" w:cs="Arial"/>
        </w:rPr>
      </w:pPr>
      <w:r>
        <w:rPr>
          <w:rFonts w:ascii="Arial" w:hAnsi="Arial" w:cs="Arial"/>
        </w:rPr>
        <w:t>The Trust’s Board of Directors Scheme of Reservation and Delegation must be reviewed on an annual basis.</w:t>
      </w:r>
    </w:p>
    <w:p w:rsidR="006931C3" w:rsidRDefault="006931C3" w:rsidP="006931C3">
      <w:pPr>
        <w:jc w:val="both"/>
        <w:rPr>
          <w:rFonts w:ascii="Arial" w:hAnsi="Arial" w:cs="Arial"/>
        </w:rPr>
      </w:pPr>
    </w:p>
    <w:p w:rsidR="006931C3" w:rsidRPr="00B414ED" w:rsidRDefault="006931C3" w:rsidP="006931C3">
      <w:pPr>
        <w:jc w:val="both"/>
        <w:rPr>
          <w:rFonts w:ascii="Arial" w:hAnsi="Arial" w:cs="Arial"/>
        </w:rPr>
      </w:pPr>
      <w:r>
        <w:rPr>
          <w:rFonts w:ascii="Arial" w:hAnsi="Arial" w:cs="Arial"/>
        </w:rPr>
        <w:t xml:space="preserve">A basic review has taken place to ensure that the Scheme continues to accurately reflect the Standing Financial Instructions and Standing Orders.  In addition, the review has taken account of changes, particularly to the regulatory regime, brought about by the Health and Social Care Act 2012; this includes the replacement of the Trust’s ‘Terms of </w:t>
      </w:r>
      <w:proofErr w:type="spellStart"/>
      <w:r>
        <w:rPr>
          <w:rFonts w:ascii="Arial" w:hAnsi="Arial" w:cs="Arial"/>
        </w:rPr>
        <w:t>Authorisation</w:t>
      </w:r>
      <w:proofErr w:type="spellEnd"/>
      <w:r>
        <w:rPr>
          <w:rFonts w:ascii="Arial" w:hAnsi="Arial" w:cs="Arial"/>
        </w:rPr>
        <w:t xml:space="preserve">’ with a ‘Licence’ and changes to the role of Monitor.  The consequences of Monitor’s new </w:t>
      </w:r>
      <w:r>
        <w:rPr>
          <w:rFonts w:ascii="Arial" w:hAnsi="Arial" w:cs="Arial"/>
          <w:i/>
        </w:rPr>
        <w:t>Risk Assessment Framework</w:t>
      </w:r>
      <w:r>
        <w:rPr>
          <w:rFonts w:ascii="Arial" w:hAnsi="Arial" w:cs="Arial"/>
        </w:rPr>
        <w:t xml:space="preserve"> (which replaced the </w:t>
      </w:r>
      <w:r>
        <w:rPr>
          <w:rFonts w:ascii="Arial" w:hAnsi="Arial" w:cs="Arial"/>
          <w:i/>
        </w:rPr>
        <w:t>Compliance Framework</w:t>
      </w:r>
      <w:r>
        <w:rPr>
          <w:rFonts w:ascii="Arial" w:hAnsi="Arial" w:cs="Arial"/>
        </w:rPr>
        <w:t>) was also considered as part of the review.</w:t>
      </w:r>
    </w:p>
    <w:p w:rsidR="006931C3" w:rsidRDefault="006931C3" w:rsidP="006931C3">
      <w:pPr>
        <w:jc w:val="both"/>
        <w:rPr>
          <w:rFonts w:ascii="Arial" w:hAnsi="Arial" w:cs="Arial"/>
        </w:rPr>
      </w:pPr>
    </w:p>
    <w:p w:rsidR="006931C3" w:rsidRDefault="006931C3" w:rsidP="006931C3">
      <w:pPr>
        <w:jc w:val="both"/>
        <w:rPr>
          <w:rFonts w:ascii="Arial" w:hAnsi="Arial" w:cs="Arial"/>
        </w:rPr>
      </w:pPr>
      <w:r>
        <w:rPr>
          <w:rFonts w:ascii="Arial" w:hAnsi="Arial" w:cs="Arial"/>
        </w:rPr>
        <w:t>Following the review, minor amendments are proposed and set out in the attached Scheme.</w:t>
      </w:r>
    </w:p>
    <w:p w:rsidR="006931C3" w:rsidRDefault="006931C3" w:rsidP="006931C3">
      <w:pPr>
        <w:jc w:val="both"/>
        <w:rPr>
          <w:rFonts w:ascii="Arial" w:hAnsi="Arial" w:cs="Arial"/>
        </w:rPr>
      </w:pPr>
    </w:p>
    <w:p w:rsidR="006931C3" w:rsidRDefault="006931C3" w:rsidP="006931C3">
      <w:pPr>
        <w:jc w:val="both"/>
        <w:rPr>
          <w:rFonts w:ascii="Arial" w:hAnsi="Arial" w:cs="Arial"/>
        </w:rPr>
      </w:pPr>
      <w:r>
        <w:rPr>
          <w:rFonts w:ascii="Arial" w:hAnsi="Arial" w:cs="Arial"/>
        </w:rPr>
        <w:t>The Audit Committee reviewed the proposed changes and set out additional amendments at its meeting on 5 December 2013 and recommended that the Board approve the revised changes.</w:t>
      </w:r>
    </w:p>
    <w:p w:rsidR="006931C3" w:rsidRDefault="006931C3" w:rsidP="006931C3">
      <w:pPr>
        <w:jc w:val="both"/>
        <w:rPr>
          <w:rFonts w:ascii="Arial" w:hAnsi="Arial" w:cs="Arial"/>
        </w:rPr>
      </w:pPr>
    </w:p>
    <w:p w:rsidR="006931C3" w:rsidRDefault="006931C3" w:rsidP="006931C3">
      <w:pPr>
        <w:jc w:val="both"/>
        <w:rPr>
          <w:rFonts w:ascii="Arial" w:hAnsi="Arial" w:cs="Arial"/>
        </w:rPr>
      </w:pPr>
      <w:r>
        <w:rPr>
          <w:rFonts w:ascii="Arial" w:hAnsi="Arial" w:cs="Arial"/>
        </w:rPr>
        <w:t xml:space="preserve">The Trust’s Integrated Governance Framework was reviewed during August – October 2013 and, as a consequence, the Framework is being redrafted with the intention that an updated Framework would be presented to Board in early 2014.  Alongside this, Monitor has reviewed and re-drafted its ‘Code of Governance’ for </w:t>
      </w:r>
      <w:r>
        <w:rPr>
          <w:rFonts w:ascii="Arial" w:hAnsi="Arial" w:cs="Arial"/>
        </w:rPr>
        <w:lastRenderedPageBreak/>
        <w:t>NHS FTs.  Accordingly, the Trust’s Scheme will need to take account of any changes and a consequence of these reviews, therefore a further comprehensive review and redraft of the Scheme is expected to take place during the first half of 2014.</w:t>
      </w:r>
    </w:p>
    <w:p w:rsidR="006931C3" w:rsidRPr="00DB0F42" w:rsidRDefault="006931C3" w:rsidP="006931C3">
      <w:pPr>
        <w:jc w:val="both"/>
        <w:rPr>
          <w:rFonts w:ascii="Arial" w:hAnsi="Arial" w:cs="Arial"/>
          <w:bCs/>
        </w:rPr>
      </w:pPr>
    </w:p>
    <w:p w:rsidR="006931C3" w:rsidRDefault="006931C3" w:rsidP="006931C3">
      <w:pPr>
        <w:jc w:val="both"/>
        <w:rPr>
          <w:rFonts w:ascii="Arial" w:hAnsi="Arial" w:cs="Arial"/>
          <w:b/>
        </w:rPr>
      </w:pPr>
      <w:r>
        <w:rPr>
          <w:rFonts w:ascii="Arial" w:hAnsi="Arial" w:cs="Arial"/>
          <w:b/>
        </w:rPr>
        <w:t>Recommendation</w:t>
      </w:r>
    </w:p>
    <w:p w:rsidR="006931C3" w:rsidRDefault="006931C3" w:rsidP="006931C3">
      <w:pPr>
        <w:jc w:val="both"/>
        <w:rPr>
          <w:rFonts w:ascii="Arial" w:hAnsi="Arial" w:cs="Arial"/>
        </w:rPr>
      </w:pPr>
    </w:p>
    <w:p w:rsidR="006931C3" w:rsidRDefault="006931C3" w:rsidP="006931C3">
      <w:pPr>
        <w:jc w:val="both"/>
        <w:rPr>
          <w:rFonts w:ascii="Arial" w:hAnsi="Arial" w:cs="Arial"/>
        </w:rPr>
      </w:pPr>
      <w:r>
        <w:rPr>
          <w:rFonts w:ascii="Arial" w:hAnsi="Arial" w:cs="Arial"/>
        </w:rPr>
        <w:t xml:space="preserve">The Board is asked to approved the </w:t>
      </w:r>
      <w:r w:rsidR="009C09FF">
        <w:rPr>
          <w:rFonts w:ascii="Arial" w:hAnsi="Arial" w:cs="Arial"/>
        </w:rPr>
        <w:t>amendments and adopt the Scheme of Reservation and Delegation.</w:t>
      </w:r>
    </w:p>
    <w:p w:rsidR="006931C3" w:rsidRDefault="006931C3" w:rsidP="006931C3">
      <w:pPr>
        <w:jc w:val="both"/>
        <w:rPr>
          <w:rFonts w:ascii="Arial" w:hAnsi="Arial" w:cs="Arial"/>
        </w:rPr>
      </w:pPr>
    </w:p>
    <w:p w:rsidR="006931C3" w:rsidRDefault="006931C3" w:rsidP="006931C3">
      <w:pPr>
        <w:jc w:val="both"/>
        <w:rPr>
          <w:rFonts w:ascii="Arial" w:hAnsi="Arial" w:cs="Arial"/>
        </w:rPr>
      </w:pPr>
      <w:r>
        <w:rPr>
          <w:rFonts w:ascii="Arial" w:hAnsi="Arial" w:cs="Arial"/>
        </w:rPr>
        <w:t>The Board is asked to note the proposal to undertake a further review in 2014.</w:t>
      </w:r>
    </w:p>
    <w:p w:rsidR="005D3499" w:rsidRDefault="005D3499">
      <w:pPr>
        <w:jc w:val="both"/>
        <w:rPr>
          <w:rFonts w:ascii="Arial" w:hAnsi="Arial" w:cs="Arial"/>
          <w:b/>
        </w:rPr>
      </w:pPr>
    </w:p>
    <w:p w:rsidR="0073522A" w:rsidRDefault="002619EF" w:rsidP="0073522A">
      <w:pPr>
        <w:ind w:left="1440" w:hanging="1440"/>
        <w:jc w:val="both"/>
        <w:rPr>
          <w:rFonts w:ascii="Arial" w:hAnsi="Arial" w:cs="Arial"/>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9C09FF">
        <w:rPr>
          <w:rFonts w:ascii="Arial" w:hAnsi="Arial" w:cs="Arial"/>
        </w:rPr>
        <w:tab/>
        <w:t>Justinian Habner, Trust Secretary</w:t>
      </w:r>
    </w:p>
    <w:p w:rsidR="0073522A" w:rsidRDefault="0073522A" w:rsidP="0073522A">
      <w:pPr>
        <w:jc w:val="both"/>
        <w:rPr>
          <w:rFonts w:ascii="Arial" w:hAnsi="Arial" w:cs="Arial"/>
          <w:b/>
        </w:rPr>
      </w:pPr>
      <w:r>
        <w:rPr>
          <w:rFonts w:ascii="Arial" w:hAnsi="Arial" w:cs="Arial"/>
          <w:b/>
        </w:rPr>
        <w:t>Lead Executive Director:</w:t>
      </w:r>
      <w:r>
        <w:rPr>
          <w:rFonts w:ascii="Arial" w:hAnsi="Arial" w:cs="Arial"/>
          <w:b/>
        </w:rPr>
        <w:tab/>
      </w:r>
      <w:r w:rsidR="009C09FF">
        <w:rPr>
          <w:rFonts w:ascii="Arial" w:hAnsi="Arial" w:cs="Arial"/>
          <w:b/>
        </w:rPr>
        <w:t>Stuart Bell, Chief Executive</w:t>
      </w:r>
    </w:p>
    <w:p w:rsidR="0073522A" w:rsidRDefault="0073522A">
      <w:pPr>
        <w:jc w:val="both"/>
        <w:rPr>
          <w:rFonts w:ascii="Arial" w:hAnsi="Arial" w:cs="Arial"/>
          <w:b/>
        </w:rPr>
      </w:pPr>
    </w:p>
    <w:p w:rsidR="004F4BBA" w:rsidRDefault="004F4BBA" w:rsidP="004F4BBA">
      <w:pPr>
        <w:numPr>
          <w:ilvl w:val="0"/>
          <w:numId w:val="2"/>
        </w:num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no issues that need to be r</w:t>
      </w:r>
      <w:r w:rsidR="0073522A">
        <w:rPr>
          <w:rFonts w:ascii="Arial" w:hAnsi="Arial" w:cs="Arial"/>
          <w:i/>
          <w:sz w:val="20"/>
          <w:szCs w:val="20"/>
        </w:rPr>
        <w:t>eferred to the Trust Solicitors.</w:t>
      </w:r>
    </w:p>
    <w:p w:rsidR="00AA0C3F" w:rsidRDefault="00AA0C3F" w:rsidP="00AA0C3F">
      <w:pPr>
        <w:jc w:val="both"/>
        <w:rPr>
          <w:rFonts w:ascii="Arial" w:hAnsi="Arial" w:cs="Arial"/>
          <w:i/>
          <w:sz w:val="20"/>
          <w:szCs w:val="20"/>
        </w:rPr>
      </w:pPr>
    </w:p>
    <w:p w:rsidR="00AA0C3F" w:rsidRDefault="00781566" w:rsidP="004F4BBA">
      <w:pPr>
        <w:numPr>
          <w:ilvl w:val="0"/>
          <w:numId w:val="2"/>
        </w:numPr>
        <w:jc w:val="both"/>
        <w:rPr>
          <w:rFonts w:ascii="Arial" w:hAnsi="Arial" w:cs="Arial"/>
          <w:i/>
          <w:sz w:val="20"/>
          <w:szCs w:val="20"/>
        </w:rPr>
      </w:pPr>
      <w:r>
        <w:rPr>
          <w:rFonts w:ascii="Arial" w:hAnsi="Arial" w:cs="Arial"/>
          <w:i/>
          <w:sz w:val="20"/>
          <w:szCs w:val="20"/>
        </w:rPr>
        <w:t>This paper (including all appendices) has been assessed against the Freedom of Information Act and the following applies: [</w:t>
      </w:r>
      <w:r w:rsidRPr="00781566">
        <w:rPr>
          <w:rFonts w:ascii="Arial" w:hAnsi="Arial" w:cs="Arial"/>
          <w:i/>
          <w:sz w:val="20"/>
          <w:szCs w:val="20"/>
          <w:u w:val="single"/>
        </w:rPr>
        <w:t>delete as appropriate</w:t>
      </w:r>
      <w:r>
        <w:rPr>
          <w:rFonts w:ascii="Arial" w:hAnsi="Arial" w:cs="Arial"/>
          <w:i/>
          <w:sz w:val="20"/>
          <w:szCs w:val="20"/>
        </w:rPr>
        <w:t>]</w:t>
      </w:r>
    </w:p>
    <w:p w:rsidR="00781566" w:rsidRDefault="00781566" w:rsidP="00781566">
      <w:pPr>
        <w:numPr>
          <w:ilvl w:val="0"/>
          <w:numId w:val="3"/>
        </w:numPr>
        <w:jc w:val="both"/>
        <w:rPr>
          <w:rFonts w:ascii="Arial" w:hAnsi="Arial" w:cs="Arial"/>
          <w:i/>
          <w:sz w:val="20"/>
          <w:szCs w:val="20"/>
        </w:rPr>
      </w:pPr>
      <w:r>
        <w:rPr>
          <w:rFonts w:ascii="Arial" w:hAnsi="Arial" w:cs="Arial"/>
          <w:i/>
          <w:sz w:val="20"/>
          <w:szCs w:val="20"/>
        </w:rPr>
        <w:t>THIS PAPER MAY BE PUBLISHED UNDER FOI</w:t>
      </w:r>
    </w:p>
    <w:p w:rsidR="00AF0562" w:rsidRPr="0073522A" w:rsidRDefault="00AF0562" w:rsidP="00AF0562">
      <w:pPr>
        <w:ind w:left="720"/>
        <w:jc w:val="both"/>
        <w:rPr>
          <w:rFonts w:ascii="Arial" w:hAnsi="Arial" w:cs="Arial"/>
          <w:sz w:val="20"/>
          <w:szCs w:val="20"/>
        </w:rPr>
      </w:pPr>
    </w:p>
    <w:sectPr w:rsidR="00AF0562" w:rsidRPr="0073522A" w:rsidSect="00FE113A">
      <w:head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1C3" w:rsidRDefault="006931C3" w:rsidP="005B3E3C">
      <w:r>
        <w:separator/>
      </w:r>
    </w:p>
  </w:endnote>
  <w:endnote w:type="continuationSeparator" w:id="0">
    <w:p w:rsidR="006931C3" w:rsidRDefault="006931C3" w:rsidP="005B3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utiger">
    <w:altName w:val="Segoe UI"/>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1C3" w:rsidRDefault="006931C3" w:rsidP="005B3E3C">
      <w:r>
        <w:separator/>
      </w:r>
    </w:p>
  </w:footnote>
  <w:footnote w:type="continuationSeparator" w:id="0">
    <w:p w:rsidR="006931C3" w:rsidRDefault="006931C3" w:rsidP="005B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1C3" w:rsidRPr="005B3E3C" w:rsidRDefault="006931C3" w:rsidP="005B3E3C">
    <w:pPr>
      <w:pStyle w:val="Header"/>
      <w:jc w:val="center"/>
      <w:rPr>
        <w:rFonts w:ascii="Arial" w:hAnsi="Arial" w:cs="Arial"/>
      </w:rPr>
    </w:pPr>
    <w:r>
      <w:rPr>
        <w:rFonts w:ascii="Arial" w:hAnsi="Arial" w:cs="Arial"/>
        <w:b/>
        <w:i/>
      </w:rPr>
      <w:t>PUBLIC</w:t>
    </w:r>
    <w:r>
      <w:rPr>
        <w:rFonts w:ascii="Arial" w:hAnsi="Arial" w:cs="Arial"/>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hdrShapeDefaults>
    <o:shapedefaults v:ext="edit" spidmax="10241"/>
  </w:hdrShapeDefaults>
  <w:footnotePr>
    <w:footnote w:id="-1"/>
    <w:footnote w:id="0"/>
  </w:footnotePr>
  <w:endnotePr>
    <w:endnote w:id="-1"/>
    <w:endnote w:id="0"/>
  </w:endnotePr>
  <w:compat/>
  <w:rsids>
    <w:rsidRoot w:val="002A73E8"/>
    <w:rsid w:val="001F76ED"/>
    <w:rsid w:val="00227FCE"/>
    <w:rsid w:val="002619EF"/>
    <w:rsid w:val="002821F8"/>
    <w:rsid w:val="00292613"/>
    <w:rsid w:val="00292CC0"/>
    <w:rsid w:val="002A73E8"/>
    <w:rsid w:val="002C2F97"/>
    <w:rsid w:val="002E6FC6"/>
    <w:rsid w:val="003971F6"/>
    <w:rsid w:val="004326BB"/>
    <w:rsid w:val="004F4BBA"/>
    <w:rsid w:val="005233AA"/>
    <w:rsid w:val="00551B0F"/>
    <w:rsid w:val="005659FB"/>
    <w:rsid w:val="005B3E3C"/>
    <w:rsid w:val="005C3FC1"/>
    <w:rsid w:val="005D3499"/>
    <w:rsid w:val="005E2583"/>
    <w:rsid w:val="0061684E"/>
    <w:rsid w:val="006931C3"/>
    <w:rsid w:val="0073522A"/>
    <w:rsid w:val="00765B8B"/>
    <w:rsid w:val="007769CD"/>
    <w:rsid w:val="0078032B"/>
    <w:rsid w:val="00781566"/>
    <w:rsid w:val="007976E7"/>
    <w:rsid w:val="007B6D77"/>
    <w:rsid w:val="00802701"/>
    <w:rsid w:val="008038A2"/>
    <w:rsid w:val="00811FE8"/>
    <w:rsid w:val="0086436B"/>
    <w:rsid w:val="00894B97"/>
    <w:rsid w:val="008B3875"/>
    <w:rsid w:val="00946E6E"/>
    <w:rsid w:val="009C09FF"/>
    <w:rsid w:val="00A674FB"/>
    <w:rsid w:val="00A85311"/>
    <w:rsid w:val="00AA0C3F"/>
    <w:rsid w:val="00AC3814"/>
    <w:rsid w:val="00AF0562"/>
    <w:rsid w:val="00B26E1A"/>
    <w:rsid w:val="00B26F2C"/>
    <w:rsid w:val="00B50D5E"/>
    <w:rsid w:val="00BA3B3E"/>
    <w:rsid w:val="00BF5367"/>
    <w:rsid w:val="00C07817"/>
    <w:rsid w:val="00C11AA2"/>
    <w:rsid w:val="00D07064"/>
    <w:rsid w:val="00D279FC"/>
    <w:rsid w:val="00D55ADD"/>
    <w:rsid w:val="00D8544F"/>
    <w:rsid w:val="00DA0FA6"/>
    <w:rsid w:val="00DD33DF"/>
    <w:rsid w:val="00DE1293"/>
    <w:rsid w:val="00E827C5"/>
    <w:rsid w:val="00F24EB2"/>
    <w:rsid w:val="00F50A07"/>
    <w:rsid w:val="00F57119"/>
    <w:rsid w:val="00FE11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8B3875"/>
    <w:rPr>
      <w:rFonts w:ascii="Tahoma" w:hAnsi="Tahoma" w:cs="Tahoma"/>
      <w:sz w:val="16"/>
      <w:szCs w:val="16"/>
    </w:rPr>
  </w:style>
  <w:style w:type="character" w:customStyle="1" w:styleId="BalloonTextChar">
    <w:name w:val="Balloon Text Char"/>
    <w:basedOn w:val="DefaultParagraphFont"/>
    <w:link w:val="BalloonText"/>
    <w:rsid w:val="008B387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4</cp:revision>
  <cp:lastPrinted>2005-05-11T11:48:00Z</cp:lastPrinted>
  <dcterms:created xsi:type="dcterms:W3CDTF">2014-01-20T11:14:00Z</dcterms:created>
  <dcterms:modified xsi:type="dcterms:W3CDTF">2014-01-22T10:53:00Z</dcterms:modified>
</cp:coreProperties>
</file>