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499" w:rsidRPr="004A2E7B" w:rsidRDefault="005D3499" w:rsidP="00B91CAE">
      <w:pPr>
        <w:ind w:right="-900"/>
        <w:rPr>
          <w:rFonts w:ascii="Segoe UI" w:hAnsi="Segoe UI" w:cs="Segoe UI"/>
        </w:rPr>
      </w:pPr>
    </w:p>
    <w:p w:rsidR="005D3499" w:rsidRPr="004A2E7B" w:rsidRDefault="00E42690" w:rsidP="00B91CAE">
      <w:pPr>
        <w:jc w:val="right"/>
        <w:rPr>
          <w:rFonts w:ascii="Segoe UI" w:hAnsi="Segoe UI" w:cs="Segoe UI"/>
        </w:rPr>
      </w:pPr>
      <w:r>
        <w:rPr>
          <w:rFonts w:ascii="Segoe UI" w:hAnsi="Segoe UI" w:cs="Segoe UI"/>
          <w:noProof/>
          <w:lang w:eastAsia="en-GB"/>
        </w:rPr>
        <w:drawing>
          <wp:inline distT="0" distB="0" distL="0" distR="0">
            <wp:extent cx="2552700" cy="504825"/>
            <wp:effectExtent l="19050" t="0" r="0" b="0"/>
            <wp:docPr id="2" name="Picture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3499" w:rsidRPr="004A2E7B" w:rsidRDefault="005D3499">
      <w:pPr>
        <w:jc w:val="center"/>
        <w:rPr>
          <w:rFonts w:ascii="Segoe UI" w:hAnsi="Segoe UI" w:cs="Segoe UI"/>
        </w:rPr>
      </w:pPr>
    </w:p>
    <w:p w:rsidR="005D3499" w:rsidRPr="004A2E7B" w:rsidRDefault="005D3499">
      <w:pPr>
        <w:pStyle w:val="Heading1"/>
        <w:rPr>
          <w:rFonts w:ascii="Segoe UI" w:hAnsi="Segoe UI" w:cs="Segoe UI"/>
          <w:sz w:val="24"/>
        </w:rPr>
      </w:pPr>
    </w:p>
    <w:p w:rsidR="005D3499" w:rsidRPr="004A2E7B" w:rsidRDefault="00CC474D">
      <w:pPr>
        <w:pStyle w:val="Heading1"/>
        <w:rPr>
          <w:rFonts w:ascii="Segoe UI" w:hAnsi="Segoe UI" w:cs="Segoe UI"/>
          <w:sz w:val="24"/>
        </w:rPr>
      </w:pPr>
      <w:r>
        <w:rPr>
          <w:rFonts w:ascii="Segoe UI" w:hAnsi="Segoe UI" w:cs="Segoe UI"/>
          <w:noProof/>
          <w:sz w:val="24"/>
          <w:lang w:eastAsia="en-GB"/>
        </w:rPr>
        <w:pict>
          <v:rect id="_x0000_s1028" style="position:absolute;margin-left:342pt;margin-top:-16.5pt;width:99pt;height:37.5pt;z-index:251657728">
            <v:textbox inset="0,0,0,0">
              <w:txbxContent>
                <w:p w:rsidR="005A4B36" w:rsidRDefault="005A4B36" w:rsidP="00C72F64">
                  <w:pPr>
                    <w:pStyle w:val="BodyText"/>
                  </w:pPr>
                  <w:r w:rsidRPr="000504EC">
                    <w:t>BOD</w:t>
                  </w:r>
                  <w:r w:rsidR="00BF4B2E">
                    <w:t xml:space="preserve"> 20</w:t>
                  </w:r>
                  <w:r>
                    <w:t>/2014</w:t>
                  </w:r>
                </w:p>
                <w:p w:rsidR="005A4B36" w:rsidRPr="00B34D25" w:rsidRDefault="00BF4B2E" w:rsidP="00C72F64">
                  <w:pPr>
                    <w:pStyle w:val="BodyText"/>
                    <w:rPr>
                      <w:b w:val="0"/>
                      <w:sz w:val="22"/>
                      <w:szCs w:val="22"/>
                    </w:rPr>
                  </w:pPr>
                  <w:r>
                    <w:rPr>
                      <w:b w:val="0"/>
                      <w:sz w:val="22"/>
                      <w:szCs w:val="22"/>
                    </w:rPr>
                    <w:t>(Agenda Item: 4</w:t>
                  </w:r>
                  <w:r w:rsidR="005A4B36" w:rsidRPr="00B34D25">
                    <w:rPr>
                      <w:b w:val="0"/>
                      <w:sz w:val="22"/>
                      <w:szCs w:val="22"/>
                    </w:rPr>
                    <w:t xml:space="preserve">) </w:t>
                  </w:r>
                </w:p>
              </w:txbxContent>
            </v:textbox>
          </v:rect>
        </w:pict>
      </w:r>
    </w:p>
    <w:p w:rsidR="005D3499" w:rsidRPr="004A2E7B" w:rsidRDefault="005D3499">
      <w:pPr>
        <w:pStyle w:val="Heading1"/>
        <w:rPr>
          <w:rFonts w:ascii="Segoe UI" w:hAnsi="Segoe UI" w:cs="Segoe UI"/>
          <w:sz w:val="24"/>
        </w:rPr>
      </w:pPr>
    </w:p>
    <w:p w:rsidR="005D3499" w:rsidRPr="004A2E7B" w:rsidRDefault="005D3499">
      <w:pPr>
        <w:pStyle w:val="Heading1"/>
        <w:jc w:val="center"/>
        <w:rPr>
          <w:rFonts w:ascii="Segoe UI" w:hAnsi="Segoe UI" w:cs="Segoe UI"/>
          <w:sz w:val="28"/>
          <w:u w:val="none"/>
        </w:rPr>
      </w:pPr>
    </w:p>
    <w:p w:rsidR="004B30BC" w:rsidRPr="004A2E7B" w:rsidRDefault="004B30BC" w:rsidP="004B30BC">
      <w:pPr>
        <w:pStyle w:val="Heading1"/>
        <w:jc w:val="center"/>
        <w:rPr>
          <w:rFonts w:ascii="Segoe UI" w:hAnsi="Segoe UI" w:cs="Segoe UI"/>
          <w:sz w:val="28"/>
          <w:u w:val="none"/>
        </w:rPr>
      </w:pPr>
      <w:r w:rsidRPr="004A2E7B">
        <w:rPr>
          <w:rFonts w:ascii="Segoe UI" w:hAnsi="Segoe UI" w:cs="Segoe UI"/>
          <w:sz w:val="28"/>
          <w:u w:val="none"/>
        </w:rPr>
        <w:t xml:space="preserve">Report to the Meeting of the </w:t>
      </w:r>
    </w:p>
    <w:p w:rsidR="004B30BC" w:rsidRPr="004A2E7B" w:rsidRDefault="004B30BC" w:rsidP="004B30BC">
      <w:pPr>
        <w:pStyle w:val="Heading1"/>
        <w:jc w:val="center"/>
        <w:rPr>
          <w:rFonts w:ascii="Segoe UI" w:hAnsi="Segoe UI" w:cs="Segoe UI"/>
          <w:sz w:val="28"/>
          <w:u w:val="none"/>
        </w:rPr>
      </w:pPr>
      <w:r w:rsidRPr="004A2E7B">
        <w:rPr>
          <w:rFonts w:ascii="Segoe UI" w:hAnsi="Segoe UI" w:cs="Segoe UI"/>
          <w:sz w:val="28"/>
          <w:u w:val="none"/>
        </w:rPr>
        <w:t>Oxford Health NHS Foundation Trust</w:t>
      </w:r>
    </w:p>
    <w:p w:rsidR="004B30BC" w:rsidRPr="004A2E7B" w:rsidRDefault="004B30BC" w:rsidP="004B30BC">
      <w:pPr>
        <w:pStyle w:val="Heading1"/>
        <w:jc w:val="center"/>
        <w:rPr>
          <w:rFonts w:ascii="Segoe UI" w:hAnsi="Segoe UI" w:cs="Segoe UI"/>
          <w:sz w:val="28"/>
          <w:u w:val="none"/>
        </w:rPr>
      </w:pPr>
      <w:r w:rsidRPr="004A2E7B">
        <w:rPr>
          <w:rFonts w:ascii="Segoe UI" w:hAnsi="Segoe UI" w:cs="Segoe UI"/>
          <w:sz w:val="28"/>
          <w:u w:val="none"/>
        </w:rPr>
        <w:t xml:space="preserve">Board of Directors </w:t>
      </w:r>
    </w:p>
    <w:p w:rsidR="004B30BC" w:rsidRPr="004A2E7B" w:rsidRDefault="004B30BC" w:rsidP="004B30BC">
      <w:pPr>
        <w:jc w:val="right"/>
        <w:rPr>
          <w:rFonts w:ascii="Segoe UI" w:hAnsi="Segoe UI" w:cs="Segoe UI"/>
          <w:b/>
        </w:rPr>
      </w:pPr>
    </w:p>
    <w:p w:rsidR="004B30BC" w:rsidRPr="004A2E7B" w:rsidRDefault="00D42F35" w:rsidP="004B30BC">
      <w:pPr>
        <w:jc w:val="center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26 February</w:t>
      </w:r>
      <w:r w:rsidR="006A1279">
        <w:rPr>
          <w:rFonts w:ascii="Segoe UI" w:hAnsi="Segoe UI" w:cs="Segoe UI"/>
          <w:b/>
        </w:rPr>
        <w:t xml:space="preserve"> 2014</w:t>
      </w:r>
    </w:p>
    <w:p w:rsidR="004B30BC" w:rsidRPr="004A2E7B" w:rsidRDefault="004B30BC" w:rsidP="004B30BC">
      <w:pPr>
        <w:jc w:val="center"/>
        <w:rPr>
          <w:rFonts w:ascii="Segoe UI" w:hAnsi="Segoe UI" w:cs="Segoe UI"/>
          <w:b/>
        </w:rPr>
      </w:pPr>
    </w:p>
    <w:p w:rsidR="004B30BC" w:rsidRPr="004A2E7B" w:rsidRDefault="004B30BC" w:rsidP="004B30BC">
      <w:pPr>
        <w:jc w:val="center"/>
        <w:rPr>
          <w:rFonts w:ascii="Segoe UI" w:hAnsi="Segoe UI" w:cs="Segoe UI"/>
          <w:b/>
        </w:rPr>
      </w:pPr>
      <w:r w:rsidRPr="004A2E7B">
        <w:rPr>
          <w:rFonts w:ascii="Segoe UI" w:hAnsi="Segoe UI" w:cs="Segoe UI"/>
          <w:b/>
        </w:rPr>
        <w:t xml:space="preserve">Chief Executive’s Report </w:t>
      </w:r>
    </w:p>
    <w:p w:rsidR="004B30BC" w:rsidRPr="004A2E7B" w:rsidRDefault="004B30BC" w:rsidP="004B30BC">
      <w:pPr>
        <w:jc w:val="both"/>
        <w:rPr>
          <w:rFonts w:ascii="Segoe UI" w:hAnsi="Segoe UI" w:cs="Segoe UI"/>
          <w:bCs/>
          <w:color w:val="000000"/>
        </w:rPr>
      </w:pPr>
    </w:p>
    <w:p w:rsidR="004B30BC" w:rsidRPr="00D42F35" w:rsidRDefault="00D42F35" w:rsidP="00D42F35">
      <w:pPr>
        <w:rPr>
          <w:rFonts w:ascii="Segoe UI" w:hAnsi="Segoe UI" w:cs="Segoe UI"/>
          <w:b/>
          <w:u w:val="single"/>
        </w:rPr>
      </w:pPr>
      <w:r w:rsidRPr="00D42F35">
        <w:rPr>
          <w:rFonts w:ascii="Segoe UI" w:hAnsi="Segoe UI" w:cs="Segoe UI"/>
          <w:b/>
          <w:u w:val="single"/>
        </w:rPr>
        <w:t>For Information</w:t>
      </w:r>
    </w:p>
    <w:p w:rsidR="004B30BC" w:rsidRDefault="004B30BC" w:rsidP="004B30BC">
      <w:pPr>
        <w:jc w:val="both"/>
        <w:rPr>
          <w:rFonts w:ascii="Segoe UI" w:hAnsi="Segoe UI" w:cs="Segoe UI"/>
          <w:b/>
          <w:bCs/>
        </w:rPr>
      </w:pPr>
    </w:p>
    <w:p w:rsidR="004B30BC" w:rsidRPr="00A13D6A" w:rsidRDefault="004B30BC" w:rsidP="004B30BC">
      <w:pPr>
        <w:jc w:val="both"/>
        <w:rPr>
          <w:rFonts w:ascii="Segoe UI" w:hAnsi="Segoe UI" w:cs="Segoe UI"/>
          <w:b/>
          <w:bCs/>
          <w:i/>
        </w:rPr>
      </w:pPr>
      <w:r>
        <w:rPr>
          <w:rFonts w:ascii="Segoe UI" w:hAnsi="Segoe UI" w:cs="Segoe UI"/>
          <w:b/>
          <w:bCs/>
          <w:i/>
        </w:rPr>
        <w:t>National Issues</w:t>
      </w:r>
    </w:p>
    <w:p w:rsidR="004B30BC" w:rsidRDefault="004B30BC" w:rsidP="004B30BC">
      <w:pPr>
        <w:jc w:val="both"/>
        <w:rPr>
          <w:rFonts w:ascii="Segoe UI" w:hAnsi="Segoe UI" w:cs="Segoe UI"/>
          <w:b/>
          <w:bCs/>
        </w:rPr>
      </w:pPr>
    </w:p>
    <w:p w:rsidR="004D3442" w:rsidRPr="004A2E7B" w:rsidRDefault="004D3442" w:rsidP="004D3442">
      <w:pPr>
        <w:autoSpaceDE w:val="0"/>
        <w:autoSpaceDN w:val="0"/>
        <w:jc w:val="both"/>
        <w:rPr>
          <w:rFonts w:ascii="Segoe UI" w:hAnsi="Segoe UI" w:cs="Segoe UI"/>
          <w:bCs/>
        </w:rPr>
      </w:pPr>
      <w:r>
        <w:rPr>
          <w:rFonts w:ascii="Segoe UI" w:hAnsi="Segoe UI" w:cs="Segoe UI"/>
          <w:b/>
          <w:bCs/>
        </w:rPr>
        <w:t>1</w:t>
      </w:r>
      <w:r w:rsidRPr="004A2E7B">
        <w:rPr>
          <w:rFonts w:ascii="Segoe UI" w:hAnsi="Segoe UI" w:cs="Segoe UI"/>
          <w:b/>
          <w:bCs/>
        </w:rPr>
        <w:t xml:space="preserve">. </w:t>
      </w:r>
      <w:r w:rsidR="002B06F5">
        <w:rPr>
          <w:rFonts w:ascii="Segoe UI" w:hAnsi="Segoe UI" w:cs="Segoe UI"/>
          <w:b/>
        </w:rPr>
        <w:t>Significant Transactions – benchmarking against definitions in NHS F</w:t>
      </w:r>
      <w:r w:rsidR="00993DD5">
        <w:rPr>
          <w:rFonts w:ascii="Segoe UI" w:hAnsi="Segoe UI" w:cs="Segoe UI"/>
          <w:b/>
        </w:rPr>
        <w:t xml:space="preserve">oundation </w:t>
      </w:r>
      <w:r w:rsidR="002B06F5">
        <w:rPr>
          <w:rFonts w:ascii="Segoe UI" w:hAnsi="Segoe UI" w:cs="Segoe UI"/>
          <w:b/>
        </w:rPr>
        <w:t>T</w:t>
      </w:r>
      <w:r w:rsidR="00993DD5">
        <w:rPr>
          <w:rFonts w:ascii="Segoe UI" w:hAnsi="Segoe UI" w:cs="Segoe UI"/>
          <w:b/>
        </w:rPr>
        <w:t>rust (NHS FT)</w:t>
      </w:r>
      <w:r w:rsidR="002B06F5">
        <w:rPr>
          <w:rFonts w:ascii="Segoe UI" w:hAnsi="Segoe UI" w:cs="Segoe UI"/>
          <w:b/>
        </w:rPr>
        <w:t xml:space="preserve"> constitutions</w:t>
      </w:r>
    </w:p>
    <w:p w:rsidR="004D3442" w:rsidRDefault="004D3442" w:rsidP="004D3442">
      <w:pPr>
        <w:jc w:val="both"/>
        <w:rPr>
          <w:rFonts w:ascii="Segoe UI" w:hAnsi="Segoe UI" w:cs="Segoe UI"/>
          <w:u w:val="single"/>
        </w:rPr>
      </w:pPr>
    </w:p>
    <w:p w:rsidR="00F56133" w:rsidRDefault="00993DD5" w:rsidP="004B30BC">
      <w:p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The Foundation Trust Network has carried out a desk-top analysis of the constitutions of NHS FTs to identify whether they have chosen to define significant transactions in their constitutions.  The National Health Service Act 2006</w:t>
      </w:r>
      <w:r w:rsidR="00C128E8">
        <w:rPr>
          <w:rFonts w:ascii="Segoe UI" w:hAnsi="Segoe UI" w:cs="Segoe UI"/>
        </w:rPr>
        <w:t xml:space="preserve"> (</w:t>
      </w:r>
      <w:r w:rsidR="00C128E8" w:rsidRPr="00C128E8">
        <w:rPr>
          <w:rFonts w:ascii="Segoe UI" w:hAnsi="Segoe UI" w:cs="Segoe UI"/>
          <w:b/>
        </w:rPr>
        <w:t xml:space="preserve">the </w:t>
      </w:r>
      <w:r w:rsidR="00C128E8">
        <w:rPr>
          <w:rFonts w:ascii="Segoe UI" w:hAnsi="Segoe UI" w:cs="Segoe UI"/>
          <w:b/>
        </w:rPr>
        <w:t>2006 Act</w:t>
      </w:r>
      <w:r w:rsidR="00C128E8">
        <w:rPr>
          <w:rFonts w:ascii="Segoe UI" w:hAnsi="Segoe UI" w:cs="Segoe UI"/>
        </w:rPr>
        <w:t>)</w:t>
      </w:r>
      <w:r>
        <w:rPr>
          <w:rFonts w:ascii="Segoe UI" w:hAnsi="Segoe UI" w:cs="Segoe UI"/>
        </w:rPr>
        <w:t xml:space="preserve"> (paragraph 51A of Schedule 7) as amended by the Health and Social Care Act 2012</w:t>
      </w:r>
      <w:r w:rsidR="00C128E8">
        <w:rPr>
          <w:rFonts w:ascii="Segoe UI" w:hAnsi="Segoe UI" w:cs="Segoe UI"/>
        </w:rPr>
        <w:t xml:space="preserve"> (</w:t>
      </w:r>
      <w:r w:rsidR="00C128E8" w:rsidRPr="00C128E8">
        <w:rPr>
          <w:rFonts w:ascii="Segoe UI" w:hAnsi="Segoe UI" w:cs="Segoe UI"/>
          <w:b/>
        </w:rPr>
        <w:t xml:space="preserve">the </w:t>
      </w:r>
      <w:r w:rsidR="00C128E8">
        <w:rPr>
          <w:rFonts w:ascii="Segoe UI" w:hAnsi="Segoe UI" w:cs="Segoe UI"/>
          <w:b/>
        </w:rPr>
        <w:t>2012 Act</w:t>
      </w:r>
      <w:r w:rsidR="00C128E8">
        <w:rPr>
          <w:rFonts w:ascii="Segoe UI" w:hAnsi="Segoe UI" w:cs="Segoe UI"/>
        </w:rPr>
        <w:t>)</w:t>
      </w:r>
      <w:r>
        <w:rPr>
          <w:rFonts w:ascii="Segoe UI" w:hAnsi="Segoe UI" w:cs="Segoe UI"/>
        </w:rPr>
        <w:t xml:space="preserve"> allows NHS FTs discretion to develop their own definitions of significant transactions.  </w:t>
      </w:r>
    </w:p>
    <w:p w:rsidR="00D42F35" w:rsidRDefault="00D42F35" w:rsidP="004B30BC">
      <w:pPr>
        <w:jc w:val="both"/>
        <w:rPr>
          <w:rFonts w:ascii="Segoe UI" w:hAnsi="Segoe UI" w:cs="Segoe UI"/>
        </w:rPr>
      </w:pPr>
    </w:p>
    <w:p w:rsidR="00993DD5" w:rsidRDefault="00993DD5" w:rsidP="004B30BC">
      <w:p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The Foundation Trust Network has identified that, of the 147 NHS FTs authorised as at February 2014:</w:t>
      </w:r>
    </w:p>
    <w:p w:rsidR="002321A9" w:rsidRDefault="002321A9" w:rsidP="004B30BC">
      <w:pPr>
        <w:jc w:val="both"/>
        <w:rPr>
          <w:rFonts w:ascii="Segoe UI" w:hAnsi="Segoe UI" w:cs="Segoe UI"/>
        </w:rPr>
      </w:pPr>
    </w:p>
    <w:p w:rsidR="00993DD5" w:rsidRDefault="00993DD5" w:rsidP="002321A9">
      <w:pPr>
        <w:pStyle w:val="ListParagraph"/>
        <w:numPr>
          <w:ilvl w:val="0"/>
          <w:numId w:val="1"/>
        </w:num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57 NHS FTs or 39% have defined significant transactions in their constitutions; </w:t>
      </w:r>
      <w:r w:rsidR="008D14E5">
        <w:rPr>
          <w:rFonts w:ascii="Segoe UI" w:hAnsi="Segoe UI" w:cs="Segoe UI"/>
        </w:rPr>
        <w:t>and</w:t>
      </w:r>
    </w:p>
    <w:p w:rsidR="002321A9" w:rsidRDefault="002321A9" w:rsidP="002321A9">
      <w:pPr>
        <w:pStyle w:val="ListParagraph"/>
        <w:jc w:val="both"/>
        <w:rPr>
          <w:rFonts w:ascii="Segoe UI" w:hAnsi="Segoe UI" w:cs="Segoe UI"/>
        </w:rPr>
      </w:pPr>
    </w:p>
    <w:p w:rsidR="008D14E5" w:rsidRDefault="008D14E5" w:rsidP="002321A9">
      <w:pPr>
        <w:pStyle w:val="ListParagraph"/>
        <w:numPr>
          <w:ilvl w:val="0"/>
          <w:numId w:val="1"/>
        </w:num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90 NHS FTs or </w:t>
      </w:r>
      <w:r w:rsidR="00993DD5">
        <w:rPr>
          <w:rFonts w:ascii="Segoe UI" w:hAnsi="Segoe UI" w:cs="Segoe UI"/>
        </w:rPr>
        <w:t>61% have chosen not to define significant transactions and their constitutions have a</w:t>
      </w:r>
      <w:r w:rsidR="00AF0DAB">
        <w:rPr>
          <w:rFonts w:ascii="Segoe UI" w:hAnsi="Segoe UI" w:cs="Segoe UI"/>
        </w:rPr>
        <w:t xml:space="preserve"> statement to the effect that they contain</w:t>
      </w:r>
      <w:r w:rsidR="00993DD5">
        <w:rPr>
          <w:rFonts w:ascii="Segoe UI" w:hAnsi="Segoe UI" w:cs="Segoe UI"/>
        </w:rPr>
        <w:t xml:space="preserve"> no such definition. </w:t>
      </w:r>
      <w:r>
        <w:rPr>
          <w:rFonts w:ascii="Segoe UI" w:hAnsi="Segoe UI" w:cs="Segoe UI"/>
        </w:rPr>
        <w:t xml:space="preserve"> </w:t>
      </w:r>
    </w:p>
    <w:p w:rsidR="008D14E5" w:rsidRDefault="008D14E5" w:rsidP="008D14E5">
      <w:p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lastRenderedPageBreak/>
        <w:t xml:space="preserve">The Trust’s </w:t>
      </w:r>
      <w:r w:rsidR="00F02150">
        <w:rPr>
          <w:rFonts w:ascii="Segoe UI" w:hAnsi="Segoe UI" w:cs="Segoe UI"/>
        </w:rPr>
        <w:t>proposed revisions to its Constitution,</w:t>
      </w:r>
      <w:r>
        <w:rPr>
          <w:rFonts w:ascii="Segoe UI" w:hAnsi="Segoe UI" w:cs="Segoe UI"/>
        </w:rPr>
        <w:t xml:space="preserve"> as approved at the last Board meeting</w:t>
      </w:r>
      <w:r w:rsidR="00F02150">
        <w:rPr>
          <w:rFonts w:ascii="Segoe UI" w:hAnsi="Segoe UI" w:cs="Segoe UI"/>
        </w:rPr>
        <w:t xml:space="preserve"> and to be submitted to Council in March 2014 for final approval</w:t>
      </w:r>
      <w:r>
        <w:rPr>
          <w:rFonts w:ascii="Segoe UI" w:hAnsi="Segoe UI" w:cs="Segoe UI"/>
        </w:rPr>
        <w:t xml:space="preserve">, does not </w:t>
      </w:r>
      <w:r w:rsidR="00AF0DAB">
        <w:rPr>
          <w:rFonts w:ascii="Segoe UI" w:hAnsi="Segoe UI" w:cs="Segoe UI"/>
        </w:rPr>
        <w:t xml:space="preserve">define significant transactions, in common with 61% of NHS FTs.  </w:t>
      </w:r>
      <w:r>
        <w:rPr>
          <w:rFonts w:ascii="Segoe UI" w:hAnsi="Segoe UI" w:cs="Segoe UI"/>
        </w:rPr>
        <w:t xml:space="preserve"> </w:t>
      </w:r>
    </w:p>
    <w:p w:rsidR="008D14E5" w:rsidRDefault="008D14E5" w:rsidP="008D14E5">
      <w:pPr>
        <w:jc w:val="both"/>
        <w:rPr>
          <w:rFonts w:ascii="Segoe UI" w:hAnsi="Segoe UI" w:cs="Segoe UI"/>
        </w:rPr>
      </w:pPr>
    </w:p>
    <w:p w:rsidR="00AF0DAB" w:rsidRDefault="00AF0DAB" w:rsidP="00AF0DAB">
      <w:p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Of the 39% of NHS FTs which have defined significant transactions in their constitutions: </w:t>
      </w:r>
    </w:p>
    <w:p w:rsidR="002321A9" w:rsidRDefault="002321A9" w:rsidP="00AF0DAB">
      <w:pPr>
        <w:jc w:val="both"/>
        <w:rPr>
          <w:rFonts w:ascii="Segoe UI" w:hAnsi="Segoe UI" w:cs="Segoe UI"/>
        </w:rPr>
      </w:pPr>
    </w:p>
    <w:p w:rsidR="00AF0DAB" w:rsidRDefault="00AF0DAB" w:rsidP="002321A9">
      <w:pPr>
        <w:pStyle w:val="ListParagraph"/>
        <w:numPr>
          <w:ilvl w:val="0"/>
          <w:numId w:val="2"/>
        </w:numPr>
        <w:jc w:val="both"/>
        <w:rPr>
          <w:rFonts w:ascii="Segoe UI" w:hAnsi="Segoe UI" w:cs="Segoe UI"/>
        </w:rPr>
      </w:pPr>
      <w:r w:rsidRPr="00AF0DAB">
        <w:rPr>
          <w:rFonts w:ascii="Segoe UI" w:hAnsi="Segoe UI" w:cs="Segoe UI"/>
        </w:rPr>
        <w:t>the majority have done so in financial terms by staying with the old Monitor definition of 25% of income, fixed assets or gross capital; others have set the</w:t>
      </w:r>
      <w:r w:rsidR="00554EC8">
        <w:rPr>
          <w:rFonts w:ascii="Segoe UI" w:hAnsi="Segoe UI" w:cs="Segoe UI"/>
        </w:rPr>
        <w:t xml:space="preserve"> thresholds lower at 10% or 20%</w:t>
      </w:r>
      <w:r>
        <w:rPr>
          <w:rFonts w:ascii="Segoe UI" w:hAnsi="Segoe UI" w:cs="Segoe UI"/>
        </w:rPr>
        <w:t>;</w:t>
      </w:r>
    </w:p>
    <w:p w:rsidR="002321A9" w:rsidRDefault="002321A9" w:rsidP="002321A9">
      <w:pPr>
        <w:pStyle w:val="ListParagraph"/>
        <w:jc w:val="both"/>
        <w:rPr>
          <w:rFonts w:ascii="Segoe UI" w:hAnsi="Segoe UI" w:cs="Segoe UI"/>
        </w:rPr>
      </w:pPr>
    </w:p>
    <w:p w:rsidR="00AF0DAB" w:rsidRDefault="00AF0DAB" w:rsidP="002321A9">
      <w:pPr>
        <w:pStyle w:val="ListParagraph"/>
        <w:numPr>
          <w:ilvl w:val="0"/>
          <w:numId w:val="2"/>
        </w:numPr>
        <w:jc w:val="both"/>
        <w:rPr>
          <w:rFonts w:ascii="Segoe UI" w:hAnsi="Segoe UI" w:cs="Segoe UI"/>
        </w:rPr>
      </w:pPr>
      <w:proofErr w:type="gramStart"/>
      <w:r>
        <w:rPr>
          <w:rFonts w:ascii="Segoe UI" w:hAnsi="Segoe UI" w:cs="Segoe UI"/>
        </w:rPr>
        <w:t>a</w:t>
      </w:r>
      <w:proofErr w:type="gramEnd"/>
      <w:r>
        <w:rPr>
          <w:rFonts w:ascii="Segoe UI" w:hAnsi="Segoe UI" w:cs="Segoe UI"/>
        </w:rPr>
        <w:t xml:space="preserve"> few have taken a different approach by setting different definitions for non-health/non-UK transactions to those for UK health transactions.  Typically, these NHS FTs have chosen thresholds of 5% of gross assets, 12.5% of EBITDA (Earnings Before Interest, Taxation, Depreciation and Amortisation), 5% of income from assets or 5% of gross capital as the definition for non-health/non UK transactions with a higher threshold of 10% of gross assets, 25% of EBITDA and 10% of income from assets or of gross capital as the definition for UK healthcare transactions; and </w:t>
      </w:r>
    </w:p>
    <w:p w:rsidR="002321A9" w:rsidRPr="002321A9" w:rsidRDefault="002321A9" w:rsidP="002321A9">
      <w:pPr>
        <w:jc w:val="both"/>
        <w:rPr>
          <w:rFonts w:ascii="Segoe UI" w:hAnsi="Segoe UI" w:cs="Segoe UI"/>
        </w:rPr>
      </w:pPr>
    </w:p>
    <w:p w:rsidR="00AF0DAB" w:rsidRDefault="00AF0DAB" w:rsidP="002321A9">
      <w:pPr>
        <w:pStyle w:val="ListParagraph"/>
        <w:numPr>
          <w:ilvl w:val="0"/>
          <w:numId w:val="2"/>
        </w:num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two NHS FTs have looked to define significant transactions in terms other than financial, taking account of factors such as:</w:t>
      </w:r>
    </w:p>
    <w:p w:rsidR="00AF0DAB" w:rsidRDefault="00AF0DAB" w:rsidP="002321A9">
      <w:pPr>
        <w:pStyle w:val="ListParagraph"/>
        <w:numPr>
          <w:ilvl w:val="1"/>
          <w:numId w:val="2"/>
        </w:num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whether the transaction is subject to public consultation;</w:t>
      </w:r>
    </w:p>
    <w:p w:rsidR="00AF0DAB" w:rsidRDefault="00AF0DAB" w:rsidP="002321A9">
      <w:pPr>
        <w:pStyle w:val="ListParagraph"/>
        <w:numPr>
          <w:ilvl w:val="1"/>
          <w:numId w:val="2"/>
        </w:num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whether the transaction falls outside of or contradicts the NHS FT’s overall strategy; </w:t>
      </w:r>
    </w:p>
    <w:p w:rsidR="00AF0DAB" w:rsidRDefault="00AF0DAB" w:rsidP="002321A9">
      <w:pPr>
        <w:pStyle w:val="ListParagraph"/>
        <w:numPr>
          <w:ilvl w:val="1"/>
          <w:numId w:val="2"/>
        </w:num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whether the transaction involves significant reputational risk; </w:t>
      </w:r>
    </w:p>
    <w:p w:rsidR="00AF0DAB" w:rsidRDefault="00AF0DAB" w:rsidP="002321A9">
      <w:pPr>
        <w:pStyle w:val="ListParagraph"/>
        <w:numPr>
          <w:ilvl w:val="1"/>
          <w:numId w:val="2"/>
        </w:num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whether the transaction affects the NHS FT’s ability to meet regulatory or contractual standards or requires separate reporting; </w:t>
      </w:r>
    </w:p>
    <w:p w:rsidR="00AF0DAB" w:rsidRDefault="00AF0DAB" w:rsidP="002321A9">
      <w:pPr>
        <w:pStyle w:val="ListParagraph"/>
        <w:numPr>
          <w:ilvl w:val="1"/>
          <w:numId w:val="2"/>
        </w:num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whether the transaction involves increasing non-NHS income by more than 5% of total income; or</w:t>
      </w:r>
    </w:p>
    <w:p w:rsidR="00AF0DAB" w:rsidRPr="00AF0DAB" w:rsidRDefault="00AF0DAB" w:rsidP="002321A9">
      <w:pPr>
        <w:pStyle w:val="ListParagraph"/>
        <w:numPr>
          <w:ilvl w:val="1"/>
          <w:numId w:val="2"/>
        </w:numPr>
        <w:jc w:val="both"/>
        <w:rPr>
          <w:rFonts w:ascii="Segoe UI" w:hAnsi="Segoe UI" w:cs="Segoe UI"/>
        </w:rPr>
      </w:pPr>
      <w:proofErr w:type="gramStart"/>
      <w:r>
        <w:rPr>
          <w:rFonts w:ascii="Segoe UI" w:hAnsi="Segoe UI" w:cs="Segoe UI"/>
        </w:rPr>
        <w:t>other</w:t>
      </w:r>
      <w:proofErr w:type="gramEnd"/>
      <w:r>
        <w:rPr>
          <w:rFonts w:ascii="Segoe UI" w:hAnsi="Segoe UI" w:cs="Segoe UI"/>
        </w:rPr>
        <w:t xml:space="preserve"> import</w:t>
      </w:r>
      <w:r w:rsidR="00327F10">
        <w:rPr>
          <w:rFonts w:ascii="Segoe UI" w:hAnsi="Segoe UI" w:cs="Segoe UI"/>
        </w:rPr>
        <w:t>ant transactions that the B</w:t>
      </w:r>
      <w:r>
        <w:rPr>
          <w:rFonts w:ascii="Segoe UI" w:hAnsi="Segoe UI" w:cs="Segoe UI"/>
        </w:rPr>
        <w:t xml:space="preserve">oard believes governors should approve. </w:t>
      </w:r>
    </w:p>
    <w:p w:rsidR="00AF0DAB" w:rsidRDefault="00AF0DAB" w:rsidP="008D14E5">
      <w:pPr>
        <w:jc w:val="both"/>
        <w:rPr>
          <w:rFonts w:ascii="Segoe UI" w:hAnsi="Segoe UI" w:cs="Segoe UI"/>
        </w:rPr>
      </w:pPr>
    </w:p>
    <w:p w:rsidR="0032337F" w:rsidRDefault="008D14E5" w:rsidP="008D14E5">
      <w:pPr>
        <w:jc w:val="both"/>
        <w:rPr>
          <w:rFonts w:ascii="Segoe UI" w:hAnsi="Segoe UI" w:cs="Segoe UI"/>
        </w:rPr>
      </w:pPr>
      <w:r w:rsidRPr="008D14E5">
        <w:rPr>
          <w:rFonts w:ascii="Segoe UI" w:hAnsi="Segoe UI" w:cs="Segoe UI"/>
        </w:rPr>
        <w:t xml:space="preserve">The Foundation Trust Network has also taken legal advice to confirm that NHS FTs which have not defined significant transactions in their constitutions are under no obligation to seek the </w:t>
      </w:r>
      <w:r w:rsidR="00C128E8">
        <w:rPr>
          <w:rFonts w:ascii="Segoe UI" w:hAnsi="Segoe UI" w:cs="Segoe UI"/>
        </w:rPr>
        <w:t>approval of governors before a</w:t>
      </w:r>
      <w:r w:rsidRPr="008D14E5">
        <w:rPr>
          <w:rFonts w:ascii="Segoe UI" w:hAnsi="Segoe UI" w:cs="Segoe UI"/>
        </w:rPr>
        <w:t xml:space="preserve"> transaction goes ahead</w:t>
      </w:r>
      <w:r w:rsidR="00327F10">
        <w:rPr>
          <w:rFonts w:ascii="Segoe UI" w:hAnsi="Segoe UI" w:cs="Segoe UI"/>
        </w:rPr>
        <w:t xml:space="preserve"> although it is expected that Boards will consult governors on the annual plan and longer term strategies (and it is likely that a significant transaction will form an integral part of such a strategy or plan)</w:t>
      </w:r>
      <w:r w:rsidR="00C128E8">
        <w:rPr>
          <w:rFonts w:ascii="Segoe UI" w:hAnsi="Segoe UI" w:cs="Segoe UI"/>
        </w:rPr>
        <w:t xml:space="preserve">. </w:t>
      </w:r>
      <w:r w:rsidR="00327F10">
        <w:rPr>
          <w:rFonts w:ascii="Segoe UI" w:hAnsi="Segoe UI" w:cs="Segoe UI"/>
        </w:rPr>
        <w:t xml:space="preserve"> There are </w:t>
      </w:r>
      <w:r w:rsidRPr="008D14E5">
        <w:rPr>
          <w:rFonts w:ascii="Segoe UI" w:hAnsi="Segoe UI" w:cs="Segoe UI"/>
        </w:rPr>
        <w:t>obligation</w:t>
      </w:r>
      <w:r w:rsidR="00327F10">
        <w:rPr>
          <w:rFonts w:ascii="Segoe UI" w:hAnsi="Segoe UI" w:cs="Segoe UI"/>
        </w:rPr>
        <w:t>s</w:t>
      </w:r>
      <w:r w:rsidRPr="008D14E5">
        <w:rPr>
          <w:rFonts w:ascii="Segoe UI" w:hAnsi="Segoe UI" w:cs="Segoe UI"/>
        </w:rPr>
        <w:t xml:space="preserve"> to consult </w:t>
      </w:r>
      <w:r w:rsidRPr="008D14E5">
        <w:rPr>
          <w:rFonts w:ascii="Segoe UI" w:hAnsi="Segoe UI" w:cs="Segoe UI"/>
        </w:rPr>
        <w:lastRenderedPageBreak/>
        <w:t>with governors on proposal</w:t>
      </w:r>
      <w:r w:rsidR="0032337F">
        <w:rPr>
          <w:rFonts w:ascii="Segoe UI" w:hAnsi="Segoe UI" w:cs="Segoe UI"/>
        </w:rPr>
        <w:t xml:space="preserve">s with strategic implications, </w:t>
      </w:r>
      <w:r w:rsidR="00C128E8">
        <w:rPr>
          <w:rFonts w:ascii="Segoe UI" w:hAnsi="Segoe UI" w:cs="Segoe UI"/>
        </w:rPr>
        <w:t>for example</w:t>
      </w:r>
      <w:r w:rsidR="0032337F">
        <w:rPr>
          <w:rFonts w:ascii="Segoe UI" w:hAnsi="Segoe UI" w:cs="Segoe UI"/>
        </w:rPr>
        <w:t xml:space="preserve"> </w:t>
      </w:r>
      <w:r w:rsidR="00C128E8">
        <w:rPr>
          <w:rFonts w:ascii="Segoe UI" w:hAnsi="Segoe UI" w:cs="Segoe UI"/>
        </w:rPr>
        <w:t>if the transaction</w:t>
      </w:r>
      <w:r w:rsidR="0032337F">
        <w:rPr>
          <w:rFonts w:ascii="Segoe UI" w:hAnsi="Segoe UI" w:cs="Segoe UI"/>
        </w:rPr>
        <w:t>:</w:t>
      </w:r>
      <w:r w:rsidR="00C128E8">
        <w:rPr>
          <w:rFonts w:ascii="Segoe UI" w:hAnsi="Segoe UI" w:cs="Segoe UI"/>
        </w:rPr>
        <w:t xml:space="preserve"> </w:t>
      </w:r>
    </w:p>
    <w:p w:rsidR="0032337F" w:rsidRDefault="0032337F" w:rsidP="008D14E5">
      <w:pPr>
        <w:jc w:val="both"/>
        <w:rPr>
          <w:rFonts w:ascii="Segoe UI" w:hAnsi="Segoe UI" w:cs="Segoe UI"/>
        </w:rPr>
      </w:pPr>
    </w:p>
    <w:p w:rsidR="0032337F" w:rsidRDefault="00C128E8" w:rsidP="0032337F">
      <w:pPr>
        <w:pStyle w:val="ListParagraph"/>
        <w:numPr>
          <w:ilvl w:val="0"/>
          <w:numId w:val="3"/>
        </w:numPr>
        <w:jc w:val="both"/>
        <w:rPr>
          <w:rFonts w:ascii="Segoe UI" w:hAnsi="Segoe UI" w:cs="Segoe UI"/>
        </w:rPr>
      </w:pPr>
      <w:r w:rsidRPr="0032337F">
        <w:rPr>
          <w:rFonts w:ascii="Segoe UI" w:hAnsi="Segoe UI" w:cs="Segoe UI"/>
        </w:rPr>
        <w:t>is a merger, acquisition, separation or dissolution then the approval of more than 50% of governors is required (see sections 56(1A), 56A</w:t>
      </w:r>
      <w:r w:rsidR="0032337F">
        <w:rPr>
          <w:rFonts w:ascii="Segoe UI" w:hAnsi="Segoe UI" w:cs="Segoe UI"/>
        </w:rPr>
        <w:t xml:space="preserve">, 56B and 57A of the 2006 Act); </w:t>
      </w:r>
    </w:p>
    <w:p w:rsidR="0032337F" w:rsidRDefault="0032337F" w:rsidP="0032337F">
      <w:pPr>
        <w:pStyle w:val="ListParagraph"/>
        <w:jc w:val="both"/>
        <w:rPr>
          <w:rFonts w:ascii="Segoe UI" w:hAnsi="Segoe UI" w:cs="Segoe UI"/>
        </w:rPr>
      </w:pPr>
    </w:p>
    <w:p w:rsidR="00993DD5" w:rsidRDefault="0032337F" w:rsidP="0032337F">
      <w:pPr>
        <w:pStyle w:val="ListParagraph"/>
        <w:numPr>
          <w:ilvl w:val="0"/>
          <w:numId w:val="3"/>
        </w:num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involves a proposal to increase the NHS FT’s income from activities other than the provision of goods and services for the purposes of the NHS as required by </w:t>
      </w:r>
      <w:r w:rsidR="00327F10">
        <w:rPr>
          <w:rFonts w:ascii="Segoe UI" w:hAnsi="Segoe UI" w:cs="Segoe UI"/>
        </w:rPr>
        <w:t>the 2006 Act (section 43 (3D)); or</w:t>
      </w:r>
    </w:p>
    <w:p w:rsidR="00327F10" w:rsidRPr="00327F10" w:rsidRDefault="00327F10" w:rsidP="00327F10">
      <w:pPr>
        <w:pStyle w:val="ListParagraph"/>
        <w:rPr>
          <w:rFonts w:ascii="Segoe UI" w:hAnsi="Segoe UI" w:cs="Segoe UI"/>
        </w:rPr>
      </w:pPr>
    </w:p>
    <w:p w:rsidR="00327F10" w:rsidRPr="0032337F" w:rsidRDefault="00327F10" w:rsidP="0032337F">
      <w:pPr>
        <w:pStyle w:val="ListParagraph"/>
        <w:numPr>
          <w:ilvl w:val="0"/>
          <w:numId w:val="3"/>
        </w:numPr>
        <w:jc w:val="both"/>
        <w:rPr>
          <w:rFonts w:ascii="Segoe UI" w:hAnsi="Segoe UI" w:cs="Segoe UI"/>
        </w:rPr>
      </w:pPr>
      <w:proofErr w:type="gramStart"/>
      <w:r>
        <w:rPr>
          <w:rFonts w:ascii="Segoe UI" w:hAnsi="Segoe UI" w:cs="Segoe UI"/>
        </w:rPr>
        <w:t>where</w:t>
      </w:r>
      <w:proofErr w:type="gramEnd"/>
      <w:r>
        <w:rPr>
          <w:rFonts w:ascii="Segoe UI" w:hAnsi="Segoe UI" w:cs="Segoe UI"/>
        </w:rPr>
        <w:t xml:space="preserve"> the governors’ approval is required for the transaction under any other provision of an NHS FT’s constitution.  </w:t>
      </w:r>
    </w:p>
    <w:p w:rsidR="00BC3A6F" w:rsidRDefault="00BC3A6F" w:rsidP="004B30BC">
      <w:pPr>
        <w:jc w:val="both"/>
        <w:rPr>
          <w:rFonts w:ascii="Segoe UI" w:hAnsi="Segoe UI" w:cs="Segoe UI"/>
        </w:rPr>
      </w:pPr>
    </w:p>
    <w:p w:rsidR="004B30BC" w:rsidRDefault="004B30BC" w:rsidP="004B30BC">
      <w:pPr>
        <w:jc w:val="both"/>
        <w:rPr>
          <w:rFonts w:ascii="Segoe UI" w:hAnsi="Segoe UI" w:cs="Segoe UI"/>
          <w:b/>
          <w:i/>
        </w:rPr>
      </w:pPr>
      <w:r>
        <w:rPr>
          <w:rFonts w:ascii="Segoe UI" w:hAnsi="Segoe UI" w:cs="Segoe UI"/>
          <w:b/>
          <w:i/>
        </w:rPr>
        <w:t>Local / Trust Issues</w:t>
      </w:r>
    </w:p>
    <w:p w:rsidR="004B30BC" w:rsidRPr="000F4D21" w:rsidRDefault="004B30BC" w:rsidP="004B30BC">
      <w:pPr>
        <w:jc w:val="both"/>
        <w:rPr>
          <w:rFonts w:ascii="Segoe UI" w:hAnsi="Segoe UI" w:cs="Segoe UI"/>
          <w:b/>
          <w:i/>
        </w:rPr>
      </w:pPr>
    </w:p>
    <w:p w:rsidR="004B30BC" w:rsidRPr="0005435E" w:rsidRDefault="002B06F5" w:rsidP="004B30BC">
      <w:pPr>
        <w:jc w:val="both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2</w:t>
      </w:r>
      <w:r w:rsidR="004B30BC" w:rsidRPr="0005435E">
        <w:rPr>
          <w:rFonts w:ascii="Segoe UI" w:hAnsi="Segoe UI" w:cs="Segoe UI"/>
          <w:b/>
        </w:rPr>
        <w:t xml:space="preserve">. </w:t>
      </w:r>
      <w:r w:rsidR="004B30BC">
        <w:rPr>
          <w:rFonts w:ascii="Segoe UI" w:hAnsi="Segoe UI" w:cs="Segoe UI"/>
          <w:b/>
        </w:rPr>
        <w:t>CEO Stakeholder Meetings</w:t>
      </w:r>
      <w:r w:rsidR="002F0D48">
        <w:rPr>
          <w:rFonts w:ascii="Segoe UI" w:hAnsi="Segoe UI" w:cs="Segoe UI"/>
          <w:b/>
        </w:rPr>
        <w:t xml:space="preserve"> </w:t>
      </w:r>
      <w:r w:rsidR="00F12A21">
        <w:rPr>
          <w:rFonts w:ascii="Segoe UI" w:hAnsi="Segoe UI" w:cs="Segoe UI"/>
          <w:b/>
        </w:rPr>
        <w:t>&amp; Visits</w:t>
      </w:r>
    </w:p>
    <w:p w:rsidR="004B30BC" w:rsidRDefault="004B30BC" w:rsidP="004B30BC">
      <w:pPr>
        <w:jc w:val="both"/>
        <w:rPr>
          <w:rFonts w:ascii="Segoe UI" w:hAnsi="Segoe UI" w:cs="Segoe UI"/>
          <w:color w:val="000000"/>
        </w:rPr>
      </w:pPr>
    </w:p>
    <w:p w:rsidR="00DC0DEA" w:rsidRDefault="00A611CB" w:rsidP="00A611CB">
      <w:p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Since the last meeting, </w:t>
      </w:r>
      <w:r w:rsidR="00A3011F">
        <w:rPr>
          <w:rFonts w:ascii="Segoe UI" w:hAnsi="Segoe UI" w:cs="Segoe UI"/>
        </w:rPr>
        <w:t xml:space="preserve">key stakeholders that I have </w:t>
      </w:r>
      <w:proofErr w:type="gramStart"/>
      <w:r w:rsidR="00A3011F">
        <w:rPr>
          <w:rFonts w:ascii="Segoe UI" w:hAnsi="Segoe UI" w:cs="Segoe UI"/>
        </w:rPr>
        <w:t>met,</w:t>
      </w:r>
      <w:proofErr w:type="gramEnd"/>
      <w:r w:rsidR="00A3011F">
        <w:rPr>
          <w:rFonts w:ascii="Segoe UI" w:hAnsi="Segoe UI" w:cs="Segoe UI"/>
        </w:rPr>
        <w:t xml:space="preserve"> visits I have undertaken and meetings that </w:t>
      </w:r>
      <w:r w:rsidR="007F6721">
        <w:rPr>
          <w:rFonts w:ascii="Segoe UI" w:hAnsi="Segoe UI" w:cs="Segoe UI"/>
        </w:rPr>
        <w:t>I have attended</w:t>
      </w:r>
      <w:r w:rsidR="00A3011F">
        <w:rPr>
          <w:rFonts w:ascii="Segoe UI" w:hAnsi="Segoe UI" w:cs="Segoe UI"/>
        </w:rPr>
        <w:t xml:space="preserve"> have included</w:t>
      </w:r>
      <w:r w:rsidR="00DC0DEA">
        <w:rPr>
          <w:rFonts w:ascii="Segoe UI" w:hAnsi="Segoe UI" w:cs="Segoe UI"/>
        </w:rPr>
        <w:t>:</w:t>
      </w:r>
      <w:r w:rsidR="007F6721">
        <w:rPr>
          <w:rFonts w:ascii="Segoe UI" w:hAnsi="Segoe UI" w:cs="Segoe UI"/>
        </w:rPr>
        <w:t xml:space="preserve"> </w:t>
      </w:r>
    </w:p>
    <w:p w:rsidR="00DC0DEA" w:rsidRDefault="00DC0DEA" w:rsidP="00A611CB">
      <w:pPr>
        <w:jc w:val="both"/>
        <w:rPr>
          <w:rFonts w:ascii="Segoe UI" w:hAnsi="Segoe UI" w:cs="Segoe UI"/>
        </w:rPr>
      </w:pPr>
    </w:p>
    <w:p w:rsidR="00A3011F" w:rsidRDefault="00EF2717" w:rsidP="00A3011F">
      <w:pPr>
        <w:pStyle w:val="ListParagraph"/>
        <w:numPr>
          <w:ilvl w:val="0"/>
          <w:numId w:val="4"/>
        </w:num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the first</w:t>
      </w:r>
      <w:r w:rsidR="00A3011F">
        <w:rPr>
          <w:rFonts w:ascii="Segoe UI" w:hAnsi="Segoe UI" w:cs="Segoe UI"/>
        </w:rPr>
        <w:t xml:space="preserve"> meeting </w:t>
      </w:r>
      <w:r>
        <w:rPr>
          <w:rFonts w:ascii="Segoe UI" w:hAnsi="Segoe UI" w:cs="Segoe UI"/>
        </w:rPr>
        <w:t>of</w:t>
      </w:r>
      <w:r w:rsidR="00A3011F">
        <w:rPr>
          <w:rFonts w:ascii="Segoe UI" w:hAnsi="Segoe UI" w:cs="Segoe UI"/>
        </w:rPr>
        <w:t xml:space="preserve"> the Oxford Academic Health Science Centre</w:t>
      </w:r>
      <w:r>
        <w:rPr>
          <w:rFonts w:ascii="Segoe UI" w:hAnsi="Segoe UI" w:cs="Segoe UI"/>
        </w:rPr>
        <w:t xml:space="preserve"> Board</w:t>
      </w:r>
      <w:bookmarkStart w:id="0" w:name="_GoBack"/>
      <w:bookmarkEnd w:id="0"/>
      <w:r w:rsidR="00A3011F">
        <w:rPr>
          <w:rFonts w:ascii="Segoe UI" w:hAnsi="Segoe UI" w:cs="Segoe UI"/>
        </w:rPr>
        <w:t>;</w:t>
      </w:r>
    </w:p>
    <w:p w:rsidR="007F6721" w:rsidRDefault="007F6721" w:rsidP="00A3011F">
      <w:pPr>
        <w:pStyle w:val="ListParagraph"/>
        <w:numPr>
          <w:ilvl w:val="0"/>
          <w:numId w:val="4"/>
        </w:numPr>
        <w:jc w:val="both"/>
        <w:rPr>
          <w:rFonts w:ascii="Segoe UI" w:hAnsi="Segoe UI" w:cs="Segoe UI"/>
        </w:rPr>
      </w:pPr>
      <w:r w:rsidRPr="00A3011F">
        <w:rPr>
          <w:rFonts w:ascii="Segoe UI" w:hAnsi="Segoe UI" w:cs="Segoe UI"/>
        </w:rPr>
        <w:t>a meeting of the CLAHRC (Collaboration for Leadership in Applied Health Research and Care) Board</w:t>
      </w:r>
      <w:r w:rsidR="00A3011F">
        <w:rPr>
          <w:rFonts w:ascii="Segoe UI" w:hAnsi="Segoe UI" w:cs="Segoe UI"/>
        </w:rPr>
        <w:t>;</w:t>
      </w:r>
    </w:p>
    <w:p w:rsidR="00A3011F" w:rsidRDefault="00A3011F" w:rsidP="00A3011F">
      <w:pPr>
        <w:pStyle w:val="ListParagraph"/>
        <w:numPr>
          <w:ilvl w:val="0"/>
          <w:numId w:val="4"/>
        </w:num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Productive Care Learning and Sharing Event; and</w:t>
      </w:r>
    </w:p>
    <w:p w:rsidR="00A3011F" w:rsidRPr="00A3011F" w:rsidRDefault="00A3011F" w:rsidP="00A3011F">
      <w:pPr>
        <w:pStyle w:val="ListParagraph"/>
        <w:numPr>
          <w:ilvl w:val="0"/>
          <w:numId w:val="4"/>
        </w:numPr>
        <w:jc w:val="both"/>
        <w:rPr>
          <w:rFonts w:ascii="Segoe UI" w:hAnsi="Segoe UI" w:cs="Segoe UI"/>
        </w:rPr>
      </w:pPr>
      <w:proofErr w:type="gramStart"/>
      <w:r>
        <w:rPr>
          <w:rFonts w:ascii="Segoe UI" w:hAnsi="Segoe UI" w:cs="Segoe UI"/>
        </w:rPr>
        <w:t>the</w:t>
      </w:r>
      <w:proofErr w:type="gramEnd"/>
      <w:r>
        <w:rPr>
          <w:rFonts w:ascii="Segoe UI" w:hAnsi="Segoe UI" w:cs="Segoe UI"/>
        </w:rPr>
        <w:t xml:space="preserve"> Highfield official opening. </w:t>
      </w:r>
    </w:p>
    <w:p w:rsidR="009417EA" w:rsidRPr="009417EA" w:rsidRDefault="009417EA" w:rsidP="00AD36B8">
      <w:pPr>
        <w:jc w:val="both"/>
        <w:rPr>
          <w:rFonts w:ascii="Segoe UI" w:hAnsi="Segoe UI" w:cs="Segoe UI"/>
        </w:rPr>
      </w:pPr>
    </w:p>
    <w:p w:rsidR="00645CB9" w:rsidRPr="004A2E7B" w:rsidRDefault="00645CB9" w:rsidP="008D67A5">
      <w:pPr>
        <w:rPr>
          <w:rFonts w:ascii="Segoe UI" w:hAnsi="Segoe UI" w:cs="Segoe UI"/>
        </w:rPr>
      </w:pPr>
    </w:p>
    <w:p w:rsidR="004B30BC" w:rsidRPr="004A2E7B" w:rsidRDefault="004B30BC" w:rsidP="004B30BC">
      <w:pPr>
        <w:jc w:val="both"/>
        <w:rPr>
          <w:rFonts w:ascii="Segoe UI" w:hAnsi="Segoe UI" w:cs="Segoe UI"/>
        </w:rPr>
      </w:pPr>
      <w:r w:rsidRPr="004A2E7B">
        <w:rPr>
          <w:rFonts w:ascii="Segoe UI" w:hAnsi="Segoe UI" w:cs="Segoe UI"/>
          <w:b/>
        </w:rPr>
        <w:t>Recommendation</w:t>
      </w:r>
    </w:p>
    <w:p w:rsidR="004B30BC" w:rsidRPr="004A2E7B" w:rsidRDefault="004B30BC" w:rsidP="004B30BC">
      <w:pPr>
        <w:jc w:val="both"/>
        <w:rPr>
          <w:rFonts w:ascii="Segoe UI" w:hAnsi="Segoe UI" w:cs="Segoe UI"/>
        </w:rPr>
      </w:pPr>
      <w:r w:rsidRPr="004A2E7B">
        <w:rPr>
          <w:rFonts w:ascii="Segoe UI" w:hAnsi="Segoe UI" w:cs="Segoe UI"/>
        </w:rPr>
        <w:t>The Bo</w:t>
      </w:r>
      <w:r w:rsidR="00A15670">
        <w:rPr>
          <w:rFonts w:ascii="Segoe UI" w:hAnsi="Segoe UI" w:cs="Segoe UI"/>
        </w:rPr>
        <w:t>ard is asked to note the report</w:t>
      </w:r>
      <w:r w:rsidR="006A1279">
        <w:rPr>
          <w:rFonts w:ascii="Segoe UI" w:hAnsi="Segoe UI" w:cs="Segoe UI"/>
        </w:rPr>
        <w:t>.</w:t>
      </w:r>
    </w:p>
    <w:p w:rsidR="004B30BC" w:rsidRPr="004A2E7B" w:rsidRDefault="004B30BC" w:rsidP="004B30BC">
      <w:pPr>
        <w:jc w:val="both"/>
        <w:rPr>
          <w:rFonts w:ascii="Segoe UI" w:hAnsi="Segoe UI" w:cs="Segoe UI"/>
        </w:rPr>
      </w:pPr>
    </w:p>
    <w:p w:rsidR="004B30BC" w:rsidRPr="004A2E7B" w:rsidRDefault="004B30BC" w:rsidP="004B30BC">
      <w:pPr>
        <w:jc w:val="both"/>
        <w:rPr>
          <w:rFonts w:ascii="Segoe UI" w:hAnsi="Segoe UI" w:cs="Segoe UI"/>
          <w:b/>
        </w:rPr>
      </w:pPr>
    </w:p>
    <w:p w:rsidR="004B30BC" w:rsidRPr="00E76E3C" w:rsidRDefault="004B30BC" w:rsidP="004B30BC">
      <w:pPr>
        <w:jc w:val="both"/>
        <w:rPr>
          <w:rFonts w:ascii="Segoe UI" w:hAnsi="Segoe UI" w:cs="Segoe UI"/>
        </w:rPr>
      </w:pPr>
      <w:r w:rsidRPr="00E76E3C">
        <w:rPr>
          <w:rFonts w:ascii="Segoe UI" w:hAnsi="Segoe UI" w:cs="Segoe UI"/>
          <w:b/>
        </w:rPr>
        <w:t>Lead Executive Director:</w:t>
      </w:r>
      <w:r w:rsidRPr="00E76E3C">
        <w:rPr>
          <w:rFonts w:ascii="Segoe UI" w:hAnsi="Segoe UI" w:cs="Segoe UI"/>
          <w:b/>
        </w:rPr>
        <w:tab/>
      </w:r>
      <w:r w:rsidRPr="00E76E3C">
        <w:rPr>
          <w:rFonts w:ascii="Segoe UI" w:hAnsi="Segoe UI" w:cs="Segoe UI"/>
        </w:rPr>
        <w:t>Stuart Bell, Chief Executive</w:t>
      </w:r>
    </w:p>
    <w:p w:rsidR="00AF0562" w:rsidRPr="00BB4E60" w:rsidRDefault="00AF0562" w:rsidP="004B30BC">
      <w:pPr>
        <w:pStyle w:val="Heading1"/>
        <w:jc w:val="center"/>
        <w:rPr>
          <w:rFonts w:cs="Arial"/>
        </w:rPr>
      </w:pPr>
    </w:p>
    <w:sectPr w:rsidR="00AF0562" w:rsidRPr="00BB4E60" w:rsidSect="00E84A84">
      <w:headerReference w:type="default" r:id="rId9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4B36" w:rsidRDefault="005A4B36" w:rsidP="00A55309">
      <w:r>
        <w:separator/>
      </w:r>
    </w:p>
  </w:endnote>
  <w:endnote w:type="continuationSeparator" w:id="0">
    <w:p w:rsidR="005A4B36" w:rsidRDefault="005A4B36" w:rsidP="00A553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yriad Pr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4B36" w:rsidRDefault="005A4B36" w:rsidP="00A55309">
      <w:r>
        <w:separator/>
      </w:r>
    </w:p>
  </w:footnote>
  <w:footnote w:type="continuationSeparator" w:id="0">
    <w:p w:rsidR="005A4B36" w:rsidRDefault="005A4B36" w:rsidP="00A553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B36" w:rsidRPr="005B3E3C" w:rsidRDefault="005A4B36" w:rsidP="00A55309">
    <w:pPr>
      <w:pStyle w:val="Header"/>
      <w:jc w:val="center"/>
      <w:rPr>
        <w:rFonts w:ascii="Arial" w:hAnsi="Arial" w:cs="Arial"/>
      </w:rPr>
    </w:pPr>
    <w:r>
      <w:rPr>
        <w:rFonts w:ascii="Arial" w:hAnsi="Arial" w:cs="Arial"/>
        <w:b/>
        <w:i/>
      </w:rPr>
      <w:t>PUBLIC</w:t>
    </w:r>
    <w:r>
      <w:rPr>
        <w:rFonts w:ascii="Arial" w:hAnsi="Arial" w:cs="Arial"/>
        <w:b/>
      </w:rPr>
      <w:t xml:space="preserve"> </w:t>
    </w:r>
  </w:p>
  <w:p w:rsidR="005A4B36" w:rsidRDefault="005A4B3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55E36"/>
    <w:multiLevelType w:val="hybridMultilevel"/>
    <w:tmpl w:val="F6304B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A062AC"/>
    <w:multiLevelType w:val="hybridMultilevel"/>
    <w:tmpl w:val="606680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06153A"/>
    <w:multiLevelType w:val="hybridMultilevel"/>
    <w:tmpl w:val="F2B258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B4145B"/>
    <w:multiLevelType w:val="hybridMultilevel"/>
    <w:tmpl w:val="3760C6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73E8"/>
    <w:rsid w:val="000041EA"/>
    <w:rsid w:val="00005AB6"/>
    <w:rsid w:val="000063E5"/>
    <w:rsid w:val="00006E41"/>
    <w:rsid w:val="00007F05"/>
    <w:rsid w:val="00015B58"/>
    <w:rsid w:val="00016BB8"/>
    <w:rsid w:val="0002105C"/>
    <w:rsid w:val="0002213D"/>
    <w:rsid w:val="00023C15"/>
    <w:rsid w:val="00027720"/>
    <w:rsid w:val="00037819"/>
    <w:rsid w:val="00040FFA"/>
    <w:rsid w:val="000504EC"/>
    <w:rsid w:val="00051BA9"/>
    <w:rsid w:val="0005393C"/>
    <w:rsid w:val="000542AF"/>
    <w:rsid w:val="0005435E"/>
    <w:rsid w:val="0005451F"/>
    <w:rsid w:val="00054B3B"/>
    <w:rsid w:val="000555AF"/>
    <w:rsid w:val="00055952"/>
    <w:rsid w:val="00064715"/>
    <w:rsid w:val="00070AF0"/>
    <w:rsid w:val="00073BDB"/>
    <w:rsid w:val="000758F7"/>
    <w:rsid w:val="0007631A"/>
    <w:rsid w:val="00077A95"/>
    <w:rsid w:val="00077CAF"/>
    <w:rsid w:val="0009109B"/>
    <w:rsid w:val="000929CF"/>
    <w:rsid w:val="000929E8"/>
    <w:rsid w:val="00095079"/>
    <w:rsid w:val="00096B95"/>
    <w:rsid w:val="00097314"/>
    <w:rsid w:val="000A013E"/>
    <w:rsid w:val="000A1E8F"/>
    <w:rsid w:val="000A7E31"/>
    <w:rsid w:val="000B10A6"/>
    <w:rsid w:val="000B312B"/>
    <w:rsid w:val="000B4ADE"/>
    <w:rsid w:val="000B659B"/>
    <w:rsid w:val="000B71B5"/>
    <w:rsid w:val="000C228A"/>
    <w:rsid w:val="000D1E63"/>
    <w:rsid w:val="000D5903"/>
    <w:rsid w:val="000D6FE6"/>
    <w:rsid w:val="000E0F76"/>
    <w:rsid w:val="000E34DE"/>
    <w:rsid w:val="000E5B0E"/>
    <w:rsid w:val="000E7F4B"/>
    <w:rsid w:val="000F17CB"/>
    <w:rsid w:val="000F4D21"/>
    <w:rsid w:val="00100FCD"/>
    <w:rsid w:val="001014BE"/>
    <w:rsid w:val="001017EA"/>
    <w:rsid w:val="00101D83"/>
    <w:rsid w:val="00106563"/>
    <w:rsid w:val="001101CB"/>
    <w:rsid w:val="0011061E"/>
    <w:rsid w:val="0012172F"/>
    <w:rsid w:val="0012659C"/>
    <w:rsid w:val="00135471"/>
    <w:rsid w:val="00135EFD"/>
    <w:rsid w:val="00144A21"/>
    <w:rsid w:val="00146C25"/>
    <w:rsid w:val="00147187"/>
    <w:rsid w:val="00152AC7"/>
    <w:rsid w:val="00154400"/>
    <w:rsid w:val="00160FC3"/>
    <w:rsid w:val="0016271F"/>
    <w:rsid w:val="00165D2F"/>
    <w:rsid w:val="00166E61"/>
    <w:rsid w:val="00195C8B"/>
    <w:rsid w:val="001978DA"/>
    <w:rsid w:val="001A0308"/>
    <w:rsid w:val="001A0F57"/>
    <w:rsid w:val="001A4CEB"/>
    <w:rsid w:val="001B00BF"/>
    <w:rsid w:val="001B1BCD"/>
    <w:rsid w:val="001B1E40"/>
    <w:rsid w:val="001B36E3"/>
    <w:rsid w:val="001B5DE5"/>
    <w:rsid w:val="001C071D"/>
    <w:rsid w:val="001C5C34"/>
    <w:rsid w:val="001C7AC9"/>
    <w:rsid w:val="001D08DA"/>
    <w:rsid w:val="001E6901"/>
    <w:rsid w:val="001F2D3E"/>
    <w:rsid w:val="001F551C"/>
    <w:rsid w:val="001F76ED"/>
    <w:rsid w:val="00204AC6"/>
    <w:rsid w:val="0020669F"/>
    <w:rsid w:val="00213FDD"/>
    <w:rsid w:val="002216FC"/>
    <w:rsid w:val="002224F5"/>
    <w:rsid w:val="00222934"/>
    <w:rsid w:val="0022680A"/>
    <w:rsid w:val="002321A9"/>
    <w:rsid w:val="0023675D"/>
    <w:rsid w:val="00236DC2"/>
    <w:rsid w:val="00241025"/>
    <w:rsid w:val="00243FA6"/>
    <w:rsid w:val="00255C85"/>
    <w:rsid w:val="00260D47"/>
    <w:rsid w:val="002619EF"/>
    <w:rsid w:val="00262C9E"/>
    <w:rsid w:val="00271046"/>
    <w:rsid w:val="00273F30"/>
    <w:rsid w:val="00281C43"/>
    <w:rsid w:val="00282028"/>
    <w:rsid w:val="0028695A"/>
    <w:rsid w:val="002922C5"/>
    <w:rsid w:val="0029276D"/>
    <w:rsid w:val="00294190"/>
    <w:rsid w:val="002970A5"/>
    <w:rsid w:val="002A73E8"/>
    <w:rsid w:val="002B06F5"/>
    <w:rsid w:val="002B3B9C"/>
    <w:rsid w:val="002C2D18"/>
    <w:rsid w:val="002D45AA"/>
    <w:rsid w:val="002D4EBA"/>
    <w:rsid w:val="002D52FA"/>
    <w:rsid w:val="002D5DE7"/>
    <w:rsid w:val="002D6C2B"/>
    <w:rsid w:val="002E43C8"/>
    <w:rsid w:val="002E7294"/>
    <w:rsid w:val="002F0369"/>
    <w:rsid w:val="002F0D48"/>
    <w:rsid w:val="002F50F5"/>
    <w:rsid w:val="00313B60"/>
    <w:rsid w:val="00320ABD"/>
    <w:rsid w:val="00320BC7"/>
    <w:rsid w:val="0032337F"/>
    <w:rsid w:val="003239F9"/>
    <w:rsid w:val="00327F10"/>
    <w:rsid w:val="00335289"/>
    <w:rsid w:val="00335352"/>
    <w:rsid w:val="003369F8"/>
    <w:rsid w:val="00342133"/>
    <w:rsid w:val="003428CB"/>
    <w:rsid w:val="00345670"/>
    <w:rsid w:val="00351E5B"/>
    <w:rsid w:val="00355D01"/>
    <w:rsid w:val="00355FF2"/>
    <w:rsid w:val="00370A7B"/>
    <w:rsid w:val="00374B9A"/>
    <w:rsid w:val="00377DAB"/>
    <w:rsid w:val="00390C37"/>
    <w:rsid w:val="00392B78"/>
    <w:rsid w:val="00394F65"/>
    <w:rsid w:val="003971F6"/>
    <w:rsid w:val="003A02CD"/>
    <w:rsid w:val="003A0C29"/>
    <w:rsid w:val="003A2014"/>
    <w:rsid w:val="003B6576"/>
    <w:rsid w:val="003B6704"/>
    <w:rsid w:val="003D1204"/>
    <w:rsid w:val="003D7103"/>
    <w:rsid w:val="003E293D"/>
    <w:rsid w:val="00406F60"/>
    <w:rsid w:val="00410C29"/>
    <w:rsid w:val="00415D97"/>
    <w:rsid w:val="004167F7"/>
    <w:rsid w:val="004225D9"/>
    <w:rsid w:val="00434086"/>
    <w:rsid w:val="004350B8"/>
    <w:rsid w:val="004354D2"/>
    <w:rsid w:val="00441E43"/>
    <w:rsid w:val="00445F1A"/>
    <w:rsid w:val="0045148C"/>
    <w:rsid w:val="00451731"/>
    <w:rsid w:val="00452635"/>
    <w:rsid w:val="00453A53"/>
    <w:rsid w:val="004564DB"/>
    <w:rsid w:val="00457970"/>
    <w:rsid w:val="004637DC"/>
    <w:rsid w:val="00474ED8"/>
    <w:rsid w:val="004757F0"/>
    <w:rsid w:val="00476D92"/>
    <w:rsid w:val="004828DD"/>
    <w:rsid w:val="00485538"/>
    <w:rsid w:val="0049175D"/>
    <w:rsid w:val="004927B4"/>
    <w:rsid w:val="004949FA"/>
    <w:rsid w:val="004A2E7B"/>
    <w:rsid w:val="004A6C48"/>
    <w:rsid w:val="004A71D8"/>
    <w:rsid w:val="004B2D7E"/>
    <w:rsid w:val="004B30BC"/>
    <w:rsid w:val="004B3EAD"/>
    <w:rsid w:val="004B6FBB"/>
    <w:rsid w:val="004B73F8"/>
    <w:rsid w:val="004C26FF"/>
    <w:rsid w:val="004C5069"/>
    <w:rsid w:val="004C6F8A"/>
    <w:rsid w:val="004D2456"/>
    <w:rsid w:val="004D251E"/>
    <w:rsid w:val="004D3442"/>
    <w:rsid w:val="004E12C9"/>
    <w:rsid w:val="004E4238"/>
    <w:rsid w:val="004E5E4F"/>
    <w:rsid w:val="004E6BD3"/>
    <w:rsid w:val="004E74D0"/>
    <w:rsid w:val="004F2CAD"/>
    <w:rsid w:val="004F4BBA"/>
    <w:rsid w:val="004F4C73"/>
    <w:rsid w:val="00501A83"/>
    <w:rsid w:val="00501AA1"/>
    <w:rsid w:val="00510F4B"/>
    <w:rsid w:val="0051376D"/>
    <w:rsid w:val="005159E4"/>
    <w:rsid w:val="00515A10"/>
    <w:rsid w:val="005173A8"/>
    <w:rsid w:val="00517E27"/>
    <w:rsid w:val="00517F57"/>
    <w:rsid w:val="005214AE"/>
    <w:rsid w:val="005233AA"/>
    <w:rsid w:val="00524C14"/>
    <w:rsid w:val="00524D58"/>
    <w:rsid w:val="00532BF9"/>
    <w:rsid w:val="0053370A"/>
    <w:rsid w:val="005350E8"/>
    <w:rsid w:val="00537EA6"/>
    <w:rsid w:val="005400C0"/>
    <w:rsid w:val="0054169B"/>
    <w:rsid w:val="005419F4"/>
    <w:rsid w:val="00545795"/>
    <w:rsid w:val="00551B0F"/>
    <w:rsid w:val="0055356D"/>
    <w:rsid w:val="00554EC8"/>
    <w:rsid w:val="005578D6"/>
    <w:rsid w:val="005648DF"/>
    <w:rsid w:val="005668EC"/>
    <w:rsid w:val="00572F7C"/>
    <w:rsid w:val="005740B9"/>
    <w:rsid w:val="005756E9"/>
    <w:rsid w:val="005865D8"/>
    <w:rsid w:val="00593160"/>
    <w:rsid w:val="005A1911"/>
    <w:rsid w:val="005A4B36"/>
    <w:rsid w:val="005A72BA"/>
    <w:rsid w:val="005B0A0B"/>
    <w:rsid w:val="005B383F"/>
    <w:rsid w:val="005B7A5C"/>
    <w:rsid w:val="005C02E9"/>
    <w:rsid w:val="005C3FC1"/>
    <w:rsid w:val="005D12E8"/>
    <w:rsid w:val="005D2367"/>
    <w:rsid w:val="005D3499"/>
    <w:rsid w:val="005D4317"/>
    <w:rsid w:val="005E1126"/>
    <w:rsid w:val="005E1B0B"/>
    <w:rsid w:val="005E4C5F"/>
    <w:rsid w:val="005F009D"/>
    <w:rsid w:val="005F0C12"/>
    <w:rsid w:val="005F27C1"/>
    <w:rsid w:val="006018D4"/>
    <w:rsid w:val="006034CB"/>
    <w:rsid w:val="00603EC4"/>
    <w:rsid w:val="006055FC"/>
    <w:rsid w:val="006126AD"/>
    <w:rsid w:val="00615A6F"/>
    <w:rsid w:val="0061746E"/>
    <w:rsid w:val="0062270D"/>
    <w:rsid w:val="00637069"/>
    <w:rsid w:val="006434BB"/>
    <w:rsid w:val="006445BF"/>
    <w:rsid w:val="00645CB9"/>
    <w:rsid w:val="006461D1"/>
    <w:rsid w:val="00647E6C"/>
    <w:rsid w:val="006526A2"/>
    <w:rsid w:val="00653472"/>
    <w:rsid w:val="0065566C"/>
    <w:rsid w:val="00662454"/>
    <w:rsid w:val="0067389A"/>
    <w:rsid w:val="0067695B"/>
    <w:rsid w:val="0069052E"/>
    <w:rsid w:val="006979AF"/>
    <w:rsid w:val="006A1279"/>
    <w:rsid w:val="006A5BF4"/>
    <w:rsid w:val="006A60CB"/>
    <w:rsid w:val="006A6156"/>
    <w:rsid w:val="006B6B4F"/>
    <w:rsid w:val="006C57EE"/>
    <w:rsid w:val="006D0351"/>
    <w:rsid w:val="006E46F1"/>
    <w:rsid w:val="006F675A"/>
    <w:rsid w:val="007003D9"/>
    <w:rsid w:val="007023B2"/>
    <w:rsid w:val="0071374F"/>
    <w:rsid w:val="00714A06"/>
    <w:rsid w:val="00714BEA"/>
    <w:rsid w:val="00714C94"/>
    <w:rsid w:val="00716278"/>
    <w:rsid w:val="00720C13"/>
    <w:rsid w:val="00720D2A"/>
    <w:rsid w:val="0072613B"/>
    <w:rsid w:val="00730BA8"/>
    <w:rsid w:val="0073522A"/>
    <w:rsid w:val="007353F9"/>
    <w:rsid w:val="007405B0"/>
    <w:rsid w:val="00745A50"/>
    <w:rsid w:val="007475B8"/>
    <w:rsid w:val="0075066D"/>
    <w:rsid w:val="007509C4"/>
    <w:rsid w:val="007577DD"/>
    <w:rsid w:val="0076340F"/>
    <w:rsid w:val="0076411B"/>
    <w:rsid w:val="00766A38"/>
    <w:rsid w:val="0077561B"/>
    <w:rsid w:val="0077747B"/>
    <w:rsid w:val="00783DA1"/>
    <w:rsid w:val="00795229"/>
    <w:rsid w:val="007A1C9C"/>
    <w:rsid w:val="007A1F4A"/>
    <w:rsid w:val="007A5D48"/>
    <w:rsid w:val="007A7FDB"/>
    <w:rsid w:val="007C0135"/>
    <w:rsid w:val="007C0EB8"/>
    <w:rsid w:val="007C1F2B"/>
    <w:rsid w:val="007D1283"/>
    <w:rsid w:val="007D616C"/>
    <w:rsid w:val="007E058E"/>
    <w:rsid w:val="007E09E8"/>
    <w:rsid w:val="007E17F5"/>
    <w:rsid w:val="007E677F"/>
    <w:rsid w:val="007E6C41"/>
    <w:rsid w:val="007E7F2B"/>
    <w:rsid w:val="007F6721"/>
    <w:rsid w:val="0080178E"/>
    <w:rsid w:val="00806212"/>
    <w:rsid w:val="00807495"/>
    <w:rsid w:val="008107C8"/>
    <w:rsid w:val="0082121E"/>
    <w:rsid w:val="00821522"/>
    <w:rsid w:val="00821D01"/>
    <w:rsid w:val="00823523"/>
    <w:rsid w:val="008250C5"/>
    <w:rsid w:val="0082528C"/>
    <w:rsid w:val="00827A83"/>
    <w:rsid w:val="00830263"/>
    <w:rsid w:val="00831EF6"/>
    <w:rsid w:val="008327C0"/>
    <w:rsid w:val="0083565E"/>
    <w:rsid w:val="00840FE0"/>
    <w:rsid w:val="00843A2E"/>
    <w:rsid w:val="00844C77"/>
    <w:rsid w:val="008471D3"/>
    <w:rsid w:val="008554E6"/>
    <w:rsid w:val="00860219"/>
    <w:rsid w:val="008633B9"/>
    <w:rsid w:val="0086436B"/>
    <w:rsid w:val="008654F4"/>
    <w:rsid w:val="008658DC"/>
    <w:rsid w:val="0086696F"/>
    <w:rsid w:val="00874D7A"/>
    <w:rsid w:val="008773DC"/>
    <w:rsid w:val="00882BF3"/>
    <w:rsid w:val="0088488E"/>
    <w:rsid w:val="0088594C"/>
    <w:rsid w:val="008860BB"/>
    <w:rsid w:val="008929CE"/>
    <w:rsid w:val="008963D9"/>
    <w:rsid w:val="00896E5B"/>
    <w:rsid w:val="00897AA7"/>
    <w:rsid w:val="008B1952"/>
    <w:rsid w:val="008B1CFF"/>
    <w:rsid w:val="008B367C"/>
    <w:rsid w:val="008C312D"/>
    <w:rsid w:val="008D14E5"/>
    <w:rsid w:val="008D1FCB"/>
    <w:rsid w:val="008D4EA9"/>
    <w:rsid w:val="008D67A5"/>
    <w:rsid w:val="008E1527"/>
    <w:rsid w:val="008F04BB"/>
    <w:rsid w:val="008F6241"/>
    <w:rsid w:val="008F7523"/>
    <w:rsid w:val="00902E3F"/>
    <w:rsid w:val="009128C2"/>
    <w:rsid w:val="00917616"/>
    <w:rsid w:val="009204AE"/>
    <w:rsid w:val="00922422"/>
    <w:rsid w:val="00924225"/>
    <w:rsid w:val="009364AB"/>
    <w:rsid w:val="009375F1"/>
    <w:rsid w:val="009417EA"/>
    <w:rsid w:val="00946D3E"/>
    <w:rsid w:val="0095131B"/>
    <w:rsid w:val="009526AD"/>
    <w:rsid w:val="00957B80"/>
    <w:rsid w:val="00965E50"/>
    <w:rsid w:val="009661C9"/>
    <w:rsid w:val="009709EB"/>
    <w:rsid w:val="00970D9E"/>
    <w:rsid w:val="00974D2C"/>
    <w:rsid w:val="009753E3"/>
    <w:rsid w:val="00983122"/>
    <w:rsid w:val="0098733A"/>
    <w:rsid w:val="009873B8"/>
    <w:rsid w:val="009927C0"/>
    <w:rsid w:val="00993DD5"/>
    <w:rsid w:val="009A14A3"/>
    <w:rsid w:val="009A209F"/>
    <w:rsid w:val="009A2682"/>
    <w:rsid w:val="009A3575"/>
    <w:rsid w:val="009A3887"/>
    <w:rsid w:val="009B56BB"/>
    <w:rsid w:val="009C1051"/>
    <w:rsid w:val="009C2C53"/>
    <w:rsid w:val="009C46E8"/>
    <w:rsid w:val="009D0798"/>
    <w:rsid w:val="009E21A5"/>
    <w:rsid w:val="009E356F"/>
    <w:rsid w:val="009E42AA"/>
    <w:rsid w:val="009F4EC1"/>
    <w:rsid w:val="009F61A8"/>
    <w:rsid w:val="009F7E8E"/>
    <w:rsid w:val="00A00ADE"/>
    <w:rsid w:val="00A03D65"/>
    <w:rsid w:val="00A06EA7"/>
    <w:rsid w:val="00A10D6D"/>
    <w:rsid w:val="00A13D6A"/>
    <w:rsid w:val="00A15670"/>
    <w:rsid w:val="00A20C81"/>
    <w:rsid w:val="00A22ABC"/>
    <w:rsid w:val="00A2647E"/>
    <w:rsid w:val="00A3011F"/>
    <w:rsid w:val="00A32E14"/>
    <w:rsid w:val="00A33818"/>
    <w:rsid w:val="00A42657"/>
    <w:rsid w:val="00A43096"/>
    <w:rsid w:val="00A4385B"/>
    <w:rsid w:val="00A476B0"/>
    <w:rsid w:val="00A50FFC"/>
    <w:rsid w:val="00A55309"/>
    <w:rsid w:val="00A56994"/>
    <w:rsid w:val="00A611CB"/>
    <w:rsid w:val="00A623DF"/>
    <w:rsid w:val="00A65B5E"/>
    <w:rsid w:val="00A6779F"/>
    <w:rsid w:val="00A75FC6"/>
    <w:rsid w:val="00A80C7E"/>
    <w:rsid w:val="00A858E9"/>
    <w:rsid w:val="00A85D3A"/>
    <w:rsid w:val="00A87FCE"/>
    <w:rsid w:val="00A96E23"/>
    <w:rsid w:val="00AA0841"/>
    <w:rsid w:val="00AA0F77"/>
    <w:rsid w:val="00AB0214"/>
    <w:rsid w:val="00AC2842"/>
    <w:rsid w:val="00AC3814"/>
    <w:rsid w:val="00AC5D11"/>
    <w:rsid w:val="00AC6694"/>
    <w:rsid w:val="00AC69E0"/>
    <w:rsid w:val="00AC7AFB"/>
    <w:rsid w:val="00AD2E8F"/>
    <w:rsid w:val="00AD36B8"/>
    <w:rsid w:val="00AD675B"/>
    <w:rsid w:val="00AE2EB6"/>
    <w:rsid w:val="00AE5F21"/>
    <w:rsid w:val="00AE6E1A"/>
    <w:rsid w:val="00AF0562"/>
    <w:rsid w:val="00AF0DAB"/>
    <w:rsid w:val="00AF34E5"/>
    <w:rsid w:val="00AF4AEE"/>
    <w:rsid w:val="00AF6AB9"/>
    <w:rsid w:val="00AF7B56"/>
    <w:rsid w:val="00B00FC7"/>
    <w:rsid w:val="00B02718"/>
    <w:rsid w:val="00B113DF"/>
    <w:rsid w:val="00B120E4"/>
    <w:rsid w:val="00B13319"/>
    <w:rsid w:val="00B16752"/>
    <w:rsid w:val="00B1748E"/>
    <w:rsid w:val="00B23677"/>
    <w:rsid w:val="00B238F5"/>
    <w:rsid w:val="00B239E4"/>
    <w:rsid w:val="00B26E1A"/>
    <w:rsid w:val="00B317BA"/>
    <w:rsid w:val="00B33045"/>
    <w:rsid w:val="00B34D25"/>
    <w:rsid w:val="00B35DC0"/>
    <w:rsid w:val="00B40234"/>
    <w:rsid w:val="00B43FCE"/>
    <w:rsid w:val="00B44177"/>
    <w:rsid w:val="00B472DD"/>
    <w:rsid w:val="00B50D5E"/>
    <w:rsid w:val="00B51F1A"/>
    <w:rsid w:val="00B51F74"/>
    <w:rsid w:val="00B532D8"/>
    <w:rsid w:val="00B61726"/>
    <w:rsid w:val="00B708DC"/>
    <w:rsid w:val="00B709FE"/>
    <w:rsid w:val="00B737FA"/>
    <w:rsid w:val="00B7542E"/>
    <w:rsid w:val="00B77A87"/>
    <w:rsid w:val="00B77FDC"/>
    <w:rsid w:val="00B833A0"/>
    <w:rsid w:val="00B90712"/>
    <w:rsid w:val="00B91CAE"/>
    <w:rsid w:val="00B925A2"/>
    <w:rsid w:val="00B95916"/>
    <w:rsid w:val="00B96836"/>
    <w:rsid w:val="00BA217C"/>
    <w:rsid w:val="00BB24A4"/>
    <w:rsid w:val="00BB31A8"/>
    <w:rsid w:val="00BB3575"/>
    <w:rsid w:val="00BB40F9"/>
    <w:rsid w:val="00BB4E60"/>
    <w:rsid w:val="00BB6CF0"/>
    <w:rsid w:val="00BC3A6F"/>
    <w:rsid w:val="00BC488D"/>
    <w:rsid w:val="00BD7AB7"/>
    <w:rsid w:val="00BE750D"/>
    <w:rsid w:val="00BF4B2E"/>
    <w:rsid w:val="00BF5367"/>
    <w:rsid w:val="00C01C5D"/>
    <w:rsid w:val="00C03C01"/>
    <w:rsid w:val="00C0524E"/>
    <w:rsid w:val="00C128E8"/>
    <w:rsid w:val="00C2242A"/>
    <w:rsid w:val="00C23820"/>
    <w:rsid w:val="00C26B36"/>
    <w:rsid w:val="00C33916"/>
    <w:rsid w:val="00C36069"/>
    <w:rsid w:val="00C44993"/>
    <w:rsid w:val="00C65048"/>
    <w:rsid w:val="00C6768F"/>
    <w:rsid w:val="00C679AD"/>
    <w:rsid w:val="00C72F64"/>
    <w:rsid w:val="00C84F0B"/>
    <w:rsid w:val="00C8735B"/>
    <w:rsid w:val="00CA1156"/>
    <w:rsid w:val="00CA170D"/>
    <w:rsid w:val="00CA2123"/>
    <w:rsid w:val="00CA55F3"/>
    <w:rsid w:val="00CA747B"/>
    <w:rsid w:val="00CA76F1"/>
    <w:rsid w:val="00CB38BE"/>
    <w:rsid w:val="00CB4E82"/>
    <w:rsid w:val="00CC03C6"/>
    <w:rsid w:val="00CC1E2C"/>
    <w:rsid w:val="00CC474D"/>
    <w:rsid w:val="00CC7666"/>
    <w:rsid w:val="00CD41C7"/>
    <w:rsid w:val="00CD41E5"/>
    <w:rsid w:val="00CD4399"/>
    <w:rsid w:val="00CD6343"/>
    <w:rsid w:val="00CD6B58"/>
    <w:rsid w:val="00CD6EE3"/>
    <w:rsid w:val="00CD71AD"/>
    <w:rsid w:val="00CE7C71"/>
    <w:rsid w:val="00CF27D0"/>
    <w:rsid w:val="00CF381A"/>
    <w:rsid w:val="00CF502B"/>
    <w:rsid w:val="00CF6795"/>
    <w:rsid w:val="00D00CD8"/>
    <w:rsid w:val="00D027EE"/>
    <w:rsid w:val="00D02FFB"/>
    <w:rsid w:val="00D05724"/>
    <w:rsid w:val="00D13E07"/>
    <w:rsid w:val="00D14A85"/>
    <w:rsid w:val="00D1726D"/>
    <w:rsid w:val="00D27858"/>
    <w:rsid w:val="00D310BB"/>
    <w:rsid w:val="00D36CBD"/>
    <w:rsid w:val="00D42F35"/>
    <w:rsid w:val="00D45B3F"/>
    <w:rsid w:val="00D46666"/>
    <w:rsid w:val="00D50BE7"/>
    <w:rsid w:val="00D50C03"/>
    <w:rsid w:val="00D537C1"/>
    <w:rsid w:val="00D55ADD"/>
    <w:rsid w:val="00D55DFA"/>
    <w:rsid w:val="00D56886"/>
    <w:rsid w:val="00D72467"/>
    <w:rsid w:val="00D74025"/>
    <w:rsid w:val="00D74C03"/>
    <w:rsid w:val="00D753E5"/>
    <w:rsid w:val="00D76471"/>
    <w:rsid w:val="00D77F74"/>
    <w:rsid w:val="00D81709"/>
    <w:rsid w:val="00D82899"/>
    <w:rsid w:val="00D85AE4"/>
    <w:rsid w:val="00D86434"/>
    <w:rsid w:val="00D93B17"/>
    <w:rsid w:val="00DA0C47"/>
    <w:rsid w:val="00DA0FA6"/>
    <w:rsid w:val="00DA4541"/>
    <w:rsid w:val="00DA46AF"/>
    <w:rsid w:val="00DA6505"/>
    <w:rsid w:val="00DA6FA2"/>
    <w:rsid w:val="00DB0D65"/>
    <w:rsid w:val="00DB3B49"/>
    <w:rsid w:val="00DC0DEA"/>
    <w:rsid w:val="00DC3374"/>
    <w:rsid w:val="00DD7949"/>
    <w:rsid w:val="00DE0461"/>
    <w:rsid w:val="00DE1293"/>
    <w:rsid w:val="00DE6B41"/>
    <w:rsid w:val="00E01D37"/>
    <w:rsid w:val="00E01ED0"/>
    <w:rsid w:val="00E02201"/>
    <w:rsid w:val="00E04091"/>
    <w:rsid w:val="00E04E25"/>
    <w:rsid w:val="00E05D8E"/>
    <w:rsid w:val="00E07B90"/>
    <w:rsid w:val="00E12082"/>
    <w:rsid w:val="00E12D6E"/>
    <w:rsid w:val="00E1584A"/>
    <w:rsid w:val="00E224A9"/>
    <w:rsid w:val="00E23DA4"/>
    <w:rsid w:val="00E25D31"/>
    <w:rsid w:val="00E37B9F"/>
    <w:rsid w:val="00E42690"/>
    <w:rsid w:val="00E50796"/>
    <w:rsid w:val="00E513EB"/>
    <w:rsid w:val="00E51DBD"/>
    <w:rsid w:val="00E5209F"/>
    <w:rsid w:val="00E53DB7"/>
    <w:rsid w:val="00E56B00"/>
    <w:rsid w:val="00E60D9F"/>
    <w:rsid w:val="00E61F0D"/>
    <w:rsid w:val="00E62C51"/>
    <w:rsid w:val="00E64BF0"/>
    <w:rsid w:val="00E65017"/>
    <w:rsid w:val="00E65F97"/>
    <w:rsid w:val="00E71204"/>
    <w:rsid w:val="00E75A80"/>
    <w:rsid w:val="00E76E3C"/>
    <w:rsid w:val="00E83C02"/>
    <w:rsid w:val="00E84A84"/>
    <w:rsid w:val="00E8776F"/>
    <w:rsid w:val="00EA1B3B"/>
    <w:rsid w:val="00EA42A5"/>
    <w:rsid w:val="00EA5BE5"/>
    <w:rsid w:val="00EB0299"/>
    <w:rsid w:val="00EB4109"/>
    <w:rsid w:val="00EB49AF"/>
    <w:rsid w:val="00EB6E88"/>
    <w:rsid w:val="00EC4752"/>
    <w:rsid w:val="00EC5204"/>
    <w:rsid w:val="00EC545E"/>
    <w:rsid w:val="00EC623C"/>
    <w:rsid w:val="00ED0E41"/>
    <w:rsid w:val="00ED11F5"/>
    <w:rsid w:val="00ED1431"/>
    <w:rsid w:val="00ED1932"/>
    <w:rsid w:val="00ED463F"/>
    <w:rsid w:val="00ED65BF"/>
    <w:rsid w:val="00EE0FB6"/>
    <w:rsid w:val="00EE1AFA"/>
    <w:rsid w:val="00EE20A6"/>
    <w:rsid w:val="00EE69B4"/>
    <w:rsid w:val="00EF2717"/>
    <w:rsid w:val="00EF3196"/>
    <w:rsid w:val="00F02150"/>
    <w:rsid w:val="00F03A4F"/>
    <w:rsid w:val="00F040F8"/>
    <w:rsid w:val="00F12A21"/>
    <w:rsid w:val="00F13129"/>
    <w:rsid w:val="00F13EFB"/>
    <w:rsid w:val="00F1465B"/>
    <w:rsid w:val="00F21D50"/>
    <w:rsid w:val="00F345E0"/>
    <w:rsid w:val="00F4181E"/>
    <w:rsid w:val="00F4577D"/>
    <w:rsid w:val="00F51E25"/>
    <w:rsid w:val="00F5266B"/>
    <w:rsid w:val="00F527C2"/>
    <w:rsid w:val="00F53A62"/>
    <w:rsid w:val="00F552D0"/>
    <w:rsid w:val="00F56133"/>
    <w:rsid w:val="00F57D09"/>
    <w:rsid w:val="00F60011"/>
    <w:rsid w:val="00F6424D"/>
    <w:rsid w:val="00F65F74"/>
    <w:rsid w:val="00F72BAF"/>
    <w:rsid w:val="00F72E06"/>
    <w:rsid w:val="00F73329"/>
    <w:rsid w:val="00F765EF"/>
    <w:rsid w:val="00F7678B"/>
    <w:rsid w:val="00F76F43"/>
    <w:rsid w:val="00F818F9"/>
    <w:rsid w:val="00F8538B"/>
    <w:rsid w:val="00F85F18"/>
    <w:rsid w:val="00F86DFB"/>
    <w:rsid w:val="00F90DFF"/>
    <w:rsid w:val="00F913B0"/>
    <w:rsid w:val="00F92A29"/>
    <w:rsid w:val="00F9623B"/>
    <w:rsid w:val="00F970E4"/>
    <w:rsid w:val="00FA1634"/>
    <w:rsid w:val="00FA2E7D"/>
    <w:rsid w:val="00FA544F"/>
    <w:rsid w:val="00FB291B"/>
    <w:rsid w:val="00FB653B"/>
    <w:rsid w:val="00FB761A"/>
    <w:rsid w:val="00FC1C11"/>
    <w:rsid w:val="00FC1F1F"/>
    <w:rsid w:val="00FC693D"/>
    <w:rsid w:val="00FD62C1"/>
    <w:rsid w:val="00FE2907"/>
    <w:rsid w:val="00FE5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84A84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E84A84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b/>
      <w:sz w:val="20"/>
      <w:szCs w:val="20"/>
      <w:u w:val="single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1A4CE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84A84"/>
    <w:pPr>
      <w:jc w:val="center"/>
    </w:pPr>
    <w:rPr>
      <w:rFonts w:ascii="Arial" w:hAnsi="Arial" w:cs="Arial"/>
      <w:b/>
    </w:rPr>
  </w:style>
  <w:style w:type="character" w:styleId="Hyperlink">
    <w:name w:val="Hyperlink"/>
    <w:basedOn w:val="DefaultParagraphFont"/>
    <w:rsid w:val="00D86434"/>
    <w:rPr>
      <w:color w:val="0000FF"/>
      <w:u w:val="single"/>
    </w:rPr>
  </w:style>
  <w:style w:type="paragraph" w:styleId="NormalWeb">
    <w:name w:val="Normal (Web)"/>
    <w:basedOn w:val="Normal"/>
    <w:uiPriority w:val="99"/>
    <w:rsid w:val="00C36069"/>
    <w:pPr>
      <w:spacing w:before="100" w:beforeAutospacing="1" w:after="100" w:afterAutospacing="1"/>
    </w:pPr>
    <w:rPr>
      <w:lang w:eastAsia="en-GB"/>
    </w:rPr>
  </w:style>
  <w:style w:type="paragraph" w:styleId="Header">
    <w:name w:val="header"/>
    <w:basedOn w:val="Normal"/>
    <w:link w:val="HeaderChar"/>
    <w:rsid w:val="00A5530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A55309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A5530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A55309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2D6C2B"/>
    <w:pPr>
      <w:ind w:left="720"/>
    </w:pPr>
  </w:style>
  <w:style w:type="paragraph" w:customStyle="1" w:styleId="NormalWeb5">
    <w:name w:val="Normal (Web)5"/>
    <w:basedOn w:val="Normal"/>
    <w:rsid w:val="006A6156"/>
    <w:rPr>
      <w:rFonts w:ascii="Arial" w:hAnsi="Arial" w:cs="Arial"/>
      <w:lang w:eastAsia="en-GB"/>
    </w:rPr>
  </w:style>
  <w:style w:type="character" w:customStyle="1" w:styleId="BodyTextChar">
    <w:name w:val="Body Text Char"/>
    <w:basedOn w:val="DefaultParagraphFont"/>
    <w:link w:val="BodyText"/>
    <w:rsid w:val="00C72F64"/>
    <w:rPr>
      <w:rFonts w:ascii="Arial" w:hAnsi="Arial" w:cs="Arial"/>
      <w:b/>
      <w:sz w:val="24"/>
      <w:szCs w:val="24"/>
      <w:lang w:eastAsia="en-US"/>
    </w:rPr>
  </w:style>
  <w:style w:type="paragraph" w:customStyle="1" w:styleId="Default">
    <w:name w:val="Default"/>
    <w:basedOn w:val="Normal"/>
    <w:rsid w:val="007E058E"/>
    <w:pPr>
      <w:autoSpaceDE w:val="0"/>
      <w:autoSpaceDN w:val="0"/>
    </w:pPr>
    <w:rPr>
      <w:rFonts w:ascii="Myriad Pro" w:eastAsia="Calibri" w:hAnsi="Myriad Pro"/>
      <w:color w:val="000000"/>
      <w:lang w:eastAsia="en-GB"/>
    </w:rPr>
  </w:style>
  <w:style w:type="character" w:styleId="Strong">
    <w:name w:val="Strong"/>
    <w:basedOn w:val="DefaultParagraphFont"/>
    <w:uiPriority w:val="22"/>
    <w:qFormat/>
    <w:rsid w:val="00714BEA"/>
    <w:rPr>
      <w:b/>
      <w:bCs/>
    </w:rPr>
  </w:style>
  <w:style w:type="paragraph" w:styleId="BalloonText">
    <w:name w:val="Balloon Text"/>
    <w:basedOn w:val="Normal"/>
    <w:link w:val="BalloonTextChar"/>
    <w:rsid w:val="00EB49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B49AF"/>
    <w:rPr>
      <w:rFonts w:ascii="Tahoma" w:hAnsi="Tahoma" w:cs="Tahoma"/>
      <w:sz w:val="16"/>
      <w:szCs w:val="16"/>
      <w:lang w:eastAsia="en-US"/>
    </w:rPr>
  </w:style>
  <w:style w:type="paragraph" w:customStyle="1" w:styleId="CM62">
    <w:name w:val="CM62"/>
    <w:basedOn w:val="Normal"/>
    <w:uiPriority w:val="99"/>
    <w:rsid w:val="001C5C34"/>
    <w:pPr>
      <w:autoSpaceDE w:val="0"/>
      <w:autoSpaceDN w:val="0"/>
      <w:spacing w:after="180"/>
    </w:pPr>
    <w:rPr>
      <w:rFonts w:ascii="Myriad Pro" w:eastAsia="Calibri" w:hAnsi="Myriad Pro"/>
      <w:lang w:eastAsia="en-GB"/>
    </w:rPr>
  </w:style>
  <w:style w:type="character" w:customStyle="1" w:styleId="Heading3Char">
    <w:name w:val="Heading 3 Char"/>
    <w:basedOn w:val="DefaultParagraphFont"/>
    <w:link w:val="Heading3"/>
    <w:semiHidden/>
    <w:rsid w:val="001A4CE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n-US"/>
    </w:rPr>
  </w:style>
  <w:style w:type="character" w:styleId="Emphasis">
    <w:name w:val="Emphasis"/>
    <w:basedOn w:val="DefaultParagraphFont"/>
    <w:uiPriority w:val="20"/>
    <w:qFormat/>
    <w:rsid w:val="001A4CEB"/>
    <w:rPr>
      <w:i/>
      <w:iCs/>
    </w:rPr>
  </w:style>
  <w:style w:type="character" w:styleId="FollowedHyperlink">
    <w:name w:val="FollowedHyperlink"/>
    <w:basedOn w:val="DefaultParagraphFont"/>
    <w:rsid w:val="0071374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407">
      <w:bodyDiv w:val="1"/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159419">
          <w:marLeft w:val="0"/>
          <w:marRight w:val="0"/>
          <w:marTop w:val="0"/>
          <w:marBottom w:val="0"/>
          <w:divBdr>
            <w:top w:val="single" w:sz="36" w:space="0" w:color="996699"/>
            <w:left w:val="single" w:sz="6" w:space="0" w:color="996699"/>
            <w:bottom w:val="single" w:sz="6" w:space="0" w:color="996699"/>
            <w:right w:val="single" w:sz="6" w:space="0" w:color="996699"/>
          </w:divBdr>
          <w:divsChild>
            <w:div w:id="1429617089">
              <w:marLeft w:val="0"/>
              <w:marRight w:val="0"/>
              <w:marTop w:val="0"/>
              <w:marBottom w:val="0"/>
              <w:divBdr>
                <w:top w:val="single" w:sz="12" w:space="17" w:color="9966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85286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28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7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6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10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82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704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75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503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370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9850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61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6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04968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63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329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92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330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636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43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9279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19222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16331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69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0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3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9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79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349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969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009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795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956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0586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9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1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138903">
              <w:marLeft w:val="0"/>
              <w:marRight w:val="0"/>
              <w:marTop w:val="15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47456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311765">
                      <w:marLeft w:val="0"/>
                      <w:marRight w:val="-57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769048">
                          <w:marLeft w:val="300"/>
                          <w:marRight w:val="600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030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471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5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08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22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495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1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28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616726">
              <w:marLeft w:val="0"/>
              <w:marRight w:val="0"/>
              <w:marTop w:val="15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52582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960998">
                      <w:marLeft w:val="0"/>
                      <w:marRight w:val="-57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820988">
                          <w:marLeft w:val="300"/>
                          <w:marRight w:val="600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885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604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6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57645F-FADC-431B-9153-119F40313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704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Oxfordshire Mental Healthcare NHS Trust</Company>
  <LinksUpToDate>false</LinksUpToDate>
  <CharactersWithSpaces>4404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StackJ</dc:creator>
  <cp:keywords/>
  <dc:description/>
  <cp:lastModifiedBy>justinian.habner</cp:lastModifiedBy>
  <cp:revision>2</cp:revision>
  <cp:lastPrinted>2014-02-19T13:24:00Z</cp:lastPrinted>
  <dcterms:created xsi:type="dcterms:W3CDTF">2014-03-07T16:43:00Z</dcterms:created>
  <dcterms:modified xsi:type="dcterms:W3CDTF">2014-03-07T16:43:00Z</dcterms:modified>
</cp:coreProperties>
</file>