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F4" w:rsidRPr="00DF6E7D" w:rsidRDefault="00B044CC" w:rsidP="00B044CC">
      <w:pPr>
        <w:spacing w:after="0" w:line="240" w:lineRule="auto"/>
        <w:jc w:val="right"/>
        <w:rPr>
          <w:rFonts w:ascii="Segoe UI" w:hAnsi="Segoe UI" w:cs="Segoe UI"/>
          <w:b/>
          <w:sz w:val="24"/>
          <w:szCs w:val="24"/>
        </w:rPr>
      </w:pPr>
      <w:r>
        <w:rPr>
          <w:noProof/>
          <w:lang w:eastAsia="en-GB"/>
        </w:rPr>
        <w:drawing>
          <wp:inline distT="0" distB="0" distL="0" distR="0" wp14:anchorId="25D782C1" wp14:editId="57BFFB28">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DF6E7D" w:rsidRPr="003D4B07" w:rsidRDefault="00DF6E7D" w:rsidP="00E867F4">
      <w:pPr>
        <w:spacing w:after="0" w:line="240" w:lineRule="auto"/>
        <w:jc w:val="both"/>
        <w:rPr>
          <w:rFonts w:ascii="Segoe UI" w:hAnsi="Segoe UI" w:cs="Segoe UI"/>
          <w:b/>
          <w:sz w:val="20"/>
          <w:szCs w:val="20"/>
        </w:rPr>
      </w:pPr>
    </w:p>
    <w:p w:rsidR="003D4B07" w:rsidRPr="003D4B07" w:rsidRDefault="003D4B07" w:rsidP="00E867F4">
      <w:pPr>
        <w:spacing w:after="0" w:line="240" w:lineRule="auto"/>
        <w:jc w:val="both"/>
        <w:rPr>
          <w:rFonts w:ascii="Segoe UI" w:hAnsi="Segoe UI" w:cs="Segoe UI"/>
          <w:b/>
          <w:sz w:val="20"/>
          <w:szCs w:val="20"/>
        </w:rPr>
      </w:pPr>
      <w:bookmarkStart w:id="0" w:name="_GoBack"/>
      <w:bookmarkEnd w:id="0"/>
    </w:p>
    <w:p w:rsidR="00DF6E7D" w:rsidRPr="00DF6E7D" w:rsidRDefault="00DF6E7D" w:rsidP="00E867F4">
      <w:pPr>
        <w:spacing w:after="0" w:line="240" w:lineRule="auto"/>
        <w:jc w:val="both"/>
        <w:rPr>
          <w:rFonts w:ascii="Segoe UI" w:hAnsi="Segoe UI" w:cs="Segoe UI"/>
          <w:b/>
          <w:sz w:val="24"/>
          <w:szCs w:val="24"/>
        </w:rPr>
      </w:pPr>
      <w:r w:rsidRPr="00DF6E7D">
        <w:rPr>
          <w:rFonts w:ascii="Segoe UI" w:hAnsi="Segoe UI" w:cs="Segoe UI"/>
          <w:b/>
          <w:sz w:val="24"/>
          <w:szCs w:val="24"/>
        </w:rPr>
        <w:t xml:space="preserve">NHS Core Standards for </w:t>
      </w:r>
      <w:r w:rsidR="009D24A4" w:rsidRPr="00DF6E7D">
        <w:rPr>
          <w:rFonts w:ascii="Segoe UI" w:hAnsi="Segoe UI" w:cs="Segoe UI"/>
          <w:b/>
          <w:sz w:val="24"/>
          <w:szCs w:val="24"/>
        </w:rPr>
        <w:t>E</w:t>
      </w:r>
      <w:r w:rsidRPr="00DF6E7D">
        <w:rPr>
          <w:rFonts w:ascii="Segoe UI" w:hAnsi="Segoe UI" w:cs="Segoe UI"/>
          <w:b/>
          <w:sz w:val="24"/>
          <w:szCs w:val="24"/>
        </w:rPr>
        <w:t>mergency Preparedness, Resilience and Response</w:t>
      </w:r>
      <w:r w:rsidR="006156C0">
        <w:rPr>
          <w:rFonts w:ascii="Segoe UI" w:hAnsi="Segoe UI" w:cs="Segoe UI"/>
          <w:b/>
          <w:sz w:val="24"/>
          <w:szCs w:val="24"/>
        </w:rPr>
        <w:t xml:space="preserve"> (EPRR)</w:t>
      </w:r>
    </w:p>
    <w:p w:rsidR="00C64461" w:rsidRPr="00DF6E7D" w:rsidRDefault="00DF6E7D" w:rsidP="00DF6E7D">
      <w:pPr>
        <w:spacing w:after="0" w:line="240" w:lineRule="auto"/>
        <w:jc w:val="center"/>
        <w:rPr>
          <w:rFonts w:ascii="Segoe UI" w:hAnsi="Segoe UI" w:cs="Segoe UI"/>
          <w:b/>
          <w:sz w:val="24"/>
          <w:szCs w:val="24"/>
        </w:rPr>
      </w:pPr>
      <w:r w:rsidRPr="00DF6E7D">
        <w:rPr>
          <w:rFonts w:ascii="Segoe UI" w:hAnsi="Segoe UI" w:cs="Segoe UI"/>
          <w:b/>
          <w:sz w:val="24"/>
          <w:szCs w:val="24"/>
        </w:rPr>
        <w:t>S</w:t>
      </w:r>
      <w:r w:rsidR="009D24A4" w:rsidRPr="00DF6E7D">
        <w:rPr>
          <w:rFonts w:ascii="Segoe UI" w:hAnsi="Segoe UI" w:cs="Segoe UI"/>
          <w:b/>
          <w:sz w:val="24"/>
          <w:szCs w:val="24"/>
        </w:rPr>
        <w:t>tatement of compliance</w:t>
      </w:r>
    </w:p>
    <w:p w:rsidR="002073B2" w:rsidRPr="003D4B07" w:rsidRDefault="002073B2" w:rsidP="00E867F4">
      <w:pPr>
        <w:spacing w:after="0" w:line="240" w:lineRule="auto"/>
        <w:jc w:val="both"/>
        <w:rPr>
          <w:rFonts w:ascii="Segoe UI" w:hAnsi="Segoe UI" w:cs="Segoe UI"/>
          <w:b/>
          <w:sz w:val="20"/>
          <w:szCs w:val="20"/>
        </w:rPr>
      </w:pPr>
    </w:p>
    <w:p w:rsidR="002073B2" w:rsidRPr="002073B2" w:rsidRDefault="002073B2" w:rsidP="002073B2">
      <w:pPr>
        <w:pStyle w:val="ListParagraph"/>
        <w:numPr>
          <w:ilvl w:val="0"/>
          <w:numId w:val="2"/>
        </w:numPr>
        <w:spacing w:after="0" w:line="240" w:lineRule="auto"/>
        <w:ind w:left="567" w:hanging="567"/>
        <w:jc w:val="both"/>
        <w:rPr>
          <w:rFonts w:ascii="Segoe UI" w:hAnsi="Segoe UI" w:cs="Segoe UI"/>
          <w:b/>
          <w:sz w:val="24"/>
          <w:szCs w:val="24"/>
        </w:rPr>
      </w:pPr>
      <w:r w:rsidRPr="002073B2">
        <w:rPr>
          <w:rFonts w:ascii="Segoe UI" w:hAnsi="Segoe UI" w:cs="Segoe UI"/>
          <w:b/>
          <w:sz w:val="24"/>
          <w:szCs w:val="24"/>
        </w:rPr>
        <w:t>Introduction</w:t>
      </w:r>
    </w:p>
    <w:p w:rsidR="002073B2" w:rsidRPr="002073B2" w:rsidRDefault="002073B2" w:rsidP="002073B2">
      <w:pPr>
        <w:spacing w:after="0" w:line="240" w:lineRule="auto"/>
        <w:ind w:left="567"/>
        <w:jc w:val="both"/>
        <w:rPr>
          <w:rFonts w:ascii="Segoe UI" w:hAnsi="Segoe UI" w:cs="Segoe UI"/>
          <w:sz w:val="24"/>
          <w:szCs w:val="24"/>
        </w:rPr>
      </w:pPr>
      <w:r w:rsidRPr="002073B2">
        <w:rPr>
          <w:rFonts w:ascii="Segoe UI" w:hAnsi="Segoe UI" w:cs="Segoe UI"/>
          <w:sz w:val="24"/>
          <w:szCs w:val="24"/>
        </w:rPr>
        <w:t xml:space="preserve">The NHS needs to plan for, and respond to, a wide range of incidents and emergencies that could affect </w:t>
      </w:r>
      <w:r w:rsidR="006156C0">
        <w:rPr>
          <w:rFonts w:ascii="Segoe UI" w:hAnsi="Segoe UI" w:cs="Segoe UI"/>
          <w:sz w:val="24"/>
          <w:szCs w:val="24"/>
        </w:rPr>
        <w:t xml:space="preserve">the </w:t>
      </w:r>
      <w:r w:rsidRPr="002073B2">
        <w:rPr>
          <w:rFonts w:ascii="Segoe UI" w:hAnsi="Segoe UI" w:cs="Segoe UI"/>
          <w:sz w:val="24"/>
          <w:szCs w:val="24"/>
        </w:rPr>
        <w:t xml:space="preserve">health </w:t>
      </w:r>
      <w:r w:rsidR="006156C0">
        <w:rPr>
          <w:rFonts w:ascii="Segoe UI" w:hAnsi="Segoe UI" w:cs="Segoe UI"/>
          <w:sz w:val="24"/>
          <w:szCs w:val="24"/>
        </w:rPr>
        <w:t xml:space="preserve">of the population </w:t>
      </w:r>
      <w:r w:rsidRPr="002073B2">
        <w:rPr>
          <w:rFonts w:ascii="Segoe UI" w:hAnsi="Segoe UI" w:cs="Segoe UI"/>
          <w:sz w:val="24"/>
          <w:szCs w:val="24"/>
        </w:rPr>
        <w:t xml:space="preserve">or patient care. </w:t>
      </w:r>
      <w:r w:rsidR="006156C0">
        <w:rPr>
          <w:rFonts w:ascii="Segoe UI" w:hAnsi="Segoe UI" w:cs="Segoe UI"/>
          <w:sz w:val="24"/>
          <w:szCs w:val="24"/>
        </w:rPr>
        <w:t xml:space="preserve"> </w:t>
      </w:r>
      <w:r w:rsidRPr="002073B2">
        <w:rPr>
          <w:rFonts w:ascii="Segoe UI" w:hAnsi="Segoe UI" w:cs="Segoe UI"/>
          <w:sz w:val="24"/>
          <w:szCs w:val="24"/>
        </w:rPr>
        <w:t xml:space="preserve">These </w:t>
      </w:r>
      <w:r w:rsidR="006156C0">
        <w:rPr>
          <w:rFonts w:ascii="Segoe UI" w:hAnsi="Segoe UI" w:cs="Segoe UI"/>
          <w:sz w:val="24"/>
          <w:szCs w:val="24"/>
        </w:rPr>
        <w:t>inc</w:t>
      </w:r>
      <w:r w:rsidR="000B00FF">
        <w:rPr>
          <w:rFonts w:ascii="Segoe UI" w:hAnsi="Segoe UI" w:cs="Segoe UI"/>
          <w:sz w:val="24"/>
          <w:szCs w:val="24"/>
        </w:rPr>
        <w:t xml:space="preserve">idents </w:t>
      </w:r>
      <w:r w:rsidRPr="002073B2">
        <w:rPr>
          <w:rFonts w:ascii="Segoe UI" w:hAnsi="Segoe UI" w:cs="Segoe UI"/>
          <w:sz w:val="24"/>
          <w:szCs w:val="24"/>
        </w:rPr>
        <w:t xml:space="preserve">could </w:t>
      </w:r>
      <w:r w:rsidR="006156C0">
        <w:rPr>
          <w:rFonts w:ascii="Segoe UI" w:hAnsi="Segoe UI" w:cs="Segoe UI"/>
          <w:sz w:val="24"/>
          <w:szCs w:val="24"/>
        </w:rPr>
        <w:t>range</w:t>
      </w:r>
      <w:r w:rsidRPr="002073B2">
        <w:rPr>
          <w:rFonts w:ascii="Segoe UI" w:hAnsi="Segoe UI" w:cs="Segoe UI"/>
          <w:sz w:val="24"/>
          <w:szCs w:val="24"/>
        </w:rPr>
        <w:t xml:space="preserve"> from extreme weather conditions to an outbreak of an infectious disease or a major transport acciden</w:t>
      </w:r>
      <w:r w:rsidR="006156C0">
        <w:rPr>
          <w:rFonts w:ascii="Segoe UI" w:hAnsi="Segoe UI" w:cs="Segoe UI"/>
          <w:sz w:val="24"/>
          <w:szCs w:val="24"/>
        </w:rPr>
        <w:t>t.  The Civil Contingencies Act 2004</w:t>
      </w:r>
      <w:r w:rsidRPr="002073B2">
        <w:rPr>
          <w:rFonts w:ascii="Segoe UI" w:hAnsi="Segoe UI" w:cs="Segoe UI"/>
          <w:sz w:val="24"/>
          <w:szCs w:val="24"/>
        </w:rPr>
        <w:t xml:space="preserve"> requires NHS organisations, and providers of NHS</w:t>
      </w:r>
      <w:r w:rsidR="006156C0">
        <w:rPr>
          <w:rFonts w:ascii="Segoe UI" w:hAnsi="Segoe UI" w:cs="Segoe UI"/>
          <w:sz w:val="24"/>
          <w:szCs w:val="24"/>
        </w:rPr>
        <w:t xml:space="preserve"> </w:t>
      </w:r>
      <w:r w:rsidRPr="002073B2">
        <w:rPr>
          <w:rFonts w:ascii="Segoe UI" w:hAnsi="Segoe UI" w:cs="Segoe UI"/>
          <w:sz w:val="24"/>
          <w:szCs w:val="24"/>
        </w:rPr>
        <w:t xml:space="preserve">funded care, to </w:t>
      </w:r>
      <w:r w:rsidR="006156C0">
        <w:rPr>
          <w:rFonts w:ascii="Segoe UI" w:hAnsi="Segoe UI" w:cs="Segoe UI"/>
          <w:sz w:val="24"/>
          <w:szCs w:val="24"/>
        </w:rPr>
        <w:t>demonstrate</w:t>
      </w:r>
      <w:r w:rsidR="00682F49">
        <w:rPr>
          <w:rFonts w:ascii="Segoe UI" w:hAnsi="Segoe UI" w:cs="Segoe UI"/>
          <w:sz w:val="24"/>
          <w:szCs w:val="24"/>
        </w:rPr>
        <w:t xml:space="preserve"> that they are able to</w:t>
      </w:r>
      <w:r w:rsidR="006156C0">
        <w:rPr>
          <w:rFonts w:ascii="Segoe UI" w:hAnsi="Segoe UI" w:cs="Segoe UI"/>
          <w:sz w:val="24"/>
          <w:szCs w:val="24"/>
        </w:rPr>
        <w:t xml:space="preserve"> respond to such incidents </w:t>
      </w:r>
      <w:r w:rsidR="00BC42BD">
        <w:rPr>
          <w:rFonts w:ascii="Segoe UI" w:hAnsi="Segoe UI" w:cs="Segoe UI"/>
          <w:sz w:val="24"/>
          <w:szCs w:val="24"/>
        </w:rPr>
        <w:t>and maintain the provision of services</w:t>
      </w:r>
      <w:r w:rsidRPr="002073B2">
        <w:rPr>
          <w:rFonts w:ascii="Segoe UI" w:hAnsi="Segoe UI" w:cs="Segoe UI"/>
          <w:sz w:val="24"/>
          <w:szCs w:val="24"/>
        </w:rPr>
        <w:t>.</w:t>
      </w:r>
    </w:p>
    <w:p w:rsidR="002073B2" w:rsidRPr="003D4B07" w:rsidRDefault="002073B2" w:rsidP="002073B2">
      <w:pPr>
        <w:spacing w:after="0" w:line="240" w:lineRule="auto"/>
        <w:jc w:val="both"/>
        <w:rPr>
          <w:rFonts w:ascii="Segoe UI" w:hAnsi="Segoe UI" w:cs="Segoe UI"/>
          <w:sz w:val="20"/>
          <w:szCs w:val="20"/>
        </w:rPr>
      </w:pPr>
    </w:p>
    <w:p w:rsidR="002073B2" w:rsidRPr="002073B2" w:rsidRDefault="002073B2" w:rsidP="002073B2">
      <w:pPr>
        <w:pStyle w:val="ListParagraph"/>
        <w:numPr>
          <w:ilvl w:val="0"/>
          <w:numId w:val="2"/>
        </w:numPr>
        <w:spacing w:after="0" w:line="240" w:lineRule="auto"/>
        <w:ind w:left="567" w:hanging="567"/>
        <w:jc w:val="both"/>
        <w:rPr>
          <w:rFonts w:ascii="Segoe UI" w:hAnsi="Segoe UI" w:cs="Segoe UI"/>
          <w:b/>
          <w:sz w:val="24"/>
          <w:szCs w:val="24"/>
        </w:rPr>
      </w:pPr>
      <w:r w:rsidRPr="002073B2">
        <w:rPr>
          <w:rFonts w:ascii="Segoe UI" w:hAnsi="Segoe UI" w:cs="Segoe UI"/>
          <w:b/>
          <w:sz w:val="24"/>
          <w:szCs w:val="24"/>
        </w:rPr>
        <w:t>Core Standards</w:t>
      </w:r>
    </w:p>
    <w:p w:rsidR="002073B2" w:rsidRDefault="00724FC1" w:rsidP="002073B2">
      <w:pPr>
        <w:pStyle w:val="ListParagraph"/>
        <w:spacing w:line="240" w:lineRule="auto"/>
        <w:ind w:left="567"/>
        <w:jc w:val="both"/>
        <w:rPr>
          <w:rFonts w:ascii="Segoe UI" w:hAnsi="Segoe UI" w:cs="Segoe UI"/>
          <w:sz w:val="24"/>
          <w:szCs w:val="24"/>
        </w:rPr>
      </w:pPr>
      <w:r>
        <w:rPr>
          <w:rFonts w:ascii="Segoe UI" w:hAnsi="Segoe UI" w:cs="Segoe UI"/>
          <w:sz w:val="24"/>
          <w:szCs w:val="24"/>
        </w:rPr>
        <w:t xml:space="preserve">NHS England </w:t>
      </w:r>
      <w:r w:rsidR="002073B2" w:rsidRPr="002073B2">
        <w:rPr>
          <w:rFonts w:ascii="Segoe UI" w:hAnsi="Segoe UI" w:cs="Segoe UI"/>
          <w:sz w:val="24"/>
          <w:szCs w:val="24"/>
        </w:rPr>
        <w:t xml:space="preserve">published core standards for </w:t>
      </w:r>
      <w:r w:rsidR="00BC42BD">
        <w:rPr>
          <w:rFonts w:ascii="Segoe UI" w:hAnsi="Segoe UI" w:cs="Segoe UI"/>
          <w:sz w:val="24"/>
          <w:szCs w:val="24"/>
        </w:rPr>
        <w:t>e</w:t>
      </w:r>
      <w:r w:rsidR="002073B2" w:rsidRPr="002073B2">
        <w:rPr>
          <w:rFonts w:ascii="Segoe UI" w:hAnsi="Segoe UI" w:cs="Segoe UI"/>
          <w:sz w:val="24"/>
          <w:szCs w:val="24"/>
        </w:rPr>
        <w:t xml:space="preserve">mergency </w:t>
      </w:r>
      <w:r w:rsidR="00BC42BD">
        <w:rPr>
          <w:rFonts w:ascii="Segoe UI" w:hAnsi="Segoe UI" w:cs="Segoe UI"/>
          <w:sz w:val="24"/>
          <w:szCs w:val="24"/>
        </w:rPr>
        <w:t>p</w:t>
      </w:r>
      <w:r w:rsidR="002073B2" w:rsidRPr="002073B2">
        <w:rPr>
          <w:rFonts w:ascii="Segoe UI" w:hAnsi="Segoe UI" w:cs="Segoe UI"/>
          <w:sz w:val="24"/>
          <w:szCs w:val="24"/>
        </w:rPr>
        <w:t xml:space="preserve">reparedness, </w:t>
      </w:r>
      <w:r w:rsidR="00BC42BD">
        <w:rPr>
          <w:rFonts w:ascii="Segoe UI" w:hAnsi="Segoe UI" w:cs="Segoe UI"/>
          <w:sz w:val="24"/>
          <w:szCs w:val="24"/>
        </w:rPr>
        <w:t>r</w:t>
      </w:r>
      <w:r w:rsidR="002073B2" w:rsidRPr="002073B2">
        <w:rPr>
          <w:rFonts w:ascii="Segoe UI" w:hAnsi="Segoe UI" w:cs="Segoe UI"/>
          <w:sz w:val="24"/>
          <w:szCs w:val="24"/>
        </w:rPr>
        <w:t xml:space="preserve">esilience and </w:t>
      </w:r>
      <w:r w:rsidR="00BC42BD">
        <w:rPr>
          <w:rFonts w:ascii="Segoe UI" w:hAnsi="Segoe UI" w:cs="Segoe UI"/>
          <w:sz w:val="24"/>
          <w:szCs w:val="24"/>
        </w:rPr>
        <w:t>r</w:t>
      </w:r>
      <w:r w:rsidR="002073B2" w:rsidRPr="002073B2">
        <w:rPr>
          <w:rFonts w:ascii="Segoe UI" w:hAnsi="Segoe UI" w:cs="Segoe UI"/>
          <w:sz w:val="24"/>
          <w:szCs w:val="24"/>
        </w:rPr>
        <w:t>esponse</w:t>
      </w:r>
      <w:r>
        <w:rPr>
          <w:rFonts w:ascii="Segoe UI" w:hAnsi="Segoe UI" w:cs="Segoe UI"/>
          <w:sz w:val="24"/>
          <w:szCs w:val="24"/>
        </w:rPr>
        <w:t xml:space="preserve"> in 2013</w:t>
      </w:r>
      <w:r w:rsidR="002073B2" w:rsidRPr="00DF6E7D">
        <w:rPr>
          <w:rStyle w:val="FootnoteReference"/>
          <w:rFonts w:ascii="Segoe UI" w:hAnsi="Segoe UI" w:cs="Segoe UI"/>
          <w:sz w:val="24"/>
          <w:szCs w:val="24"/>
        </w:rPr>
        <w:footnoteReference w:id="1"/>
      </w:r>
      <w:r w:rsidR="002073B2" w:rsidRPr="002073B2">
        <w:rPr>
          <w:rFonts w:ascii="Segoe UI" w:hAnsi="Segoe UI" w:cs="Segoe UI"/>
          <w:sz w:val="24"/>
          <w:szCs w:val="24"/>
        </w:rPr>
        <w:t xml:space="preserve">. </w:t>
      </w:r>
      <w:r>
        <w:rPr>
          <w:rFonts w:ascii="Segoe UI" w:hAnsi="Segoe UI" w:cs="Segoe UI"/>
          <w:sz w:val="24"/>
          <w:szCs w:val="24"/>
        </w:rPr>
        <w:t xml:space="preserve"> </w:t>
      </w:r>
      <w:r w:rsidR="002073B2" w:rsidRPr="002073B2">
        <w:rPr>
          <w:rFonts w:ascii="Segoe UI" w:hAnsi="Segoe UI" w:cs="Segoe UI"/>
          <w:sz w:val="24"/>
          <w:szCs w:val="24"/>
        </w:rPr>
        <w:t xml:space="preserve">These are the minimum standards which NHS organisations and providers of </w:t>
      </w:r>
      <w:r w:rsidR="006156C0">
        <w:rPr>
          <w:rFonts w:ascii="Segoe UI" w:hAnsi="Segoe UI" w:cs="Segoe UI"/>
          <w:sz w:val="24"/>
          <w:szCs w:val="24"/>
        </w:rPr>
        <w:t xml:space="preserve">NHS funded care must meet. </w:t>
      </w:r>
      <w:r w:rsidR="00644D9C">
        <w:rPr>
          <w:rFonts w:ascii="Segoe UI" w:hAnsi="Segoe UI" w:cs="Segoe UI"/>
          <w:sz w:val="24"/>
          <w:szCs w:val="24"/>
        </w:rPr>
        <w:t xml:space="preserve"> </w:t>
      </w:r>
      <w:r w:rsidR="006156C0">
        <w:rPr>
          <w:rFonts w:ascii="Segoe UI" w:hAnsi="Segoe UI" w:cs="Segoe UI"/>
          <w:sz w:val="24"/>
          <w:szCs w:val="24"/>
        </w:rPr>
        <w:t>The A</w:t>
      </w:r>
      <w:r w:rsidR="002073B2" w:rsidRPr="002073B2">
        <w:rPr>
          <w:rFonts w:ascii="Segoe UI" w:hAnsi="Segoe UI" w:cs="Segoe UI"/>
          <w:sz w:val="24"/>
          <w:szCs w:val="24"/>
        </w:rPr>
        <w:t xml:space="preserve">ccountable </w:t>
      </w:r>
      <w:r w:rsidR="006156C0">
        <w:rPr>
          <w:rFonts w:ascii="Segoe UI" w:hAnsi="Segoe UI" w:cs="Segoe UI"/>
          <w:sz w:val="24"/>
          <w:szCs w:val="24"/>
        </w:rPr>
        <w:t>E</w:t>
      </w:r>
      <w:r w:rsidR="002073B2" w:rsidRPr="002073B2">
        <w:rPr>
          <w:rFonts w:ascii="Segoe UI" w:hAnsi="Segoe UI" w:cs="Segoe UI"/>
          <w:sz w:val="24"/>
          <w:szCs w:val="24"/>
        </w:rPr>
        <w:t xml:space="preserve">mergency </w:t>
      </w:r>
      <w:r w:rsidR="006156C0">
        <w:rPr>
          <w:rFonts w:ascii="Segoe UI" w:hAnsi="Segoe UI" w:cs="Segoe UI"/>
          <w:sz w:val="24"/>
          <w:szCs w:val="24"/>
        </w:rPr>
        <w:t>O</w:t>
      </w:r>
      <w:r w:rsidR="002073B2" w:rsidRPr="002073B2">
        <w:rPr>
          <w:rFonts w:ascii="Segoe UI" w:hAnsi="Segoe UI" w:cs="Segoe UI"/>
          <w:sz w:val="24"/>
          <w:szCs w:val="24"/>
        </w:rPr>
        <w:t>fficer in each organisation is responsible for making sure these standards are met.</w:t>
      </w:r>
    </w:p>
    <w:p w:rsidR="002073B2" w:rsidRPr="003D4B07" w:rsidRDefault="002073B2" w:rsidP="002073B2">
      <w:pPr>
        <w:pStyle w:val="ListParagraph"/>
        <w:spacing w:line="240" w:lineRule="auto"/>
        <w:ind w:left="567"/>
        <w:jc w:val="both"/>
        <w:rPr>
          <w:rFonts w:ascii="Segoe UI" w:hAnsi="Segoe UI" w:cs="Segoe UI"/>
          <w:sz w:val="20"/>
          <w:szCs w:val="20"/>
        </w:rPr>
      </w:pPr>
    </w:p>
    <w:p w:rsidR="002073B2" w:rsidRPr="002073B2" w:rsidRDefault="002073B2" w:rsidP="002073B2">
      <w:pPr>
        <w:pStyle w:val="ListParagraph"/>
        <w:numPr>
          <w:ilvl w:val="0"/>
          <w:numId w:val="2"/>
        </w:numPr>
        <w:spacing w:after="0" w:line="240" w:lineRule="auto"/>
        <w:ind w:left="567" w:hanging="567"/>
        <w:jc w:val="both"/>
        <w:rPr>
          <w:rFonts w:ascii="Segoe UI" w:hAnsi="Segoe UI" w:cs="Segoe UI"/>
          <w:b/>
          <w:sz w:val="24"/>
          <w:szCs w:val="24"/>
        </w:rPr>
      </w:pPr>
      <w:r w:rsidRPr="002073B2">
        <w:rPr>
          <w:rFonts w:ascii="Segoe UI" w:hAnsi="Segoe UI" w:cs="Segoe UI"/>
          <w:b/>
          <w:sz w:val="24"/>
          <w:szCs w:val="24"/>
        </w:rPr>
        <w:t>Statement of Compliance</w:t>
      </w:r>
    </w:p>
    <w:p w:rsidR="004A7286" w:rsidRDefault="0036765B" w:rsidP="002073B2">
      <w:pPr>
        <w:spacing w:after="0" w:line="240" w:lineRule="auto"/>
        <w:ind w:left="567"/>
        <w:jc w:val="both"/>
        <w:rPr>
          <w:rFonts w:ascii="Segoe UI" w:hAnsi="Segoe UI" w:cs="Segoe UI"/>
          <w:sz w:val="24"/>
          <w:szCs w:val="24"/>
        </w:rPr>
      </w:pPr>
      <w:r w:rsidRPr="00DF6E7D">
        <w:rPr>
          <w:rFonts w:ascii="Segoe UI" w:hAnsi="Segoe UI" w:cs="Segoe UI"/>
          <w:sz w:val="24"/>
          <w:szCs w:val="24"/>
        </w:rPr>
        <w:t xml:space="preserve">As part of the national EPRR assurance process for 2013/14, </w:t>
      </w:r>
      <w:r w:rsidR="00C833D2" w:rsidRPr="00DF6E7D">
        <w:rPr>
          <w:rFonts w:ascii="Segoe UI" w:hAnsi="Segoe UI" w:cs="Segoe UI"/>
          <w:sz w:val="24"/>
          <w:szCs w:val="24"/>
        </w:rPr>
        <w:t xml:space="preserve">Oxford Health NHS Foundation Trust </w:t>
      </w:r>
      <w:r w:rsidRPr="00DF6E7D">
        <w:rPr>
          <w:rFonts w:ascii="Segoe UI" w:hAnsi="Segoe UI" w:cs="Segoe UI"/>
          <w:sz w:val="24"/>
          <w:szCs w:val="24"/>
        </w:rPr>
        <w:t>has been required to assess itself against these core standards</w:t>
      </w:r>
      <w:r w:rsidR="003A513F">
        <w:rPr>
          <w:rFonts w:ascii="Segoe UI" w:hAnsi="Segoe UI" w:cs="Segoe UI"/>
          <w:sz w:val="24"/>
          <w:szCs w:val="24"/>
        </w:rPr>
        <w:t xml:space="preserve">.  </w:t>
      </w:r>
      <w:r w:rsidR="00761C12" w:rsidRPr="00DF6E7D">
        <w:rPr>
          <w:rFonts w:ascii="Segoe UI" w:hAnsi="Segoe UI" w:cs="Segoe UI"/>
          <w:sz w:val="24"/>
          <w:szCs w:val="24"/>
        </w:rPr>
        <w:t>The outcome of this</w:t>
      </w:r>
      <w:r w:rsidRPr="00DF6E7D">
        <w:rPr>
          <w:rFonts w:ascii="Segoe UI" w:hAnsi="Segoe UI" w:cs="Segoe UI"/>
          <w:sz w:val="24"/>
          <w:szCs w:val="24"/>
        </w:rPr>
        <w:t xml:space="preserve"> self-assessment</w:t>
      </w:r>
      <w:r w:rsidR="00761C12" w:rsidRPr="00DF6E7D">
        <w:rPr>
          <w:rFonts w:ascii="Segoe UI" w:hAnsi="Segoe UI" w:cs="Segoe UI"/>
          <w:sz w:val="24"/>
          <w:szCs w:val="24"/>
        </w:rPr>
        <w:t xml:space="preserve"> </w:t>
      </w:r>
      <w:r w:rsidR="00644D9C">
        <w:rPr>
          <w:rFonts w:ascii="Segoe UI" w:hAnsi="Segoe UI" w:cs="Segoe UI"/>
          <w:sz w:val="24"/>
          <w:szCs w:val="24"/>
        </w:rPr>
        <w:t>showed</w:t>
      </w:r>
      <w:r w:rsidR="00761C12" w:rsidRPr="00DF6E7D">
        <w:rPr>
          <w:rFonts w:ascii="Segoe UI" w:hAnsi="Segoe UI" w:cs="Segoe UI"/>
          <w:sz w:val="24"/>
          <w:szCs w:val="24"/>
        </w:rPr>
        <w:t xml:space="preserve"> that</w:t>
      </w:r>
      <w:r w:rsidR="003A513F">
        <w:rPr>
          <w:rFonts w:ascii="Segoe UI" w:hAnsi="Segoe UI" w:cs="Segoe UI"/>
          <w:sz w:val="24"/>
          <w:szCs w:val="24"/>
        </w:rPr>
        <w:t>,</w:t>
      </w:r>
      <w:r w:rsidR="00761C12" w:rsidRPr="00DF6E7D">
        <w:rPr>
          <w:rFonts w:ascii="Segoe UI" w:hAnsi="Segoe UI" w:cs="Segoe UI"/>
          <w:sz w:val="24"/>
          <w:szCs w:val="24"/>
        </w:rPr>
        <w:t xml:space="preserve"> against </w:t>
      </w:r>
      <w:r w:rsidR="00FB4E1E" w:rsidRPr="00DF6E7D">
        <w:rPr>
          <w:rFonts w:ascii="Segoe UI" w:hAnsi="Segoe UI" w:cs="Segoe UI"/>
          <w:sz w:val="24"/>
          <w:szCs w:val="24"/>
        </w:rPr>
        <w:t>the sections</w:t>
      </w:r>
      <w:r w:rsidR="00761C12" w:rsidRPr="00DF6E7D">
        <w:rPr>
          <w:rFonts w:ascii="Segoe UI" w:hAnsi="Segoe UI" w:cs="Segoe UI"/>
          <w:sz w:val="24"/>
          <w:szCs w:val="24"/>
        </w:rPr>
        <w:t xml:space="preserve"> of the core standards which are applicable to the organisation</w:t>
      </w:r>
      <w:r w:rsidR="006D357E" w:rsidRPr="00DF6E7D">
        <w:rPr>
          <w:rFonts w:ascii="Segoe UI" w:hAnsi="Segoe UI" w:cs="Segoe UI"/>
          <w:sz w:val="24"/>
          <w:szCs w:val="24"/>
        </w:rPr>
        <w:t xml:space="preserve">, </w:t>
      </w:r>
      <w:r w:rsidR="00FB4E1E" w:rsidRPr="00DF6E7D">
        <w:rPr>
          <w:rFonts w:ascii="Segoe UI" w:hAnsi="Segoe UI" w:cs="Segoe UI"/>
          <w:sz w:val="24"/>
          <w:szCs w:val="24"/>
        </w:rPr>
        <w:t>Oxford Health NHS Foundation Trust</w:t>
      </w:r>
      <w:r w:rsidR="00DF6E7D" w:rsidRPr="00DF6E7D">
        <w:rPr>
          <w:rFonts w:ascii="Segoe UI" w:hAnsi="Segoe UI" w:cs="Segoe UI"/>
          <w:sz w:val="24"/>
          <w:szCs w:val="24"/>
        </w:rPr>
        <w:t xml:space="preserve"> </w:t>
      </w:r>
      <w:r w:rsidR="00BC42BD">
        <w:rPr>
          <w:rFonts w:ascii="Segoe UI" w:hAnsi="Segoe UI" w:cs="Segoe UI"/>
          <w:sz w:val="24"/>
          <w:szCs w:val="24"/>
        </w:rPr>
        <w:t xml:space="preserve">is </w:t>
      </w:r>
      <w:r w:rsidR="00761C12" w:rsidRPr="00DF6E7D">
        <w:rPr>
          <w:rFonts w:ascii="Segoe UI" w:hAnsi="Segoe UI" w:cs="Segoe UI"/>
          <w:sz w:val="24"/>
          <w:szCs w:val="24"/>
        </w:rPr>
        <w:t>compliant</w:t>
      </w:r>
      <w:r w:rsidR="004A7286">
        <w:rPr>
          <w:rFonts w:ascii="Segoe UI" w:hAnsi="Segoe UI" w:cs="Segoe UI"/>
          <w:sz w:val="24"/>
          <w:szCs w:val="24"/>
        </w:rPr>
        <w:t xml:space="preserve"> (see Appendix A)</w:t>
      </w:r>
      <w:r w:rsidR="00DF6E7D" w:rsidRPr="00DF6E7D">
        <w:rPr>
          <w:rFonts w:ascii="Segoe UI" w:hAnsi="Segoe UI" w:cs="Segoe UI"/>
          <w:sz w:val="24"/>
          <w:szCs w:val="24"/>
        </w:rPr>
        <w:t>.</w:t>
      </w:r>
      <w:r w:rsidR="006156C0">
        <w:rPr>
          <w:rFonts w:ascii="Segoe UI" w:hAnsi="Segoe UI" w:cs="Segoe UI"/>
          <w:sz w:val="24"/>
          <w:szCs w:val="24"/>
        </w:rPr>
        <w:t xml:space="preserve">  </w:t>
      </w:r>
    </w:p>
    <w:p w:rsidR="004A7286" w:rsidRPr="003D4B07" w:rsidRDefault="004A7286" w:rsidP="002073B2">
      <w:pPr>
        <w:spacing w:after="0" w:line="240" w:lineRule="auto"/>
        <w:ind w:left="567"/>
        <w:jc w:val="both"/>
        <w:rPr>
          <w:rFonts w:ascii="Segoe UI" w:hAnsi="Segoe UI" w:cs="Segoe UI"/>
          <w:sz w:val="20"/>
          <w:szCs w:val="20"/>
        </w:rPr>
      </w:pPr>
    </w:p>
    <w:p w:rsidR="00833E0A" w:rsidRDefault="006156C0" w:rsidP="00833E0A">
      <w:pPr>
        <w:spacing w:after="0" w:line="240" w:lineRule="auto"/>
        <w:ind w:left="567"/>
        <w:jc w:val="both"/>
        <w:rPr>
          <w:rFonts w:ascii="Segoe UI" w:hAnsi="Segoe UI" w:cs="Segoe UI"/>
          <w:sz w:val="24"/>
          <w:szCs w:val="24"/>
        </w:rPr>
      </w:pPr>
      <w:r>
        <w:rPr>
          <w:rFonts w:ascii="Segoe UI" w:hAnsi="Segoe UI" w:cs="Segoe UI"/>
          <w:sz w:val="24"/>
          <w:szCs w:val="24"/>
        </w:rPr>
        <w:t xml:space="preserve">This self-assessment was examined and accepted </w:t>
      </w:r>
      <w:r w:rsidR="00BC42BD">
        <w:rPr>
          <w:rFonts w:ascii="Segoe UI" w:hAnsi="Segoe UI" w:cs="Segoe UI"/>
          <w:sz w:val="24"/>
          <w:szCs w:val="24"/>
        </w:rPr>
        <w:t xml:space="preserve">by </w:t>
      </w:r>
      <w:r>
        <w:rPr>
          <w:rFonts w:ascii="Segoe UI" w:hAnsi="Segoe UI" w:cs="Segoe UI"/>
          <w:sz w:val="24"/>
          <w:szCs w:val="24"/>
        </w:rPr>
        <w:t>the NHS England Thames Valley Area Team in December 2013.</w:t>
      </w:r>
      <w:r w:rsidR="004A7286">
        <w:rPr>
          <w:rFonts w:ascii="Segoe UI" w:hAnsi="Segoe UI" w:cs="Segoe UI"/>
          <w:sz w:val="24"/>
          <w:szCs w:val="24"/>
        </w:rPr>
        <w:t xml:space="preserve">  The Area Team noted </w:t>
      </w:r>
      <w:r w:rsidR="00833E0A">
        <w:rPr>
          <w:rFonts w:ascii="Segoe UI" w:hAnsi="Segoe UI" w:cs="Segoe UI"/>
          <w:sz w:val="24"/>
          <w:szCs w:val="24"/>
        </w:rPr>
        <w:t>the following:</w:t>
      </w:r>
    </w:p>
    <w:p w:rsidR="00833E0A" w:rsidRPr="003D4B07" w:rsidRDefault="00833E0A" w:rsidP="00833E0A">
      <w:pPr>
        <w:spacing w:after="0" w:line="240" w:lineRule="auto"/>
        <w:ind w:left="567"/>
        <w:jc w:val="both"/>
        <w:rPr>
          <w:rFonts w:ascii="Segoe UI" w:hAnsi="Segoe UI" w:cs="Segoe UI"/>
          <w:sz w:val="20"/>
          <w:szCs w:val="20"/>
        </w:rPr>
      </w:pPr>
    </w:p>
    <w:p w:rsidR="00833E0A" w:rsidRDefault="00833E0A" w:rsidP="00833E0A">
      <w:pPr>
        <w:spacing w:after="0" w:line="240" w:lineRule="auto"/>
        <w:ind w:left="567"/>
        <w:jc w:val="both"/>
        <w:rPr>
          <w:rFonts w:ascii="Segoe UI" w:hAnsi="Segoe UI" w:cs="Segoe UI"/>
          <w:i/>
          <w:color w:val="000000"/>
          <w:sz w:val="24"/>
          <w:szCs w:val="24"/>
        </w:rPr>
      </w:pPr>
      <w:r w:rsidRPr="00833E0A">
        <w:rPr>
          <w:rFonts w:ascii="Segoe UI" w:hAnsi="Segoe UI" w:cs="Segoe UI"/>
          <w:i/>
          <w:color w:val="000000"/>
          <w:sz w:val="24"/>
          <w:szCs w:val="24"/>
        </w:rPr>
        <w:t xml:space="preserve">The Local Health Resilience Partnership panel were impressed with the level of preparedness demonstrated by the Trust and commend all the work that has gone into the internal assurance of trust plans and polices.  In particular the panel were impressed by the methodical attention to detail demonstrated with regard to policies and procedures.  </w:t>
      </w:r>
    </w:p>
    <w:p w:rsidR="00724FC1" w:rsidRPr="003D4B07" w:rsidRDefault="00724FC1" w:rsidP="00724FC1">
      <w:pPr>
        <w:spacing w:after="0" w:line="240" w:lineRule="auto"/>
        <w:ind w:left="567"/>
        <w:jc w:val="both"/>
        <w:rPr>
          <w:rFonts w:ascii="Segoe UI" w:hAnsi="Segoe UI" w:cs="Segoe UI"/>
          <w:color w:val="000000"/>
          <w:sz w:val="20"/>
          <w:szCs w:val="20"/>
        </w:rPr>
      </w:pPr>
    </w:p>
    <w:p w:rsidR="00724FC1" w:rsidRPr="00724FC1" w:rsidRDefault="00724FC1" w:rsidP="00724FC1">
      <w:pPr>
        <w:spacing w:after="0" w:line="240" w:lineRule="auto"/>
        <w:ind w:left="567"/>
        <w:jc w:val="both"/>
        <w:rPr>
          <w:rFonts w:ascii="Segoe UI" w:hAnsi="Segoe UI" w:cs="Segoe UI"/>
          <w:sz w:val="24"/>
          <w:szCs w:val="24"/>
        </w:rPr>
      </w:pPr>
      <w:r w:rsidRPr="00724FC1">
        <w:rPr>
          <w:rFonts w:ascii="Segoe UI" w:hAnsi="Segoe UI" w:cs="Segoe UI"/>
          <w:color w:val="000000"/>
          <w:sz w:val="24"/>
          <w:szCs w:val="24"/>
        </w:rPr>
        <w:t xml:space="preserve">In addition, the self-assessment template was </w:t>
      </w:r>
      <w:r w:rsidR="00575E34">
        <w:rPr>
          <w:rFonts w:ascii="Segoe UI" w:hAnsi="Segoe UI" w:cs="Segoe UI"/>
          <w:color w:val="000000"/>
          <w:sz w:val="24"/>
          <w:szCs w:val="24"/>
        </w:rPr>
        <w:t>reviewed</w:t>
      </w:r>
      <w:r>
        <w:rPr>
          <w:rFonts w:ascii="Segoe UI" w:hAnsi="Segoe UI" w:cs="Segoe UI"/>
          <w:color w:val="000000"/>
          <w:sz w:val="24"/>
          <w:szCs w:val="24"/>
        </w:rPr>
        <w:t xml:space="preserve"> and accepted</w:t>
      </w:r>
      <w:r w:rsidRPr="00724FC1">
        <w:rPr>
          <w:rFonts w:ascii="Segoe UI" w:hAnsi="Segoe UI" w:cs="Segoe UI"/>
          <w:color w:val="000000"/>
          <w:sz w:val="24"/>
          <w:szCs w:val="24"/>
        </w:rPr>
        <w:t xml:space="preserve"> by the Trust’</w:t>
      </w:r>
      <w:r>
        <w:rPr>
          <w:rFonts w:ascii="Segoe UI" w:hAnsi="Segoe UI" w:cs="Segoe UI"/>
          <w:color w:val="000000"/>
          <w:sz w:val="24"/>
          <w:szCs w:val="24"/>
        </w:rPr>
        <w:t>s Emergency Planning Group in January 2014.</w:t>
      </w:r>
    </w:p>
    <w:p w:rsidR="00833E0A" w:rsidRPr="00DF6E7D" w:rsidRDefault="00833E0A" w:rsidP="002073B2">
      <w:pPr>
        <w:spacing w:after="0" w:line="240" w:lineRule="auto"/>
        <w:ind w:left="567"/>
        <w:jc w:val="both"/>
        <w:rPr>
          <w:rFonts w:ascii="Segoe UI" w:hAnsi="Segoe UI" w:cs="Segoe UI"/>
          <w:sz w:val="24"/>
          <w:szCs w:val="24"/>
        </w:rPr>
      </w:pPr>
    </w:p>
    <w:p w:rsidR="001F7C56" w:rsidRDefault="001F7C56" w:rsidP="001F7C56">
      <w:pPr>
        <w:spacing w:after="0" w:line="240" w:lineRule="auto"/>
        <w:jc w:val="right"/>
        <w:rPr>
          <w:rFonts w:ascii="Segoe UI" w:hAnsi="Segoe UI" w:cs="Segoe UI"/>
          <w:b/>
          <w:sz w:val="24"/>
          <w:szCs w:val="24"/>
        </w:rPr>
      </w:pPr>
      <w:r>
        <w:rPr>
          <w:rFonts w:ascii="Segoe UI" w:hAnsi="Segoe UI" w:cs="Segoe UI"/>
          <w:b/>
          <w:sz w:val="24"/>
          <w:szCs w:val="24"/>
        </w:rPr>
        <w:t xml:space="preserve">Katie Cleaver, Emergency Planning Lead </w:t>
      </w:r>
    </w:p>
    <w:p w:rsidR="001F7C56" w:rsidRPr="00B044CC" w:rsidRDefault="001F7C56" w:rsidP="001F7C56">
      <w:pPr>
        <w:spacing w:after="0" w:line="240" w:lineRule="auto"/>
        <w:jc w:val="right"/>
        <w:rPr>
          <w:rFonts w:ascii="Segoe UI" w:hAnsi="Segoe UI" w:cs="Segoe UI"/>
          <w:b/>
          <w:sz w:val="24"/>
          <w:szCs w:val="24"/>
        </w:rPr>
      </w:pPr>
      <w:r>
        <w:rPr>
          <w:rFonts w:ascii="Segoe UI" w:hAnsi="Segoe UI" w:cs="Segoe UI"/>
          <w:b/>
          <w:sz w:val="24"/>
          <w:szCs w:val="24"/>
        </w:rPr>
        <w:t>on behalf of</w:t>
      </w:r>
    </w:p>
    <w:p w:rsidR="009A0646" w:rsidRPr="00B044CC" w:rsidRDefault="00C833D2" w:rsidP="00F86B50">
      <w:pPr>
        <w:spacing w:after="0" w:line="240" w:lineRule="auto"/>
        <w:jc w:val="right"/>
        <w:rPr>
          <w:rFonts w:ascii="Segoe UI" w:hAnsi="Segoe UI" w:cs="Segoe UI"/>
          <w:b/>
          <w:sz w:val="24"/>
          <w:szCs w:val="24"/>
        </w:rPr>
      </w:pPr>
      <w:r w:rsidRPr="00B044CC">
        <w:rPr>
          <w:rFonts w:ascii="Segoe UI" w:hAnsi="Segoe UI" w:cs="Segoe UI"/>
          <w:b/>
          <w:sz w:val="24"/>
          <w:szCs w:val="24"/>
        </w:rPr>
        <w:t>Yvonne Taylor</w:t>
      </w:r>
      <w:r w:rsidR="002073B2" w:rsidRPr="00B044CC">
        <w:rPr>
          <w:rFonts w:ascii="Segoe UI" w:hAnsi="Segoe UI" w:cs="Segoe UI"/>
          <w:b/>
          <w:sz w:val="24"/>
          <w:szCs w:val="24"/>
        </w:rPr>
        <w:t>, Chief Operating Officer</w:t>
      </w:r>
    </w:p>
    <w:p w:rsidR="002C628F" w:rsidRDefault="009C13CB" w:rsidP="00833E0A">
      <w:pPr>
        <w:spacing w:after="0" w:line="240" w:lineRule="auto"/>
        <w:jc w:val="right"/>
        <w:rPr>
          <w:rFonts w:ascii="Segoe UI" w:hAnsi="Segoe UI" w:cs="Segoe UI"/>
          <w:b/>
          <w:sz w:val="24"/>
          <w:szCs w:val="24"/>
        </w:rPr>
      </w:pPr>
      <w:r>
        <w:rPr>
          <w:rFonts w:ascii="Segoe UI" w:hAnsi="Segoe UI" w:cs="Segoe UI"/>
          <w:b/>
          <w:sz w:val="24"/>
          <w:szCs w:val="24"/>
        </w:rPr>
        <w:t>1</w:t>
      </w:r>
      <w:r w:rsidR="00B044CC" w:rsidRPr="00B044CC">
        <w:rPr>
          <w:rFonts w:ascii="Segoe UI" w:hAnsi="Segoe UI" w:cs="Segoe UI"/>
          <w:b/>
          <w:sz w:val="24"/>
          <w:szCs w:val="24"/>
        </w:rPr>
        <w:t>3 January 2014</w:t>
      </w:r>
      <w:r w:rsidR="00C833D2" w:rsidRPr="00B044CC">
        <w:rPr>
          <w:rFonts w:ascii="Segoe UI" w:hAnsi="Segoe UI" w:cs="Segoe UI"/>
          <w:b/>
          <w:sz w:val="24"/>
          <w:szCs w:val="24"/>
        </w:rPr>
        <w:t xml:space="preserve"> </w:t>
      </w:r>
      <w:r w:rsidR="002C628F">
        <w:rPr>
          <w:rFonts w:ascii="Segoe UI" w:hAnsi="Segoe UI" w:cs="Segoe UI"/>
          <w:b/>
          <w:sz w:val="24"/>
          <w:szCs w:val="24"/>
        </w:rPr>
        <w:br w:type="page"/>
      </w:r>
    </w:p>
    <w:p w:rsidR="002C628F" w:rsidRDefault="002C628F" w:rsidP="002C628F">
      <w:pPr>
        <w:tabs>
          <w:tab w:val="left" w:pos="1755"/>
        </w:tabs>
        <w:jc w:val="both"/>
        <w:rPr>
          <w:rFonts w:ascii="Segoe UI" w:hAnsi="Segoe UI" w:cs="Segoe UI"/>
          <w:b/>
          <w:sz w:val="24"/>
          <w:szCs w:val="24"/>
        </w:rPr>
      </w:pPr>
      <w:r>
        <w:rPr>
          <w:rFonts w:ascii="Times New Roman" w:hAnsi="Times New Roman" w:cs="Times New Roman"/>
          <w:noProof/>
          <w:sz w:val="24"/>
          <w:szCs w:val="24"/>
          <w:lang w:eastAsia="en-GB"/>
        </w:rPr>
        <w:lastRenderedPageBreak/>
        <w:drawing>
          <wp:anchor distT="0" distB="0" distL="114300" distR="114300" simplePos="0" relativeHeight="251659264" behindDoc="0" locked="0" layoutInCell="1" allowOverlap="1" wp14:anchorId="7A3FE957" wp14:editId="00E79D94">
            <wp:simplePos x="0" y="0"/>
            <wp:positionH relativeFrom="column">
              <wp:posOffset>4086860</wp:posOffset>
            </wp:positionH>
            <wp:positionV relativeFrom="paragraph">
              <wp:posOffset>-233045</wp:posOffset>
            </wp:positionV>
            <wp:extent cx="2412365" cy="103251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365" cy="1032510"/>
                    </a:xfrm>
                    <a:prstGeom prst="rect">
                      <a:avLst/>
                    </a:prstGeom>
                    <a:noFill/>
                  </pic:spPr>
                </pic:pic>
              </a:graphicData>
            </a:graphic>
            <wp14:sizeRelH relativeFrom="page">
              <wp14:pctWidth>0</wp14:pctWidth>
            </wp14:sizeRelH>
            <wp14:sizeRelV relativeFrom="page">
              <wp14:pctHeight>0</wp14:pctHeight>
            </wp14:sizeRelV>
          </wp:anchor>
        </w:drawing>
      </w:r>
    </w:p>
    <w:p w:rsidR="002C628F" w:rsidRDefault="000D6A8A" w:rsidP="002C628F">
      <w:pPr>
        <w:tabs>
          <w:tab w:val="left" w:pos="1755"/>
        </w:tabs>
        <w:jc w:val="both"/>
        <w:rPr>
          <w:rFonts w:ascii="Segoe UI" w:hAnsi="Segoe UI" w:cs="Segoe UI"/>
          <w:b/>
          <w:sz w:val="24"/>
          <w:szCs w:val="24"/>
        </w:rPr>
      </w:pPr>
      <w:r>
        <w:rPr>
          <w:rFonts w:ascii="Segoe UI" w:hAnsi="Segoe UI" w:cs="Segoe UI"/>
          <w:b/>
          <w:sz w:val="24"/>
          <w:szCs w:val="24"/>
        </w:rPr>
        <w:t>Appendix A</w:t>
      </w:r>
    </w:p>
    <w:p w:rsidR="002C628F" w:rsidRDefault="002C628F" w:rsidP="002C628F">
      <w:pPr>
        <w:tabs>
          <w:tab w:val="left" w:pos="1755"/>
        </w:tabs>
        <w:jc w:val="both"/>
        <w:rPr>
          <w:rFonts w:ascii="Segoe UI" w:hAnsi="Segoe UI" w:cs="Segoe UI"/>
          <w:b/>
          <w:sz w:val="24"/>
          <w:szCs w:val="24"/>
        </w:rPr>
      </w:pPr>
    </w:p>
    <w:p w:rsidR="002C628F" w:rsidRPr="001B6905" w:rsidRDefault="002C628F" w:rsidP="002C628F">
      <w:pPr>
        <w:tabs>
          <w:tab w:val="left" w:pos="1755"/>
        </w:tabs>
        <w:spacing w:after="0" w:line="240" w:lineRule="auto"/>
        <w:jc w:val="both"/>
        <w:rPr>
          <w:rFonts w:ascii="Segoe UI" w:hAnsi="Segoe UI" w:cs="Segoe UI"/>
          <w:b/>
          <w:sz w:val="24"/>
          <w:szCs w:val="24"/>
        </w:rPr>
      </w:pPr>
      <w:r w:rsidRPr="001B6905">
        <w:rPr>
          <w:rFonts w:ascii="Segoe UI" w:hAnsi="Segoe UI" w:cs="Segoe UI"/>
          <w:b/>
          <w:sz w:val="24"/>
          <w:szCs w:val="24"/>
        </w:rPr>
        <w:t>Summary report on the EPRR Assurance Meeting with Oxford Health NHS Foundation Trust</w:t>
      </w:r>
    </w:p>
    <w:p w:rsidR="002C628F" w:rsidRPr="001B6905" w:rsidRDefault="002C628F" w:rsidP="002C628F">
      <w:pPr>
        <w:tabs>
          <w:tab w:val="left" w:pos="1755"/>
        </w:tabs>
        <w:spacing w:after="0" w:line="240" w:lineRule="auto"/>
        <w:jc w:val="center"/>
        <w:rPr>
          <w:rFonts w:ascii="Segoe UI" w:hAnsi="Segoe UI" w:cs="Segoe UI"/>
          <w:b/>
          <w:sz w:val="24"/>
          <w:szCs w:val="24"/>
        </w:rPr>
      </w:pPr>
      <w:r w:rsidRPr="001B6905">
        <w:rPr>
          <w:rFonts w:ascii="Segoe UI" w:hAnsi="Segoe UI" w:cs="Segoe UI"/>
          <w:b/>
          <w:sz w:val="24"/>
          <w:szCs w:val="24"/>
        </w:rPr>
        <w:t>23.12.13</w:t>
      </w:r>
    </w:p>
    <w:p w:rsidR="002C628F" w:rsidRPr="001B6905" w:rsidRDefault="002C628F" w:rsidP="002C628F">
      <w:pPr>
        <w:tabs>
          <w:tab w:val="left" w:pos="1755"/>
        </w:tabs>
        <w:spacing w:after="0" w:line="240" w:lineRule="auto"/>
        <w:jc w:val="both"/>
        <w:rPr>
          <w:rFonts w:ascii="Segoe UI" w:hAnsi="Segoe UI" w:cs="Segoe UI"/>
          <w:b/>
          <w:sz w:val="24"/>
          <w:szCs w:val="24"/>
        </w:rPr>
      </w:pPr>
      <w:r w:rsidRPr="001B6905">
        <w:rPr>
          <w:rFonts w:ascii="Segoe UI" w:hAnsi="Segoe UI" w:cs="Segoe UI"/>
          <w:b/>
          <w:sz w:val="24"/>
          <w:szCs w:val="24"/>
        </w:rPr>
        <w:t xml:space="preserve">Present: </w:t>
      </w:r>
    </w:p>
    <w:p w:rsidR="002C628F" w:rsidRPr="001B6905" w:rsidRDefault="002C628F" w:rsidP="001B6905">
      <w:pPr>
        <w:pStyle w:val="ListParagraph"/>
        <w:numPr>
          <w:ilvl w:val="0"/>
          <w:numId w:val="3"/>
        </w:numPr>
        <w:tabs>
          <w:tab w:val="left" w:pos="1755"/>
        </w:tabs>
        <w:spacing w:after="0" w:line="240" w:lineRule="auto"/>
        <w:jc w:val="both"/>
        <w:rPr>
          <w:rFonts w:ascii="Segoe UI" w:hAnsi="Segoe UI" w:cs="Segoe UI"/>
          <w:sz w:val="24"/>
          <w:szCs w:val="24"/>
        </w:rPr>
      </w:pPr>
      <w:r w:rsidRPr="001B6905">
        <w:rPr>
          <w:rFonts w:ascii="Segoe UI" w:hAnsi="Segoe UI" w:cs="Segoe UI"/>
          <w:sz w:val="24"/>
          <w:szCs w:val="24"/>
        </w:rPr>
        <w:t>Louise Watson, Director of Operations and Delivery, NHS England-Thames Valley (Area Team), Co-Chair Thames Valley LHRP;</w:t>
      </w:r>
    </w:p>
    <w:p w:rsidR="002C628F" w:rsidRPr="001B6905" w:rsidRDefault="002C628F" w:rsidP="001B6905">
      <w:pPr>
        <w:pStyle w:val="ListParagraph"/>
        <w:numPr>
          <w:ilvl w:val="0"/>
          <w:numId w:val="3"/>
        </w:numPr>
        <w:tabs>
          <w:tab w:val="left" w:pos="1755"/>
        </w:tabs>
        <w:spacing w:after="0" w:line="240" w:lineRule="auto"/>
        <w:jc w:val="both"/>
        <w:rPr>
          <w:rFonts w:ascii="Segoe UI" w:hAnsi="Segoe UI" w:cs="Segoe UI"/>
          <w:sz w:val="24"/>
          <w:szCs w:val="24"/>
        </w:rPr>
      </w:pPr>
      <w:r w:rsidRPr="001B6905">
        <w:rPr>
          <w:rFonts w:ascii="Segoe UI" w:hAnsi="Segoe UI" w:cs="Segoe UI"/>
          <w:sz w:val="24"/>
          <w:szCs w:val="24"/>
        </w:rPr>
        <w:t>Gail King, Head of EPRR, NHS England-Thames Valley;</w:t>
      </w:r>
    </w:p>
    <w:p w:rsidR="002C628F" w:rsidRPr="001B6905" w:rsidRDefault="002C628F" w:rsidP="001B6905">
      <w:pPr>
        <w:pStyle w:val="ListParagraph"/>
        <w:numPr>
          <w:ilvl w:val="0"/>
          <w:numId w:val="3"/>
        </w:numPr>
        <w:tabs>
          <w:tab w:val="left" w:pos="1755"/>
        </w:tabs>
        <w:spacing w:after="0" w:line="240" w:lineRule="auto"/>
        <w:jc w:val="both"/>
        <w:rPr>
          <w:rFonts w:ascii="Segoe UI" w:hAnsi="Segoe UI" w:cs="Segoe UI"/>
          <w:sz w:val="24"/>
          <w:szCs w:val="24"/>
        </w:rPr>
      </w:pPr>
      <w:r w:rsidRPr="001B6905">
        <w:rPr>
          <w:rFonts w:ascii="Segoe UI" w:hAnsi="Segoe UI" w:cs="Segoe UI"/>
          <w:sz w:val="24"/>
          <w:szCs w:val="24"/>
        </w:rPr>
        <w:t>Yvonne Taylor, Chief Operating Officer, Accountable Emergency Officer, Oxford Health;</w:t>
      </w:r>
    </w:p>
    <w:p w:rsidR="002C628F" w:rsidRPr="001B6905" w:rsidRDefault="002C628F" w:rsidP="001B6905">
      <w:pPr>
        <w:pStyle w:val="ListParagraph"/>
        <w:numPr>
          <w:ilvl w:val="0"/>
          <w:numId w:val="3"/>
        </w:numPr>
        <w:tabs>
          <w:tab w:val="left" w:pos="1755"/>
        </w:tabs>
        <w:spacing w:after="0" w:line="240" w:lineRule="auto"/>
        <w:jc w:val="both"/>
        <w:rPr>
          <w:rFonts w:ascii="Segoe UI" w:hAnsi="Segoe UI" w:cs="Segoe UI"/>
          <w:sz w:val="24"/>
          <w:szCs w:val="24"/>
        </w:rPr>
      </w:pPr>
      <w:r w:rsidRPr="001B6905">
        <w:rPr>
          <w:rFonts w:ascii="Segoe UI" w:hAnsi="Segoe UI" w:cs="Segoe UI"/>
          <w:sz w:val="24"/>
          <w:szCs w:val="24"/>
        </w:rPr>
        <w:t>Katie Cleaver, Emergency Planning Lead, Oxford Health.</w:t>
      </w:r>
    </w:p>
    <w:p w:rsidR="002C628F" w:rsidRPr="001B6905" w:rsidRDefault="002C628F" w:rsidP="002C628F">
      <w:pPr>
        <w:tabs>
          <w:tab w:val="left" w:pos="1755"/>
        </w:tabs>
        <w:spacing w:after="0" w:line="240" w:lineRule="auto"/>
        <w:jc w:val="both"/>
        <w:rPr>
          <w:rFonts w:ascii="Segoe UI" w:hAnsi="Segoe UI" w:cs="Segoe UI"/>
          <w:b/>
          <w:color w:val="000000"/>
          <w:sz w:val="24"/>
          <w:szCs w:val="24"/>
        </w:rPr>
      </w:pPr>
    </w:p>
    <w:p w:rsidR="002C628F" w:rsidRPr="001B6905" w:rsidRDefault="002C628F" w:rsidP="002C628F">
      <w:pPr>
        <w:tabs>
          <w:tab w:val="left" w:pos="1755"/>
        </w:tabs>
        <w:spacing w:after="0" w:line="240" w:lineRule="auto"/>
        <w:jc w:val="both"/>
        <w:rPr>
          <w:rFonts w:ascii="Segoe UI" w:hAnsi="Segoe UI" w:cs="Segoe UI"/>
          <w:b/>
          <w:color w:val="000000"/>
          <w:sz w:val="24"/>
          <w:szCs w:val="24"/>
        </w:rPr>
      </w:pPr>
      <w:r w:rsidRPr="001B6905">
        <w:rPr>
          <w:rFonts w:ascii="Segoe UI" w:hAnsi="Segoe UI" w:cs="Segoe UI"/>
          <w:b/>
          <w:color w:val="000000"/>
          <w:sz w:val="24"/>
          <w:szCs w:val="24"/>
        </w:rPr>
        <w:t>Key points:</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 xml:space="preserve">Standard Statement of Compliance received. To be signed off by the Board Jan 2014. No improvement plan submitted due to complete compliance. Actioned sign off to be </w:t>
      </w:r>
      <w:proofErr w:type="spellStart"/>
      <w:r w:rsidRPr="001B6905">
        <w:rPr>
          <w:rFonts w:ascii="Segoe UI" w:hAnsi="Segoe UI" w:cs="Segoe UI"/>
          <w:color w:val="000000"/>
          <w:sz w:val="24"/>
          <w:szCs w:val="24"/>
        </w:rPr>
        <w:t>minuted</w:t>
      </w:r>
      <w:proofErr w:type="spellEnd"/>
      <w:r w:rsidRPr="001B6905">
        <w:rPr>
          <w:rFonts w:ascii="Segoe UI" w:hAnsi="Segoe UI" w:cs="Segoe UI"/>
          <w:color w:val="000000"/>
          <w:sz w:val="24"/>
          <w:szCs w:val="24"/>
        </w:rPr>
        <w:t xml:space="preserve"> on board papers and submitted to NHS England-Thames Valley;</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 xml:space="preserve">Business Continuity Policy, Business Continuity Plan, Influenza Pandemic Plan, Cold Weather Plan and supporting documents were all received prior to the face to face meeting as evidence. </w:t>
      </w:r>
    </w:p>
    <w:p w:rsidR="002C628F" w:rsidRPr="001B6905" w:rsidRDefault="002C628F" w:rsidP="002C628F">
      <w:pPr>
        <w:tabs>
          <w:tab w:val="left" w:pos="1755"/>
        </w:tabs>
        <w:spacing w:after="0" w:line="240" w:lineRule="auto"/>
        <w:jc w:val="both"/>
        <w:rPr>
          <w:rFonts w:ascii="Segoe UI" w:hAnsi="Segoe UI" w:cs="Segoe UI"/>
          <w:b/>
          <w:color w:val="000000"/>
          <w:sz w:val="24"/>
          <w:szCs w:val="24"/>
        </w:rPr>
      </w:pPr>
    </w:p>
    <w:p w:rsidR="002C628F" w:rsidRPr="001B6905" w:rsidRDefault="002C628F" w:rsidP="002C628F">
      <w:pPr>
        <w:tabs>
          <w:tab w:val="left" w:pos="1755"/>
        </w:tabs>
        <w:spacing w:after="0" w:line="240" w:lineRule="auto"/>
        <w:jc w:val="both"/>
        <w:rPr>
          <w:rFonts w:ascii="Segoe UI" w:hAnsi="Segoe UI" w:cs="Segoe UI"/>
          <w:b/>
          <w:color w:val="000000"/>
          <w:sz w:val="24"/>
          <w:szCs w:val="24"/>
        </w:rPr>
      </w:pPr>
      <w:r w:rsidRPr="001B6905">
        <w:rPr>
          <w:rFonts w:ascii="Segoe UI" w:hAnsi="Segoe UI" w:cs="Segoe UI"/>
          <w:b/>
          <w:color w:val="000000"/>
          <w:sz w:val="24"/>
          <w:szCs w:val="24"/>
        </w:rPr>
        <w:t>Summary and Areas of Best Practice:</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Oxford Health NHS Foundation Trust have completed a 10 day internal audit for resilience planning in July 2013 and achieved an excellent rating. The only recommendation was having a named person against each action following meetings, debriefs and lessons learnt;</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There is a dedicated Emergency Planning Group chaired by an associate director which meets quarterly;</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There is full engagement of a non-executive director on the Board;</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Several live incidents over the past two years including power outages and flooding have tested the organisation more fully and in a responding format. Structured debriefs have further enhanced the EPRR and business continuity plans in place;</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Training for Resilience study day was attended by EP lead in August in order to prepare for the EPRR assurance process;</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There are annual updates of all EPRR and business continuity plans;</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Plans are actioned based, definitive and incorporate best practice with minimal duplication.</w:t>
      </w:r>
    </w:p>
    <w:p w:rsidR="002C628F" w:rsidRPr="001B6905" w:rsidRDefault="002C628F" w:rsidP="002C628F">
      <w:pPr>
        <w:tabs>
          <w:tab w:val="left" w:pos="1755"/>
        </w:tabs>
        <w:spacing w:after="0" w:line="240" w:lineRule="auto"/>
        <w:jc w:val="both"/>
        <w:rPr>
          <w:rFonts w:ascii="Segoe UI" w:hAnsi="Segoe UI" w:cs="Segoe UI"/>
          <w:b/>
          <w:color w:val="000000"/>
          <w:sz w:val="24"/>
          <w:szCs w:val="24"/>
        </w:rPr>
      </w:pPr>
    </w:p>
    <w:p w:rsidR="002C628F" w:rsidRPr="001B6905" w:rsidRDefault="002C628F" w:rsidP="002C628F">
      <w:pPr>
        <w:tabs>
          <w:tab w:val="left" w:pos="1755"/>
        </w:tabs>
        <w:spacing w:after="0" w:line="240" w:lineRule="auto"/>
        <w:jc w:val="both"/>
        <w:rPr>
          <w:rFonts w:ascii="Segoe UI" w:hAnsi="Segoe UI" w:cs="Segoe UI"/>
          <w:b/>
          <w:color w:val="000000"/>
          <w:sz w:val="24"/>
          <w:szCs w:val="24"/>
        </w:rPr>
      </w:pPr>
      <w:r w:rsidRPr="001B6905">
        <w:rPr>
          <w:rFonts w:ascii="Segoe UI" w:hAnsi="Segoe UI" w:cs="Segoe UI"/>
          <w:b/>
          <w:color w:val="000000"/>
          <w:sz w:val="24"/>
          <w:szCs w:val="24"/>
        </w:rPr>
        <w:t>Sections for discussion:</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Sections 5.34, 5.41 and section 5.43 were discussed in detail to clarify green status;</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5.34: Mutual aid was assured as part of action cards and local partnership working arrangements;</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lastRenderedPageBreak/>
        <w:t xml:space="preserve">5.41: Corporate Services already provide a 24 hour service and there is an extended </w:t>
      </w:r>
      <w:proofErr w:type="gramStart"/>
      <w:r w:rsidRPr="001B6905">
        <w:rPr>
          <w:rFonts w:ascii="Segoe UI" w:hAnsi="Segoe UI" w:cs="Segoe UI"/>
          <w:color w:val="000000"/>
          <w:sz w:val="24"/>
          <w:szCs w:val="24"/>
        </w:rPr>
        <w:t>hours</w:t>
      </w:r>
      <w:proofErr w:type="gramEnd"/>
      <w:r w:rsidRPr="001B6905">
        <w:rPr>
          <w:rFonts w:ascii="Segoe UI" w:hAnsi="Segoe UI" w:cs="Segoe UI"/>
          <w:color w:val="000000"/>
          <w:sz w:val="24"/>
          <w:szCs w:val="24"/>
        </w:rPr>
        <w:t xml:space="preserve"> programme for other services in 2014;</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5.43: NHS 111 is liaised with on a daily basis as Oxford Health is the commissioner for the service.</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To conclude the EPRR Provider Forum was discussed to define a way forward for 2014. The AEO was happy to be part of the group if there was defined roles and responsibilities for the forum and that they could be done by teleconference.</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Recommendation</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p>
    <w:p w:rsidR="002C628F" w:rsidRP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 xml:space="preserve">The LHRP panel were impressed with the level of preparedness demonstrated by the Trust and commend all the work that has gone into the internal assurance of trust plans and polices.  In particular the panel were impressed by the methodical attention to detail demonstrated with regard to policies and procedures.  </w:t>
      </w:r>
    </w:p>
    <w:p w:rsidR="002C628F" w:rsidRPr="001B6905" w:rsidRDefault="002C628F" w:rsidP="002C628F">
      <w:pPr>
        <w:tabs>
          <w:tab w:val="left" w:pos="1755"/>
        </w:tabs>
        <w:spacing w:after="0" w:line="240" w:lineRule="auto"/>
        <w:jc w:val="both"/>
        <w:rPr>
          <w:rFonts w:ascii="Segoe UI" w:hAnsi="Segoe UI" w:cs="Segoe UI"/>
          <w:color w:val="000000"/>
          <w:sz w:val="24"/>
          <w:szCs w:val="24"/>
        </w:rPr>
      </w:pPr>
    </w:p>
    <w:p w:rsidR="001B6905" w:rsidRDefault="002C628F" w:rsidP="002C628F">
      <w:pPr>
        <w:tabs>
          <w:tab w:val="left" w:pos="1755"/>
        </w:tabs>
        <w:spacing w:after="0" w:line="240" w:lineRule="auto"/>
        <w:jc w:val="both"/>
        <w:rPr>
          <w:rFonts w:ascii="Segoe UI" w:hAnsi="Segoe UI" w:cs="Segoe UI"/>
          <w:color w:val="000000"/>
          <w:sz w:val="24"/>
          <w:szCs w:val="24"/>
        </w:rPr>
      </w:pPr>
      <w:r w:rsidRPr="001B6905">
        <w:rPr>
          <w:rFonts w:ascii="Segoe UI" w:hAnsi="Segoe UI" w:cs="Segoe UI"/>
          <w:color w:val="000000"/>
          <w:sz w:val="24"/>
          <w:szCs w:val="24"/>
        </w:rPr>
        <w:t xml:space="preserve">In discussion on some key areas outlined above it would provide greater assurance to bed informal understandings into policies and contractual arrangements although the LHRP will leave this to the Trust’s discretion to enact.  </w:t>
      </w:r>
    </w:p>
    <w:p w:rsidR="001B6905" w:rsidRDefault="001B6905" w:rsidP="001B6905">
      <w:pPr>
        <w:tabs>
          <w:tab w:val="left" w:pos="1755"/>
        </w:tabs>
        <w:spacing w:after="0" w:line="240" w:lineRule="auto"/>
        <w:jc w:val="right"/>
        <w:rPr>
          <w:rFonts w:ascii="Segoe UI" w:hAnsi="Segoe UI" w:cs="Segoe UI"/>
          <w:color w:val="000000"/>
          <w:sz w:val="24"/>
          <w:szCs w:val="24"/>
        </w:rPr>
      </w:pPr>
    </w:p>
    <w:p w:rsidR="002C628F" w:rsidRDefault="001B6905" w:rsidP="001B6905">
      <w:pPr>
        <w:tabs>
          <w:tab w:val="left" w:pos="1755"/>
        </w:tabs>
        <w:spacing w:after="0" w:line="240" w:lineRule="auto"/>
        <w:jc w:val="right"/>
        <w:rPr>
          <w:rFonts w:ascii="Segoe UI" w:hAnsi="Segoe UI" w:cs="Segoe UI"/>
          <w:b/>
          <w:color w:val="000000"/>
          <w:sz w:val="24"/>
          <w:szCs w:val="24"/>
        </w:rPr>
      </w:pPr>
      <w:r w:rsidRPr="001B6905">
        <w:rPr>
          <w:rFonts w:ascii="Segoe UI" w:hAnsi="Segoe UI" w:cs="Segoe UI"/>
          <w:b/>
          <w:color w:val="000000"/>
          <w:sz w:val="24"/>
          <w:szCs w:val="24"/>
        </w:rPr>
        <w:t>Thames Valley Area Team</w:t>
      </w:r>
    </w:p>
    <w:p w:rsidR="001B6905" w:rsidRPr="001B6905" w:rsidRDefault="00302723" w:rsidP="001B6905">
      <w:pPr>
        <w:tabs>
          <w:tab w:val="left" w:pos="1755"/>
        </w:tabs>
        <w:spacing w:after="0" w:line="240" w:lineRule="auto"/>
        <w:jc w:val="right"/>
        <w:rPr>
          <w:rFonts w:ascii="Segoe UI" w:hAnsi="Segoe UI" w:cs="Segoe UI"/>
          <w:b/>
          <w:color w:val="000000"/>
          <w:sz w:val="24"/>
          <w:szCs w:val="24"/>
        </w:rPr>
      </w:pPr>
      <w:r>
        <w:rPr>
          <w:rFonts w:ascii="Segoe UI" w:hAnsi="Segoe UI" w:cs="Segoe UI"/>
          <w:b/>
          <w:color w:val="000000"/>
          <w:sz w:val="24"/>
          <w:szCs w:val="24"/>
        </w:rPr>
        <w:t>December 2013</w:t>
      </w:r>
    </w:p>
    <w:p w:rsidR="009A0646" w:rsidRPr="002C628F" w:rsidRDefault="009A0646" w:rsidP="002C628F">
      <w:pPr>
        <w:spacing w:after="0" w:line="240" w:lineRule="auto"/>
        <w:jc w:val="both"/>
        <w:rPr>
          <w:rFonts w:ascii="Segoe UI" w:hAnsi="Segoe UI" w:cs="Segoe UI"/>
          <w:b/>
        </w:rPr>
      </w:pPr>
    </w:p>
    <w:sectPr w:rsidR="009A0646" w:rsidRPr="002C628F" w:rsidSect="003D4B0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DCF" w:rsidRDefault="00380DCF" w:rsidP="00E867F4">
      <w:pPr>
        <w:spacing w:after="0" w:line="240" w:lineRule="auto"/>
      </w:pPr>
      <w:r>
        <w:separator/>
      </w:r>
    </w:p>
  </w:endnote>
  <w:endnote w:type="continuationSeparator" w:id="0">
    <w:p w:rsidR="00380DCF" w:rsidRDefault="00380DCF" w:rsidP="00E8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DCF" w:rsidRDefault="00380DCF" w:rsidP="00E867F4">
      <w:pPr>
        <w:spacing w:after="0" w:line="240" w:lineRule="auto"/>
      </w:pPr>
      <w:r>
        <w:separator/>
      </w:r>
    </w:p>
  </w:footnote>
  <w:footnote w:type="continuationSeparator" w:id="0">
    <w:p w:rsidR="00380DCF" w:rsidRDefault="00380DCF" w:rsidP="00E867F4">
      <w:pPr>
        <w:spacing w:after="0" w:line="240" w:lineRule="auto"/>
      </w:pPr>
      <w:r>
        <w:continuationSeparator/>
      </w:r>
    </w:p>
  </w:footnote>
  <w:footnote w:id="1">
    <w:p w:rsidR="002073B2" w:rsidRDefault="002073B2" w:rsidP="002073B2">
      <w:pPr>
        <w:pStyle w:val="FootnoteText"/>
      </w:pPr>
      <w:r>
        <w:rPr>
          <w:rStyle w:val="FootnoteReference"/>
        </w:rPr>
        <w:footnoteRef/>
      </w:r>
      <w:r>
        <w:t xml:space="preserve"> NHS Commissioning Board Core Standards for Emergency Preparedness, Resilience and Response (EPRR), published on 7 January 2013. The core standards are available at </w:t>
      </w:r>
      <w:hyperlink r:id="rId1" w:history="1">
        <w:r w:rsidRPr="00463391">
          <w:rPr>
            <w:rStyle w:val="Hyperlink"/>
          </w:rPr>
          <w:t>http://www.england.nhs.uk/ourwork/gov/eprr/</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5EC"/>
    <w:multiLevelType w:val="hybridMultilevel"/>
    <w:tmpl w:val="894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BD7203"/>
    <w:multiLevelType w:val="hybridMultilevel"/>
    <w:tmpl w:val="6998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B2312D"/>
    <w:multiLevelType w:val="multilevel"/>
    <w:tmpl w:val="90D4C02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A4"/>
    <w:rsid w:val="000B00FF"/>
    <w:rsid w:val="000D6A8A"/>
    <w:rsid w:val="00176D8A"/>
    <w:rsid w:val="001B6905"/>
    <w:rsid w:val="001F7C56"/>
    <w:rsid w:val="002073B2"/>
    <w:rsid w:val="00252FF4"/>
    <w:rsid w:val="002C628F"/>
    <w:rsid w:val="00302723"/>
    <w:rsid w:val="0036765B"/>
    <w:rsid w:val="00380DCF"/>
    <w:rsid w:val="003A513F"/>
    <w:rsid w:val="003D4B07"/>
    <w:rsid w:val="004A7286"/>
    <w:rsid w:val="00575E34"/>
    <w:rsid w:val="005D68C0"/>
    <w:rsid w:val="006156C0"/>
    <w:rsid w:val="0063267F"/>
    <w:rsid w:val="00644D9C"/>
    <w:rsid w:val="00682F49"/>
    <w:rsid w:val="006D357E"/>
    <w:rsid w:val="00724FC1"/>
    <w:rsid w:val="00761C12"/>
    <w:rsid w:val="00833E0A"/>
    <w:rsid w:val="00845CBD"/>
    <w:rsid w:val="008678E3"/>
    <w:rsid w:val="009A0646"/>
    <w:rsid w:val="009C13CB"/>
    <w:rsid w:val="009D24A4"/>
    <w:rsid w:val="00AA4D54"/>
    <w:rsid w:val="00B044CC"/>
    <w:rsid w:val="00BC42BD"/>
    <w:rsid w:val="00C64461"/>
    <w:rsid w:val="00C833D2"/>
    <w:rsid w:val="00D06184"/>
    <w:rsid w:val="00DF6E7D"/>
    <w:rsid w:val="00E541EF"/>
    <w:rsid w:val="00E867F4"/>
    <w:rsid w:val="00F86B50"/>
    <w:rsid w:val="00FB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6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7F4"/>
    <w:rPr>
      <w:sz w:val="20"/>
      <w:szCs w:val="20"/>
    </w:rPr>
  </w:style>
  <w:style w:type="character" w:styleId="FootnoteReference">
    <w:name w:val="footnote reference"/>
    <w:basedOn w:val="DefaultParagraphFont"/>
    <w:uiPriority w:val="99"/>
    <w:semiHidden/>
    <w:unhideWhenUsed/>
    <w:rsid w:val="00E867F4"/>
    <w:rPr>
      <w:vertAlign w:val="superscript"/>
    </w:rPr>
  </w:style>
  <w:style w:type="character" w:styleId="Hyperlink">
    <w:name w:val="Hyperlink"/>
    <w:basedOn w:val="DefaultParagraphFont"/>
    <w:uiPriority w:val="99"/>
    <w:unhideWhenUsed/>
    <w:rsid w:val="0036765B"/>
    <w:rPr>
      <w:color w:val="0000FF" w:themeColor="hyperlink"/>
      <w:u w:val="single"/>
    </w:rPr>
  </w:style>
  <w:style w:type="paragraph" w:styleId="ListParagraph">
    <w:name w:val="List Paragraph"/>
    <w:basedOn w:val="Normal"/>
    <w:uiPriority w:val="34"/>
    <w:qFormat/>
    <w:rsid w:val="00761C12"/>
    <w:pPr>
      <w:ind w:left="720"/>
      <w:contextualSpacing/>
    </w:pPr>
  </w:style>
  <w:style w:type="paragraph" w:styleId="BalloonText">
    <w:name w:val="Balloon Text"/>
    <w:basedOn w:val="Normal"/>
    <w:link w:val="BalloonTextChar"/>
    <w:uiPriority w:val="99"/>
    <w:semiHidden/>
    <w:unhideWhenUsed/>
    <w:rsid w:val="0063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6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7F4"/>
    <w:rPr>
      <w:sz w:val="20"/>
      <w:szCs w:val="20"/>
    </w:rPr>
  </w:style>
  <w:style w:type="character" w:styleId="FootnoteReference">
    <w:name w:val="footnote reference"/>
    <w:basedOn w:val="DefaultParagraphFont"/>
    <w:uiPriority w:val="99"/>
    <w:semiHidden/>
    <w:unhideWhenUsed/>
    <w:rsid w:val="00E867F4"/>
    <w:rPr>
      <w:vertAlign w:val="superscript"/>
    </w:rPr>
  </w:style>
  <w:style w:type="character" w:styleId="Hyperlink">
    <w:name w:val="Hyperlink"/>
    <w:basedOn w:val="DefaultParagraphFont"/>
    <w:uiPriority w:val="99"/>
    <w:unhideWhenUsed/>
    <w:rsid w:val="0036765B"/>
    <w:rPr>
      <w:color w:val="0000FF" w:themeColor="hyperlink"/>
      <w:u w:val="single"/>
    </w:rPr>
  </w:style>
  <w:style w:type="paragraph" w:styleId="ListParagraph">
    <w:name w:val="List Paragraph"/>
    <w:basedOn w:val="Normal"/>
    <w:uiPriority w:val="34"/>
    <w:qFormat/>
    <w:rsid w:val="00761C12"/>
    <w:pPr>
      <w:ind w:left="720"/>
      <w:contextualSpacing/>
    </w:pPr>
  </w:style>
  <w:style w:type="paragraph" w:styleId="BalloonText">
    <w:name w:val="Balloon Text"/>
    <w:basedOn w:val="Normal"/>
    <w:link w:val="BalloonTextChar"/>
    <w:uiPriority w:val="99"/>
    <w:semiHidden/>
    <w:unhideWhenUsed/>
    <w:rsid w:val="0063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england.nhs.uk/ourwork/gov/ep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20375-6EC9-48D3-94B5-E7D52EB9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Central</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Tyler</dc:creator>
  <cp:lastModifiedBy>Cleaver Katie (RNU) Oxford Health</cp:lastModifiedBy>
  <cp:revision>15</cp:revision>
  <dcterms:created xsi:type="dcterms:W3CDTF">2014-01-13T10:07:00Z</dcterms:created>
  <dcterms:modified xsi:type="dcterms:W3CDTF">2014-02-03T09:51:00Z</dcterms:modified>
</cp:coreProperties>
</file>