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647AC4">
      <w:pPr>
        <w:jc w:val="center"/>
        <w:rPr>
          <w:rFonts w:ascii="Frutiger" w:hAnsi="Frutiger"/>
        </w:rPr>
      </w:pPr>
      <w:r w:rsidRPr="00647AC4">
        <w:rPr>
          <w:noProof/>
          <w:sz w:val="20"/>
        </w:rPr>
        <w:pict>
          <v:rect id="_x0000_s1034" style="position:absolute;left:0;text-align:left;margin-left:324pt;margin-top:4.05pt;width:108pt;height:45pt;z-index:251657728">
            <v:textbox inset="0,0,0,0">
              <w:txbxContent>
                <w:p w:rsidR="00781566" w:rsidRDefault="00781566">
                  <w:pPr>
                    <w:pStyle w:val="Heading1"/>
                    <w:jc w:val="center"/>
                    <w:rPr>
                      <w:sz w:val="24"/>
                      <w:u w:val="none"/>
                    </w:rPr>
                  </w:pPr>
                  <w:r>
                    <w:rPr>
                      <w:sz w:val="24"/>
                      <w:u w:val="none"/>
                    </w:rPr>
                    <w:t>PAPER</w:t>
                  </w:r>
                </w:p>
                <w:p w:rsidR="00781566" w:rsidRDefault="00682834">
                  <w:pPr>
                    <w:pStyle w:val="BodyText"/>
                    <w:rPr>
                      <w:sz w:val="22"/>
                    </w:rPr>
                  </w:pPr>
                  <w:r>
                    <w:rPr>
                      <w:sz w:val="22"/>
                    </w:rPr>
                    <w:t>BOD 58/2014</w:t>
                  </w:r>
                </w:p>
                <w:p w:rsidR="00781566" w:rsidRPr="00682834" w:rsidRDefault="00682834">
                  <w:pPr>
                    <w:jc w:val="center"/>
                    <w:rPr>
                      <w:rFonts w:ascii="Arial" w:hAnsi="Arial" w:cs="Arial"/>
                      <w:sz w:val="20"/>
                      <w:szCs w:val="20"/>
                    </w:rPr>
                  </w:pPr>
                  <w:r>
                    <w:rPr>
                      <w:rFonts w:ascii="Arial" w:hAnsi="Arial" w:cs="Arial"/>
                      <w:sz w:val="20"/>
                      <w:szCs w:val="20"/>
                    </w:rPr>
                    <w:t>(Agenda Item 17)</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682834">
      <w:pPr>
        <w:jc w:val="center"/>
        <w:rPr>
          <w:rFonts w:ascii="Arial" w:hAnsi="Arial" w:cs="Arial"/>
          <w:b/>
        </w:rPr>
      </w:pPr>
      <w:r>
        <w:rPr>
          <w:rFonts w:ascii="Arial" w:hAnsi="Arial" w:cs="Arial"/>
          <w:b/>
        </w:rPr>
        <w:t>30 April 2014</w:t>
      </w:r>
    </w:p>
    <w:p w:rsidR="005D3499" w:rsidRDefault="005D3499">
      <w:pPr>
        <w:rPr>
          <w:rFonts w:ascii="Arial" w:hAnsi="Arial" w:cs="Arial"/>
          <w:b/>
        </w:rPr>
      </w:pPr>
    </w:p>
    <w:p w:rsidR="00682834" w:rsidRPr="00682834" w:rsidRDefault="00682834" w:rsidP="00682834">
      <w:pPr>
        <w:jc w:val="center"/>
        <w:rPr>
          <w:rFonts w:ascii="Arial" w:hAnsi="Arial" w:cs="Arial"/>
          <w:b/>
        </w:rPr>
      </w:pPr>
      <w:r w:rsidRPr="00682834">
        <w:rPr>
          <w:rFonts w:ascii="Arial" w:hAnsi="Arial" w:cs="Arial"/>
          <w:b/>
        </w:rPr>
        <w:t>Transfer of Contraception &amp; Sexual Health Fund to Oxford Radcliffe Hospitals Charitable Funds</w:t>
      </w:r>
    </w:p>
    <w:p w:rsidR="00682834" w:rsidRDefault="00682834">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Decision</w:t>
      </w:r>
      <w:r>
        <w:rPr>
          <w:rFonts w:ascii="Arial" w:hAnsi="Arial" w:cs="Arial"/>
        </w:rPr>
        <w:t xml:space="preserve"> </w:t>
      </w:r>
    </w:p>
    <w:p w:rsidR="00292613" w:rsidRPr="00682834" w:rsidRDefault="00292613">
      <w:pPr>
        <w:rPr>
          <w:rFonts w:ascii="Arial" w:hAnsi="Arial" w:cs="Arial"/>
          <w:b/>
        </w:rPr>
      </w:pPr>
    </w:p>
    <w:p w:rsidR="00682834" w:rsidRPr="00682834" w:rsidRDefault="00682834" w:rsidP="00682834">
      <w:pPr>
        <w:rPr>
          <w:rFonts w:ascii="Arial" w:hAnsi="Arial" w:cs="Arial"/>
          <w:b/>
        </w:rPr>
      </w:pPr>
      <w:r w:rsidRPr="00682834">
        <w:rPr>
          <w:rFonts w:ascii="Arial" w:hAnsi="Arial" w:cs="Arial"/>
          <w:b/>
        </w:rPr>
        <w:t>Executive Summary</w:t>
      </w:r>
    </w:p>
    <w:p w:rsidR="00682834" w:rsidRPr="00682834" w:rsidRDefault="00682834" w:rsidP="00682834">
      <w:pPr>
        <w:rPr>
          <w:rFonts w:ascii="Arial" w:hAnsi="Arial" w:cs="Arial"/>
        </w:rPr>
      </w:pPr>
    </w:p>
    <w:p w:rsidR="00682834" w:rsidRPr="00682834" w:rsidRDefault="00682834" w:rsidP="000541FF">
      <w:pPr>
        <w:spacing w:after="240" w:line="300" w:lineRule="auto"/>
        <w:jc w:val="both"/>
        <w:rPr>
          <w:rFonts w:ascii="Arial" w:hAnsi="Arial" w:cs="Arial"/>
        </w:rPr>
      </w:pPr>
      <w:r w:rsidRPr="00682834">
        <w:rPr>
          <w:rFonts w:ascii="Arial" w:hAnsi="Arial" w:cs="Arial"/>
        </w:rPr>
        <w:t>The Contraception and Sexual Health service (and the staff of that service), previously managed by Oxford Health</w:t>
      </w:r>
      <w:r w:rsidR="000541FF">
        <w:rPr>
          <w:rFonts w:ascii="Arial" w:hAnsi="Arial" w:cs="Arial"/>
        </w:rPr>
        <w:t xml:space="preserve"> NHS FT</w:t>
      </w:r>
      <w:r w:rsidRPr="00682834">
        <w:rPr>
          <w:rFonts w:ascii="Arial" w:hAnsi="Arial" w:cs="Arial"/>
        </w:rPr>
        <w:t>, transferred to Oxford University Hospitals (“OUH”) on 1</w:t>
      </w:r>
      <w:r w:rsidRPr="00682834">
        <w:rPr>
          <w:rFonts w:ascii="Arial" w:hAnsi="Arial" w:cs="Arial"/>
          <w:vertAlign w:val="superscript"/>
        </w:rPr>
        <w:t>st</w:t>
      </w:r>
      <w:r w:rsidRPr="00682834">
        <w:rPr>
          <w:rFonts w:ascii="Arial" w:hAnsi="Arial" w:cs="Arial"/>
        </w:rPr>
        <w:t xml:space="preserve"> April 2014.  </w:t>
      </w:r>
    </w:p>
    <w:p w:rsidR="00682834" w:rsidRPr="00682834" w:rsidRDefault="00682834" w:rsidP="000541FF">
      <w:pPr>
        <w:spacing w:after="240" w:line="300" w:lineRule="auto"/>
        <w:jc w:val="both"/>
        <w:rPr>
          <w:rFonts w:ascii="Arial" w:hAnsi="Arial" w:cs="Arial"/>
        </w:rPr>
      </w:pPr>
      <w:r w:rsidRPr="00682834">
        <w:rPr>
          <w:rFonts w:ascii="Arial" w:hAnsi="Arial" w:cs="Arial"/>
        </w:rPr>
        <w:t>This service has a charitable fund of approximately £28k which was largely built up by staff donating fees from training courses.</w:t>
      </w:r>
    </w:p>
    <w:p w:rsidR="00682834" w:rsidRPr="00682834" w:rsidRDefault="00682834" w:rsidP="000541FF">
      <w:pPr>
        <w:spacing w:after="240" w:line="300" w:lineRule="auto"/>
        <w:jc w:val="both"/>
        <w:rPr>
          <w:rFonts w:ascii="Arial" w:hAnsi="Arial" w:cs="Arial"/>
        </w:rPr>
      </w:pPr>
      <w:r w:rsidRPr="00682834">
        <w:rPr>
          <w:rFonts w:ascii="Arial" w:hAnsi="Arial" w:cs="Arial"/>
        </w:rPr>
        <w:t>There is a general principle that charitable funds should follow the service, and that therefore, provided there is no obstacle to doing so, the charitable fund should be transferred to the Oxford Radcliffe Hospitals Charitable Funds  (“ORHCF”), being the charity for OUH.  This was considered by the Charitable Funds Committee of Oxford Health on 9 April</w:t>
      </w:r>
      <w:r w:rsidR="000541FF">
        <w:rPr>
          <w:rFonts w:ascii="Arial" w:hAnsi="Arial" w:cs="Arial"/>
        </w:rPr>
        <w:t xml:space="preserve"> 2014</w:t>
      </w:r>
      <w:r w:rsidRPr="00682834">
        <w:rPr>
          <w:rFonts w:ascii="Arial" w:hAnsi="Arial" w:cs="Arial"/>
        </w:rPr>
        <w:t xml:space="preserve"> and the transfer recommended to the Board.</w:t>
      </w:r>
    </w:p>
    <w:p w:rsidR="00682834" w:rsidRPr="00682834" w:rsidRDefault="00682834" w:rsidP="000541FF">
      <w:pPr>
        <w:spacing w:after="240" w:line="300" w:lineRule="auto"/>
        <w:jc w:val="both"/>
        <w:rPr>
          <w:rFonts w:ascii="Arial" w:hAnsi="Arial" w:cs="Arial"/>
        </w:rPr>
      </w:pPr>
      <w:r w:rsidRPr="00682834">
        <w:rPr>
          <w:rFonts w:ascii="Arial" w:hAnsi="Arial" w:cs="Arial"/>
        </w:rPr>
        <w:t xml:space="preserve">Subsequent to the Charitable Funds Committee meeting, the Department of Health </w:t>
      </w:r>
      <w:proofErr w:type="gramStart"/>
      <w:r w:rsidRPr="00682834">
        <w:rPr>
          <w:rFonts w:ascii="Arial" w:hAnsi="Arial" w:cs="Arial"/>
        </w:rPr>
        <w:t>have</w:t>
      </w:r>
      <w:proofErr w:type="gramEnd"/>
      <w:r w:rsidRPr="00682834">
        <w:rPr>
          <w:rFonts w:ascii="Arial" w:hAnsi="Arial" w:cs="Arial"/>
        </w:rPr>
        <w:t xml:space="preserve"> raised a technical issue which needs to be brought to the attention of the Board about any liabilities in respect of the fund.  The paper proposes that this should be dealt with by the Board taking a view on the likelihood and scale of any potential liability, and </w:t>
      </w:r>
      <w:proofErr w:type="gramStart"/>
      <w:r w:rsidRPr="00682834">
        <w:rPr>
          <w:rFonts w:ascii="Arial" w:hAnsi="Arial" w:cs="Arial"/>
        </w:rPr>
        <w:t>that no other arrangements (insurance or an indemnity) should not be put in place</w:t>
      </w:r>
      <w:proofErr w:type="gramEnd"/>
      <w:r w:rsidRPr="00682834">
        <w:rPr>
          <w:rFonts w:ascii="Arial" w:hAnsi="Arial" w:cs="Arial"/>
        </w:rPr>
        <w:t xml:space="preserve">.  Because this was not considered by the Charitable </w:t>
      </w:r>
      <w:r w:rsidRPr="00682834">
        <w:rPr>
          <w:rFonts w:ascii="Arial" w:hAnsi="Arial" w:cs="Arial"/>
        </w:rPr>
        <w:lastRenderedPageBreak/>
        <w:t>Funds Committee, the Board will have to assure itself that it is comfortable on this point.</w:t>
      </w:r>
    </w:p>
    <w:p w:rsidR="00682834" w:rsidRPr="00682834" w:rsidRDefault="00682834" w:rsidP="000541FF">
      <w:pPr>
        <w:spacing w:after="240" w:line="300" w:lineRule="auto"/>
        <w:jc w:val="both"/>
        <w:rPr>
          <w:rFonts w:ascii="Arial" w:hAnsi="Arial" w:cs="Arial"/>
        </w:rPr>
      </w:pPr>
      <w:r w:rsidRPr="00682834">
        <w:rPr>
          <w:rFonts w:ascii="Arial" w:hAnsi="Arial" w:cs="Arial"/>
        </w:rPr>
        <w:t>Subject to this the Board is asked to approve the transfer of the funds to OHRCF.</w:t>
      </w:r>
    </w:p>
    <w:p w:rsidR="00682834" w:rsidRPr="00682834" w:rsidRDefault="00682834" w:rsidP="000541FF">
      <w:pPr>
        <w:spacing w:after="240" w:line="300" w:lineRule="auto"/>
        <w:jc w:val="both"/>
        <w:rPr>
          <w:rFonts w:ascii="Arial" w:hAnsi="Arial" w:cs="Arial"/>
          <w:b/>
        </w:rPr>
      </w:pPr>
      <w:r w:rsidRPr="00682834">
        <w:rPr>
          <w:rFonts w:ascii="Arial" w:hAnsi="Arial" w:cs="Arial"/>
          <w:b/>
        </w:rPr>
        <w:t>Alternatives Available</w:t>
      </w:r>
    </w:p>
    <w:p w:rsidR="00682834" w:rsidRPr="00682834" w:rsidRDefault="00682834" w:rsidP="000541FF">
      <w:pPr>
        <w:spacing w:after="240" w:line="300" w:lineRule="auto"/>
        <w:jc w:val="both"/>
        <w:rPr>
          <w:rFonts w:ascii="Arial" w:hAnsi="Arial" w:cs="Arial"/>
        </w:rPr>
      </w:pPr>
      <w:r w:rsidRPr="00682834">
        <w:rPr>
          <w:rFonts w:ascii="Arial" w:hAnsi="Arial" w:cs="Arial"/>
        </w:rPr>
        <w:t xml:space="preserve">Where a service transfers to another NHS </w:t>
      </w:r>
      <w:proofErr w:type="spellStart"/>
      <w:r w:rsidRPr="00682834">
        <w:rPr>
          <w:rFonts w:ascii="Arial" w:hAnsi="Arial" w:cs="Arial"/>
        </w:rPr>
        <w:t>organisation</w:t>
      </w:r>
      <w:proofErr w:type="spellEnd"/>
      <w:r w:rsidRPr="00682834">
        <w:rPr>
          <w:rFonts w:ascii="Arial" w:hAnsi="Arial" w:cs="Arial"/>
        </w:rPr>
        <w:t>, any charitable funds held to support that service remain related to the service in question.  There are two ways of dealing with this:</w:t>
      </w:r>
    </w:p>
    <w:p w:rsidR="00682834" w:rsidRPr="00682834" w:rsidRDefault="00682834" w:rsidP="000541FF">
      <w:pPr>
        <w:pStyle w:val="ListParagraph"/>
        <w:numPr>
          <w:ilvl w:val="0"/>
          <w:numId w:val="4"/>
        </w:numPr>
        <w:spacing w:after="240" w:line="300" w:lineRule="auto"/>
        <w:jc w:val="both"/>
        <w:rPr>
          <w:rFonts w:ascii="Arial" w:hAnsi="Arial" w:cs="Arial"/>
        </w:rPr>
      </w:pPr>
      <w:r w:rsidRPr="00682834">
        <w:rPr>
          <w:rFonts w:ascii="Arial" w:hAnsi="Arial" w:cs="Arial"/>
        </w:rPr>
        <w:t xml:space="preserve">The funds can remain with the current charity (Oxford Health Charitable Funds) and grants can be made from these funds to support the service on the basis of specific applications.  This is legally robust, but messy given that the </w:t>
      </w:r>
      <w:proofErr w:type="gramStart"/>
      <w:r w:rsidRPr="00682834">
        <w:rPr>
          <w:rFonts w:ascii="Arial" w:hAnsi="Arial" w:cs="Arial"/>
        </w:rPr>
        <w:t>staff have</w:t>
      </w:r>
      <w:proofErr w:type="gramEnd"/>
      <w:r w:rsidRPr="00682834">
        <w:rPr>
          <w:rFonts w:ascii="Arial" w:hAnsi="Arial" w:cs="Arial"/>
        </w:rPr>
        <w:t xml:space="preserve"> transferred to OUH.  It would require Oxford Health to appoint alternative fund-advisors to approve grant applications.  </w:t>
      </w:r>
    </w:p>
    <w:p w:rsidR="00682834" w:rsidRPr="00682834" w:rsidRDefault="00682834" w:rsidP="000541FF">
      <w:pPr>
        <w:pStyle w:val="ListParagraph"/>
        <w:numPr>
          <w:ilvl w:val="0"/>
          <w:numId w:val="4"/>
        </w:numPr>
        <w:spacing w:after="240" w:line="300" w:lineRule="auto"/>
        <w:jc w:val="both"/>
        <w:rPr>
          <w:rFonts w:ascii="Arial" w:hAnsi="Arial" w:cs="Arial"/>
        </w:rPr>
      </w:pPr>
      <w:r w:rsidRPr="00682834">
        <w:rPr>
          <w:rFonts w:ascii="Arial" w:hAnsi="Arial" w:cs="Arial"/>
        </w:rPr>
        <w:t xml:space="preserve">Normally a better solution is to transfer the funds to the charity associated with the new provider, in this case ORHCF.  That charity will then continue to use the funds to support the service, as they have been used in the past.  This transfer requires a statutory instrument.  The Department of Health </w:t>
      </w:r>
      <w:proofErr w:type="gramStart"/>
      <w:r w:rsidRPr="00682834">
        <w:rPr>
          <w:rFonts w:ascii="Arial" w:hAnsi="Arial" w:cs="Arial"/>
        </w:rPr>
        <w:t>have</w:t>
      </w:r>
      <w:proofErr w:type="gramEnd"/>
      <w:r w:rsidRPr="00682834">
        <w:rPr>
          <w:rFonts w:ascii="Arial" w:hAnsi="Arial" w:cs="Arial"/>
        </w:rPr>
        <w:t xml:space="preserve"> indicated their willingness to obtain a statutory instrument.</w:t>
      </w:r>
    </w:p>
    <w:p w:rsidR="00682834" w:rsidRPr="00682834" w:rsidRDefault="00682834" w:rsidP="000541FF">
      <w:pPr>
        <w:spacing w:after="240" w:line="300" w:lineRule="auto"/>
        <w:jc w:val="both"/>
        <w:rPr>
          <w:rFonts w:ascii="Arial" w:hAnsi="Arial" w:cs="Arial"/>
        </w:rPr>
      </w:pPr>
      <w:r w:rsidRPr="00682834">
        <w:rPr>
          <w:rFonts w:ascii="Arial" w:hAnsi="Arial" w:cs="Arial"/>
        </w:rPr>
        <w:t xml:space="preserve">This was considered by the Charitable Funds Committee and it was agreed to recommend to the Board that the latter approach be adopted.  </w:t>
      </w:r>
    </w:p>
    <w:p w:rsidR="00682834" w:rsidRPr="00682834" w:rsidRDefault="00682834" w:rsidP="000541FF">
      <w:pPr>
        <w:spacing w:after="240" w:line="300" w:lineRule="auto"/>
        <w:jc w:val="both"/>
        <w:rPr>
          <w:rFonts w:ascii="Arial" w:hAnsi="Arial" w:cs="Arial"/>
          <w:b/>
        </w:rPr>
      </w:pPr>
      <w:r w:rsidRPr="00682834">
        <w:rPr>
          <w:rFonts w:ascii="Arial" w:hAnsi="Arial" w:cs="Arial"/>
          <w:b/>
        </w:rPr>
        <w:t>Liability for Any Claims</w:t>
      </w:r>
    </w:p>
    <w:p w:rsidR="00682834" w:rsidRPr="00682834" w:rsidRDefault="00682834" w:rsidP="000541FF">
      <w:pPr>
        <w:spacing w:after="240" w:line="300" w:lineRule="auto"/>
        <w:jc w:val="both"/>
        <w:rPr>
          <w:rFonts w:ascii="Arial" w:hAnsi="Arial" w:cs="Arial"/>
        </w:rPr>
      </w:pPr>
      <w:r w:rsidRPr="00682834">
        <w:rPr>
          <w:rFonts w:ascii="Arial" w:hAnsi="Arial" w:cs="Arial"/>
        </w:rPr>
        <w:t xml:space="preserve">Subsequent to the Charitable Funds Committee meeting the Department of Health highlighted a potential issue, which has recently been brought to their attention by the Parliamentary </w:t>
      </w:r>
      <w:proofErr w:type="spellStart"/>
      <w:r w:rsidRPr="00682834">
        <w:rPr>
          <w:rFonts w:ascii="Arial" w:hAnsi="Arial" w:cs="Arial"/>
        </w:rPr>
        <w:t>draughtsmen</w:t>
      </w:r>
      <w:proofErr w:type="spellEnd"/>
      <w:r w:rsidRPr="00682834">
        <w:rPr>
          <w:rFonts w:ascii="Arial" w:hAnsi="Arial" w:cs="Arial"/>
        </w:rPr>
        <w:t xml:space="preserve"> in relation to transfers of this type. The Department provides the following advice which it requires be brought to the attention of the Board.</w:t>
      </w:r>
    </w:p>
    <w:p w:rsidR="00682834" w:rsidRPr="00682834" w:rsidRDefault="00682834" w:rsidP="000541FF">
      <w:pPr>
        <w:spacing w:after="240" w:line="300" w:lineRule="auto"/>
        <w:ind w:left="720"/>
        <w:jc w:val="both"/>
        <w:rPr>
          <w:rFonts w:ascii="Arial" w:hAnsi="Arial" w:cs="Arial"/>
          <w:i/>
        </w:rPr>
      </w:pPr>
      <w:r w:rsidRPr="00682834">
        <w:rPr>
          <w:rFonts w:ascii="Arial" w:hAnsi="Arial" w:cs="Arial"/>
          <w:i/>
        </w:rPr>
        <w:t>“Transferring trustees should be aware of the limits of what is affected by the transfer Statutory Instrument (SI).  The SI transfers trust property, and any rights and liabilities arising from that property, but does not transfer any personal liabilities that may arise from breach of trust as a trustee. “</w:t>
      </w:r>
    </w:p>
    <w:p w:rsidR="00682834" w:rsidRPr="00682834" w:rsidRDefault="00682834" w:rsidP="000541FF">
      <w:pPr>
        <w:spacing w:after="240" w:line="300" w:lineRule="auto"/>
        <w:ind w:left="720"/>
        <w:jc w:val="both"/>
        <w:rPr>
          <w:rFonts w:ascii="Arial" w:hAnsi="Arial" w:cs="Arial"/>
          <w:i/>
        </w:rPr>
      </w:pPr>
      <w:r w:rsidRPr="00682834">
        <w:rPr>
          <w:rFonts w:ascii="Arial" w:hAnsi="Arial" w:cs="Arial"/>
        </w:rPr>
        <w:lastRenderedPageBreak/>
        <w:t> “</w:t>
      </w:r>
      <w:r w:rsidRPr="00682834">
        <w:rPr>
          <w:rFonts w:ascii="Arial" w:hAnsi="Arial" w:cs="Arial"/>
          <w:i/>
        </w:rPr>
        <w:t xml:space="preserve">A trustee, including a former trustee, should be able to recover charges properly incurred that arise from their role as trustee from the charitable assets, including the costs of successfully defending litigation.  Trustees can obtain consider insurance for such an eventuality, which may be provided through the charity.  Transferring trustees may wish to consider discussing such indemnifying insurance with the receiving trustees as any such arrangements </w:t>
      </w:r>
      <w:proofErr w:type="gramStart"/>
      <w:r w:rsidRPr="00682834">
        <w:rPr>
          <w:rFonts w:ascii="Arial" w:hAnsi="Arial" w:cs="Arial"/>
          <w:i/>
        </w:rPr>
        <w:t>are</w:t>
      </w:r>
      <w:proofErr w:type="gramEnd"/>
      <w:r w:rsidRPr="00682834">
        <w:rPr>
          <w:rFonts w:ascii="Arial" w:hAnsi="Arial" w:cs="Arial"/>
          <w:i/>
        </w:rPr>
        <w:t xml:space="preserve"> outside the scope of the SI process.”</w:t>
      </w:r>
    </w:p>
    <w:p w:rsidR="00682834" w:rsidRPr="00682834" w:rsidRDefault="00682834" w:rsidP="000541FF">
      <w:pPr>
        <w:spacing w:after="240" w:line="300" w:lineRule="auto"/>
        <w:jc w:val="both"/>
        <w:rPr>
          <w:rFonts w:ascii="Arial" w:hAnsi="Arial" w:cs="Arial"/>
        </w:rPr>
      </w:pPr>
      <w:r w:rsidRPr="00682834">
        <w:rPr>
          <w:rFonts w:ascii="Arial" w:hAnsi="Arial" w:cs="Arial"/>
        </w:rPr>
        <w:t xml:space="preserve">To </w:t>
      </w:r>
      <w:proofErr w:type="spellStart"/>
      <w:r w:rsidRPr="00682834">
        <w:rPr>
          <w:rFonts w:ascii="Arial" w:hAnsi="Arial" w:cs="Arial"/>
        </w:rPr>
        <w:t>summarise</w:t>
      </w:r>
      <w:proofErr w:type="spellEnd"/>
      <w:r w:rsidRPr="00682834">
        <w:rPr>
          <w:rFonts w:ascii="Arial" w:hAnsi="Arial" w:cs="Arial"/>
        </w:rPr>
        <w:t xml:space="preserve"> this, where there is a claim for breach of Trust, a trustee should normally be able to recover the costs of defending litigation etc. from the fund.  In this case the fund will have been transferred to ORHCF so that recourse would not be available to Oxford Health</w:t>
      </w:r>
      <w:r w:rsidR="000541FF">
        <w:rPr>
          <w:rFonts w:ascii="Arial" w:hAnsi="Arial" w:cs="Arial"/>
        </w:rPr>
        <w:t xml:space="preserve"> NHS FT</w:t>
      </w:r>
      <w:r w:rsidRPr="00682834">
        <w:rPr>
          <w:rFonts w:ascii="Arial" w:hAnsi="Arial" w:cs="Arial"/>
        </w:rPr>
        <w:t xml:space="preserve"> as the outgoing Trustee.  The Board should therefore consider whether some alternative protection should be put in place.</w:t>
      </w:r>
    </w:p>
    <w:p w:rsidR="00682834" w:rsidRPr="00682834" w:rsidRDefault="00682834" w:rsidP="000541FF">
      <w:pPr>
        <w:spacing w:after="240" w:line="300" w:lineRule="auto"/>
        <w:jc w:val="both"/>
        <w:rPr>
          <w:rFonts w:ascii="Arial" w:hAnsi="Arial" w:cs="Arial"/>
          <w:b/>
        </w:rPr>
      </w:pPr>
    </w:p>
    <w:p w:rsidR="00682834" w:rsidRPr="00682834" w:rsidRDefault="00682834" w:rsidP="000541FF">
      <w:pPr>
        <w:spacing w:after="240" w:line="300" w:lineRule="auto"/>
        <w:jc w:val="both"/>
        <w:rPr>
          <w:rFonts w:ascii="Arial" w:hAnsi="Arial" w:cs="Arial"/>
          <w:b/>
        </w:rPr>
      </w:pPr>
      <w:r w:rsidRPr="00682834">
        <w:rPr>
          <w:rFonts w:ascii="Arial" w:hAnsi="Arial" w:cs="Arial"/>
          <w:b/>
        </w:rPr>
        <w:t>Approach to Dealing with Potential Liabilities</w:t>
      </w:r>
    </w:p>
    <w:p w:rsidR="00682834" w:rsidRPr="00682834" w:rsidRDefault="00682834" w:rsidP="000541FF">
      <w:pPr>
        <w:spacing w:after="240" w:line="300" w:lineRule="auto"/>
        <w:jc w:val="both"/>
        <w:rPr>
          <w:rFonts w:ascii="Arial" w:hAnsi="Arial" w:cs="Arial"/>
        </w:rPr>
      </w:pPr>
      <w:r w:rsidRPr="00682834">
        <w:rPr>
          <w:rFonts w:ascii="Arial" w:hAnsi="Arial" w:cs="Arial"/>
        </w:rPr>
        <w:t>There are four possible ways of dealing with the issue of potential liabilities:</w:t>
      </w:r>
    </w:p>
    <w:p w:rsidR="00682834" w:rsidRPr="00682834" w:rsidRDefault="00682834" w:rsidP="000541FF">
      <w:pPr>
        <w:pStyle w:val="ListParagraph"/>
        <w:numPr>
          <w:ilvl w:val="0"/>
          <w:numId w:val="5"/>
        </w:numPr>
        <w:spacing w:after="240" w:line="300" w:lineRule="auto"/>
        <w:ind w:left="714" w:hanging="357"/>
        <w:jc w:val="both"/>
        <w:rPr>
          <w:rFonts w:ascii="Arial" w:hAnsi="Arial" w:cs="Arial"/>
        </w:rPr>
      </w:pPr>
      <w:r w:rsidRPr="00682834">
        <w:rPr>
          <w:rFonts w:ascii="Arial" w:hAnsi="Arial" w:cs="Arial"/>
        </w:rPr>
        <w:t>Decide that the issue prevents proceeding with the transfer of the fund, but that it should be dealt with in future by making individual specific grants.  The advice of the Charitable Funds Department remains that this is a cumbersome way of proceeding.</w:t>
      </w:r>
    </w:p>
    <w:p w:rsidR="00682834" w:rsidRPr="00682834" w:rsidRDefault="00682834" w:rsidP="000541FF">
      <w:pPr>
        <w:pStyle w:val="ListParagraph"/>
        <w:numPr>
          <w:ilvl w:val="0"/>
          <w:numId w:val="5"/>
        </w:numPr>
        <w:spacing w:after="240" w:line="300" w:lineRule="auto"/>
        <w:ind w:left="714" w:hanging="357"/>
        <w:jc w:val="both"/>
        <w:rPr>
          <w:rFonts w:ascii="Arial" w:hAnsi="Arial" w:cs="Arial"/>
        </w:rPr>
      </w:pPr>
      <w:r w:rsidRPr="00682834">
        <w:rPr>
          <w:rFonts w:ascii="Arial" w:hAnsi="Arial" w:cs="Arial"/>
        </w:rPr>
        <w:t>Run-off insurance could be purchased and charged to the fund. This would protect the outgoing trustee against a claim.   However, given that the fund in question is only £28k, and that the real chance of any claim is very low, it is likely that run-off insurance would be expensive in relation to the real level of risk.</w:t>
      </w:r>
    </w:p>
    <w:p w:rsidR="00682834" w:rsidRPr="00682834" w:rsidRDefault="00682834" w:rsidP="000541FF">
      <w:pPr>
        <w:pStyle w:val="ListParagraph"/>
        <w:numPr>
          <w:ilvl w:val="0"/>
          <w:numId w:val="5"/>
        </w:numPr>
        <w:spacing w:after="240" w:line="300" w:lineRule="auto"/>
        <w:ind w:left="714" w:hanging="357"/>
        <w:jc w:val="both"/>
        <w:rPr>
          <w:rFonts w:ascii="Arial" w:hAnsi="Arial" w:cs="Arial"/>
        </w:rPr>
      </w:pPr>
      <w:r w:rsidRPr="00682834">
        <w:rPr>
          <w:rFonts w:ascii="Arial" w:hAnsi="Arial" w:cs="Arial"/>
        </w:rPr>
        <w:t>An indemnity could be obtained from ORHCF to meet any claim falling on Oxford Health</w:t>
      </w:r>
      <w:r w:rsidR="000541FF">
        <w:rPr>
          <w:rFonts w:ascii="Arial" w:hAnsi="Arial" w:cs="Arial"/>
        </w:rPr>
        <w:t xml:space="preserve"> NHS FT</w:t>
      </w:r>
      <w:r w:rsidRPr="00682834">
        <w:rPr>
          <w:rFonts w:ascii="Arial" w:hAnsi="Arial" w:cs="Arial"/>
        </w:rPr>
        <w:t xml:space="preserve"> in relation to this fund pre-transfer up to a limit of £25k.  However, discussions the Charitable Funds Department </w:t>
      </w:r>
      <w:proofErr w:type="gramStart"/>
      <w:r w:rsidRPr="00682834">
        <w:rPr>
          <w:rFonts w:ascii="Arial" w:hAnsi="Arial" w:cs="Arial"/>
        </w:rPr>
        <w:t>have</w:t>
      </w:r>
      <w:proofErr w:type="gramEnd"/>
      <w:r w:rsidRPr="00682834">
        <w:rPr>
          <w:rFonts w:ascii="Arial" w:hAnsi="Arial" w:cs="Arial"/>
        </w:rPr>
        <w:t xml:space="preserve"> had with solicitors suggest that this is not an advisable way forwards.  The advice received was that: drafting such indemnities is tricky (and hence would involve legal costs which would have to be borne by the fund); negotiating indemnities is not straightforward; and in any case claiming </w:t>
      </w:r>
      <w:r w:rsidRPr="00682834">
        <w:rPr>
          <w:rFonts w:ascii="Arial" w:hAnsi="Arial" w:cs="Arial"/>
        </w:rPr>
        <w:lastRenderedPageBreak/>
        <w:t>under such an indemnity is rarely simple.  The advice received was that the efforts involved were unlikely to be commensurate with a risk which at maximum is £28k.</w:t>
      </w:r>
    </w:p>
    <w:p w:rsidR="00682834" w:rsidRPr="00682834" w:rsidRDefault="00682834" w:rsidP="000541FF">
      <w:pPr>
        <w:pStyle w:val="ListParagraph"/>
        <w:numPr>
          <w:ilvl w:val="0"/>
          <w:numId w:val="5"/>
        </w:numPr>
        <w:spacing w:after="240" w:line="300" w:lineRule="auto"/>
        <w:ind w:left="714" w:hanging="357"/>
        <w:jc w:val="both"/>
        <w:rPr>
          <w:rFonts w:ascii="Arial" w:hAnsi="Arial" w:cs="Arial"/>
        </w:rPr>
      </w:pPr>
      <w:r w:rsidRPr="00682834">
        <w:rPr>
          <w:rFonts w:ascii="Arial" w:hAnsi="Arial" w:cs="Arial"/>
        </w:rPr>
        <w:t xml:space="preserve">The remaining approach would be for the Board to review the likelihood of any claim and on a considered view approve the transfer </w:t>
      </w:r>
      <w:proofErr w:type="spellStart"/>
      <w:r w:rsidRPr="00682834">
        <w:rPr>
          <w:rFonts w:ascii="Arial" w:hAnsi="Arial" w:cs="Arial"/>
        </w:rPr>
        <w:t>recognising</w:t>
      </w:r>
      <w:proofErr w:type="spellEnd"/>
      <w:r w:rsidRPr="00682834">
        <w:rPr>
          <w:rFonts w:ascii="Arial" w:hAnsi="Arial" w:cs="Arial"/>
        </w:rPr>
        <w:t xml:space="preserve"> that there is an element of remote and strictly finite risk.</w:t>
      </w:r>
    </w:p>
    <w:p w:rsidR="00682834" w:rsidRPr="00682834" w:rsidRDefault="00682834" w:rsidP="000541FF">
      <w:pPr>
        <w:spacing w:after="240" w:line="300" w:lineRule="auto"/>
        <w:jc w:val="both"/>
        <w:rPr>
          <w:rFonts w:ascii="Arial" w:hAnsi="Arial" w:cs="Arial"/>
          <w:b/>
        </w:rPr>
      </w:pPr>
      <w:r w:rsidRPr="00682834">
        <w:rPr>
          <w:rFonts w:ascii="Arial" w:hAnsi="Arial" w:cs="Arial"/>
          <w:b/>
        </w:rPr>
        <w:t>Assessment of Risk for Outstanding Claims</w:t>
      </w:r>
    </w:p>
    <w:p w:rsidR="00682834" w:rsidRPr="00682834" w:rsidRDefault="00682834" w:rsidP="000541FF">
      <w:pPr>
        <w:spacing w:after="240" w:line="300" w:lineRule="auto"/>
        <w:jc w:val="both"/>
        <w:rPr>
          <w:rFonts w:ascii="Arial" w:hAnsi="Arial" w:cs="Arial"/>
        </w:rPr>
      </w:pPr>
      <w:r w:rsidRPr="00682834">
        <w:rPr>
          <w:rFonts w:ascii="Arial" w:hAnsi="Arial" w:cs="Arial"/>
        </w:rPr>
        <w:t>The Charitable Funds Department have reviewed their knowledge of the fund and are not aware of any potential claim, and consider that, given the nature of transactions on the fund, the likelihood of any claim arising is very low.</w:t>
      </w:r>
    </w:p>
    <w:p w:rsidR="00682834" w:rsidRPr="00682834" w:rsidRDefault="00682834" w:rsidP="000541FF">
      <w:pPr>
        <w:spacing w:after="240" w:line="300" w:lineRule="auto"/>
        <w:jc w:val="both"/>
        <w:rPr>
          <w:rFonts w:ascii="Arial" w:hAnsi="Arial" w:cs="Arial"/>
        </w:rPr>
      </w:pPr>
      <w:r w:rsidRPr="00682834">
        <w:rPr>
          <w:rFonts w:ascii="Arial" w:hAnsi="Arial" w:cs="Arial"/>
        </w:rPr>
        <w:t xml:space="preserve">It should be noted that if the funds are not transferred the degree of protection this offers to the Trustee is limited to the current balance of the fund, i.e. £28k, and that it is understood that should the funds have been transferred any liability would fall not on the Oxford Health Charitable Funds, but on the Trustee, i.e. </w:t>
      </w:r>
      <w:r w:rsidR="000541FF">
        <w:rPr>
          <w:rFonts w:ascii="Arial" w:hAnsi="Arial" w:cs="Arial"/>
        </w:rPr>
        <w:t>Oxford Health NHS FT</w:t>
      </w:r>
      <w:r w:rsidRPr="00682834">
        <w:rPr>
          <w:rFonts w:ascii="Arial" w:hAnsi="Arial" w:cs="Arial"/>
        </w:rPr>
        <w:t xml:space="preserve">.  </w:t>
      </w:r>
    </w:p>
    <w:p w:rsidR="00682834" w:rsidRPr="00682834" w:rsidRDefault="00682834" w:rsidP="000541FF">
      <w:pPr>
        <w:spacing w:after="240" w:line="300" w:lineRule="auto"/>
        <w:jc w:val="both"/>
        <w:rPr>
          <w:rFonts w:ascii="Arial" w:hAnsi="Arial" w:cs="Arial"/>
        </w:rPr>
      </w:pPr>
      <w:r w:rsidRPr="00682834">
        <w:rPr>
          <w:rFonts w:ascii="Arial" w:hAnsi="Arial" w:cs="Arial"/>
        </w:rPr>
        <w:t xml:space="preserve">Given that the likelihood of any claim is very small, and that £28k is not a material figure in the context of </w:t>
      </w:r>
      <w:r w:rsidR="000541FF">
        <w:rPr>
          <w:rFonts w:ascii="Arial" w:hAnsi="Arial" w:cs="Arial"/>
        </w:rPr>
        <w:t>Oxford Health NHS FT</w:t>
      </w:r>
      <w:r w:rsidRPr="00682834">
        <w:rPr>
          <w:rFonts w:ascii="Arial" w:hAnsi="Arial" w:cs="Arial"/>
        </w:rPr>
        <w:t xml:space="preserve">, it is recommended that the Board should proceed with </w:t>
      </w:r>
      <w:proofErr w:type="spellStart"/>
      <w:r w:rsidRPr="00682834">
        <w:rPr>
          <w:rFonts w:ascii="Arial" w:hAnsi="Arial" w:cs="Arial"/>
        </w:rPr>
        <w:t>authorising</w:t>
      </w:r>
      <w:proofErr w:type="spellEnd"/>
      <w:r w:rsidRPr="00682834">
        <w:rPr>
          <w:rFonts w:ascii="Arial" w:hAnsi="Arial" w:cs="Arial"/>
        </w:rPr>
        <w:t xml:space="preserve"> the transfer without requiring either </w:t>
      </w:r>
      <w:proofErr w:type="gramStart"/>
      <w:r w:rsidRPr="00682834">
        <w:rPr>
          <w:rFonts w:ascii="Arial" w:hAnsi="Arial" w:cs="Arial"/>
        </w:rPr>
        <w:t>run-off</w:t>
      </w:r>
      <w:proofErr w:type="gramEnd"/>
      <w:r w:rsidRPr="00682834">
        <w:rPr>
          <w:rFonts w:ascii="Arial" w:hAnsi="Arial" w:cs="Arial"/>
        </w:rPr>
        <w:t xml:space="preserve"> insurance or an indemnity to be in place.</w:t>
      </w:r>
    </w:p>
    <w:p w:rsidR="00682834" w:rsidRPr="00682834" w:rsidRDefault="00682834" w:rsidP="000541FF">
      <w:pPr>
        <w:spacing w:after="240"/>
        <w:jc w:val="both"/>
        <w:rPr>
          <w:rFonts w:ascii="Arial" w:hAnsi="Arial" w:cs="Arial"/>
          <w:b/>
        </w:rPr>
      </w:pPr>
      <w:r w:rsidRPr="00682834">
        <w:rPr>
          <w:rFonts w:ascii="Arial" w:hAnsi="Arial" w:cs="Arial"/>
          <w:b/>
        </w:rPr>
        <w:t>Transfer Arrangements</w:t>
      </w:r>
    </w:p>
    <w:p w:rsidR="00682834" w:rsidRPr="00682834" w:rsidRDefault="00682834" w:rsidP="000541FF">
      <w:pPr>
        <w:spacing w:after="240" w:line="300" w:lineRule="auto"/>
        <w:jc w:val="both"/>
        <w:rPr>
          <w:rFonts w:ascii="Arial" w:hAnsi="Arial" w:cs="Arial"/>
        </w:rPr>
      </w:pPr>
      <w:r w:rsidRPr="00682834">
        <w:rPr>
          <w:rFonts w:ascii="Arial" w:hAnsi="Arial" w:cs="Arial"/>
        </w:rPr>
        <w:t>The transfer has to be approved by both the Board of Oxford Health NHS FT (as corporate Trustee) and the Board of Trustees of ORHCF.</w:t>
      </w:r>
    </w:p>
    <w:p w:rsidR="00682834" w:rsidRPr="00682834" w:rsidRDefault="00682834" w:rsidP="000541FF">
      <w:pPr>
        <w:spacing w:after="240" w:line="300" w:lineRule="auto"/>
        <w:jc w:val="both"/>
        <w:rPr>
          <w:rFonts w:ascii="Arial" w:hAnsi="Arial" w:cs="Arial"/>
        </w:rPr>
      </w:pPr>
      <w:r w:rsidRPr="00682834">
        <w:rPr>
          <w:rFonts w:ascii="Arial" w:hAnsi="Arial" w:cs="Arial"/>
        </w:rPr>
        <w:t xml:space="preserve">There is no specific form of words required to do this.  However, the Board should approve the schedule attached as Appendix 1 to this paper and the supporting statement set out in Appendix 2 </w:t>
      </w:r>
      <w:proofErr w:type="gramStart"/>
      <w:r w:rsidRPr="00682834">
        <w:rPr>
          <w:rFonts w:ascii="Arial" w:hAnsi="Arial" w:cs="Arial"/>
        </w:rPr>
        <w:t xml:space="preserve">and  </w:t>
      </w:r>
      <w:proofErr w:type="spellStart"/>
      <w:r w:rsidRPr="00682834">
        <w:rPr>
          <w:rFonts w:ascii="Arial" w:hAnsi="Arial" w:cs="Arial"/>
        </w:rPr>
        <w:t>authorise</w:t>
      </w:r>
      <w:proofErr w:type="spellEnd"/>
      <w:proofErr w:type="gramEnd"/>
      <w:r w:rsidRPr="00682834">
        <w:rPr>
          <w:rFonts w:ascii="Arial" w:hAnsi="Arial" w:cs="Arial"/>
        </w:rPr>
        <w:t xml:space="preserve"> the Chair of the Trust to sign these.</w:t>
      </w:r>
    </w:p>
    <w:p w:rsidR="00682834" w:rsidRPr="00682834" w:rsidRDefault="00682834" w:rsidP="000541FF">
      <w:pPr>
        <w:spacing w:after="240" w:line="300" w:lineRule="auto"/>
        <w:jc w:val="both"/>
        <w:rPr>
          <w:rFonts w:ascii="Arial" w:hAnsi="Arial" w:cs="Arial"/>
          <w:b/>
        </w:rPr>
      </w:pPr>
      <w:r w:rsidRPr="00682834">
        <w:rPr>
          <w:rFonts w:ascii="Arial" w:hAnsi="Arial" w:cs="Arial"/>
          <w:b/>
        </w:rPr>
        <w:t>Conflict of Interest</w:t>
      </w:r>
    </w:p>
    <w:p w:rsidR="00682834" w:rsidRPr="00682834" w:rsidRDefault="00682834" w:rsidP="000541FF">
      <w:pPr>
        <w:spacing w:after="240" w:line="300" w:lineRule="auto"/>
        <w:jc w:val="both"/>
        <w:rPr>
          <w:rFonts w:ascii="Arial" w:hAnsi="Arial" w:cs="Arial"/>
        </w:rPr>
      </w:pPr>
      <w:r w:rsidRPr="00682834">
        <w:rPr>
          <w:rFonts w:ascii="Arial" w:hAnsi="Arial" w:cs="Arial"/>
        </w:rPr>
        <w:t>It should be noted that the Charitable Funds Department has a potential conflict of interest in this matter, as it advises Oxford Health</w:t>
      </w:r>
      <w:r w:rsidR="000541FF">
        <w:rPr>
          <w:rFonts w:ascii="Arial" w:hAnsi="Arial" w:cs="Arial"/>
        </w:rPr>
        <w:t xml:space="preserve"> NHS FT</w:t>
      </w:r>
      <w:r w:rsidRPr="00682834">
        <w:rPr>
          <w:rFonts w:ascii="Arial" w:hAnsi="Arial" w:cs="Arial"/>
        </w:rPr>
        <w:t xml:space="preserve">, ORHCF and the OUH NHS Trust on charity matters.  Accordingly, the contents of this paper have been discussed with </w:t>
      </w:r>
      <w:r w:rsidR="000541FF">
        <w:rPr>
          <w:rFonts w:ascii="Arial" w:hAnsi="Arial" w:cs="Arial"/>
        </w:rPr>
        <w:t xml:space="preserve">the </w:t>
      </w:r>
      <w:r w:rsidRPr="00682834">
        <w:rPr>
          <w:rFonts w:ascii="Arial" w:hAnsi="Arial" w:cs="Arial"/>
        </w:rPr>
        <w:t>Oxford Health</w:t>
      </w:r>
      <w:r w:rsidR="000541FF">
        <w:rPr>
          <w:rFonts w:ascii="Arial" w:hAnsi="Arial" w:cs="Arial"/>
        </w:rPr>
        <w:t xml:space="preserve"> NHS FT</w:t>
      </w:r>
      <w:r w:rsidRPr="00682834">
        <w:rPr>
          <w:rFonts w:ascii="Arial" w:hAnsi="Arial" w:cs="Arial"/>
        </w:rPr>
        <w:t xml:space="preserve"> </w:t>
      </w:r>
      <w:r w:rsidR="000541FF">
        <w:rPr>
          <w:rFonts w:ascii="Arial" w:hAnsi="Arial" w:cs="Arial"/>
        </w:rPr>
        <w:t xml:space="preserve">Trust </w:t>
      </w:r>
      <w:r w:rsidRPr="00682834">
        <w:rPr>
          <w:rFonts w:ascii="Arial" w:hAnsi="Arial" w:cs="Arial"/>
        </w:rPr>
        <w:t xml:space="preserve">Secretary prior to </w:t>
      </w:r>
      <w:r w:rsidRPr="00682834">
        <w:rPr>
          <w:rFonts w:ascii="Arial" w:hAnsi="Arial" w:cs="Arial"/>
        </w:rPr>
        <w:lastRenderedPageBreak/>
        <w:t>completion.  The issues to be considered are clearly set out and alternative courses of action available to the Board are identified.</w:t>
      </w:r>
    </w:p>
    <w:p w:rsidR="00682834" w:rsidRPr="00682834" w:rsidRDefault="00682834" w:rsidP="000541FF">
      <w:pPr>
        <w:spacing w:after="240"/>
        <w:jc w:val="both"/>
        <w:rPr>
          <w:rFonts w:ascii="Arial" w:hAnsi="Arial" w:cs="Arial"/>
          <w:b/>
        </w:rPr>
      </w:pPr>
      <w:r w:rsidRPr="00682834">
        <w:rPr>
          <w:rFonts w:ascii="Arial" w:hAnsi="Arial" w:cs="Arial"/>
          <w:b/>
        </w:rPr>
        <w:t>Recommendation</w:t>
      </w:r>
    </w:p>
    <w:p w:rsidR="00682834" w:rsidRPr="00682834" w:rsidRDefault="00682834" w:rsidP="000541FF">
      <w:pPr>
        <w:spacing w:after="240" w:line="300" w:lineRule="auto"/>
        <w:jc w:val="both"/>
        <w:rPr>
          <w:rFonts w:ascii="Arial" w:hAnsi="Arial" w:cs="Arial"/>
        </w:rPr>
      </w:pPr>
      <w:r w:rsidRPr="00682834">
        <w:rPr>
          <w:rFonts w:ascii="Arial" w:hAnsi="Arial" w:cs="Arial"/>
        </w:rPr>
        <w:t xml:space="preserve">The Board </w:t>
      </w:r>
      <w:proofErr w:type="gramStart"/>
      <w:r w:rsidRPr="00682834">
        <w:rPr>
          <w:rFonts w:ascii="Arial" w:hAnsi="Arial" w:cs="Arial"/>
        </w:rPr>
        <w:t>are</w:t>
      </w:r>
      <w:proofErr w:type="gramEnd"/>
      <w:r w:rsidRPr="00682834">
        <w:rPr>
          <w:rFonts w:ascii="Arial" w:hAnsi="Arial" w:cs="Arial"/>
        </w:rPr>
        <w:t xml:space="preserve"> recommended to approve the schedule set out as Appendix 1 to this paper and the supporting statement set out in Appendix 2 and to </w:t>
      </w:r>
      <w:proofErr w:type="spellStart"/>
      <w:r w:rsidR="000541FF">
        <w:rPr>
          <w:rFonts w:ascii="Arial" w:hAnsi="Arial" w:cs="Arial"/>
        </w:rPr>
        <w:t>authorise</w:t>
      </w:r>
      <w:proofErr w:type="spellEnd"/>
      <w:r w:rsidR="000541FF">
        <w:rPr>
          <w:rFonts w:ascii="Arial" w:hAnsi="Arial" w:cs="Arial"/>
        </w:rPr>
        <w:t xml:space="preserve"> the Chair of Oxford Health NHS FT </w:t>
      </w:r>
      <w:r w:rsidRPr="00682834">
        <w:rPr>
          <w:rFonts w:ascii="Arial" w:hAnsi="Arial" w:cs="Arial"/>
        </w:rPr>
        <w:t>to sign the schedule.</w:t>
      </w:r>
    </w:p>
    <w:p w:rsidR="00682834" w:rsidRPr="00682834" w:rsidRDefault="00682834" w:rsidP="00682834">
      <w:pPr>
        <w:spacing w:after="240"/>
        <w:rPr>
          <w:rFonts w:ascii="Arial" w:hAnsi="Arial" w:cs="Arial"/>
        </w:rPr>
      </w:pPr>
    </w:p>
    <w:p w:rsidR="00682834" w:rsidRPr="00682834" w:rsidRDefault="00682834" w:rsidP="00682834">
      <w:pPr>
        <w:spacing w:after="240"/>
        <w:rPr>
          <w:rFonts w:ascii="Arial" w:hAnsi="Arial" w:cs="Arial"/>
        </w:rPr>
      </w:pPr>
      <w:r w:rsidRPr="00682834">
        <w:rPr>
          <w:rFonts w:ascii="Arial" w:hAnsi="Arial" w:cs="Arial"/>
        </w:rPr>
        <w:t>Philip Bonnier</w:t>
      </w:r>
      <w:r w:rsidRPr="00682834">
        <w:rPr>
          <w:rFonts w:ascii="Arial" w:hAnsi="Arial" w:cs="Arial"/>
        </w:rPr>
        <w:br/>
        <w:t>Project Manager: Charitable Funds Department</w:t>
      </w:r>
      <w:r w:rsidRPr="00682834">
        <w:rPr>
          <w:rFonts w:ascii="Arial" w:hAnsi="Arial" w:cs="Arial"/>
        </w:rPr>
        <w:br/>
        <w:t>22</w:t>
      </w:r>
      <w:r w:rsidRPr="00682834">
        <w:rPr>
          <w:rFonts w:ascii="Arial" w:hAnsi="Arial" w:cs="Arial"/>
          <w:vertAlign w:val="superscript"/>
        </w:rPr>
        <w:t>nd</w:t>
      </w:r>
      <w:r w:rsidRPr="00682834">
        <w:rPr>
          <w:rFonts w:ascii="Arial" w:hAnsi="Arial" w:cs="Arial"/>
        </w:rPr>
        <w:t xml:space="preserve"> April 2014 </w:t>
      </w:r>
    </w:p>
    <w:p w:rsidR="00682834" w:rsidRPr="00682834" w:rsidRDefault="00682834" w:rsidP="00682834">
      <w:pPr>
        <w:rPr>
          <w:rFonts w:ascii="Arial" w:hAnsi="Arial" w:cs="Arial"/>
        </w:rPr>
      </w:pPr>
      <w:r w:rsidRPr="00682834">
        <w:rPr>
          <w:rFonts w:ascii="Arial" w:hAnsi="Arial" w:cs="Arial"/>
        </w:rPr>
        <w:br w:type="page"/>
      </w:r>
    </w:p>
    <w:p w:rsidR="00682834" w:rsidRPr="00682834" w:rsidRDefault="00682834" w:rsidP="00682834">
      <w:pPr>
        <w:rPr>
          <w:rFonts w:ascii="Arial" w:hAnsi="Arial" w:cs="Arial"/>
        </w:rPr>
      </w:pPr>
      <w:r w:rsidRPr="00682834">
        <w:rPr>
          <w:rFonts w:ascii="Arial" w:hAnsi="Arial" w:cs="Arial"/>
        </w:rPr>
        <w:lastRenderedPageBreak/>
        <w:t>Appendix 1:</w:t>
      </w:r>
    </w:p>
    <w:p w:rsidR="00682834" w:rsidRPr="00682834" w:rsidRDefault="00682834" w:rsidP="00682834">
      <w:pPr>
        <w:rPr>
          <w:rFonts w:ascii="Arial" w:hAnsi="Arial" w:cs="Arial"/>
        </w:rPr>
      </w:pPr>
    </w:p>
    <w:p w:rsidR="00682834" w:rsidRPr="00682834" w:rsidRDefault="00682834" w:rsidP="00682834">
      <w:pPr>
        <w:rPr>
          <w:rFonts w:ascii="Arial" w:hAnsi="Arial" w:cs="Arial"/>
          <w:b/>
          <w:bCs/>
        </w:rPr>
      </w:pPr>
      <w:r w:rsidRPr="00682834">
        <w:rPr>
          <w:rFonts w:ascii="Arial" w:hAnsi="Arial" w:cs="Arial"/>
          <w:b/>
          <w:bCs/>
        </w:rPr>
        <w:t>SCHEDULE OF TRUST PROPERTY</w:t>
      </w:r>
    </w:p>
    <w:p w:rsidR="00682834" w:rsidRPr="00682834" w:rsidRDefault="00682834" w:rsidP="00682834">
      <w:pPr>
        <w:rPr>
          <w:rFonts w:ascii="Arial" w:hAnsi="Arial" w:cs="Arial"/>
        </w:rPr>
      </w:pPr>
    </w:p>
    <w:p w:rsidR="00682834" w:rsidRPr="00682834" w:rsidRDefault="00682834" w:rsidP="00682834">
      <w:pPr>
        <w:rPr>
          <w:rFonts w:ascii="Arial" w:hAnsi="Arial" w:cs="Arial"/>
          <w:i/>
          <w:iCs/>
        </w:rPr>
      </w:pPr>
      <w:r w:rsidRPr="00682834">
        <w:rPr>
          <w:rFonts w:ascii="Arial" w:hAnsi="Arial" w:cs="Arial"/>
        </w:rPr>
        <w:t xml:space="preserve">Trust Property transferring from </w:t>
      </w:r>
      <w:r w:rsidRPr="00682834">
        <w:rPr>
          <w:rFonts w:ascii="Arial" w:hAnsi="Arial" w:cs="Arial"/>
          <w:b/>
          <w:bCs/>
        </w:rPr>
        <w:t>Oxford Health NHS Foundation Trust</w:t>
      </w:r>
      <w:r w:rsidRPr="00682834">
        <w:rPr>
          <w:rFonts w:ascii="Arial" w:hAnsi="Arial" w:cs="Arial"/>
          <w:i/>
          <w:iCs/>
        </w:rPr>
        <w:t xml:space="preserve"> </w:t>
      </w:r>
    </w:p>
    <w:p w:rsidR="00682834" w:rsidRPr="00682834" w:rsidRDefault="00682834" w:rsidP="00682834">
      <w:pPr>
        <w:rPr>
          <w:rFonts w:ascii="Arial" w:hAnsi="Arial" w:cs="Arial"/>
        </w:rPr>
      </w:pPr>
    </w:p>
    <w:p w:rsidR="00682834" w:rsidRPr="00682834" w:rsidRDefault="00682834" w:rsidP="00682834">
      <w:pPr>
        <w:rPr>
          <w:rFonts w:ascii="Arial" w:hAnsi="Arial" w:cs="Arial"/>
          <w:i/>
          <w:iCs/>
        </w:rPr>
      </w:pPr>
      <w:r w:rsidRPr="00682834">
        <w:rPr>
          <w:rFonts w:ascii="Arial" w:hAnsi="Arial" w:cs="Arial"/>
        </w:rPr>
        <w:t xml:space="preserve">To </w:t>
      </w:r>
      <w:r w:rsidRPr="00682834">
        <w:rPr>
          <w:rFonts w:ascii="Arial" w:hAnsi="Arial" w:cs="Arial"/>
          <w:b/>
          <w:bCs/>
        </w:rPr>
        <w:t xml:space="preserve">the trustees appointed for the Oxford University Hospitals National Health Service Trust under paragraph 10 of Schedule 4 to the National Health Service Act 2006   </w:t>
      </w:r>
    </w:p>
    <w:p w:rsidR="00682834" w:rsidRPr="00682834" w:rsidRDefault="00682834" w:rsidP="00682834">
      <w:pPr>
        <w:rPr>
          <w:rFonts w:ascii="Arial" w:hAnsi="Arial" w:cs="Arial"/>
        </w:rPr>
      </w:pPr>
    </w:p>
    <w:p w:rsidR="00682834" w:rsidRPr="00682834" w:rsidRDefault="00682834" w:rsidP="00682834">
      <w:pPr>
        <w:rPr>
          <w:rFonts w:ascii="Arial" w:hAnsi="Arial" w:cs="Arial"/>
        </w:rPr>
      </w:pPr>
      <w:r w:rsidRPr="00682834">
        <w:rPr>
          <w:rFonts w:ascii="Arial" w:hAnsi="Arial" w:cs="Arial"/>
        </w:rPr>
        <w:t>By Order made under section 213 of the National Health Service Act 2006</w:t>
      </w:r>
    </w:p>
    <w:p w:rsidR="00682834" w:rsidRPr="00682834" w:rsidRDefault="00682834" w:rsidP="00682834">
      <w:pPr>
        <w:rPr>
          <w:rFonts w:ascii="Arial" w:hAnsi="Arial" w:cs="Arial"/>
        </w:rPr>
      </w:pPr>
    </w:p>
    <w:p w:rsidR="00682834" w:rsidRPr="00682834" w:rsidRDefault="00682834" w:rsidP="00682834">
      <w:pPr>
        <w:rPr>
          <w:rFonts w:ascii="Arial" w:hAnsi="Arial" w:cs="Arial"/>
        </w:rPr>
      </w:pPr>
      <w:r w:rsidRPr="00682834">
        <w:rPr>
          <w:rFonts w:ascii="Arial" w:hAnsi="Arial" w:cs="Arial"/>
        </w:rPr>
        <w:t xml:space="preserve">The trust property to transfer is that which is described in annex A as transferring to </w:t>
      </w:r>
      <w:r w:rsidRPr="00682834">
        <w:rPr>
          <w:rFonts w:ascii="Arial" w:hAnsi="Arial" w:cs="Arial"/>
          <w:b/>
          <w:bCs/>
        </w:rPr>
        <w:t>trustees appointed for the Oxford University Hospitals National Health Service Trust under paragraph 10 of Schedule 4 to the National Health Service Act 2006</w:t>
      </w:r>
      <w:r w:rsidRPr="00682834">
        <w:rPr>
          <w:rFonts w:ascii="Arial" w:hAnsi="Arial" w:cs="Arial"/>
        </w:rPr>
        <w:t xml:space="preserve"> and which at </w:t>
      </w:r>
      <w:smartTag w:uri="urn:schemas-microsoft-com:office:smarttags" w:element="date">
        <w:smartTagPr>
          <w:attr w:name="Year" w:val="2013"/>
          <w:attr w:name="Day" w:val="31"/>
          <w:attr w:name="Month" w:val="3"/>
        </w:smartTagPr>
        <w:r w:rsidRPr="00682834">
          <w:rPr>
            <w:rFonts w:ascii="Arial" w:hAnsi="Arial" w:cs="Arial"/>
          </w:rPr>
          <w:t>31 March 2013</w:t>
        </w:r>
      </w:smartTag>
      <w:r w:rsidRPr="00682834">
        <w:rPr>
          <w:rFonts w:ascii="Arial" w:hAnsi="Arial" w:cs="Arial"/>
        </w:rPr>
        <w:t xml:space="preserve"> was valued at £28,738. </w:t>
      </w:r>
    </w:p>
    <w:p w:rsidR="00682834" w:rsidRPr="00682834" w:rsidRDefault="00682834" w:rsidP="00682834">
      <w:pPr>
        <w:rPr>
          <w:rFonts w:ascii="Arial" w:hAnsi="Arial" w:cs="Arial"/>
        </w:rPr>
      </w:pPr>
    </w:p>
    <w:p w:rsidR="00682834" w:rsidRPr="00682834" w:rsidRDefault="00682834" w:rsidP="00682834">
      <w:pPr>
        <w:rPr>
          <w:rFonts w:ascii="Arial" w:hAnsi="Arial" w:cs="Arial"/>
        </w:rPr>
      </w:pPr>
      <w:r w:rsidRPr="00682834">
        <w:rPr>
          <w:rFonts w:ascii="Arial" w:hAnsi="Arial" w:cs="Arial"/>
        </w:rPr>
        <w:t xml:space="preserve">We the undersigned certify that this schedule and annex A have been completed to the best of our knowledge and belief.  We accept that all transactions between the </w:t>
      </w:r>
      <w:smartTag w:uri="urn:schemas-microsoft-com:office:smarttags" w:element="date">
        <w:smartTagPr>
          <w:attr w:name="Year" w:val="2013"/>
          <w:attr w:name="Day" w:val="31"/>
          <w:attr w:name="Month" w:val="3"/>
        </w:smartTagPr>
        <w:r w:rsidRPr="00682834">
          <w:rPr>
            <w:rFonts w:ascii="Arial" w:hAnsi="Arial" w:cs="Arial"/>
          </w:rPr>
          <w:t>31 March 2013</w:t>
        </w:r>
      </w:smartTag>
      <w:r w:rsidRPr="00682834">
        <w:rPr>
          <w:rFonts w:ascii="Arial" w:hAnsi="Arial" w:cs="Arial"/>
        </w:rPr>
        <w:t xml:space="preserve"> and the coming into force of the transfer order will be reflected in the final balances.  We agree that any retrospective adjustment to the value due to audit or other causes is included. </w:t>
      </w:r>
    </w:p>
    <w:p w:rsidR="00682834" w:rsidRPr="00682834" w:rsidRDefault="00682834" w:rsidP="00682834">
      <w:pPr>
        <w:rPr>
          <w:rFonts w:ascii="Arial" w:hAnsi="Arial" w:cs="Arial"/>
        </w:rPr>
      </w:pPr>
    </w:p>
    <w:p w:rsidR="00682834" w:rsidRPr="00682834" w:rsidRDefault="00682834" w:rsidP="00682834">
      <w:pPr>
        <w:rPr>
          <w:rFonts w:ascii="Arial" w:hAnsi="Arial" w:cs="Arial"/>
        </w:rPr>
      </w:pPr>
    </w:p>
    <w:p w:rsidR="00682834" w:rsidRPr="00682834" w:rsidRDefault="00682834" w:rsidP="00682834">
      <w:pPr>
        <w:rPr>
          <w:rFonts w:ascii="Arial" w:hAnsi="Arial" w:cs="Arial"/>
        </w:rPr>
      </w:pPr>
      <w:r w:rsidRPr="00682834">
        <w:rPr>
          <w:rFonts w:ascii="Arial" w:hAnsi="Arial" w:cs="Arial"/>
        </w:rPr>
        <w:t>Transferring body</w:t>
      </w:r>
    </w:p>
    <w:p w:rsidR="00682834" w:rsidRPr="00682834" w:rsidRDefault="00682834" w:rsidP="00682834">
      <w:pPr>
        <w:rPr>
          <w:rFonts w:ascii="Arial" w:hAnsi="Arial" w:cs="Arial"/>
          <w:i/>
          <w:iCs/>
        </w:rPr>
      </w:pPr>
      <w:smartTag w:uri="urn:schemas-microsoft-com:office:smarttags" w:element="date">
        <w:smartTagPr>
          <w:attr w:name="Year" w:val="2013"/>
          <w:attr w:name="Day" w:val="31"/>
          <w:attr w:name="Month" w:val="3"/>
        </w:smartTagPr>
        <w:r w:rsidRPr="00682834">
          <w:rPr>
            <w:rFonts w:ascii="Arial" w:hAnsi="Arial" w:cs="Arial"/>
            <w:b/>
            <w:bCs/>
          </w:rPr>
          <w:t>Oxford</w:t>
        </w:r>
      </w:smartTag>
      <w:r w:rsidRPr="00682834">
        <w:rPr>
          <w:rFonts w:ascii="Arial" w:hAnsi="Arial" w:cs="Arial"/>
          <w:b/>
          <w:bCs/>
        </w:rPr>
        <w:t xml:space="preserve"> Health NHS Foundation Trust</w:t>
      </w:r>
      <w:r w:rsidRPr="00682834">
        <w:rPr>
          <w:rFonts w:ascii="Arial" w:hAnsi="Arial" w:cs="Arial"/>
          <w:i/>
          <w:iCs/>
        </w:rPr>
        <w:t xml:space="preserve"> </w:t>
      </w:r>
    </w:p>
    <w:p w:rsidR="00682834" w:rsidRPr="00682834" w:rsidRDefault="00682834" w:rsidP="00682834">
      <w:pPr>
        <w:rPr>
          <w:rFonts w:ascii="Arial" w:hAnsi="Arial" w:cs="Arial"/>
        </w:rPr>
      </w:pPr>
    </w:p>
    <w:p w:rsidR="00682834" w:rsidRPr="00682834" w:rsidRDefault="00682834" w:rsidP="00682834">
      <w:pPr>
        <w:rPr>
          <w:rFonts w:ascii="Arial" w:hAnsi="Arial" w:cs="Arial"/>
        </w:rPr>
      </w:pPr>
    </w:p>
    <w:p w:rsidR="00682834" w:rsidRPr="00682834" w:rsidRDefault="00682834" w:rsidP="00682834">
      <w:pPr>
        <w:rPr>
          <w:rFonts w:ascii="Arial" w:hAnsi="Arial" w:cs="Arial"/>
        </w:rPr>
      </w:pPr>
    </w:p>
    <w:p w:rsidR="00682834" w:rsidRPr="00682834" w:rsidRDefault="00682834" w:rsidP="00682834">
      <w:pPr>
        <w:rPr>
          <w:rFonts w:ascii="Arial" w:hAnsi="Arial" w:cs="Arial"/>
        </w:rPr>
      </w:pPr>
    </w:p>
    <w:p w:rsidR="00682834" w:rsidRPr="00682834" w:rsidRDefault="00682834" w:rsidP="00682834">
      <w:pPr>
        <w:rPr>
          <w:rFonts w:ascii="Arial" w:hAnsi="Arial" w:cs="Arial"/>
        </w:rPr>
      </w:pPr>
    </w:p>
    <w:p w:rsidR="00682834" w:rsidRPr="00682834" w:rsidRDefault="00682834" w:rsidP="00682834">
      <w:pPr>
        <w:rPr>
          <w:rFonts w:ascii="Arial" w:hAnsi="Arial" w:cs="Arial"/>
        </w:rPr>
      </w:pPr>
      <w:r w:rsidRPr="00682834">
        <w:rPr>
          <w:rFonts w:ascii="Arial" w:hAnsi="Arial" w:cs="Arial"/>
        </w:rPr>
        <w:t>Chair / CE signature</w:t>
      </w:r>
      <w:r w:rsidRPr="00682834">
        <w:rPr>
          <w:rFonts w:ascii="Arial" w:hAnsi="Arial" w:cs="Arial"/>
        </w:rPr>
        <w:tab/>
        <w:t>Date:</w:t>
      </w:r>
      <w:r w:rsidRPr="00682834">
        <w:rPr>
          <w:rFonts w:ascii="Arial" w:hAnsi="Arial" w:cs="Arial"/>
        </w:rPr>
        <w:tab/>
      </w:r>
    </w:p>
    <w:p w:rsidR="00682834" w:rsidRPr="00682834" w:rsidRDefault="00682834" w:rsidP="00682834">
      <w:pPr>
        <w:rPr>
          <w:rFonts w:ascii="Arial" w:hAnsi="Arial" w:cs="Arial"/>
        </w:rPr>
      </w:pPr>
    </w:p>
    <w:p w:rsidR="00682834" w:rsidRPr="00682834" w:rsidRDefault="00682834" w:rsidP="00682834">
      <w:pPr>
        <w:rPr>
          <w:rFonts w:ascii="Arial" w:hAnsi="Arial" w:cs="Arial"/>
        </w:rPr>
      </w:pPr>
    </w:p>
    <w:p w:rsidR="00682834" w:rsidRPr="00682834" w:rsidRDefault="00682834" w:rsidP="00682834">
      <w:pPr>
        <w:rPr>
          <w:rFonts w:ascii="Arial" w:hAnsi="Arial" w:cs="Arial"/>
        </w:rPr>
      </w:pPr>
      <w:r w:rsidRPr="00682834">
        <w:rPr>
          <w:rFonts w:ascii="Arial" w:hAnsi="Arial" w:cs="Arial"/>
        </w:rPr>
        <w:t>Receiving Body</w:t>
      </w:r>
    </w:p>
    <w:p w:rsidR="00682834" w:rsidRPr="00682834" w:rsidRDefault="00682834" w:rsidP="00682834">
      <w:pPr>
        <w:rPr>
          <w:rFonts w:ascii="Arial" w:hAnsi="Arial" w:cs="Arial"/>
        </w:rPr>
      </w:pPr>
      <w:r w:rsidRPr="00682834">
        <w:rPr>
          <w:rFonts w:ascii="Arial" w:hAnsi="Arial" w:cs="Arial"/>
          <w:b/>
          <w:bCs/>
        </w:rPr>
        <w:t>The trustees appointed for the Oxford University Hospitals National Health Service Trust under paragraph 10 of Schedule 4 to the National Health Service Act 2006</w:t>
      </w:r>
    </w:p>
    <w:p w:rsidR="00682834" w:rsidRPr="00682834" w:rsidRDefault="00682834" w:rsidP="00682834">
      <w:pPr>
        <w:rPr>
          <w:rFonts w:ascii="Arial" w:hAnsi="Arial" w:cs="Arial"/>
        </w:rPr>
      </w:pPr>
    </w:p>
    <w:p w:rsidR="00682834" w:rsidRPr="00682834" w:rsidRDefault="00682834" w:rsidP="00682834">
      <w:pPr>
        <w:rPr>
          <w:rFonts w:ascii="Arial" w:hAnsi="Arial" w:cs="Arial"/>
        </w:rPr>
      </w:pPr>
    </w:p>
    <w:p w:rsidR="00682834" w:rsidRPr="00682834" w:rsidRDefault="00682834" w:rsidP="00682834">
      <w:pPr>
        <w:rPr>
          <w:rFonts w:ascii="Arial" w:hAnsi="Arial" w:cs="Arial"/>
        </w:rPr>
      </w:pPr>
    </w:p>
    <w:p w:rsidR="00682834" w:rsidRPr="00682834" w:rsidRDefault="00682834" w:rsidP="00682834">
      <w:pPr>
        <w:rPr>
          <w:rFonts w:ascii="Arial" w:hAnsi="Arial" w:cs="Arial"/>
        </w:rPr>
      </w:pPr>
      <w:r w:rsidRPr="00682834">
        <w:rPr>
          <w:rFonts w:ascii="Arial" w:hAnsi="Arial" w:cs="Arial"/>
        </w:rPr>
        <w:t>Chair/ CE signature</w:t>
      </w:r>
      <w:r w:rsidRPr="00682834">
        <w:rPr>
          <w:rFonts w:ascii="Arial" w:hAnsi="Arial" w:cs="Arial"/>
        </w:rPr>
        <w:tab/>
      </w:r>
      <w:r w:rsidRPr="00682834">
        <w:rPr>
          <w:rFonts w:ascii="Arial" w:hAnsi="Arial" w:cs="Arial"/>
        </w:rPr>
        <w:tab/>
        <w:t>Date:</w:t>
      </w:r>
    </w:p>
    <w:p w:rsidR="00682834" w:rsidRPr="00682834" w:rsidRDefault="00682834" w:rsidP="00682834">
      <w:pPr>
        <w:rPr>
          <w:rFonts w:ascii="Arial" w:hAnsi="Arial" w:cs="Arial"/>
          <w:b/>
          <w:bCs/>
        </w:rPr>
      </w:pPr>
      <w:r w:rsidRPr="00682834">
        <w:rPr>
          <w:rFonts w:ascii="Arial" w:hAnsi="Arial" w:cs="Arial"/>
          <w:b/>
          <w:bCs/>
        </w:rPr>
        <w:br w:type="page"/>
      </w:r>
    </w:p>
    <w:p w:rsidR="00682834" w:rsidRPr="00682834" w:rsidRDefault="00682834" w:rsidP="00682834">
      <w:pPr>
        <w:rPr>
          <w:rFonts w:ascii="Arial" w:hAnsi="Arial" w:cs="Arial"/>
          <w:b/>
          <w:bCs/>
        </w:rPr>
      </w:pPr>
      <w:r w:rsidRPr="00682834">
        <w:rPr>
          <w:rFonts w:ascii="Arial" w:hAnsi="Arial" w:cs="Arial"/>
          <w:b/>
          <w:bCs/>
        </w:rPr>
        <w:lastRenderedPageBreak/>
        <w:t xml:space="preserve">ANNEX A </w:t>
      </w:r>
    </w:p>
    <w:p w:rsidR="00682834" w:rsidRPr="00682834" w:rsidRDefault="00682834" w:rsidP="00682834">
      <w:pPr>
        <w:rPr>
          <w:rFonts w:ascii="Arial" w:hAnsi="Arial" w:cs="Arial"/>
        </w:rPr>
      </w:pPr>
    </w:p>
    <w:p w:rsidR="00682834" w:rsidRPr="00682834" w:rsidRDefault="00682834" w:rsidP="00682834">
      <w:pPr>
        <w:rPr>
          <w:rFonts w:ascii="Arial" w:hAnsi="Arial" w:cs="Arial"/>
          <w:i/>
          <w:iCs/>
        </w:rPr>
      </w:pPr>
      <w:r w:rsidRPr="00682834">
        <w:rPr>
          <w:rFonts w:ascii="Arial" w:hAnsi="Arial" w:cs="Arial"/>
        </w:rPr>
        <w:t xml:space="preserve">Trust Property transferring from </w:t>
      </w:r>
      <w:r w:rsidRPr="00682834">
        <w:rPr>
          <w:rFonts w:ascii="Arial" w:hAnsi="Arial" w:cs="Arial"/>
          <w:b/>
          <w:bCs/>
        </w:rPr>
        <w:t>Oxford Health NHS Foundation Trust</w:t>
      </w:r>
      <w:r w:rsidRPr="00682834">
        <w:rPr>
          <w:rFonts w:ascii="Arial" w:hAnsi="Arial" w:cs="Arial"/>
          <w:i/>
          <w:iCs/>
        </w:rPr>
        <w:t xml:space="preserve"> </w:t>
      </w:r>
    </w:p>
    <w:p w:rsidR="00682834" w:rsidRPr="00682834" w:rsidRDefault="00682834" w:rsidP="00682834">
      <w:pPr>
        <w:rPr>
          <w:rFonts w:ascii="Arial" w:hAnsi="Arial" w:cs="Arial"/>
          <w:i/>
          <w:iCs/>
        </w:rPr>
      </w:pPr>
    </w:p>
    <w:p w:rsidR="00682834" w:rsidRPr="00682834" w:rsidRDefault="00682834" w:rsidP="00682834">
      <w:pPr>
        <w:rPr>
          <w:rFonts w:ascii="Arial" w:hAnsi="Arial" w:cs="Arial"/>
          <w:sz w:val="22"/>
          <w:szCs w:val="22"/>
        </w:rPr>
      </w:pPr>
    </w:p>
    <w:p w:rsidR="00682834" w:rsidRPr="00682834" w:rsidRDefault="00682834" w:rsidP="00682834">
      <w:pPr>
        <w:rPr>
          <w:rFonts w:ascii="Arial" w:hAnsi="Arial" w:cs="Arial"/>
          <w:i/>
          <w:iCs/>
          <w:sz w:val="22"/>
          <w:szCs w:val="22"/>
        </w:rPr>
      </w:pPr>
      <w:r w:rsidRPr="00682834">
        <w:rPr>
          <w:rFonts w:ascii="Arial" w:hAnsi="Arial" w:cs="Arial"/>
          <w:sz w:val="22"/>
          <w:szCs w:val="22"/>
        </w:rPr>
        <w:t xml:space="preserve">To </w:t>
      </w:r>
      <w:r w:rsidRPr="00682834">
        <w:rPr>
          <w:rFonts w:ascii="Arial" w:hAnsi="Arial" w:cs="Arial"/>
          <w:b/>
          <w:bCs/>
        </w:rPr>
        <w:t>the trustees appointed for the Oxford University Hospitals National Health Service Trust under paragraph 10 of Schedule 4 to the National Health Service Act 2006</w:t>
      </w:r>
    </w:p>
    <w:p w:rsidR="00682834" w:rsidRPr="00682834" w:rsidRDefault="00682834" w:rsidP="00682834">
      <w:pPr>
        <w:rPr>
          <w:rFonts w:ascii="Arial" w:hAnsi="Arial" w:cs="Arial"/>
        </w:rPr>
      </w:pPr>
    </w:p>
    <w:p w:rsidR="00682834" w:rsidRPr="00682834" w:rsidRDefault="00682834" w:rsidP="00682834">
      <w:pPr>
        <w:rPr>
          <w:rFonts w:ascii="Arial" w:hAnsi="Arial" w:cs="Arial"/>
          <w:b/>
          <w:bCs/>
        </w:rPr>
      </w:pPr>
      <w:r w:rsidRPr="00682834">
        <w:rPr>
          <w:rFonts w:ascii="Arial" w:hAnsi="Arial" w:cs="Arial"/>
          <w:b/>
          <w:bCs/>
        </w:rPr>
        <w:t>By Order made under section 213 Schedule 4 to the National Health Service Act 2006</w:t>
      </w:r>
    </w:p>
    <w:p w:rsidR="00682834" w:rsidRPr="00682834" w:rsidRDefault="00682834" w:rsidP="00682834">
      <w:pPr>
        <w:rPr>
          <w:rFonts w:ascii="Arial" w:hAnsi="Arial" w:cs="Arial"/>
          <w:b/>
          <w:bCs/>
        </w:rPr>
      </w:pPr>
    </w:p>
    <w:tbl>
      <w:tblPr>
        <w:tblW w:w="9054" w:type="dxa"/>
        <w:tblLayout w:type="fixed"/>
        <w:tblCellMar>
          <w:left w:w="54" w:type="dxa"/>
          <w:right w:w="54" w:type="dxa"/>
        </w:tblCellMar>
        <w:tblLook w:val="00A0"/>
      </w:tblPr>
      <w:tblGrid>
        <w:gridCol w:w="2214"/>
        <w:gridCol w:w="1440"/>
        <w:gridCol w:w="3780"/>
        <w:gridCol w:w="1620"/>
      </w:tblGrid>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b/>
                <w:bCs/>
                <w:snapToGrid w:val="0"/>
              </w:rPr>
            </w:pPr>
            <w:r w:rsidRPr="00682834">
              <w:rPr>
                <w:rFonts w:ascii="Arial" w:hAnsi="Arial" w:cs="Arial"/>
                <w:b/>
                <w:bCs/>
                <w:snapToGrid w:val="0"/>
              </w:rPr>
              <w:t>Funds</w:t>
            </w:r>
            <w:r w:rsidRPr="00682834">
              <w:rPr>
                <w:rFonts w:ascii="Arial" w:hAnsi="Arial" w:cs="Arial"/>
                <w:snapToGrid w:val="0"/>
                <w:vertAlign w:val="superscript"/>
              </w:rPr>
              <w:t>1</w:t>
            </w:r>
          </w:p>
        </w:tc>
        <w:tc>
          <w:tcPr>
            <w:tcW w:w="1440" w:type="dxa"/>
          </w:tcPr>
          <w:p w:rsidR="00682834" w:rsidRPr="00682834" w:rsidRDefault="00682834" w:rsidP="004C615D">
            <w:pPr>
              <w:spacing w:line="276" w:lineRule="auto"/>
              <w:jc w:val="center"/>
              <w:rPr>
                <w:rFonts w:ascii="Arial" w:hAnsi="Arial" w:cs="Arial"/>
                <w:b/>
                <w:bCs/>
                <w:snapToGrid w:val="0"/>
                <w:color w:val="000000"/>
              </w:rPr>
            </w:pPr>
            <w:r w:rsidRPr="00682834">
              <w:rPr>
                <w:rFonts w:ascii="Arial" w:hAnsi="Arial" w:cs="Arial"/>
                <w:b/>
                <w:bCs/>
                <w:snapToGrid w:val="0"/>
              </w:rPr>
              <w:t xml:space="preserve">Balance at </w:t>
            </w:r>
            <w:smartTag w:uri="urn:schemas-microsoft-com:office:smarttags" w:element="date">
              <w:smartTagPr>
                <w:attr w:name="Year" w:val="2013"/>
                <w:attr w:name="Day" w:val="31"/>
                <w:attr w:name="Month" w:val="3"/>
              </w:smartTagPr>
              <w:r w:rsidRPr="00682834">
                <w:rPr>
                  <w:rFonts w:ascii="Arial" w:hAnsi="Arial" w:cs="Arial"/>
                  <w:b/>
                  <w:bCs/>
                  <w:snapToGrid w:val="0"/>
                </w:rPr>
                <w:t>31st March 2013</w:t>
              </w:r>
            </w:smartTag>
          </w:p>
        </w:tc>
        <w:tc>
          <w:tcPr>
            <w:tcW w:w="3780" w:type="dxa"/>
          </w:tcPr>
          <w:p w:rsidR="00682834" w:rsidRPr="00682834" w:rsidRDefault="00682834" w:rsidP="004C615D">
            <w:pPr>
              <w:spacing w:line="276" w:lineRule="auto"/>
              <w:jc w:val="center"/>
              <w:rPr>
                <w:rFonts w:ascii="Arial" w:hAnsi="Arial" w:cs="Arial"/>
                <w:b/>
                <w:bCs/>
                <w:snapToGrid w:val="0"/>
              </w:rPr>
            </w:pPr>
            <w:r w:rsidRPr="00682834">
              <w:rPr>
                <w:rFonts w:ascii="Arial" w:hAnsi="Arial" w:cs="Arial"/>
                <w:b/>
                <w:bCs/>
                <w:snapToGrid w:val="0"/>
              </w:rPr>
              <w:t>Funds transferred to</w:t>
            </w:r>
          </w:p>
          <w:p w:rsidR="00682834" w:rsidRPr="00682834" w:rsidRDefault="00682834" w:rsidP="004C615D">
            <w:pPr>
              <w:spacing w:line="276" w:lineRule="auto"/>
              <w:jc w:val="center"/>
              <w:rPr>
                <w:rFonts w:ascii="Arial" w:hAnsi="Arial" w:cs="Arial"/>
                <w:b/>
                <w:bCs/>
                <w:snapToGrid w:val="0"/>
                <w:color w:val="000000"/>
              </w:rPr>
            </w:pPr>
            <w:r w:rsidRPr="00682834">
              <w:rPr>
                <w:rFonts w:ascii="Arial" w:hAnsi="Arial" w:cs="Arial"/>
                <w:b/>
                <w:bCs/>
              </w:rPr>
              <w:t>the trustees appointed for the Oxford University Hospitals National Health Service Trust under paragraph 10 of Schedule 4 to the National Health Service Act 2006</w:t>
            </w:r>
          </w:p>
        </w:tc>
        <w:tc>
          <w:tcPr>
            <w:tcW w:w="1620" w:type="dxa"/>
          </w:tcPr>
          <w:p w:rsidR="00682834" w:rsidRPr="00682834" w:rsidRDefault="00682834" w:rsidP="004C615D">
            <w:pPr>
              <w:widowControl w:val="0"/>
              <w:spacing w:line="276" w:lineRule="auto"/>
              <w:jc w:val="center"/>
              <w:rPr>
                <w:rFonts w:ascii="Arial" w:hAnsi="Arial" w:cs="Arial"/>
                <w:b/>
                <w:bCs/>
                <w:snapToGrid w:val="0"/>
              </w:rPr>
            </w:pPr>
            <w:r w:rsidRPr="00682834">
              <w:rPr>
                <w:rFonts w:ascii="Arial" w:hAnsi="Arial" w:cs="Arial"/>
                <w:b/>
                <w:bCs/>
                <w:snapToGrid w:val="0"/>
              </w:rPr>
              <w:t>Proportion of fund</w:t>
            </w: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spacing w:line="276" w:lineRule="auto"/>
              <w:rPr>
                <w:rFonts w:ascii="Arial" w:hAnsi="Arial" w:cs="Arial"/>
                <w:b/>
                <w:bCs/>
                <w:snapToGrid w:val="0"/>
                <w:color w:val="000000"/>
              </w:rPr>
            </w:pPr>
          </w:p>
        </w:tc>
        <w:tc>
          <w:tcPr>
            <w:tcW w:w="3780" w:type="dxa"/>
          </w:tcPr>
          <w:p w:rsidR="00682834" w:rsidRPr="00682834" w:rsidRDefault="00682834" w:rsidP="004C615D">
            <w:pPr>
              <w:widowControl w:val="0"/>
              <w:spacing w:line="276" w:lineRule="auto"/>
              <w:rPr>
                <w:rFonts w:ascii="Arial" w:hAnsi="Arial" w:cs="Arial"/>
                <w:b/>
                <w:bCs/>
                <w:snapToGrid w:val="0"/>
                <w:color w:val="000000"/>
              </w:rPr>
            </w:pPr>
          </w:p>
        </w:tc>
        <w:tc>
          <w:tcPr>
            <w:tcW w:w="1620" w:type="dxa"/>
          </w:tcPr>
          <w:p w:rsidR="00682834" w:rsidRPr="00682834" w:rsidRDefault="00682834" w:rsidP="004C615D">
            <w:pPr>
              <w:widowControl w:val="0"/>
              <w:spacing w:line="276" w:lineRule="auto"/>
              <w:rPr>
                <w:rFonts w:ascii="Arial" w:hAnsi="Arial" w:cs="Arial"/>
                <w:b/>
                <w:bCs/>
                <w:snapToGrid w:val="0"/>
              </w:rPr>
            </w:pPr>
            <w:r w:rsidRPr="00682834">
              <w:rPr>
                <w:rFonts w:ascii="Arial" w:hAnsi="Arial" w:cs="Arial"/>
                <w:b/>
                <w:bCs/>
                <w:snapToGrid w:val="0"/>
              </w:rPr>
              <w:t xml:space="preserve"> </w:t>
            </w: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spacing w:line="276" w:lineRule="auto"/>
              <w:jc w:val="center"/>
              <w:rPr>
                <w:rFonts w:ascii="Arial" w:hAnsi="Arial" w:cs="Arial"/>
                <w:b/>
                <w:bCs/>
                <w:snapToGrid w:val="0"/>
              </w:rPr>
            </w:pPr>
            <w:r w:rsidRPr="00682834">
              <w:rPr>
                <w:rFonts w:ascii="Arial" w:hAnsi="Arial" w:cs="Arial"/>
                <w:b/>
                <w:bCs/>
                <w:snapToGrid w:val="0"/>
              </w:rPr>
              <w:t>£</w:t>
            </w:r>
          </w:p>
        </w:tc>
        <w:tc>
          <w:tcPr>
            <w:tcW w:w="3780" w:type="dxa"/>
          </w:tcPr>
          <w:p w:rsidR="00682834" w:rsidRPr="00682834" w:rsidRDefault="00682834" w:rsidP="004C615D">
            <w:pPr>
              <w:widowControl w:val="0"/>
              <w:spacing w:line="276" w:lineRule="auto"/>
              <w:jc w:val="center"/>
              <w:rPr>
                <w:rFonts w:ascii="Arial" w:hAnsi="Arial" w:cs="Arial"/>
                <w:b/>
                <w:bCs/>
                <w:snapToGrid w:val="0"/>
              </w:rPr>
            </w:pPr>
            <w:r w:rsidRPr="00682834">
              <w:rPr>
                <w:rFonts w:ascii="Arial" w:hAnsi="Arial" w:cs="Arial"/>
                <w:b/>
                <w:bCs/>
                <w:snapToGrid w:val="0"/>
              </w:rPr>
              <w:t>£</w:t>
            </w:r>
          </w:p>
        </w:tc>
        <w:tc>
          <w:tcPr>
            <w:tcW w:w="1620" w:type="dxa"/>
          </w:tcPr>
          <w:p w:rsidR="00682834" w:rsidRPr="00682834" w:rsidRDefault="00682834" w:rsidP="004C615D">
            <w:pPr>
              <w:widowControl w:val="0"/>
              <w:spacing w:line="276" w:lineRule="auto"/>
              <w:jc w:val="center"/>
              <w:rPr>
                <w:rFonts w:ascii="Arial" w:hAnsi="Arial" w:cs="Arial"/>
                <w:b/>
                <w:bCs/>
                <w:snapToGrid w:val="0"/>
              </w:rPr>
            </w:pPr>
            <w:r w:rsidRPr="00682834">
              <w:rPr>
                <w:rFonts w:ascii="Arial" w:hAnsi="Arial" w:cs="Arial"/>
                <w:b/>
                <w:bCs/>
                <w:snapToGrid w:val="0"/>
              </w:rPr>
              <w:t>%</w:t>
            </w: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spacing w:line="276" w:lineRule="auto"/>
              <w:rPr>
                <w:rFonts w:ascii="Arial" w:hAnsi="Arial" w:cs="Arial"/>
                <w:snapToGrid w:val="0"/>
                <w:color w:val="000000"/>
              </w:rPr>
            </w:pPr>
          </w:p>
        </w:tc>
        <w:tc>
          <w:tcPr>
            <w:tcW w:w="3780" w:type="dxa"/>
          </w:tcPr>
          <w:p w:rsidR="00682834" w:rsidRPr="00682834" w:rsidRDefault="00682834" w:rsidP="004C615D">
            <w:pPr>
              <w:widowControl w:val="0"/>
              <w:spacing w:line="276" w:lineRule="auto"/>
              <w:rPr>
                <w:rFonts w:ascii="Arial" w:hAnsi="Arial" w:cs="Arial"/>
                <w:snapToGrid w:val="0"/>
                <w:color w:val="000000"/>
              </w:rPr>
            </w:pPr>
          </w:p>
        </w:tc>
        <w:tc>
          <w:tcPr>
            <w:tcW w:w="1620" w:type="dxa"/>
          </w:tcPr>
          <w:p w:rsidR="00682834" w:rsidRPr="00682834" w:rsidRDefault="00682834" w:rsidP="004C615D">
            <w:pPr>
              <w:widowControl w:val="0"/>
              <w:spacing w:line="276" w:lineRule="auto"/>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b/>
                <w:bCs/>
                <w:snapToGrid w:val="0"/>
              </w:rPr>
            </w:pPr>
            <w:r w:rsidRPr="00682834">
              <w:rPr>
                <w:rFonts w:ascii="Arial" w:hAnsi="Arial" w:cs="Arial"/>
                <w:b/>
                <w:bCs/>
                <w:snapToGrid w:val="0"/>
              </w:rPr>
              <w:t>Restricted income funds</w:t>
            </w:r>
          </w:p>
        </w:tc>
        <w:tc>
          <w:tcPr>
            <w:tcW w:w="1440" w:type="dxa"/>
          </w:tcPr>
          <w:p w:rsidR="00682834" w:rsidRPr="00682834" w:rsidRDefault="00682834" w:rsidP="004C615D">
            <w:pPr>
              <w:widowControl w:val="0"/>
              <w:jc w:val="center"/>
              <w:rPr>
                <w:rFonts w:ascii="Arial" w:hAnsi="Arial" w:cs="Arial"/>
                <w:snapToGrid w:val="0"/>
                <w:color w:val="000000"/>
              </w:rPr>
            </w:pPr>
            <w:r w:rsidRPr="00682834">
              <w:rPr>
                <w:rFonts w:ascii="Arial" w:hAnsi="Arial" w:cs="Arial"/>
                <w:snapToGrid w:val="0"/>
                <w:color w:val="000000"/>
              </w:rPr>
              <w:t>440,374</w:t>
            </w: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r w:rsidRPr="00682834">
              <w:rPr>
                <w:rFonts w:ascii="Arial" w:hAnsi="Arial" w:cs="Arial"/>
                <w:snapToGrid w:val="0"/>
                <w:color w:val="000000"/>
              </w:rPr>
              <w:t>0</w:t>
            </w: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b/>
                <w:bCs/>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b/>
                <w:bCs/>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b/>
                <w:bCs/>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b/>
                <w:bCs/>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b/>
                <w:bCs/>
                <w:snapToGrid w:val="0"/>
              </w:rPr>
            </w:pPr>
            <w:r w:rsidRPr="00682834">
              <w:rPr>
                <w:rFonts w:ascii="Arial" w:hAnsi="Arial" w:cs="Arial"/>
                <w:b/>
                <w:bCs/>
                <w:snapToGrid w:val="0"/>
              </w:rPr>
              <w:t>Unrestricted income funds</w:t>
            </w:r>
          </w:p>
        </w:tc>
        <w:tc>
          <w:tcPr>
            <w:tcW w:w="1440" w:type="dxa"/>
          </w:tcPr>
          <w:p w:rsidR="00682834" w:rsidRPr="00682834" w:rsidRDefault="00682834" w:rsidP="004C615D">
            <w:pPr>
              <w:widowControl w:val="0"/>
              <w:jc w:val="center"/>
              <w:rPr>
                <w:rFonts w:ascii="Arial" w:hAnsi="Arial" w:cs="Arial"/>
                <w:snapToGrid w:val="0"/>
                <w:color w:val="000000"/>
              </w:rPr>
            </w:pPr>
            <w:r w:rsidRPr="00682834">
              <w:rPr>
                <w:rFonts w:ascii="Arial" w:hAnsi="Arial" w:cs="Arial"/>
                <w:snapToGrid w:val="0"/>
                <w:color w:val="000000"/>
              </w:rPr>
              <w:t>1,240,262</w:t>
            </w:r>
          </w:p>
        </w:tc>
        <w:tc>
          <w:tcPr>
            <w:tcW w:w="3780" w:type="dxa"/>
          </w:tcPr>
          <w:p w:rsidR="00682834" w:rsidRPr="00682834" w:rsidRDefault="00682834" w:rsidP="004C615D">
            <w:pPr>
              <w:widowControl w:val="0"/>
              <w:jc w:val="center"/>
              <w:rPr>
                <w:rFonts w:ascii="Arial" w:hAnsi="Arial" w:cs="Arial"/>
                <w:snapToGrid w:val="0"/>
                <w:color w:val="000000"/>
              </w:rPr>
            </w:pPr>
            <w:r w:rsidRPr="00682834">
              <w:rPr>
                <w:rFonts w:ascii="Arial" w:hAnsi="Arial" w:cs="Arial"/>
                <w:snapToGrid w:val="0"/>
                <w:color w:val="000000"/>
              </w:rPr>
              <w:t>28,738</w:t>
            </w:r>
          </w:p>
        </w:tc>
        <w:tc>
          <w:tcPr>
            <w:tcW w:w="1620" w:type="dxa"/>
          </w:tcPr>
          <w:p w:rsidR="00682834" w:rsidRPr="00682834" w:rsidRDefault="00682834" w:rsidP="004C615D">
            <w:pPr>
              <w:widowControl w:val="0"/>
              <w:jc w:val="center"/>
              <w:rPr>
                <w:rFonts w:ascii="Arial" w:hAnsi="Arial" w:cs="Arial"/>
                <w:snapToGrid w:val="0"/>
                <w:color w:val="000000"/>
              </w:rPr>
            </w:pPr>
            <w:r w:rsidRPr="00682834">
              <w:rPr>
                <w:rFonts w:ascii="Arial" w:hAnsi="Arial" w:cs="Arial"/>
                <w:snapToGrid w:val="0"/>
                <w:color w:val="000000"/>
              </w:rPr>
              <w:t>2.32%</w:t>
            </w: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b/>
                <w:bCs/>
                <w:snapToGrid w:val="0"/>
              </w:rPr>
            </w:pPr>
            <w:r w:rsidRPr="00682834">
              <w:rPr>
                <w:rFonts w:ascii="Arial" w:hAnsi="Arial" w:cs="Arial"/>
                <w:b/>
                <w:bCs/>
                <w:snapToGrid w:val="0"/>
              </w:rPr>
              <w:t>Endowment funds</w:t>
            </w:r>
          </w:p>
        </w:tc>
        <w:tc>
          <w:tcPr>
            <w:tcW w:w="1440" w:type="dxa"/>
          </w:tcPr>
          <w:p w:rsidR="00682834" w:rsidRPr="00682834" w:rsidRDefault="00682834" w:rsidP="004C615D">
            <w:pPr>
              <w:widowControl w:val="0"/>
              <w:jc w:val="center"/>
              <w:rPr>
                <w:rFonts w:ascii="Arial" w:hAnsi="Arial" w:cs="Arial"/>
                <w:snapToGrid w:val="0"/>
                <w:color w:val="000000"/>
              </w:rPr>
            </w:pPr>
            <w:r w:rsidRPr="00682834">
              <w:rPr>
                <w:rFonts w:ascii="Arial" w:hAnsi="Arial" w:cs="Arial"/>
                <w:snapToGrid w:val="0"/>
                <w:color w:val="000000"/>
              </w:rPr>
              <w:t>0</w:t>
            </w: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snapToGrid w:val="0"/>
                <w:color w:val="000000"/>
              </w:rPr>
            </w:pPr>
          </w:p>
        </w:tc>
        <w:tc>
          <w:tcPr>
            <w:tcW w:w="1440" w:type="dxa"/>
          </w:tcPr>
          <w:p w:rsidR="00682834" w:rsidRPr="00682834" w:rsidRDefault="00682834" w:rsidP="004C615D">
            <w:pPr>
              <w:widowControl w:val="0"/>
              <w:jc w:val="center"/>
              <w:rPr>
                <w:rFonts w:ascii="Arial" w:hAnsi="Arial" w:cs="Arial"/>
                <w:snapToGrid w:val="0"/>
                <w:color w:val="000000"/>
              </w:rPr>
            </w:pPr>
          </w:p>
        </w:tc>
        <w:tc>
          <w:tcPr>
            <w:tcW w:w="3780" w:type="dxa"/>
          </w:tcPr>
          <w:p w:rsidR="00682834" w:rsidRPr="00682834" w:rsidRDefault="00682834" w:rsidP="004C615D">
            <w:pPr>
              <w:widowControl w:val="0"/>
              <w:jc w:val="center"/>
              <w:rPr>
                <w:rFonts w:ascii="Arial" w:hAnsi="Arial" w:cs="Arial"/>
                <w:snapToGrid w:val="0"/>
                <w:color w:val="000000"/>
              </w:rPr>
            </w:pPr>
          </w:p>
        </w:tc>
        <w:tc>
          <w:tcPr>
            <w:tcW w:w="1620" w:type="dxa"/>
          </w:tcPr>
          <w:p w:rsidR="00682834" w:rsidRPr="00682834" w:rsidRDefault="00682834" w:rsidP="004C615D">
            <w:pPr>
              <w:widowControl w:val="0"/>
              <w:jc w:val="center"/>
              <w:rPr>
                <w:rFonts w:ascii="Arial" w:hAnsi="Arial" w:cs="Arial"/>
                <w:snapToGrid w:val="0"/>
                <w:color w:val="000000"/>
              </w:rPr>
            </w:pPr>
          </w:p>
        </w:tc>
      </w:tr>
      <w:tr w:rsidR="00682834" w:rsidRPr="00682834" w:rsidTr="000541FF">
        <w:trPr>
          <w:trHeight w:val="315"/>
        </w:trPr>
        <w:tc>
          <w:tcPr>
            <w:tcW w:w="2214" w:type="dxa"/>
          </w:tcPr>
          <w:p w:rsidR="00682834" w:rsidRPr="00682834" w:rsidRDefault="00682834" w:rsidP="004C615D">
            <w:pPr>
              <w:widowControl w:val="0"/>
              <w:spacing w:line="276" w:lineRule="auto"/>
              <w:rPr>
                <w:rFonts w:ascii="Arial" w:hAnsi="Arial" w:cs="Arial"/>
                <w:b/>
                <w:bCs/>
                <w:snapToGrid w:val="0"/>
              </w:rPr>
            </w:pPr>
            <w:r w:rsidRPr="00682834">
              <w:rPr>
                <w:rFonts w:ascii="Arial" w:hAnsi="Arial" w:cs="Arial"/>
                <w:b/>
                <w:bCs/>
                <w:snapToGrid w:val="0"/>
              </w:rPr>
              <w:t xml:space="preserve">TOTAL </w:t>
            </w:r>
          </w:p>
        </w:tc>
        <w:tc>
          <w:tcPr>
            <w:tcW w:w="1440" w:type="dxa"/>
          </w:tcPr>
          <w:p w:rsidR="00682834" w:rsidRPr="00682834" w:rsidRDefault="00682834" w:rsidP="004C615D">
            <w:pPr>
              <w:widowControl w:val="0"/>
              <w:jc w:val="center"/>
              <w:rPr>
                <w:rFonts w:ascii="Arial" w:hAnsi="Arial" w:cs="Arial"/>
                <w:snapToGrid w:val="0"/>
                <w:color w:val="000000"/>
              </w:rPr>
            </w:pPr>
            <w:r w:rsidRPr="00682834">
              <w:rPr>
                <w:rFonts w:ascii="Arial" w:hAnsi="Arial" w:cs="Arial"/>
                <w:snapToGrid w:val="0"/>
                <w:color w:val="000000"/>
              </w:rPr>
              <w:t>1,680,636</w:t>
            </w:r>
          </w:p>
        </w:tc>
        <w:tc>
          <w:tcPr>
            <w:tcW w:w="3780" w:type="dxa"/>
          </w:tcPr>
          <w:p w:rsidR="00682834" w:rsidRPr="00682834" w:rsidRDefault="00682834" w:rsidP="004C615D">
            <w:pPr>
              <w:widowControl w:val="0"/>
              <w:jc w:val="center"/>
              <w:rPr>
                <w:rFonts w:ascii="Arial" w:hAnsi="Arial" w:cs="Arial"/>
                <w:snapToGrid w:val="0"/>
                <w:color w:val="000000"/>
              </w:rPr>
            </w:pPr>
            <w:r w:rsidRPr="00682834">
              <w:rPr>
                <w:rFonts w:ascii="Arial" w:hAnsi="Arial" w:cs="Arial"/>
                <w:snapToGrid w:val="0"/>
                <w:color w:val="000000"/>
              </w:rPr>
              <w:t>28,738</w:t>
            </w:r>
          </w:p>
        </w:tc>
        <w:tc>
          <w:tcPr>
            <w:tcW w:w="1620" w:type="dxa"/>
          </w:tcPr>
          <w:p w:rsidR="00682834" w:rsidRPr="00682834" w:rsidRDefault="00682834" w:rsidP="004C615D">
            <w:pPr>
              <w:widowControl w:val="0"/>
              <w:jc w:val="center"/>
              <w:rPr>
                <w:rFonts w:ascii="Arial" w:hAnsi="Arial" w:cs="Arial"/>
                <w:snapToGrid w:val="0"/>
                <w:color w:val="000000"/>
              </w:rPr>
            </w:pPr>
            <w:r w:rsidRPr="00682834">
              <w:rPr>
                <w:rFonts w:ascii="Arial" w:hAnsi="Arial" w:cs="Arial"/>
                <w:snapToGrid w:val="0"/>
                <w:color w:val="000000"/>
              </w:rPr>
              <w:t>1.71%</w:t>
            </w:r>
          </w:p>
        </w:tc>
      </w:tr>
    </w:tbl>
    <w:p w:rsidR="00682834" w:rsidRPr="00682834" w:rsidRDefault="00682834" w:rsidP="00682834">
      <w:pPr>
        <w:rPr>
          <w:rFonts w:ascii="Arial" w:hAnsi="Arial" w:cs="Arial"/>
        </w:rPr>
      </w:pPr>
    </w:p>
    <w:p w:rsidR="00682834" w:rsidRPr="00682834" w:rsidRDefault="00682834" w:rsidP="00682834">
      <w:pPr>
        <w:rPr>
          <w:rFonts w:ascii="Arial" w:hAnsi="Arial" w:cs="Arial"/>
        </w:rPr>
      </w:pPr>
    </w:p>
    <w:p w:rsidR="00682834" w:rsidRPr="00682834" w:rsidRDefault="00682834" w:rsidP="00682834">
      <w:pPr>
        <w:rPr>
          <w:rFonts w:ascii="Arial" w:hAnsi="Arial" w:cs="Arial"/>
          <w:b/>
        </w:rPr>
      </w:pPr>
      <w:r w:rsidRPr="00682834">
        <w:rPr>
          <w:rFonts w:ascii="Arial" w:hAnsi="Arial" w:cs="Arial"/>
          <w:b/>
        </w:rPr>
        <w:t>Appendix 2</w:t>
      </w:r>
    </w:p>
    <w:p w:rsidR="00682834" w:rsidRPr="00682834" w:rsidRDefault="00682834" w:rsidP="00682834">
      <w:pPr>
        <w:pStyle w:val="DHSecondaryHeadingOne"/>
        <w:spacing w:before="120"/>
        <w:rPr>
          <w:rFonts w:ascii="Arial" w:hAnsi="Arial" w:cs="Arial"/>
          <w:b w:val="0"/>
        </w:rPr>
      </w:pPr>
      <w:r w:rsidRPr="00682834">
        <w:rPr>
          <w:rFonts w:ascii="Arial" w:hAnsi="Arial" w:cs="Arial"/>
          <w:b w:val="0"/>
        </w:rPr>
        <w:t>Statement in support of transfer</w:t>
      </w:r>
    </w:p>
    <w:p w:rsidR="00682834" w:rsidRPr="00682834" w:rsidRDefault="00682834" w:rsidP="00682834">
      <w:pPr>
        <w:rPr>
          <w:rFonts w:ascii="Arial" w:hAnsi="Arial" w:cs="Arial"/>
        </w:rPr>
      </w:pPr>
    </w:p>
    <w:tbl>
      <w:tblPr>
        <w:tblStyle w:val="TableGrid"/>
        <w:tblW w:w="9468" w:type="dxa"/>
        <w:tblBorders>
          <w:insideV w:val="none" w:sz="0" w:space="0" w:color="auto"/>
        </w:tblBorders>
        <w:tblLook w:val="01E0"/>
      </w:tblPr>
      <w:tblGrid>
        <w:gridCol w:w="2448"/>
        <w:gridCol w:w="7020"/>
      </w:tblGrid>
      <w:tr w:rsidR="00682834" w:rsidRPr="00682834" w:rsidTr="004C615D">
        <w:tc>
          <w:tcPr>
            <w:tcW w:w="2448" w:type="dxa"/>
            <w:tcBorders>
              <w:right w:val="single" w:sz="4" w:space="0" w:color="C0C0C0"/>
            </w:tcBorders>
          </w:tcPr>
          <w:p w:rsidR="00682834" w:rsidRPr="00682834" w:rsidRDefault="00682834" w:rsidP="004C615D">
            <w:pPr>
              <w:spacing w:before="120" w:after="120"/>
              <w:rPr>
                <w:rFonts w:ascii="Arial" w:hAnsi="Arial" w:cs="Arial"/>
                <w:b/>
                <w:color w:val="339966"/>
              </w:rPr>
            </w:pPr>
            <w:r w:rsidRPr="00682834">
              <w:rPr>
                <w:rFonts w:ascii="Arial" w:hAnsi="Arial" w:cs="Arial"/>
                <w:b/>
                <w:color w:val="339966"/>
              </w:rPr>
              <w:t>NHS body/charity:</w:t>
            </w:r>
          </w:p>
        </w:tc>
        <w:tc>
          <w:tcPr>
            <w:tcW w:w="7020" w:type="dxa"/>
            <w:tcBorders>
              <w:left w:val="single" w:sz="4" w:space="0" w:color="C0C0C0"/>
            </w:tcBorders>
          </w:tcPr>
          <w:p w:rsidR="00682834" w:rsidRPr="00682834" w:rsidRDefault="00682834" w:rsidP="004C615D">
            <w:pPr>
              <w:spacing w:before="120" w:after="120"/>
              <w:rPr>
                <w:rFonts w:ascii="Arial" w:hAnsi="Arial" w:cs="Arial"/>
                <w:b/>
              </w:rPr>
            </w:pPr>
            <w:r w:rsidRPr="00682834">
              <w:rPr>
                <w:rFonts w:ascii="Arial" w:hAnsi="Arial" w:cs="Arial"/>
                <w:b/>
              </w:rPr>
              <w:t>Oxford Health NHS Foundation Trust</w:t>
            </w:r>
          </w:p>
        </w:tc>
      </w:tr>
      <w:tr w:rsidR="00682834" w:rsidRPr="00682834" w:rsidTr="004C615D">
        <w:tc>
          <w:tcPr>
            <w:tcW w:w="2448" w:type="dxa"/>
            <w:tcBorders>
              <w:right w:val="single" w:sz="4" w:space="0" w:color="C0C0C0"/>
            </w:tcBorders>
          </w:tcPr>
          <w:p w:rsidR="00682834" w:rsidRPr="00682834" w:rsidRDefault="00682834" w:rsidP="004C615D">
            <w:pPr>
              <w:spacing w:before="120" w:after="120"/>
              <w:rPr>
                <w:rFonts w:ascii="Arial" w:hAnsi="Arial" w:cs="Arial"/>
                <w:b/>
                <w:color w:val="339966"/>
              </w:rPr>
            </w:pPr>
            <w:r w:rsidRPr="00682834">
              <w:rPr>
                <w:rFonts w:ascii="Arial" w:hAnsi="Arial" w:cs="Arial"/>
                <w:b/>
                <w:color w:val="339966"/>
              </w:rPr>
              <w:t>Name:</w:t>
            </w:r>
          </w:p>
        </w:tc>
        <w:tc>
          <w:tcPr>
            <w:tcW w:w="7020" w:type="dxa"/>
            <w:tcBorders>
              <w:left w:val="single" w:sz="4" w:space="0" w:color="C0C0C0"/>
            </w:tcBorders>
          </w:tcPr>
          <w:p w:rsidR="00682834" w:rsidRPr="00682834" w:rsidRDefault="00682834" w:rsidP="004C615D">
            <w:pPr>
              <w:spacing w:before="120" w:after="120"/>
              <w:rPr>
                <w:rFonts w:ascii="Arial" w:hAnsi="Arial" w:cs="Arial"/>
              </w:rPr>
            </w:pPr>
          </w:p>
        </w:tc>
      </w:tr>
      <w:tr w:rsidR="00682834" w:rsidRPr="00682834" w:rsidTr="004C615D">
        <w:tc>
          <w:tcPr>
            <w:tcW w:w="2448" w:type="dxa"/>
            <w:tcBorders>
              <w:right w:val="single" w:sz="4" w:space="0" w:color="C0C0C0"/>
            </w:tcBorders>
          </w:tcPr>
          <w:p w:rsidR="00682834" w:rsidRPr="00682834" w:rsidRDefault="00682834" w:rsidP="004C615D">
            <w:pPr>
              <w:spacing w:before="120" w:after="120"/>
              <w:rPr>
                <w:rFonts w:ascii="Arial" w:hAnsi="Arial" w:cs="Arial"/>
                <w:b/>
                <w:color w:val="339966"/>
              </w:rPr>
            </w:pPr>
            <w:r w:rsidRPr="00682834">
              <w:rPr>
                <w:rFonts w:ascii="Arial" w:hAnsi="Arial" w:cs="Arial"/>
                <w:b/>
                <w:color w:val="339966"/>
              </w:rPr>
              <w:t>Role:</w:t>
            </w:r>
          </w:p>
        </w:tc>
        <w:tc>
          <w:tcPr>
            <w:tcW w:w="7020" w:type="dxa"/>
            <w:tcBorders>
              <w:left w:val="single" w:sz="4" w:space="0" w:color="C0C0C0"/>
            </w:tcBorders>
          </w:tcPr>
          <w:p w:rsidR="00682834" w:rsidRPr="00682834" w:rsidRDefault="00682834" w:rsidP="004C615D">
            <w:pPr>
              <w:spacing w:before="120" w:after="120"/>
              <w:rPr>
                <w:rFonts w:ascii="Arial" w:hAnsi="Arial" w:cs="Arial"/>
              </w:rPr>
            </w:pPr>
          </w:p>
        </w:tc>
      </w:tr>
    </w:tbl>
    <w:p w:rsidR="00682834" w:rsidRPr="00682834" w:rsidRDefault="00682834" w:rsidP="00682834">
      <w:pPr>
        <w:rPr>
          <w:rFonts w:ascii="Arial" w:hAnsi="Arial" w:cs="Arial"/>
        </w:rPr>
      </w:pPr>
    </w:p>
    <w:p w:rsidR="00682834" w:rsidRPr="00682834" w:rsidRDefault="00682834" w:rsidP="00682834">
      <w:pPr>
        <w:pBdr>
          <w:top w:val="single" w:sz="4" w:space="1" w:color="auto"/>
          <w:left w:val="single" w:sz="4" w:space="4" w:color="auto"/>
          <w:bottom w:val="single" w:sz="4" w:space="1" w:color="auto"/>
          <w:right w:val="single" w:sz="4" w:space="16" w:color="auto"/>
          <w:between w:val="single" w:sz="4" w:space="1" w:color="auto"/>
        </w:pBdr>
        <w:rPr>
          <w:rFonts w:ascii="Arial" w:hAnsi="Arial" w:cs="Arial"/>
          <w:color w:val="339966"/>
        </w:rPr>
      </w:pPr>
      <w:r w:rsidRPr="00682834">
        <w:rPr>
          <w:rFonts w:ascii="Arial" w:hAnsi="Arial" w:cs="Arial"/>
          <w:color w:val="339966"/>
        </w:rPr>
        <w:t xml:space="preserve">Transferring body: </w:t>
      </w:r>
      <w:r w:rsidRPr="00682834">
        <w:rPr>
          <w:rFonts w:ascii="Arial" w:hAnsi="Arial" w:cs="Arial"/>
        </w:rPr>
        <w:t>Oxford Health NHS Foundation Trust</w:t>
      </w:r>
      <w:r w:rsidRPr="00682834">
        <w:rPr>
          <w:rFonts w:ascii="Arial" w:hAnsi="Arial" w:cs="Arial"/>
        </w:rPr>
        <w:tab/>
      </w:r>
    </w:p>
    <w:p w:rsidR="00682834" w:rsidRPr="00682834" w:rsidRDefault="00682834" w:rsidP="00682834">
      <w:pPr>
        <w:pBdr>
          <w:top w:val="single" w:sz="4" w:space="1" w:color="auto"/>
          <w:left w:val="single" w:sz="4" w:space="4" w:color="auto"/>
          <w:bottom w:val="single" w:sz="4" w:space="1" w:color="auto"/>
          <w:right w:val="single" w:sz="4" w:space="16" w:color="auto"/>
          <w:between w:val="single" w:sz="4" w:space="1" w:color="auto"/>
        </w:pBdr>
        <w:rPr>
          <w:rFonts w:ascii="Arial" w:hAnsi="Arial" w:cs="Arial"/>
        </w:rPr>
      </w:pPr>
      <w:r w:rsidRPr="00682834">
        <w:rPr>
          <w:rFonts w:ascii="Arial" w:hAnsi="Arial" w:cs="Arial"/>
          <w:color w:val="339966"/>
        </w:rPr>
        <w:t>Receiving body    :</w:t>
      </w:r>
      <w:r w:rsidRPr="00682834">
        <w:rPr>
          <w:rFonts w:ascii="Arial" w:hAnsi="Arial" w:cs="Arial"/>
        </w:rPr>
        <w:t xml:space="preserve"> Trustees appointed for the Oxford University Hospitals National Health Service Trust under paragraph 10 of Schedule 4 to the National Health Service Act 2006</w:t>
      </w:r>
    </w:p>
    <w:p w:rsidR="00682834" w:rsidRPr="00682834" w:rsidRDefault="00682834" w:rsidP="00682834">
      <w:pPr>
        <w:rPr>
          <w:rFonts w:ascii="Arial" w:hAnsi="Arial" w:cs="Arial"/>
          <w:color w:val="339966"/>
        </w:rPr>
      </w:pPr>
      <w:r w:rsidRPr="00682834">
        <w:rPr>
          <w:rFonts w:ascii="Arial" w:hAnsi="Arial" w:cs="Arial"/>
          <w:color w:val="339966"/>
        </w:rPr>
        <w:t>Statement</w:t>
      </w:r>
    </w:p>
    <w:tbl>
      <w:tblPr>
        <w:tblStyle w:val="TableGrid"/>
        <w:tblW w:w="0" w:type="auto"/>
        <w:tblLook w:val="01E0"/>
      </w:tblPr>
      <w:tblGrid>
        <w:gridCol w:w="8856"/>
      </w:tblGrid>
      <w:tr w:rsidR="00682834" w:rsidRPr="00682834" w:rsidTr="004C615D">
        <w:tc>
          <w:tcPr>
            <w:tcW w:w="9396" w:type="dxa"/>
          </w:tcPr>
          <w:p w:rsidR="00682834" w:rsidRPr="00682834" w:rsidRDefault="00682834" w:rsidP="004C615D">
            <w:pPr>
              <w:rPr>
                <w:rFonts w:ascii="Arial" w:hAnsi="Arial" w:cs="Arial"/>
              </w:rPr>
            </w:pPr>
            <w:r w:rsidRPr="00682834">
              <w:rPr>
                <w:rFonts w:ascii="Arial" w:hAnsi="Arial" w:cs="Arial"/>
              </w:rPr>
              <w:t>Oxford Health NHS Foundation Trust wishes to transfer the Contraception and Sexual Health Fund to the Trustees appointed for the Oxford University Hospitals National Health Service Trust.</w:t>
            </w:r>
          </w:p>
          <w:p w:rsidR="00682834" w:rsidRPr="00682834" w:rsidRDefault="00682834" w:rsidP="004C615D">
            <w:pPr>
              <w:rPr>
                <w:rFonts w:ascii="Arial" w:hAnsi="Arial" w:cs="Arial"/>
              </w:rPr>
            </w:pPr>
          </w:p>
          <w:p w:rsidR="00682834" w:rsidRPr="00682834" w:rsidRDefault="00682834" w:rsidP="004C615D">
            <w:pPr>
              <w:rPr>
                <w:rFonts w:ascii="Arial" w:hAnsi="Arial" w:cs="Arial"/>
                <w:i/>
              </w:rPr>
            </w:pPr>
          </w:p>
          <w:p w:rsidR="00682834" w:rsidRPr="00682834" w:rsidRDefault="00682834" w:rsidP="004C615D">
            <w:pPr>
              <w:rPr>
                <w:rFonts w:ascii="Arial" w:hAnsi="Arial" w:cs="Arial"/>
                <w:b/>
                <w:color w:val="339966"/>
              </w:rPr>
            </w:pPr>
            <w:r w:rsidRPr="00682834">
              <w:rPr>
                <w:rFonts w:ascii="Arial" w:hAnsi="Arial" w:cs="Arial"/>
                <w:b/>
                <w:color w:val="339966"/>
              </w:rPr>
              <w:t>Reason for transfer</w:t>
            </w:r>
          </w:p>
          <w:p w:rsidR="00682834" w:rsidRPr="00682834" w:rsidRDefault="00682834" w:rsidP="004C615D">
            <w:pPr>
              <w:rPr>
                <w:rFonts w:ascii="Arial" w:hAnsi="Arial" w:cs="Arial"/>
              </w:rPr>
            </w:pPr>
            <w:r w:rsidRPr="00682834">
              <w:rPr>
                <w:rFonts w:ascii="Arial" w:hAnsi="Arial" w:cs="Arial"/>
              </w:rPr>
              <w:t>The fund exists to support the work of the Contraception and Sexual Health Service in Oxfordshire, which was transferred from Oxford Health NHS Foundation Trust to Oxford University Hospitals NHS Trust from 1</w:t>
            </w:r>
            <w:r w:rsidRPr="00682834">
              <w:rPr>
                <w:rFonts w:ascii="Arial" w:hAnsi="Arial" w:cs="Arial"/>
                <w:vertAlign w:val="superscript"/>
              </w:rPr>
              <w:t>st</w:t>
            </w:r>
            <w:r w:rsidRPr="00682834">
              <w:rPr>
                <w:rFonts w:ascii="Arial" w:hAnsi="Arial" w:cs="Arial"/>
              </w:rPr>
              <w:t xml:space="preserve"> April 2014.  The </w:t>
            </w:r>
            <w:proofErr w:type="gramStart"/>
            <w:r w:rsidRPr="00682834">
              <w:rPr>
                <w:rFonts w:ascii="Arial" w:hAnsi="Arial" w:cs="Arial"/>
              </w:rPr>
              <w:t>staff of the service are</w:t>
            </w:r>
            <w:proofErr w:type="gramEnd"/>
            <w:r w:rsidRPr="00682834">
              <w:rPr>
                <w:rFonts w:ascii="Arial" w:hAnsi="Arial" w:cs="Arial"/>
              </w:rPr>
              <w:t xml:space="preserve"> now employed by the latter Trust, and in order to achieve effective management of the fund to support the Contraception and Sexual Health Service, the fund should be transferred.</w:t>
            </w:r>
          </w:p>
          <w:p w:rsidR="00682834" w:rsidRPr="00682834" w:rsidRDefault="00682834" w:rsidP="004C615D">
            <w:pPr>
              <w:rPr>
                <w:rFonts w:ascii="Arial" w:hAnsi="Arial" w:cs="Arial"/>
                <w:i/>
              </w:rPr>
            </w:pPr>
          </w:p>
          <w:p w:rsidR="00682834" w:rsidRPr="00682834" w:rsidRDefault="00682834" w:rsidP="004C615D">
            <w:pPr>
              <w:rPr>
                <w:rFonts w:ascii="Arial" w:hAnsi="Arial" w:cs="Arial"/>
                <w:b/>
                <w:color w:val="339966"/>
              </w:rPr>
            </w:pPr>
            <w:r w:rsidRPr="00682834">
              <w:rPr>
                <w:rFonts w:ascii="Arial" w:hAnsi="Arial" w:cs="Arial"/>
                <w:b/>
                <w:color w:val="339966"/>
              </w:rPr>
              <w:t>Approval of transfer</w:t>
            </w:r>
          </w:p>
          <w:p w:rsidR="00682834" w:rsidRPr="00682834" w:rsidRDefault="00682834" w:rsidP="004C615D">
            <w:pPr>
              <w:rPr>
                <w:rFonts w:ascii="Arial" w:hAnsi="Arial" w:cs="Arial"/>
              </w:rPr>
            </w:pPr>
            <w:r w:rsidRPr="00682834">
              <w:rPr>
                <w:rFonts w:ascii="Arial" w:hAnsi="Arial" w:cs="Arial"/>
              </w:rPr>
              <w:t xml:space="preserve">The transfer was considered by the Charitable Funds Committee of Oxford Health NHS Foundation Trust on </w:t>
            </w:r>
            <w:r w:rsidR="00812073">
              <w:rPr>
                <w:rFonts w:ascii="Arial" w:hAnsi="Arial" w:cs="Arial"/>
              </w:rPr>
              <w:t>9</w:t>
            </w:r>
            <w:r w:rsidR="00812073" w:rsidRPr="00812073">
              <w:rPr>
                <w:rFonts w:ascii="Arial" w:hAnsi="Arial" w:cs="Arial"/>
                <w:vertAlign w:val="superscript"/>
              </w:rPr>
              <w:t>th</w:t>
            </w:r>
            <w:r w:rsidR="00812073">
              <w:rPr>
                <w:rFonts w:ascii="Arial" w:hAnsi="Arial" w:cs="Arial"/>
              </w:rPr>
              <w:t xml:space="preserve"> </w:t>
            </w:r>
            <w:r w:rsidRPr="00682834">
              <w:rPr>
                <w:rFonts w:ascii="Arial" w:hAnsi="Arial" w:cs="Arial"/>
              </w:rPr>
              <w:t>April 2014 and approved by the Board of the Foundation Trust on 30</w:t>
            </w:r>
            <w:r w:rsidRPr="00682834">
              <w:rPr>
                <w:rFonts w:ascii="Arial" w:hAnsi="Arial" w:cs="Arial"/>
                <w:vertAlign w:val="superscript"/>
              </w:rPr>
              <w:t>th</w:t>
            </w:r>
            <w:r w:rsidRPr="00682834">
              <w:rPr>
                <w:rFonts w:ascii="Arial" w:hAnsi="Arial" w:cs="Arial"/>
              </w:rPr>
              <w:t xml:space="preserve"> April 2014.</w:t>
            </w:r>
          </w:p>
          <w:p w:rsidR="00682834" w:rsidRPr="00682834" w:rsidRDefault="00682834" w:rsidP="004C615D">
            <w:pPr>
              <w:rPr>
                <w:rFonts w:ascii="Arial" w:hAnsi="Arial" w:cs="Arial"/>
              </w:rPr>
            </w:pPr>
            <w:r w:rsidRPr="00682834">
              <w:rPr>
                <w:rFonts w:ascii="Arial" w:hAnsi="Arial" w:cs="Arial"/>
              </w:rPr>
              <w:t>Consideration was given to the option of Oxford Health NHS Foundation Trust continuing as trustee of the fund and dispensing grants to support the Contraception and Sexual Health Service as and when required.  However, it was considered that this would be a more cumbersome and less effective mechanism than transferring the fund.</w:t>
            </w:r>
          </w:p>
          <w:p w:rsidR="00682834" w:rsidRPr="00682834" w:rsidRDefault="00682834" w:rsidP="004C615D">
            <w:pPr>
              <w:rPr>
                <w:rFonts w:ascii="Arial" w:hAnsi="Arial" w:cs="Arial"/>
                <w:i/>
              </w:rPr>
            </w:pPr>
          </w:p>
          <w:p w:rsidR="00682834" w:rsidRPr="00682834" w:rsidRDefault="00682834" w:rsidP="004C615D">
            <w:pPr>
              <w:rPr>
                <w:rFonts w:ascii="Arial" w:hAnsi="Arial" w:cs="Arial"/>
                <w:b/>
                <w:color w:val="339966"/>
              </w:rPr>
            </w:pPr>
            <w:r w:rsidRPr="00682834">
              <w:rPr>
                <w:rFonts w:ascii="Arial" w:hAnsi="Arial" w:cs="Arial"/>
                <w:b/>
                <w:color w:val="339966"/>
              </w:rPr>
              <w:t>Details of Consultation</w:t>
            </w:r>
          </w:p>
          <w:p w:rsidR="00682834" w:rsidRPr="00682834" w:rsidRDefault="00682834" w:rsidP="004C615D">
            <w:pPr>
              <w:rPr>
                <w:rFonts w:ascii="Arial" w:hAnsi="Arial" w:cs="Arial"/>
              </w:rPr>
            </w:pPr>
            <w:r w:rsidRPr="00682834">
              <w:rPr>
                <w:rFonts w:ascii="Arial" w:hAnsi="Arial" w:cs="Arial"/>
              </w:rPr>
              <w:t>The service was put out to tender by the commissioners and that tender was won by Oxford University Hospitals NHS Trust.  Therefore there was no consultation to be done by Oxford Health NHS Foundation Trust.</w:t>
            </w:r>
          </w:p>
          <w:p w:rsidR="00682834" w:rsidRPr="00682834" w:rsidRDefault="00682834" w:rsidP="004C615D">
            <w:pPr>
              <w:rPr>
                <w:rFonts w:ascii="Arial" w:hAnsi="Arial" w:cs="Arial"/>
              </w:rPr>
            </w:pPr>
          </w:p>
        </w:tc>
      </w:tr>
    </w:tbl>
    <w:p w:rsidR="00AF0562" w:rsidRPr="0073522A" w:rsidRDefault="00AF0562" w:rsidP="00812073">
      <w:pPr>
        <w:jc w:val="both"/>
        <w:rPr>
          <w:rFonts w:ascii="Arial" w:hAnsi="Arial" w:cs="Arial"/>
          <w:sz w:val="20"/>
          <w:szCs w:val="20"/>
        </w:rPr>
      </w:pPr>
    </w:p>
    <w:sectPr w:rsidR="00AF0562" w:rsidRPr="0073522A"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0" w:usb1="00000000" w:usb2="00000000" w:usb3="00000000" w:csb0="00000000"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66" w:rsidRPr="005B3E3C" w:rsidRDefault="006E3C3E"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6197B"/>
    <w:multiLevelType w:val="hybridMultilevel"/>
    <w:tmpl w:val="33F6C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E53557"/>
    <w:multiLevelType w:val="hybridMultilevel"/>
    <w:tmpl w:val="9ABC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14337"/>
  </w:hdrShapeDefaults>
  <w:footnotePr>
    <w:footnote w:id="-1"/>
    <w:footnote w:id="0"/>
  </w:footnotePr>
  <w:endnotePr>
    <w:endnote w:id="-1"/>
    <w:endnote w:id="0"/>
  </w:endnotePr>
  <w:compat/>
  <w:rsids>
    <w:rsidRoot w:val="002A73E8"/>
    <w:rsid w:val="000541FF"/>
    <w:rsid w:val="001F76ED"/>
    <w:rsid w:val="00227FCE"/>
    <w:rsid w:val="002619EF"/>
    <w:rsid w:val="002821F8"/>
    <w:rsid w:val="00292613"/>
    <w:rsid w:val="002A73E8"/>
    <w:rsid w:val="002C2F97"/>
    <w:rsid w:val="002E6FC6"/>
    <w:rsid w:val="003971F6"/>
    <w:rsid w:val="004326BB"/>
    <w:rsid w:val="004F4BBA"/>
    <w:rsid w:val="005233AA"/>
    <w:rsid w:val="00551B0F"/>
    <w:rsid w:val="005659FB"/>
    <w:rsid w:val="005B3E3C"/>
    <w:rsid w:val="005C3FC1"/>
    <w:rsid w:val="005D3499"/>
    <w:rsid w:val="005E2583"/>
    <w:rsid w:val="0061684E"/>
    <w:rsid w:val="00647AC4"/>
    <w:rsid w:val="00682834"/>
    <w:rsid w:val="006E3C3E"/>
    <w:rsid w:val="0073522A"/>
    <w:rsid w:val="007769CD"/>
    <w:rsid w:val="0078032B"/>
    <w:rsid w:val="00781566"/>
    <w:rsid w:val="007976E7"/>
    <w:rsid w:val="007B6D77"/>
    <w:rsid w:val="00802701"/>
    <w:rsid w:val="008038A2"/>
    <w:rsid w:val="00811FE8"/>
    <w:rsid w:val="00812073"/>
    <w:rsid w:val="0086436B"/>
    <w:rsid w:val="00894B97"/>
    <w:rsid w:val="00946E6E"/>
    <w:rsid w:val="00A674FB"/>
    <w:rsid w:val="00A85311"/>
    <w:rsid w:val="00AA0C3F"/>
    <w:rsid w:val="00AC3814"/>
    <w:rsid w:val="00AF0562"/>
    <w:rsid w:val="00B26E1A"/>
    <w:rsid w:val="00B26F2C"/>
    <w:rsid w:val="00B50D5E"/>
    <w:rsid w:val="00BA3B3E"/>
    <w:rsid w:val="00BF5367"/>
    <w:rsid w:val="00C07817"/>
    <w:rsid w:val="00C11AA2"/>
    <w:rsid w:val="00D07064"/>
    <w:rsid w:val="00D279FC"/>
    <w:rsid w:val="00D55ADD"/>
    <w:rsid w:val="00D8544F"/>
    <w:rsid w:val="00DA0FA6"/>
    <w:rsid w:val="00DD33DF"/>
    <w:rsid w:val="00DE1293"/>
    <w:rsid w:val="00E827C5"/>
    <w:rsid w:val="00F24EB2"/>
    <w:rsid w:val="00F50A07"/>
    <w:rsid w:val="00F57119"/>
    <w:rsid w:val="00FD227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paragraph" w:customStyle="1" w:styleId="DHSecondaryHeadingOne">
    <w:name w:val="DH Secondary Heading One"/>
    <w:basedOn w:val="Normal"/>
    <w:rsid w:val="00682834"/>
    <w:pPr>
      <w:spacing w:before="480" w:after="240" w:line="360" w:lineRule="exact"/>
    </w:pPr>
    <w:rPr>
      <w:rFonts w:ascii="Arial Bold" w:hAnsi="Arial Bold"/>
      <w:b/>
      <w:color w:val="009966"/>
      <w:sz w:val="28"/>
      <w:szCs w:val="28"/>
      <w:lang w:val="en-GB"/>
    </w:rPr>
  </w:style>
  <w:style w:type="table" w:styleId="TableGrid">
    <w:name w:val="Table Grid"/>
    <w:basedOn w:val="TableNormal"/>
    <w:rsid w:val="00682834"/>
    <w:pPr>
      <w:tabs>
        <w:tab w:val="left" w:pos="567"/>
        <w:tab w:val="left" w:pos="1134"/>
        <w:tab w:val="left" w:pos="1701"/>
        <w:tab w:val="left" w:pos="5103"/>
        <w:tab w:val="left" w:pos="6237"/>
        <w:tab w:val="left" w:pos="7938"/>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1910</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4</cp:revision>
  <cp:lastPrinted>2014-03-17T14:55:00Z</cp:lastPrinted>
  <dcterms:created xsi:type="dcterms:W3CDTF">2014-04-23T09:33:00Z</dcterms:created>
  <dcterms:modified xsi:type="dcterms:W3CDTF">2014-04-23T09:48:00Z</dcterms:modified>
</cp:coreProperties>
</file>