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E97685">
        <w:rPr>
          <w:rFonts w:ascii="Arial" w:hAnsi="Arial" w:cs="Arial"/>
          <w:b/>
          <w:sz w:val="28"/>
          <w:szCs w:val="28"/>
        </w:rPr>
        <w:t xml:space="preserve">on </w:t>
      </w:r>
      <w:r w:rsidR="00DC3C3E">
        <w:rPr>
          <w:rFonts w:ascii="Arial" w:hAnsi="Arial" w:cs="Arial"/>
          <w:b/>
          <w:sz w:val="28"/>
          <w:szCs w:val="28"/>
        </w:rPr>
        <w:t>30 April</w:t>
      </w:r>
      <w:r w:rsidR="007E3804">
        <w:rPr>
          <w:rFonts w:ascii="Arial" w:hAnsi="Arial" w:cs="Arial"/>
          <w:b/>
          <w:sz w:val="28"/>
          <w:szCs w:val="28"/>
        </w:rPr>
        <w:t xml:space="preserve"> 2014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B0D4D">
              <w:rPr>
                <w:rFonts w:ascii="Arial" w:hAnsi="Arial" w:cs="Arial"/>
                <w:sz w:val="24"/>
                <w:szCs w:val="24"/>
              </w:rPr>
              <w:t>49</w:t>
            </w:r>
            <w:r w:rsidR="0062761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 (</w:t>
            </w:r>
            <w:r w:rsidR="0053112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Default="007E3804" w:rsidP="007E38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Remodelling – structure chart</w:t>
            </w:r>
          </w:p>
          <w:p w:rsidR="007E3804" w:rsidRPr="009D2F5A" w:rsidRDefault="007E380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an updated structure chart of services in due course (and show where forensic, dentistry and podiatry services will fit in)</w:t>
            </w:r>
            <w:r w:rsidR="0053112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4B0D4D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B0D4D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53112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Pr="00531123" w:rsidRDefault="00627618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Change Consultations</w:t>
            </w:r>
          </w:p>
          <w:p w:rsidR="007E3804" w:rsidRPr="007E3804" w:rsidRDefault="00627618" w:rsidP="004B0D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Provide update on </w:t>
            </w:r>
            <w:r w:rsidR="004B0D4D">
              <w:rPr>
                <w:rFonts w:ascii="Arial" w:hAnsi="Arial" w:cs="Arial"/>
                <w:bCs/>
                <w:sz w:val="24"/>
                <w:szCs w:val="24"/>
              </w:rPr>
              <w:t xml:space="preserve">Oxfordshire older </w:t>
            </w:r>
            <w:proofErr w:type="gramStart"/>
            <w:r w:rsidR="004B0D4D">
              <w:rPr>
                <w:rFonts w:ascii="Arial" w:hAnsi="Arial" w:cs="Arial"/>
                <w:bCs/>
                <w:sz w:val="24"/>
                <w:szCs w:val="24"/>
              </w:rPr>
              <w:t>peoples</w:t>
            </w:r>
            <w:proofErr w:type="gramEnd"/>
            <w:r w:rsidR="004B0D4D">
              <w:rPr>
                <w:rFonts w:ascii="Arial" w:hAnsi="Arial" w:cs="Arial"/>
                <w:bCs/>
                <w:sz w:val="24"/>
                <w:szCs w:val="24"/>
              </w:rPr>
              <w:t xml:space="preserve"> service consultation in the next COO Report and other consultations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outcomes </w:t>
            </w:r>
            <w:r w:rsidR="004B0D4D">
              <w:rPr>
                <w:rFonts w:ascii="Arial" w:hAnsi="Arial" w:cs="Arial"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future </w:t>
            </w:r>
            <w:r w:rsidR="004B0D4D">
              <w:rPr>
                <w:rFonts w:ascii="Arial" w:hAnsi="Arial" w:cs="Arial"/>
                <w:bCs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E38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53112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2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B0D4D"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62761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1123" w:rsidRPr="009D2F5A" w:rsidRDefault="00531123" w:rsidP="00531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531123" w:rsidRDefault="004B0D4D" w:rsidP="005311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Choice Policy</w:t>
            </w:r>
          </w:p>
          <w:p w:rsidR="00531123" w:rsidRPr="009D2F5A" w:rsidRDefault="004B0D4D" w:rsidP="005311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Present to Board the updated Oxfordshire ‘choice policy’ at the appropriate time.  As part of the presentation, provide data on</w:t>
            </w:r>
            <w:r w:rsidRPr="004B0D4D">
              <w:rPr>
                <w:rFonts w:ascii="Arial" w:hAnsi="Arial" w:cs="Arial"/>
                <w:bCs/>
                <w:sz w:val="24"/>
                <w:szCs w:val="24"/>
              </w:rPr>
              <w:t xml:space="preserve"> the proportion of delayed transfer of care due to family requests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  <w:p w:rsidR="00531123" w:rsidRPr="009D2F5A" w:rsidRDefault="00531123" w:rsidP="0053112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693453" w:rsidP="00A226A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</w:t>
            </w:r>
            <w:r w:rsidR="00A226AB">
              <w:rPr>
                <w:rFonts w:ascii="Arial" w:hAnsi="Arial" w:cs="Arial"/>
                <w:sz w:val="24"/>
                <w:szCs w:val="24"/>
              </w:rPr>
              <w:t xml:space="preserve"> 50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A226A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Pr="00A226AB" w:rsidRDefault="00A226AB" w:rsidP="007E38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AB">
              <w:rPr>
                <w:rFonts w:ascii="Arial" w:hAnsi="Arial" w:cs="Arial"/>
                <w:b/>
                <w:bCs/>
                <w:sz w:val="24"/>
                <w:szCs w:val="24"/>
              </w:rPr>
              <w:t>Positive and Proactive Care Guidance</w:t>
            </w:r>
          </w:p>
          <w:p w:rsidR="00F31EA2" w:rsidRPr="00693453" w:rsidRDefault="00A226AB" w:rsidP="005311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account of the guidance and consider whether any additional matters should be reported to IGC.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453" w:rsidRPr="009D2F5A" w:rsidRDefault="00A226A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F31EA2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F31EA2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EA2" w:rsidRPr="009D2F5A" w:rsidRDefault="00F31EA2" w:rsidP="002A5A69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A802E6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2A5A6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F31EA2" w:rsidRDefault="002A5A69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Urgent Care Services Report</w:t>
            </w:r>
          </w:p>
          <w:p w:rsidR="00F31EA2" w:rsidRDefault="002A5A69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Update report prior to publication.</w:t>
            </w:r>
          </w:p>
          <w:p w:rsidR="004942A2" w:rsidRPr="00693453" w:rsidRDefault="004942A2" w:rsidP="00F31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F31EA2" w:rsidRDefault="00F31EA2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EA2" w:rsidRPr="009D2F5A" w:rsidRDefault="002A5A69" w:rsidP="00F31E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5C3C" w:rsidRPr="009D2F5A" w:rsidRDefault="003E5C3C" w:rsidP="004942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A802E6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1120F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Default="001120FD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Clinical Audit</w:t>
            </w:r>
          </w:p>
          <w:p w:rsidR="001120FD" w:rsidRPr="001120FD" w:rsidRDefault="001120FD" w:rsidP="00B347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reports containing clinical audit information, give thought to the presentation of information to ensure people could understand the results and place them within the wider context.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435" w:rsidRPr="009D2F5A" w:rsidRDefault="001120FD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 / CM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0F48CF" w:rsidP="00D121C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A802E6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D121C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7E3804" w:rsidRDefault="00D121CE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Urgent Care Services Report</w:t>
            </w:r>
          </w:p>
          <w:p w:rsidR="004921A3" w:rsidRPr="000F48CF" w:rsidRDefault="00D121CE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future reports, include more detail on how the service linked with other services, patient case scenarios and how the service could be developed in the future.</w:t>
            </w:r>
          </w:p>
        </w:tc>
        <w:tc>
          <w:tcPr>
            <w:tcW w:w="2286" w:type="dxa"/>
            <w:shd w:val="clear" w:color="auto" w:fill="auto"/>
          </w:tcPr>
          <w:p w:rsidR="007E3804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Pr="009D2F5A" w:rsidRDefault="004921A3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0F48C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0F48CF" w:rsidP="00F51049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A802E6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F5104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0F48CF" w:rsidRDefault="00F51049" w:rsidP="007E38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to Board</w:t>
            </w:r>
          </w:p>
          <w:p w:rsidR="004921A3" w:rsidRPr="004921A3" w:rsidRDefault="00F51049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Executive Team </w:t>
            </w:r>
            <w:r w:rsidRPr="00F51049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consider the</w:t>
            </w:r>
            <w:r w:rsidRPr="00F51049">
              <w:rPr>
                <w:rFonts w:ascii="Arial" w:hAnsi="Arial" w:cs="Arial"/>
                <w:bCs/>
                <w:sz w:val="24"/>
                <w:szCs w:val="24"/>
              </w:rPr>
              <w:t xml:space="preserve"> type of information being presented to ensure the Board does not become overly involved in performance management</w:t>
            </w:r>
            <w:r w:rsidR="004942A2" w:rsidRPr="00F5104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0F48CF" w:rsidRDefault="000F48C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CF" w:rsidRDefault="00F51049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4921A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A3" w:rsidRDefault="004921A3" w:rsidP="004942A2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8B2F3F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/14 (b)</w:t>
            </w:r>
          </w:p>
        </w:tc>
        <w:tc>
          <w:tcPr>
            <w:tcW w:w="8351" w:type="dxa"/>
          </w:tcPr>
          <w:p w:rsidR="004921A3" w:rsidRDefault="008B2F3F" w:rsidP="004921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Workforce Report</w:t>
            </w:r>
          </w:p>
          <w:p w:rsidR="004921A3" w:rsidRDefault="008B2F3F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Ensure HR reports do not contain financial information.</w:t>
            </w:r>
          </w:p>
          <w:p w:rsidR="004921A3" w:rsidRPr="004921A3" w:rsidRDefault="004921A3" w:rsidP="004921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4921A3" w:rsidRDefault="004921A3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1A3" w:rsidRDefault="008B2F3F" w:rsidP="004921A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AB249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AB249F" w:rsidRDefault="00AB249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249F" w:rsidRDefault="008B2F3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56</w:t>
            </w:r>
            <w:r w:rsidR="00AB249F">
              <w:rPr>
                <w:rFonts w:ascii="Arial" w:hAnsi="Arial" w:cs="Arial"/>
                <w:sz w:val="24"/>
                <w:szCs w:val="24"/>
              </w:rPr>
              <w:t>/14 (j)</w:t>
            </w:r>
          </w:p>
        </w:tc>
        <w:tc>
          <w:tcPr>
            <w:tcW w:w="8351" w:type="dxa"/>
          </w:tcPr>
          <w:p w:rsidR="00AB249F" w:rsidRDefault="008B2F3F" w:rsidP="00AB24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Francis Report</w:t>
            </w:r>
          </w:p>
          <w:p w:rsidR="00AB249F" w:rsidRDefault="008B2F3F" w:rsidP="00AB24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Update report prior to publication.</w:t>
            </w:r>
          </w:p>
          <w:p w:rsidR="00AB249F" w:rsidRPr="004921A3" w:rsidRDefault="00AB249F" w:rsidP="00AB24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AB249F" w:rsidRDefault="00AB249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249F" w:rsidRDefault="008B2F3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AB249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AB249F" w:rsidRDefault="00AB249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249F" w:rsidRDefault="00E32A06" w:rsidP="00E32A0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58</w:t>
            </w:r>
            <w:r w:rsidR="00AB249F">
              <w:rPr>
                <w:rFonts w:ascii="Arial" w:hAnsi="Arial" w:cs="Arial"/>
                <w:sz w:val="24"/>
                <w:szCs w:val="24"/>
              </w:rPr>
              <w:t>/14 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B24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AB249F" w:rsidRDefault="00E32A06" w:rsidP="00AB24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 Development</w:t>
            </w:r>
          </w:p>
          <w:p w:rsidR="00AB249F" w:rsidRDefault="00E32A06" w:rsidP="00AB24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Update the Board, at the appropriate time, on the business development work.</w:t>
            </w:r>
          </w:p>
          <w:p w:rsidR="00AB249F" w:rsidRPr="004921A3" w:rsidRDefault="00AB249F" w:rsidP="00AB24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AB249F" w:rsidRDefault="00AB249F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249F" w:rsidRDefault="00E32A06" w:rsidP="00AB249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</w:tr>
      <w:tr w:rsidR="00E32A06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E32A06" w:rsidRDefault="00E32A06" w:rsidP="00E32A0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A06" w:rsidRDefault="00E32A06" w:rsidP="00E32A0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58/14 (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E32A06" w:rsidRDefault="00E32A06" w:rsidP="00E32A0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Estates and Facilities</w:t>
            </w:r>
          </w:p>
          <w:p w:rsidR="00E32A06" w:rsidRDefault="00E32A06" w:rsidP="00E32A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Consider holding Board Seminar on Estates.</w:t>
            </w:r>
          </w:p>
          <w:p w:rsidR="00E32A06" w:rsidRPr="004921A3" w:rsidRDefault="00E32A06" w:rsidP="00E32A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E32A06" w:rsidRDefault="00E32A06" w:rsidP="00E32A0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A06" w:rsidRDefault="00E32A06" w:rsidP="00E32A0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JCH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BD4925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BD4925" w:rsidRDefault="00BD4925" w:rsidP="00BD4925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925" w:rsidRDefault="00BD4925" w:rsidP="00BD4925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BD4925" w:rsidRDefault="00BD4925" w:rsidP="00BD49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Monitor Q4</w:t>
            </w:r>
          </w:p>
          <w:p w:rsidR="00BD4925" w:rsidRPr="00BD4925" w:rsidRDefault="00BD4925" w:rsidP="00BD49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Include detail on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Cdif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in cover letter to Monitor as part of the Q4 return.</w:t>
            </w:r>
          </w:p>
          <w:p w:rsidR="00BD4925" w:rsidRPr="004921A3" w:rsidRDefault="00BD4925" w:rsidP="00BD49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BD4925" w:rsidRDefault="00BD4925" w:rsidP="00BD4925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4925" w:rsidRDefault="00E06EED" w:rsidP="00BD4925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 / SB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554" w:rsidRPr="00E367B7" w:rsidSect="000B294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A2" w:rsidRDefault="004942A2" w:rsidP="000B2947">
      <w:pPr>
        <w:spacing w:after="0" w:line="240" w:lineRule="auto"/>
      </w:pPr>
      <w:r>
        <w:separator/>
      </w:r>
    </w:p>
  </w:endnote>
  <w:endnote w:type="continuationSeparator" w:id="0">
    <w:p w:rsidR="004942A2" w:rsidRDefault="004942A2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A2" w:rsidRDefault="009650DE">
    <w:pPr>
      <w:pStyle w:val="Footer"/>
      <w:jc w:val="center"/>
    </w:pPr>
    <w:fldSimple w:instr=" PAGE   \* MERGEFORMAT ">
      <w:r w:rsidR="00E06EED">
        <w:rPr>
          <w:noProof/>
        </w:rPr>
        <w:t>3</w:t>
      </w:r>
    </w:fldSimple>
  </w:p>
  <w:p w:rsidR="004942A2" w:rsidRDefault="00494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A2" w:rsidRDefault="004942A2" w:rsidP="000B2947">
      <w:pPr>
        <w:spacing w:after="0" w:line="240" w:lineRule="auto"/>
      </w:pPr>
      <w:r>
        <w:separator/>
      </w:r>
    </w:p>
  </w:footnote>
  <w:footnote w:type="continuationSeparator" w:id="0">
    <w:p w:rsidR="004942A2" w:rsidRDefault="004942A2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A2" w:rsidRPr="007D06DC" w:rsidRDefault="004942A2" w:rsidP="000B2947">
    <w:pPr>
      <w:pStyle w:val="Header"/>
      <w:jc w:val="center"/>
    </w:pPr>
    <w:r>
      <w:rPr>
        <w:i/>
      </w:rPr>
      <w:t>PUBLIC</w:t>
    </w:r>
  </w:p>
  <w:p w:rsidR="004942A2" w:rsidRPr="000B2947" w:rsidRDefault="004942A2">
    <w:pPr>
      <w:pStyle w:val="Header"/>
      <w:rPr>
        <w:b/>
      </w:rPr>
    </w:pPr>
  </w:p>
  <w:p w:rsidR="004942A2" w:rsidRDefault="004942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47"/>
    <w:rsid w:val="00015015"/>
    <w:rsid w:val="00024DA4"/>
    <w:rsid w:val="00032E57"/>
    <w:rsid w:val="0004460B"/>
    <w:rsid w:val="00046EA9"/>
    <w:rsid w:val="000765F3"/>
    <w:rsid w:val="00087272"/>
    <w:rsid w:val="000B2947"/>
    <w:rsid w:val="000B69CF"/>
    <w:rsid w:val="000D7875"/>
    <w:rsid w:val="000E244A"/>
    <w:rsid w:val="000F48CF"/>
    <w:rsid w:val="00105FDB"/>
    <w:rsid w:val="001120FD"/>
    <w:rsid w:val="001219E0"/>
    <w:rsid w:val="00131067"/>
    <w:rsid w:val="001431EB"/>
    <w:rsid w:val="0020141B"/>
    <w:rsid w:val="0020722B"/>
    <w:rsid w:val="002258F6"/>
    <w:rsid w:val="00237F6F"/>
    <w:rsid w:val="00240701"/>
    <w:rsid w:val="00241AA6"/>
    <w:rsid w:val="00244F70"/>
    <w:rsid w:val="0025228D"/>
    <w:rsid w:val="00253C8F"/>
    <w:rsid w:val="00261E54"/>
    <w:rsid w:val="00282647"/>
    <w:rsid w:val="00282D3B"/>
    <w:rsid w:val="002A5A69"/>
    <w:rsid w:val="002C0F68"/>
    <w:rsid w:val="002C6990"/>
    <w:rsid w:val="002D6A88"/>
    <w:rsid w:val="002E50D9"/>
    <w:rsid w:val="002F2524"/>
    <w:rsid w:val="002F6393"/>
    <w:rsid w:val="00314CE7"/>
    <w:rsid w:val="003305FC"/>
    <w:rsid w:val="0033178B"/>
    <w:rsid w:val="0033274C"/>
    <w:rsid w:val="003515C3"/>
    <w:rsid w:val="003759F1"/>
    <w:rsid w:val="00376489"/>
    <w:rsid w:val="00384B7A"/>
    <w:rsid w:val="00390FD5"/>
    <w:rsid w:val="00393728"/>
    <w:rsid w:val="00397575"/>
    <w:rsid w:val="003B304C"/>
    <w:rsid w:val="003D05D4"/>
    <w:rsid w:val="003E28C6"/>
    <w:rsid w:val="003E5C3C"/>
    <w:rsid w:val="003F2467"/>
    <w:rsid w:val="00425229"/>
    <w:rsid w:val="00440F72"/>
    <w:rsid w:val="00452F7C"/>
    <w:rsid w:val="00465CD1"/>
    <w:rsid w:val="00466230"/>
    <w:rsid w:val="004921A3"/>
    <w:rsid w:val="004938A0"/>
    <w:rsid w:val="004942A2"/>
    <w:rsid w:val="004B0D4D"/>
    <w:rsid w:val="004C759B"/>
    <w:rsid w:val="004D7E50"/>
    <w:rsid w:val="00505351"/>
    <w:rsid w:val="00511324"/>
    <w:rsid w:val="00522131"/>
    <w:rsid w:val="00531123"/>
    <w:rsid w:val="00537F66"/>
    <w:rsid w:val="00543314"/>
    <w:rsid w:val="00581E04"/>
    <w:rsid w:val="005823B6"/>
    <w:rsid w:val="0059202C"/>
    <w:rsid w:val="00593FA0"/>
    <w:rsid w:val="00594955"/>
    <w:rsid w:val="005D72E8"/>
    <w:rsid w:val="005F3233"/>
    <w:rsid w:val="00627618"/>
    <w:rsid w:val="00633554"/>
    <w:rsid w:val="006439B2"/>
    <w:rsid w:val="006454AE"/>
    <w:rsid w:val="00652FAF"/>
    <w:rsid w:val="006716E3"/>
    <w:rsid w:val="00674699"/>
    <w:rsid w:val="0067651E"/>
    <w:rsid w:val="00693453"/>
    <w:rsid w:val="006946E2"/>
    <w:rsid w:val="00696E9F"/>
    <w:rsid w:val="00697032"/>
    <w:rsid w:val="006B1EB2"/>
    <w:rsid w:val="006D6992"/>
    <w:rsid w:val="00700062"/>
    <w:rsid w:val="0072245F"/>
    <w:rsid w:val="00730438"/>
    <w:rsid w:val="0073197C"/>
    <w:rsid w:val="007336A4"/>
    <w:rsid w:val="00760C31"/>
    <w:rsid w:val="00762ED4"/>
    <w:rsid w:val="00763A8F"/>
    <w:rsid w:val="0076462F"/>
    <w:rsid w:val="00766A85"/>
    <w:rsid w:val="00767605"/>
    <w:rsid w:val="00774CB7"/>
    <w:rsid w:val="00793558"/>
    <w:rsid w:val="007B21CE"/>
    <w:rsid w:val="007C3131"/>
    <w:rsid w:val="007C4C3A"/>
    <w:rsid w:val="007E3804"/>
    <w:rsid w:val="008006A3"/>
    <w:rsid w:val="0081463C"/>
    <w:rsid w:val="008340D7"/>
    <w:rsid w:val="00834277"/>
    <w:rsid w:val="008734E5"/>
    <w:rsid w:val="008756CF"/>
    <w:rsid w:val="008757DA"/>
    <w:rsid w:val="0088270F"/>
    <w:rsid w:val="00891EB1"/>
    <w:rsid w:val="008A7296"/>
    <w:rsid w:val="008B2F3F"/>
    <w:rsid w:val="008F4C6C"/>
    <w:rsid w:val="00907DE9"/>
    <w:rsid w:val="0092378F"/>
    <w:rsid w:val="00926388"/>
    <w:rsid w:val="00942C34"/>
    <w:rsid w:val="009564BB"/>
    <w:rsid w:val="009650DE"/>
    <w:rsid w:val="009D23DA"/>
    <w:rsid w:val="009D2F5A"/>
    <w:rsid w:val="009E38B1"/>
    <w:rsid w:val="00A226AB"/>
    <w:rsid w:val="00A22825"/>
    <w:rsid w:val="00A24484"/>
    <w:rsid w:val="00A43C8E"/>
    <w:rsid w:val="00A44C56"/>
    <w:rsid w:val="00A5526F"/>
    <w:rsid w:val="00A71BDC"/>
    <w:rsid w:val="00A802E6"/>
    <w:rsid w:val="00AB249F"/>
    <w:rsid w:val="00AC76AD"/>
    <w:rsid w:val="00B31870"/>
    <w:rsid w:val="00B33194"/>
    <w:rsid w:val="00B347C7"/>
    <w:rsid w:val="00B40958"/>
    <w:rsid w:val="00B658D5"/>
    <w:rsid w:val="00B724D9"/>
    <w:rsid w:val="00BB62AB"/>
    <w:rsid w:val="00BC04F8"/>
    <w:rsid w:val="00BD4925"/>
    <w:rsid w:val="00BE2EFA"/>
    <w:rsid w:val="00BE3D89"/>
    <w:rsid w:val="00BE7491"/>
    <w:rsid w:val="00C4763E"/>
    <w:rsid w:val="00C74867"/>
    <w:rsid w:val="00C95A17"/>
    <w:rsid w:val="00CD2283"/>
    <w:rsid w:val="00CE2874"/>
    <w:rsid w:val="00D121CE"/>
    <w:rsid w:val="00D1503C"/>
    <w:rsid w:val="00D3669C"/>
    <w:rsid w:val="00D36BC0"/>
    <w:rsid w:val="00D42170"/>
    <w:rsid w:val="00D42D1A"/>
    <w:rsid w:val="00D6616A"/>
    <w:rsid w:val="00D8125D"/>
    <w:rsid w:val="00D9768A"/>
    <w:rsid w:val="00DC3C3E"/>
    <w:rsid w:val="00DC54A2"/>
    <w:rsid w:val="00DF07E3"/>
    <w:rsid w:val="00E00003"/>
    <w:rsid w:val="00E06EED"/>
    <w:rsid w:val="00E11EFB"/>
    <w:rsid w:val="00E21DA2"/>
    <w:rsid w:val="00E22C7A"/>
    <w:rsid w:val="00E32A06"/>
    <w:rsid w:val="00E34729"/>
    <w:rsid w:val="00E367B7"/>
    <w:rsid w:val="00E520A9"/>
    <w:rsid w:val="00E55CDA"/>
    <w:rsid w:val="00E60C6D"/>
    <w:rsid w:val="00E7308C"/>
    <w:rsid w:val="00E76646"/>
    <w:rsid w:val="00E95111"/>
    <w:rsid w:val="00E97685"/>
    <w:rsid w:val="00EB5869"/>
    <w:rsid w:val="00EC11E7"/>
    <w:rsid w:val="00ED08CB"/>
    <w:rsid w:val="00EF72CB"/>
    <w:rsid w:val="00F019EB"/>
    <w:rsid w:val="00F1349A"/>
    <w:rsid w:val="00F16822"/>
    <w:rsid w:val="00F16BE8"/>
    <w:rsid w:val="00F25643"/>
    <w:rsid w:val="00F31E37"/>
    <w:rsid w:val="00F31EA2"/>
    <w:rsid w:val="00F36B10"/>
    <w:rsid w:val="00F51049"/>
    <w:rsid w:val="00F56435"/>
    <w:rsid w:val="00F77BBC"/>
    <w:rsid w:val="00F87CBE"/>
    <w:rsid w:val="00F907A0"/>
    <w:rsid w:val="00FC07BA"/>
    <w:rsid w:val="00FC7547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justinian.habner</cp:lastModifiedBy>
  <cp:revision>13</cp:revision>
  <cp:lastPrinted>2012-08-22T12:25:00Z</cp:lastPrinted>
  <dcterms:created xsi:type="dcterms:W3CDTF">2014-05-20T09:24:00Z</dcterms:created>
  <dcterms:modified xsi:type="dcterms:W3CDTF">2014-05-20T12:36:00Z</dcterms:modified>
</cp:coreProperties>
</file>