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99" w:rsidRDefault="007B6D77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5D3499" w:rsidRDefault="00282CE5">
      <w:pPr>
        <w:jc w:val="center"/>
        <w:rPr>
          <w:rFonts w:ascii="Frutiger" w:hAnsi="Frutiger"/>
        </w:rPr>
      </w:pPr>
      <w:r w:rsidRPr="00282CE5">
        <w:rPr>
          <w:noProof/>
          <w:sz w:val="20"/>
          <w:lang w:val="en-GB" w:eastAsia="en-GB"/>
        </w:rPr>
        <w:pict>
          <v:rect id="Rectangle 10" o:spid="_x0000_s1026" style="position:absolute;left:0;text-align:left;margin-left:324pt;margin-top:4.05pt;width:10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tr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">
            <v:textbox inset="0,0,0,0">
              <w:txbxContent>
                <w:p w:rsidR="00781566" w:rsidRDefault="00781566">
                  <w:pPr>
                    <w:pStyle w:val="Heading1"/>
                    <w:jc w:val="center"/>
                    <w:rPr>
                      <w:sz w:val="24"/>
                      <w:u w:val="none"/>
                    </w:rPr>
                  </w:pPr>
                  <w:r>
                    <w:rPr>
                      <w:sz w:val="24"/>
                      <w:u w:val="none"/>
                    </w:rPr>
                    <w:t>PAPER</w:t>
                  </w:r>
                </w:p>
                <w:p w:rsidR="00781566" w:rsidRDefault="00553872">
                  <w:pPr>
                    <w:pStyle w:val="BodyText"/>
                    <w:rPr>
                      <w:sz w:val="22"/>
                    </w:rPr>
                  </w:pPr>
                  <w:r>
                    <w:rPr>
                      <w:sz w:val="22"/>
                    </w:rPr>
                    <w:t>BOD 68/2014</w:t>
                  </w:r>
                </w:p>
                <w:p w:rsidR="00781566" w:rsidRPr="00553872" w:rsidRDefault="0055387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(Agenda Item: 12)</w:t>
                  </w:r>
                </w:p>
              </w:txbxContent>
            </v:textbox>
          </v:rect>
        </w:pict>
      </w: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jc w:val="center"/>
        <w:rPr>
          <w:sz w:val="28"/>
          <w:u w:val="none"/>
        </w:rPr>
      </w:pPr>
    </w:p>
    <w:p w:rsidR="005E2583" w:rsidRDefault="00553872">
      <w:pPr>
        <w:pStyle w:val="Heading1"/>
        <w:jc w:val="center"/>
        <w:rPr>
          <w:sz w:val="28"/>
          <w:u w:val="none"/>
        </w:rPr>
      </w:pPr>
      <w:bookmarkStart w:id="0" w:name="_GoBack"/>
      <w:bookmarkEnd w:id="0"/>
      <w:r>
        <w:rPr>
          <w:sz w:val="28"/>
          <w:u w:val="none"/>
        </w:rPr>
        <w:t>R</w:t>
      </w:r>
      <w:r w:rsidR="005D3499">
        <w:rPr>
          <w:sz w:val="28"/>
          <w:u w:val="none"/>
        </w:rPr>
        <w:t xml:space="preserve">eport to the Meeting </w:t>
      </w:r>
      <w:r w:rsidR="00B50D5E">
        <w:rPr>
          <w:sz w:val="28"/>
          <w:u w:val="none"/>
        </w:rPr>
        <w:t xml:space="preserve">of the </w:t>
      </w:r>
    </w:p>
    <w:p w:rsidR="002821F8" w:rsidRDefault="00B50D5E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Oxford Health NHS </w:t>
      </w:r>
      <w:r w:rsidR="002821F8">
        <w:rPr>
          <w:sz w:val="28"/>
          <w:u w:val="none"/>
        </w:rPr>
        <w:t xml:space="preserve">Foundation Trust </w:t>
      </w:r>
    </w:p>
    <w:p w:rsidR="005D3499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Board</w:t>
      </w:r>
      <w:r w:rsidR="002821F8">
        <w:rPr>
          <w:sz w:val="28"/>
          <w:u w:val="none"/>
        </w:rPr>
        <w:t xml:space="preserve"> of Directors</w:t>
      </w:r>
    </w:p>
    <w:p w:rsidR="005D3499" w:rsidRDefault="005D3499" w:rsidP="00A85311">
      <w:pPr>
        <w:rPr>
          <w:rFonts w:ascii="Arial" w:hAnsi="Arial" w:cs="Arial"/>
          <w:b/>
        </w:rPr>
      </w:pPr>
    </w:p>
    <w:p w:rsidR="005D3499" w:rsidRDefault="009973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28 May</w:t>
      </w:r>
      <w:r w:rsidR="006E3C3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2014</w:t>
      </w:r>
    </w:p>
    <w:p w:rsidR="005D3499" w:rsidRDefault="005D3499">
      <w:pPr>
        <w:jc w:val="center"/>
        <w:rPr>
          <w:rFonts w:ascii="Arial" w:hAnsi="Arial" w:cs="Arial"/>
          <w:b/>
        </w:rPr>
      </w:pPr>
    </w:p>
    <w:p w:rsidR="00553872" w:rsidRDefault="005538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Performance Report</w:t>
      </w:r>
    </w:p>
    <w:p w:rsidR="005D3499" w:rsidRDefault="005D3499" w:rsidP="00FD2279">
      <w:pPr>
        <w:jc w:val="center"/>
        <w:rPr>
          <w:rFonts w:ascii="Arial" w:hAnsi="Arial" w:cs="Arial"/>
          <w:b/>
        </w:rPr>
      </w:pPr>
    </w:p>
    <w:p w:rsidR="005D3499" w:rsidRDefault="005D3499">
      <w:pPr>
        <w:rPr>
          <w:rFonts w:ascii="Arial" w:hAnsi="Arial" w:cs="Arial"/>
          <w:b/>
        </w:rPr>
      </w:pPr>
    </w:p>
    <w:p w:rsidR="00292613" w:rsidRDefault="00292613" w:rsidP="00292613">
      <w:pPr>
        <w:rPr>
          <w:rFonts w:ascii="Arial" w:hAnsi="Arial" w:cs="Arial"/>
        </w:rPr>
      </w:pPr>
      <w:r w:rsidRPr="00292613">
        <w:rPr>
          <w:rFonts w:ascii="Arial" w:hAnsi="Arial" w:cs="Arial"/>
          <w:b/>
          <w:u w:val="single"/>
        </w:rPr>
        <w:t>For</w:t>
      </w:r>
      <w:r>
        <w:rPr>
          <w:rFonts w:ascii="Arial" w:hAnsi="Arial" w:cs="Arial"/>
          <w:b/>
          <w:u w:val="single"/>
        </w:rPr>
        <w:t>:</w:t>
      </w:r>
      <w:r w:rsidRPr="00292613">
        <w:rPr>
          <w:rFonts w:ascii="Arial" w:hAnsi="Arial" w:cs="Arial"/>
          <w:b/>
          <w:u w:val="single"/>
        </w:rPr>
        <w:t xml:space="preserve"> Information</w:t>
      </w:r>
      <w:r>
        <w:rPr>
          <w:rFonts w:ascii="Arial" w:hAnsi="Arial" w:cs="Arial"/>
        </w:rPr>
        <w:t xml:space="preserve"> </w:t>
      </w:r>
    </w:p>
    <w:p w:rsidR="00267C69" w:rsidRDefault="00267C69" w:rsidP="00292613">
      <w:pPr>
        <w:rPr>
          <w:rFonts w:ascii="Arial" w:hAnsi="Arial" w:cs="Arial"/>
        </w:rPr>
      </w:pPr>
    </w:p>
    <w:p w:rsidR="00040022" w:rsidRDefault="00040022" w:rsidP="000400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This is the Performance report for Oxford Health NHS FT reporting on Month 1 of FY15. The attached report format continues to be developed through discussion with the Executive Directors and from comments from the Board as a whole.</w:t>
      </w:r>
    </w:p>
    <w:p w:rsidR="00040022" w:rsidRDefault="00040022" w:rsidP="00040022">
      <w:pPr>
        <w:jc w:val="both"/>
        <w:rPr>
          <w:rFonts w:ascii="Arial" w:hAnsi="Arial" w:cs="Arial"/>
        </w:rPr>
      </w:pPr>
    </w:p>
    <w:p w:rsidR="00292613" w:rsidRDefault="00292613">
      <w:pPr>
        <w:rPr>
          <w:rFonts w:ascii="Arial" w:hAnsi="Arial" w:cs="Arial"/>
          <w:b/>
        </w:rPr>
      </w:pPr>
    </w:p>
    <w:p w:rsidR="007A2CF0" w:rsidRDefault="007A2CF0" w:rsidP="007A2CF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Executive Summary</w:t>
      </w:r>
    </w:p>
    <w:p w:rsidR="007A2CF0" w:rsidRDefault="007A2CF0" w:rsidP="007A2CF0">
      <w:pPr>
        <w:jc w:val="both"/>
        <w:rPr>
          <w:rFonts w:ascii="Arial" w:hAnsi="Arial" w:cs="Arial"/>
          <w:b/>
        </w:rPr>
      </w:pPr>
    </w:p>
    <w:p w:rsidR="00040022" w:rsidRPr="001B2324" w:rsidRDefault="00040022" w:rsidP="000400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report format captures all the current performance indicator requirements of Monitor. The report includes reporting on </w:t>
      </w:r>
      <w:r w:rsidRPr="00AA1BD3">
        <w:rPr>
          <w:rFonts w:ascii="Arial" w:hAnsi="Arial" w:cs="Arial"/>
        </w:rPr>
        <w:t>Commissioning for</w:t>
      </w:r>
      <w:r>
        <w:rPr>
          <w:rFonts w:ascii="Arial" w:hAnsi="Arial" w:cs="Arial"/>
        </w:rPr>
        <w:t xml:space="preserve"> Quality and Innovation (CQUIN) and includes performance against monthly and quarterly reported indicators.</w:t>
      </w:r>
    </w:p>
    <w:p w:rsidR="00040022" w:rsidRDefault="00040022" w:rsidP="007A2CF0">
      <w:pPr>
        <w:jc w:val="both"/>
        <w:rPr>
          <w:rFonts w:ascii="Arial" w:hAnsi="Arial" w:cs="Arial"/>
          <w:b/>
        </w:rPr>
      </w:pPr>
    </w:p>
    <w:p w:rsidR="00BA3B3E" w:rsidRDefault="00040022" w:rsidP="0073522A">
      <w:pPr>
        <w:jc w:val="both"/>
        <w:rPr>
          <w:rFonts w:ascii="Arial" w:hAnsi="Arial" w:cs="Arial"/>
        </w:rPr>
      </w:pPr>
      <w:r w:rsidRPr="00040022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report has been considered at the Executive Board meeting on 20</w:t>
      </w:r>
      <w:r w:rsidRPr="0004002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 2014. </w:t>
      </w:r>
    </w:p>
    <w:p w:rsidR="00040022" w:rsidRPr="00040022" w:rsidRDefault="00040022" w:rsidP="0073522A">
      <w:pPr>
        <w:jc w:val="both"/>
        <w:rPr>
          <w:rFonts w:ascii="Arial" w:hAnsi="Arial" w:cs="Arial"/>
        </w:rPr>
      </w:pPr>
    </w:p>
    <w:p w:rsidR="0073522A" w:rsidRDefault="0073522A" w:rsidP="007352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Recommendation</w:t>
      </w:r>
    </w:p>
    <w:p w:rsidR="0073522A" w:rsidRDefault="0073522A" w:rsidP="0073522A">
      <w:pPr>
        <w:jc w:val="both"/>
        <w:rPr>
          <w:rFonts w:ascii="Arial" w:hAnsi="Arial" w:cs="Arial"/>
        </w:rPr>
      </w:pPr>
    </w:p>
    <w:p w:rsidR="005D3499" w:rsidRDefault="00267C69">
      <w:pPr>
        <w:jc w:val="both"/>
        <w:rPr>
          <w:rFonts w:ascii="Arial" w:hAnsi="Arial" w:cs="Arial"/>
        </w:rPr>
      </w:pPr>
      <w:r w:rsidRPr="00267C69">
        <w:rPr>
          <w:rFonts w:ascii="Arial" w:hAnsi="Arial" w:cs="Arial"/>
        </w:rPr>
        <w:t>The B</w:t>
      </w:r>
      <w:r>
        <w:rPr>
          <w:rFonts w:ascii="Arial" w:hAnsi="Arial" w:cs="Arial"/>
        </w:rPr>
        <w:t>oard is asked to note the report.</w:t>
      </w:r>
    </w:p>
    <w:p w:rsidR="00267C69" w:rsidRDefault="00267C69">
      <w:pPr>
        <w:jc w:val="both"/>
        <w:rPr>
          <w:rFonts w:ascii="Arial" w:hAnsi="Arial" w:cs="Arial"/>
        </w:rPr>
      </w:pPr>
    </w:p>
    <w:p w:rsidR="00267C69" w:rsidRPr="00267C69" w:rsidRDefault="00267C69">
      <w:pPr>
        <w:jc w:val="both"/>
        <w:rPr>
          <w:rFonts w:ascii="Arial" w:hAnsi="Arial" w:cs="Arial"/>
        </w:rPr>
      </w:pPr>
    </w:p>
    <w:p w:rsidR="0073522A" w:rsidRDefault="002619EF" w:rsidP="0073522A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Author and T</w:t>
      </w:r>
      <w:r w:rsidR="0073522A">
        <w:rPr>
          <w:rFonts w:ascii="Arial" w:hAnsi="Arial" w:cs="Arial"/>
          <w:b/>
        </w:rPr>
        <w:t>itle:</w:t>
      </w:r>
      <w:r w:rsidR="0073522A">
        <w:rPr>
          <w:rFonts w:ascii="Arial" w:hAnsi="Arial" w:cs="Arial"/>
        </w:rPr>
        <w:t xml:space="preserve"> </w:t>
      </w:r>
      <w:r w:rsidR="0073522A">
        <w:rPr>
          <w:rFonts w:ascii="Arial" w:hAnsi="Arial" w:cs="Arial"/>
        </w:rPr>
        <w:tab/>
      </w:r>
      <w:r w:rsidR="00267C69">
        <w:rPr>
          <w:rFonts w:ascii="Arial" w:hAnsi="Arial" w:cs="Arial"/>
        </w:rPr>
        <w:t>Charlotte Hunt, Performance Information Manger</w:t>
      </w:r>
    </w:p>
    <w:p w:rsidR="00267C69" w:rsidRDefault="00267C69" w:rsidP="0073522A">
      <w:pPr>
        <w:ind w:left="1440" w:hanging="1440"/>
        <w:jc w:val="both"/>
        <w:rPr>
          <w:rFonts w:ascii="Arial" w:hAnsi="Arial" w:cs="Arial"/>
        </w:rPr>
      </w:pPr>
    </w:p>
    <w:p w:rsidR="0073522A" w:rsidRPr="00267C69" w:rsidRDefault="0073522A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Lead Executive Director:</w:t>
      </w:r>
      <w:r>
        <w:rPr>
          <w:rFonts w:ascii="Arial" w:hAnsi="Arial" w:cs="Arial"/>
          <w:b/>
        </w:rPr>
        <w:tab/>
      </w:r>
      <w:r w:rsidR="00267C69">
        <w:rPr>
          <w:rFonts w:ascii="Arial" w:hAnsi="Arial" w:cs="Arial"/>
        </w:rPr>
        <w:t>Mike McEnaney, Finance Director</w:t>
      </w:r>
    </w:p>
    <w:p w:rsidR="0073522A" w:rsidRDefault="0073522A">
      <w:pPr>
        <w:jc w:val="both"/>
        <w:rPr>
          <w:rFonts w:ascii="Arial" w:hAnsi="Arial" w:cs="Arial"/>
          <w:b/>
        </w:rPr>
      </w:pPr>
    </w:p>
    <w:p w:rsidR="00040022" w:rsidRDefault="00040022">
      <w:pPr>
        <w:jc w:val="both"/>
        <w:rPr>
          <w:rFonts w:ascii="Arial" w:hAnsi="Arial" w:cs="Arial"/>
        </w:rPr>
      </w:pPr>
    </w:p>
    <w:p w:rsidR="00040022" w:rsidRDefault="00040022">
      <w:pPr>
        <w:jc w:val="both"/>
        <w:rPr>
          <w:rFonts w:ascii="Arial" w:hAnsi="Arial" w:cs="Arial"/>
        </w:rPr>
      </w:pPr>
    </w:p>
    <w:p w:rsidR="00040022" w:rsidRDefault="00040022">
      <w:pPr>
        <w:jc w:val="both"/>
        <w:rPr>
          <w:rFonts w:ascii="Arial" w:hAnsi="Arial" w:cs="Arial"/>
        </w:rPr>
      </w:pPr>
    </w:p>
    <w:p w:rsidR="00040022" w:rsidRDefault="00040022">
      <w:pPr>
        <w:jc w:val="both"/>
        <w:rPr>
          <w:rFonts w:ascii="Arial" w:hAnsi="Arial" w:cs="Arial"/>
        </w:rPr>
      </w:pPr>
    </w:p>
    <w:p w:rsidR="00040022" w:rsidRDefault="00040022">
      <w:pPr>
        <w:jc w:val="both"/>
        <w:rPr>
          <w:rFonts w:ascii="Arial" w:hAnsi="Arial" w:cs="Arial"/>
        </w:rPr>
      </w:pPr>
    </w:p>
    <w:p w:rsidR="004F4BBA" w:rsidRPr="00894B97" w:rsidRDefault="0073522A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[ Drafting</w:t>
      </w:r>
      <w:proofErr w:type="gramEnd"/>
      <w:r>
        <w:rPr>
          <w:rFonts w:ascii="Arial" w:hAnsi="Arial" w:cs="Arial"/>
        </w:rPr>
        <w:t xml:space="preserve"> Note: The</w:t>
      </w:r>
      <w:r w:rsidR="004F4BBA" w:rsidRPr="004F4BBA">
        <w:rPr>
          <w:rFonts w:ascii="Arial" w:hAnsi="Arial" w:cs="Arial"/>
        </w:rPr>
        <w:t xml:space="preserve"> </w:t>
      </w:r>
      <w:r w:rsidR="004F4BBA">
        <w:rPr>
          <w:rFonts w:ascii="Arial" w:hAnsi="Arial" w:cs="Arial"/>
        </w:rPr>
        <w:t>following statements must be attached to every report.</w:t>
      </w:r>
      <w:r w:rsidR="002C2F97">
        <w:rPr>
          <w:rFonts w:ascii="Arial" w:hAnsi="Arial" w:cs="Arial"/>
        </w:rPr>
        <w:t xml:space="preserve"> </w:t>
      </w:r>
      <w:r w:rsidR="00B26E1A">
        <w:rPr>
          <w:rFonts w:ascii="Arial" w:hAnsi="Arial" w:cs="Arial"/>
        </w:rPr>
        <w:t>]</w:t>
      </w:r>
    </w:p>
    <w:p w:rsidR="004F4BBA" w:rsidRDefault="004F4BBA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 w:rsidRPr="0073522A">
        <w:rPr>
          <w:rFonts w:ascii="Arial" w:hAnsi="Arial" w:cs="Arial"/>
          <w:i/>
          <w:sz w:val="20"/>
          <w:szCs w:val="20"/>
        </w:rPr>
        <w:t>A risk assessment has been undertaken around the legal issues that this paper presents and there are no issues that need to be r</w:t>
      </w:r>
      <w:r w:rsidR="0073522A">
        <w:rPr>
          <w:rFonts w:ascii="Arial" w:hAnsi="Arial" w:cs="Arial"/>
          <w:i/>
          <w:sz w:val="20"/>
          <w:szCs w:val="20"/>
        </w:rPr>
        <w:t>eferred to the Trust Solicitors.</w:t>
      </w:r>
    </w:p>
    <w:p w:rsidR="00AA0C3F" w:rsidRDefault="00AA0C3F" w:rsidP="00AA0C3F">
      <w:pPr>
        <w:jc w:val="both"/>
        <w:rPr>
          <w:rFonts w:ascii="Arial" w:hAnsi="Arial" w:cs="Arial"/>
          <w:i/>
          <w:sz w:val="20"/>
          <w:szCs w:val="20"/>
        </w:rPr>
      </w:pPr>
    </w:p>
    <w:p w:rsidR="00AA0C3F" w:rsidRDefault="00781566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 (including all appendices) has been assessed against the Freedom of Information Act and the following applies: [</w:t>
      </w:r>
      <w:r w:rsidRPr="00781566">
        <w:rPr>
          <w:rFonts w:ascii="Arial" w:hAnsi="Arial" w:cs="Arial"/>
          <w:i/>
          <w:sz w:val="20"/>
          <w:szCs w:val="20"/>
          <w:u w:val="single"/>
        </w:rPr>
        <w:t>delete as appropriate</w:t>
      </w:r>
      <w:r>
        <w:rPr>
          <w:rFonts w:ascii="Arial" w:hAnsi="Arial" w:cs="Arial"/>
          <w:i/>
          <w:sz w:val="20"/>
          <w:szCs w:val="20"/>
        </w:rPr>
        <w:t>]</w:t>
      </w:r>
    </w:p>
    <w:p w:rsidR="00781566" w:rsidRDefault="00781566" w:rsidP="00781566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 MAY BE PUBLISHED UNDER FOI</w:t>
      </w:r>
    </w:p>
    <w:p w:rsidR="00781566" w:rsidRDefault="00781566" w:rsidP="00781566">
      <w:pPr>
        <w:jc w:val="both"/>
        <w:rPr>
          <w:rFonts w:ascii="Arial" w:hAnsi="Arial" w:cs="Arial"/>
          <w:i/>
          <w:sz w:val="20"/>
          <w:szCs w:val="20"/>
        </w:rPr>
      </w:pPr>
    </w:p>
    <w:p w:rsidR="00781566" w:rsidRDefault="00781566" w:rsidP="00781566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PAPER, IN ITS ENTIRETY, MUST NOT BE PUBLISHED UNDER FOI AND THE FOLLOWING EXEMPTION(S) APPLY:</w:t>
      </w:r>
    </w:p>
    <w:p w:rsidR="00781566" w:rsidRPr="00781566" w:rsidRDefault="00282CE5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8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21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Information accessible to public by other means</w:t>
      </w:r>
    </w:p>
    <w:p w:rsidR="00781566" w:rsidRPr="00781566" w:rsidRDefault="00282CE5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9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22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Information intended for future publication</w:t>
      </w:r>
    </w:p>
    <w:p w:rsidR="00781566" w:rsidRPr="00781566" w:rsidRDefault="00282CE5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0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33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Audit functions</w:t>
      </w:r>
    </w:p>
    <w:p w:rsidR="00781566" w:rsidRPr="00781566" w:rsidRDefault="00282CE5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1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36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Prejudice to effective conduct of public affairs</w:t>
      </w:r>
    </w:p>
    <w:p w:rsidR="00781566" w:rsidRPr="00781566" w:rsidRDefault="00282CE5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2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38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Health and safety</w:t>
      </w:r>
    </w:p>
    <w:p w:rsidR="00781566" w:rsidRPr="00781566" w:rsidRDefault="00282CE5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3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40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Personal information</w:t>
      </w:r>
    </w:p>
    <w:p w:rsidR="00781566" w:rsidRPr="00781566" w:rsidRDefault="00282CE5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4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41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Information provided in confidence</w:t>
      </w:r>
    </w:p>
    <w:p w:rsidR="00781566" w:rsidRPr="00781566" w:rsidRDefault="00282CE5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5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42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Legal professional privilege</w:t>
      </w:r>
    </w:p>
    <w:p w:rsidR="00781566" w:rsidRPr="00781566" w:rsidRDefault="00282CE5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6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43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Commercial interests</w:t>
      </w:r>
    </w:p>
    <w:p w:rsidR="00781566" w:rsidRDefault="00781566" w:rsidP="00781566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781566" w:rsidRDefault="00781566" w:rsidP="00781566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SECTIONS MARKED IN THIS PAPER MUST NOT BE PUBLISHED UNDER FOI AND THE FOLLOWING EXEMPTION(S) APPLY:</w:t>
      </w:r>
    </w:p>
    <w:p w:rsidR="00781566" w:rsidRPr="00781566" w:rsidRDefault="00282CE5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7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21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Information accessible to public by other means</w:t>
      </w:r>
    </w:p>
    <w:p w:rsidR="00781566" w:rsidRPr="00781566" w:rsidRDefault="00282CE5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8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22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Information intended for future publication</w:t>
      </w:r>
    </w:p>
    <w:p w:rsidR="00781566" w:rsidRPr="00781566" w:rsidRDefault="00282CE5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19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33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Audit functions</w:t>
      </w:r>
    </w:p>
    <w:p w:rsidR="00781566" w:rsidRPr="00781566" w:rsidRDefault="00282CE5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20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36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Prejudice to effective conduct of public affairs</w:t>
      </w:r>
    </w:p>
    <w:p w:rsidR="00781566" w:rsidRPr="00781566" w:rsidRDefault="00282CE5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21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38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Health and safety</w:t>
      </w:r>
    </w:p>
    <w:p w:rsidR="00781566" w:rsidRPr="00781566" w:rsidRDefault="00282CE5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22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40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Personal information</w:t>
      </w:r>
    </w:p>
    <w:p w:rsidR="00781566" w:rsidRPr="00781566" w:rsidRDefault="00282CE5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23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41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Information provided in confidence</w:t>
      </w:r>
    </w:p>
    <w:p w:rsidR="00781566" w:rsidRPr="00781566" w:rsidRDefault="00282CE5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24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42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Legal professional privilege</w:t>
      </w:r>
    </w:p>
    <w:p w:rsidR="00781566" w:rsidRPr="00781566" w:rsidRDefault="00282CE5" w:rsidP="00781566">
      <w:pPr>
        <w:numPr>
          <w:ilvl w:val="1"/>
          <w:numId w:val="3"/>
        </w:numPr>
        <w:shd w:val="clear" w:color="auto" w:fill="FFFFFF"/>
        <w:spacing w:line="288" w:lineRule="atLeast"/>
        <w:outlineLvl w:val="5"/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</w:pPr>
      <w:hyperlink r:id="rId25" w:history="1">
        <w:r w:rsidR="00781566" w:rsidRPr="00781566">
          <w:rPr>
            <w:rFonts w:ascii="Arial" w:hAnsi="Arial" w:cs="Arial"/>
            <w:i/>
            <w:color w:val="000000" w:themeColor="text1"/>
            <w:sz w:val="20"/>
            <w:szCs w:val="20"/>
            <w:lang w:eastAsia="en-GB"/>
          </w:rPr>
          <w:t>Section 43</w:t>
        </w:r>
      </w:hyperlink>
      <w:r w:rsidR="00781566" w:rsidRPr="00781566">
        <w:rPr>
          <w:rFonts w:ascii="Arial" w:hAnsi="Arial" w:cs="Arial"/>
          <w:i/>
          <w:color w:val="000000" w:themeColor="text1"/>
          <w:sz w:val="20"/>
          <w:szCs w:val="20"/>
          <w:lang w:eastAsia="en-GB"/>
        </w:rPr>
        <w:t>: Commercial interests</w:t>
      </w:r>
    </w:p>
    <w:p w:rsidR="00781566" w:rsidRDefault="00781566" w:rsidP="00781566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AF0562" w:rsidRPr="0073522A" w:rsidRDefault="00AF0562" w:rsidP="00AF0562">
      <w:pPr>
        <w:ind w:left="720"/>
        <w:jc w:val="both"/>
        <w:rPr>
          <w:rFonts w:ascii="Arial" w:hAnsi="Arial" w:cs="Arial"/>
          <w:sz w:val="20"/>
          <w:szCs w:val="20"/>
        </w:rPr>
      </w:pPr>
    </w:p>
    <w:sectPr w:rsidR="00AF0562" w:rsidRPr="0073522A" w:rsidSect="00FE113A">
      <w:headerReference w:type="default" r:id="rId2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566" w:rsidRDefault="00781566" w:rsidP="005B3E3C">
      <w:r>
        <w:separator/>
      </w:r>
    </w:p>
  </w:endnote>
  <w:endnote w:type="continuationSeparator" w:id="0">
    <w:p w:rsidR="00781566" w:rsidRDefault="00781566" w:rsidP="005B3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">
    <w:altName w:val="Corbe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566" w:rsidRDefault="00781566" w:rsidP="005B3E3C">
      <w:r>
        <w:separator/>
      </w:r>
    </w:p>
  </w:footnote>
  <w:footnote w:type="continuationSeparator" w:id="0">
    <w:p w:rsidR="00781566" w:rsidRDefault="00781566" w:rsidP="005B3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566" w:rsidRPr="005B3E3C" w:rsidRDefault="00781566" w:rsidP="005B3E3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[</w:t>
    </w:r>
    <w:r w:rsidR="006E3C3E" w:rsidRPr="006E3C3E">
      <w:rPr>
        <w:rFonts w:ascii="Arial" w:hAnsi="Arial" w:cs="Arial"/>
        <w:b/>
        <w:i/>
      </w:rPr>
      <w:t>PUBLIC</w:t>
    </w:r>
    <w:r>
      <w:rPr>
        <w:rFonts w:ascii="Arial" w:hAnsi="Arial" w:cs="Arial"/>
      </w:rPr>
      <w:t>]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A43E65"/>
    <w:multiLevelType w:val="hybridMultilevel"/>
    <w:tmpl w:val="BD224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2A73E8"/>
    <w:rsid w:val="00040022"/>
    <w:rsid w:val="001F76ED"/>
    <w:rsid w:val="00227FCE"/>
    <w:rsid w:val="00232288"/>
    <w:rsid w:val="002619EF"/>
    <w:rsid w:val="00267C69"/>
    <w:rsid w:val="002821F8"/>
    <w:rsid w:val="00282CE5"/>
    <w:rsid w:val="00292613"/>
    <w:rsid w:val="002A73E8"/>
    <w:rsid w:val="002C2F97"/>
    <w:rsid w:val="002E6FC6"/>
    <w:rsid w:val="003971F6"/>
    <w:rsid w:val="004326BB"/>
    <w:rsid w:val="004F4BBA"/>
    <w:rsid w:val="005233AA"/>
    <w:rsid w:val="00551B0F"/>
    <w:rsid w:val="00553872"/>
    <w:rsid w:val="005659FB"/>
    <w:rsid w:val="005B3E3C"/>
    <w:rsid w:val="005C3FC1"/>
    <w:rsid w:val="005D3499"/>
    <w:rsid w:val="005E2583"/>
    <w:rsid w:val="0061684E"/>
    <w:rsid w:val="006E3C3E"/>
    <w:rsid w:val="0073522A"/>
    <w:rsid w:val="007769CD"/>
    <w:rsid w:val="0078032B"/>
    <w:rsid w:val="00781566"/>
    <w:rsid w:val="007976E7"/>
    <w:rsid w:val="007A2CF0"/>
    <w:rsid w:val="007B6D77"/>
    <w:rsid w:val="00802701"/>
    <w:rsid w:val="008038A2"/>
    <w:rsid w:val="00811FE8"/>
    <w:rsid w:val="0086436B"/>
    <w:rsid w:val="00894B97"/>
    <w:rsid w:val="00946E6E"/>
    <w:rsid w:val="009869DE"/>
    <w:rsid w:val="00997325"/>
    <w:rsid w:val="00A674FB"/>
    <w:rsid w:val="00A85311"/>
    <w:rsid w:val="00AA0C3F"/>
    <w:rsid w:val="00AC3814"/>
    <w:rsid w:val="00AF0562"/>
    <w:rsid w:val="00B26E1A"/>
    <w:rsid w:val="00B26F2C"/>
    <w:rsid w:val="00B50D5E"/>
    <w:rsid w:val="00BA3B3E"/>
    <w:rsid w:val="00BB45F2"/>
    <w:rsid w:val="00BF5367"/>
    <w:rsid w:val="00C07817"/>
    <w:rsid w:val="00C11AA2"/>
    <w:rsid w:val="00D07064"/>
    <w:rsid w:val="00D279FC"/>
    <w:rsid w:val="00D55ADD"/>
    <w:rsid w:val="00D8544F"/>
    <w:rsid w:val="00DA0FA6"/>
    <w:rsid w:val="00DD33DF"/>
    <w:rsid w:val="00DE1293"/>
    <w:rsid w:val="00E827C5"/>
    <w:rsid w:val="00F24EB2"/>
    <w:rsid w:val="00F50A07"/>
    <w:rsid w:val="00F57119"/>
    <w:rsid w:val="00FD2279"/>
    <w:rsid w:val="00FE1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FD2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227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FD2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227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.uk/ukpga/2000/36/section/21" TargetMode="External"/><Relationship Id="rId13" Type="http://schemas.openxmlformats.org/officeDocument/2006/relationships/hyperlink" Target="http://www.legislation.gov.uk/ukpga/2000/36/section/40" TargetMode="External"/><Relationship Id="rId18" Type="http://schemas.openxmlformats.org/officeDocument/2006/relationships/hyperlink" Target="http://www.legislation.gov.uk/ukpga/2000/36/section/22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legislation.gov.uk/ukpga/2000/36/section/38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legislation.gov.uk/ukpga/2000/36/section/38" TargetMode="External"/><Relationship Id="rId17" Type="http://schemas.openxmlformats.org/officeDocument/2006/relationships/hyperlink" Target="http://www.legislation.gov.uk/ukpga/2000/36/section/21" TargetMode="External"/><Relationship Id="rId25" Type="http://schemas.openxmlformats.org/officeDocument/2006/relationships/hyperlink" Target="http://www.legislation.gov.uk/ukpga/2000/36/section/4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gislation.gov.uk/ukpga/2000/36/section/43" TargetMode="External"/><Relationship Id="rId20" Type="http://schemas.openxmlformats.org/officeDocument/2006/relationships/hyperlink" Target="http://www.legislation.gov.uk/ukpga/2000/36/section/36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gislation.gov.uk/ukpga/2000/36/section/36" TargetMode="External"/><Relationship Id="rId24" Type="http://schemas.openxmlformats.org/officeDocument/2006/relationships/hyperlink" Target="http://www.legislation.gov.uk/ukpga/2000/36/section/4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egislation.gov.uk/ukpga/2000/36/section/42" TargetMode="External"/><Relationship Id="rId23" Type="http://schemas.openxmlformats.org/officeDocument/2006/relationships/hyperlink" Target="http://www.legislation.gov.uk/ukpga/2000/36/section/4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legislation.gov.uk/ukpga/2000/36/section/33" TargetMode="External"/><Relationship Id="rId19" Type="http://schemas.openxmlformats.org/officeDocument/2006/relationships/hyperlink" Target="http://www.legislation.gov.uk/ukpga/2000/36/section/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gislation.gov.uk/ukpga/2000/36/section/22" TargetMode="External"/><Relationship Id="rId14" Type="http://schemas.openxmlformats.org/officeDocument/2006/relationships/hyperlink" Target="http://www.legislation.gov.uk/ukpga/2000/36/section/41" TargetMode="External"/><Relationship Id="rId22" Type="http://schemas.openxmlformats.org/officeDocument/2006/relationships/hyperlink" Target="http://www.legislation.gov.uk/ukpga/2000/36/section/4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3205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Oxfordshire Mental Healthcare NHS Trust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StackJ</dc:creator>
  <cp:keywords/>
  <dc:description/>
  <cp:lastModifiedBy>justinian.habner</cp:lastModifiedBy>
  <cp:revision>2</cp:revision>
  <cp:lastPrinted>2014-03-17T14:55:00Z</cp:lastPrinted>
  <dcterms:created xsi:type="dcterms:W3CDTF">2014-05-21T09:08:00Z</dcterms:created>
  <dcterms:modified xsi:type="dcterms:W3CDTF">2014-05-21T09:08:00Z</dcterms:modified>
</cp:coreProperties>
</file>