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8C4879">
      <w:pPr>
        <w:jc w:val="center"/>
        <w:rPr>
          <w:rFonts w:ascii="Frutiger" w:hAnsi="Frutiger"/>
        </w:rPr>
      </w:pPr>
      <w:r w:rsidRPr="008C4879">
        <w:rPr>
          <w:noProof/>
          <w:sz w:val="20"/>
        </w:rPr>
        <w:pict>
          <v:rect id="_x0000_s1034" style="position:absolute;left:0;text-align:left;margin-left:324pt;margin-top:4.05pt;width:108pt;height:45pt;z-index:251657728">
            <v:textbox inset="0,0,0,0">
              <w:txbxContent>
                <w:p w:rsidR="0062659A" w:rsidRDefault="0062659A">
                  <w:pPr>
                    <w:pStyle w:val="Heading1"/>
                    <w:jc w:val="center"/>
                    <w:rPr>
                      <w:sz w:val="24"/>
                      <w:u w:val="none"/>
                    </w:rPr>
                  </w:pPr>
                  <w:r>
                    <w:rPr>
                      <w:sz w:val="24"/>
                      <w:u w:val="none"/>
                    </w:rPr>
                    <w:t>PAPER</w:t>
                  </w:r>
                </w:p>
                <w:p w:rsidR="0062659A" w:rsidRDefault="0062659A">
                  <w:pPr>
                    <w:pStyle w:val="BodyText"/>
                    <w:rPr>
                      <w:sz w:val="22"/>
                    </w:rPr>
                  </w:pPr>
                  <w:r>
                    <w:rPr>
                      <w:sz w:val="22"/>
                    </w:rPr>
                    <w:t xml:space="preserve">BOD </w:t>
                  </w:r>
                  <w:r w:rsidR="00584EBB">
                    <w:rPr>
                      <w:sz w:val="22"/>
                    </w:rPr>
                    <w:t>131</w:t>
                  </w:r>
                  <w:r>
                    <w:rPr>
                      <w:sz w:val="22"/>
                    </w:rPr>
                    <w:t>/2014</w:t>
                  </w:r>
                </w:p>
                <w:p w:rsidR="0062659A" w:rsidRPr="002E65E2" w:rsidRDefault="0062659A">
                  <w:pPr>
                    <w:jc w:val="center"/>
                    <w:rPr>
                      <w:rFonts w:ascii="Arial" w:hAnsi="Arial" w:cs="Arial"/>
                      <w:sz w:val="20"/>
                      <w:szCs w:val="20"/>
                    </w:rPr>
                  </w:pPr>
                  <w:r>
                    <w:rPr>
                      <w:rFonts w:ascii="Arial" w:hAnsi="Arial" w:cs="Arial"/>
                      <w:sz w:val="20"/>
                      <w:szCs w:val="20"/>
                    </w:rPr>
                    <w:t>(Agenda Item:</w:t>
                  </w:r>
                  <w:r w:rsidR="00584EBB">
                    <w:rPr>
                      <w:rFonts w:ascii="Arial" w:hAnsi="Arial" w:cs="Arial"/>
                      <w:sz w:val="20"/>
                      <w:szCs w:val="20"/>
                    </w:rPr>
                    <w:t xml:space="preserve"> 19</w:t>
                  </w:r>
                  <w:r>
                    <w:rPr>
                      <w:rFonts w:ascii="Arial" w:hAnsi="Arial" w:cs="Arial"/>
                      <w:sz w:val="20"/>
                      <w:szCs w:val="20"/>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E111AC">
      <w:pPr>
        <w:jc w:val="center"/>
        <w:rPr>
          <w:rFonts w:ascii="Arial" w:hAnsi="Arial" w:cs="Arial"/>
          <w:b/>
        </w:rPr>
      </w:pPr>
      <w:r>
        <w:rPr>
          <w:rFonts w:ascii="Arial" w:hAnsi="Arial" w:cs="Arial"/>
          <w:b/>
        </w:rPr>
        <w:t>24 October</w:t>
      </w:r>
      <w:r w:rsidR="004326BB">
        <w:rPr>
          <w:rFonts w:ascii="Arial" w:hAnsi="Arial" w:cs="Arial"/>
          <w:b/>
        </w:rPr>
        <w:t xml:space="preserve"> 20</w:t>
      </w:r>
      <w:r w:rsidR="00D07064">
        <w:rPr>
          <w:rFonts w:ascii="Arial" w:hAnsi="Arial" w:cs="Arial"/>
          <w:b/>
        </w:rPr>
        <w:t>1</w:t>
      </w:r>
      <w:r w:rsidR="007B6D77">
        <w:rPr>
          <w:rFonts w:ascii="Arial" w:hAnsi="Arial" w:cs="Arial"/>
          <w:b/>
        </w:rPr>
        <w:t>4</w:t>
      </w:r>
    </w:p>
    <w:p w:rsidR="005D3499" w:rsidRDefault="005D3499">
      <w:pPr>
        <w:jc w:val="center"/>
        <w:rPr>
          <w:rFonts w:ascii="Arial" w:hAnsi="Arial" w:cs="Arial"/>
          <w:b/>
        </w:rPr>
      </w:pPr>
    </w:p>
    <w:p w:rsidR="005D3499" w:rsidRDefault="007358E3">
      <w:pPr>
        <w:jc w:val="center"/>
        <w:rPr>
          <w:rFonts w:ascii="Arial" w:hAnsi="Arial" w:cs="Arial"/>
          <w:b/>
        </w:rPr>
      </w:pPr>
      <w:r>
        <w:rPr>
          <w:rFonts w:ascii="Arial" w:hAnsi="Arial" w:cs="Arial"/>
          <w:b/>
        </w:rPr>
        <w:t>Trust Constitution</w:t>
      </w:r>
      <w:r w:rsidR="00E111AC">
        <w:rPr>
          <w:rFonts w:ascii="Arial" w:hAnsi="Arial" w:cs="Arial"/>
          <w:b/>
        </w:rPr>
        <w:t xml:space="preserve"> – Model Election Rules</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Approval</w:t>
      </w:r>
      <w:r>
        <w:rPr>
          <w:rFonts w:ascii="Arial" w:hAnsi="Arial" w:cs="Arial"/>
        </w:rPr>
        <w:t xml:space="preserve"> </w:t>
      </w:r>
    </w:p>
    <w:p w:rsidR="00E111AC" w:rsidRPr="00E111AC" w:rsidRDefault="00E111AC" w:rsidP="0062659A">
      <w:pPr>
        <w:jc w:val="both"/>
        <w:rPr>
          <w:rFonts w:ascii="Arial" w:hAnsi="Arial" w:cs="Arial"/>
          <w:b/>
        </w:rPr>
      </w:pPr>
    </w:p>
    <w:p w:rsidR="00E111AC" w:rsidRPr="00E111AC" w:rsidRDefault="00E111AC" w:rsidP="0062659A">
      <w:pPr>
        <w:pStyle w:val="NormalWeb"/>
        <w:spacing w:after="0"/>
        <w:jc w:val="both"/>
        <w:rPr>
          <w:rFonts w:ascii="Arial" w:hAnsi="Arial" w:cs="Arial"/>
        </w:rPr>
      </w:pPr>
      <w:proofErr w:type="gramStart"/>
      <w:r w:rsidRPr="00E111AC">
        <w:rPr>
          <w:rFonts w:ascii="Arial" w:hAnsi="Arial" w:cs="Arial"/>
        </w:rPr>
        <w:t xml:space="preserve">New </w:t>
      </w:r>
      <w:r>
        <w:rPr>
          <w:rFonts w:ascii="Arial" w:hAnsi="Arial" w:cs="Arial"/>
        </w:rPr>
        <w:t>‘</w:t>
      </w:r>
      <w:r w:rsidRPr="00E111AC">
        <w:rPr>
          <w:rFonts w:ascii="Arial" w:hAnsi="Arial" w:cs="Arial"/>
        </w:rPr>
        <w:t>model election rules</w:t>
      </w:r>
      <w:r>
        <w:rPr>
          <w:rFonts w:ascii="Arial" w:hAnsi="Arial" w:cs="Arial"/>
        </w:rPr>
        <w:t>’ for Governors</w:t>
      </w:r>
      <w:r w:rsidRPr="00E111AC">
        <w:rPr>
          <w:rFonts w:ascii="Arial" w:hAnsi="Arial" w:cs="Arial"/>
        </w:rPr>
        <w:t xml:space="preserve"> were published </w:t>
      </w:r>
      <w:r>
        <w:rPr>
          <w:rFonts w:ascii="Arial" w:hAnsi="Arial" w:cs="Arial"/>
        </w:rPr>
        <w:t xml:space="preserve">by the FTN </w:t>
      </w:r>
      <w:r w:rsidRPr="00E111AC">
        <w:rPr>
          <w:rFonts w:ascii="Arial" w:hAnsi="Arial" w:cs="Arial"/>
        </w:rPr>
        <w:t>in August 2014.</w:t>
      </w:r>
      <w:proofErr w:type="gramEnd"/>
      <w:r w:rsidRPr="00E111AC">
        <w:rPr>
          <w:rFonts w:ascii="Arial" w:hAnsi="Arial" w:cs="Arial"/>
        </w:rPr>
        <w:t xml:space="preserve"> </w:t>
      </w:r>
      <w:r>
        <w:rPr>
          <w:rFonts w:ascii="Arial" w:hAnsi="Arial" w:cs="Arial"/>
        </w:rPr>
        <w:t xml:space="preserve"> </w:t>
      </w:r>
      <w:r w:rsidRPr="00E111AC">
        <w:rPr>
          <w:rFonts w:ascii="Arial" w:hAnsi="Arial" w:cs="Arial"/>
        </w:rPr>
        <w:t>The new rules:</w:t>
      </w:r>
    </w:p>
    <w:p w:rsidR="00E111AC" w:rsidRPr="00E111AC" w:rsidRDefault="00E111AC" w:rsidP="0062659A">
      <w:pPr>
        <w:numPr>
          <w:ilvl w:val="0"/>
          <w:numId w:val="5"/>
        </w:numPr>
        <w:jc w:val="both"/>
        <w:rPr>
          <w:rFonts w:ascii="Arial" w:hAnsi="Arial" w:cs="Arial"/>
        </w:rPr>
      </w:pPr>
      <w:r>
        <w:rPr>
          <w:rFonts w:ascii="Arial" w:hAnsi="Arial" w:cs="Arial"/>
        </w:rPr>
        <w:t xml:space="preserve">allow </w:t>
      </w:r>
      <w:r w:rsidR="00F27C58">
        <w:rPr>
          <w:rFonts w:ascii="Arial" w:hAnsi="Arial" w:cs="Arial"/>
        </w:rPr>
        <w:t>FT M</w:t>
      </w:r>
      <w:r>
        <w:rPr>
          <w:rFonts w:ascii="Arial" w:hAnsi="Arial" w:cs="Arial"/>
        </w:rPr>
        <w:t>embers to vote for G</w:t>
      </w:r>
      <w:r w:rsidRPr="00E111AC">
        <w:rPr>
          <w:rFonts w:ascii="Arial" w:hAnsi="Arial" w:cs="Arial"/>
        </w:rPr>
        <w:t>overnors using e-voting technology</w:t>
      </w:r>
      <w:r>
        <w:rPr>
          <w:rFonts w:ascii="Arial" w:hAnsi="Arial" w:cs="Arial"/>
        </w:rPr>
        <w:t>; and</w:t>
      </w:r>
    </w:p>
    <w:p w:rsidR="00E111AC" w:rsidRPr="00E111AC" w:rsidRDefault="00E111AC" w:rsidP="0062659A">
      <w:pPr>
        <w:numPr>
          <w:ilvl w:val="0"/>
          <w:numId w:val="5"/>
        </w:numPr>
        <w:jc w:val="both"/>
        <w:rPr>
          <w:rFonts w:ascii="Arial" w:hAnsi="Arial" w:cs="Arial"/>
        </w:rPr>
      </w:pPr>
      <w:proofErr w:type="gramStart"/>
      <w:r w:rsidRPr="00E111AC">
        <w:rPr>
          <w:rFonts w:ascii="Arial" w:hAnsi="Arial" w:cs="Arial"/>
        </w:rPr>
        <w:t>set</w:t>
      </w:r>
      <w:proofErr w:type="gramEnd"/>
      <w:r w:rsidRPr="00E111AC">
        <w:rPr>
          <w:rFonts w:ascii="Arial" w:hAnsi="Arial" w:cs="Arial"/>
        </w:rPr>
        <w:t xml:space="preserve"> out that challenges to the conduct of </w:t>
      </w:r>
      <w:r>
        <w:rPr>
          <w:rFonts w:ascii="Arial" w:hAnsi="Arial" w:cs="Arial"/>
        </w:rPr>
        <w:t>FT</w:t>
      </w:r>
      <w:r w:rsidRPr="00E111AC">
        <w:rPr>
          <w:rFonts w:ascii="Arial" w:hAnsi="Arial" w:cs="Arial"/>
        </w:rPr>
        <w:t xml:space="preserve"> elections will now be determined by the Independent Elections Arbitration Panel instead of Monitor</w:t>
      </w:r>
      <w:r w:rsidR="0062659A">
        <w:rPr>
          <w:rFonts w:ascii="Arial" w:hAnsi="Arial" w:cs="Arial"/>
        </w:rPr>
        <w:t>.</w:t>
      </w:r>
    </w:p>
    <w:p w:rsidR="00E111AC" w:rsidRDefault="0062659A" w:rsidP="0062659A">
      <w:pPr>
        <w:pStyle w:val="NormalWeb"/>
        <w:spacing w:after="0"/>
        <w:jc w:val="both"/>
        <w:rPr>
          <w:rFonts w:ascii="Arial" w:hAnsi="Arial" w:cs="Arial"/>
        </w:rPr>
      </w:pPr>
      <w:r>
        <w:rPr>
          <w:rFonts w:ascii="Arial" w:hAnsi="Arial" w:cs="Arial"/>
        </w:rPr>
        <w:t>E</w:t>
      </w:r>
      <w:r w:rsidR="00E111AC">
        <w:rPr>
          <w:rFonts w:ascii="Arial" w:hAnsi="Arial" w:cs="Arial"/>
        </w:rPr>
        <w:t>lection rules are part of an NHS foundation trust’s constitution so, in order to adopt the new rules, the constitution must be amended.</w:t>
      </w:r>
      <w:r w:rsidR="00F27C58">
        <w:rPr>
          <w:rFonts w:ascii="Arial" w:hAnsi="Arial" w:cs="Arial"/>
        </w:rPr>
        <w:t xml:space="preserve">  All NHS trusts applying to </w:t>
      </w:r>
      <w:proofErr w:type="gramStart"/>
      <w:r w:rsidR="00F27C58">
        <w:rPr>
          <w:rFonts w:ascii="Arial" w:hAnsi="Arial" w:cs="Arial"/>
        </w:rPr>
        <w:t>Monitor</w:t>
      </w:r>
      <w:proofErr w:type="gramEnd"/>
      <w:r w:rsidR="00F27C58">
        <w:rPr>
          <w:rFonts w:ascii="Arial" w:hAnsi="Arial" w:cs="Arial"/>
        </w:rPr>
        <w:t xml:space="preserve"> after 1 October 2014 must use the newly published model election rules and hold elections in line with them.</w:t>
      </w:r>
    </w:p>
    <w:p w:rsidR="00E111AC" w:rsidRDefault="00E111AC" w:rsidP="0062659A">
      <w:pPr>
        <w:pStyle w:val="NormalWeb"/>
        <w:spacing w:after="0"/>
        <w:jc w:val="both"/>
        <w:rPr>
          <w:rFonts w:ascii="Arial" w:hAnsi="Arial" w:cs="Arial"/>
        </w:rPr>
      </w:pPr>
    </w:p>
    <w:p w:rsidR="00F27C58" w:rsidRDefault="00F27C58" w:rsidP="0062659A">
      <w:pPr>
        <w:pStyle w:val="NormalWeb"/>
        <w:spacing w:after="0"/>
        <w:jc w:val="both"/>
        <w:rPr>
          <w:rFonts w:ascii="Arial" w:hAnsi="Arial" w:cs="Arial"/>
        </w:rPr>
      </w:pPr>
      <w:r>
        <w:rPr>
          <w:rFonts w:ascii="Arial" w:hAnsi="Arial" w:cs="Arial"/>
        </w:rPr>
        <w:t xml:space="preserve">Attached is a copy of the model election rules; as the Trust uses the Single Transferable Vote system, references to the First Past the Post system have been removed.  It is proposed that the rules attached replace the election rules in the Trust’s current Constitution (which start on </w:t>
      </w:r>
      <w:r w:rsidR="0062659A">
        <w:rPr>
          <w:rFonts w:ascii="Arial" w:hAnsi="Arial" w:cs="Arial"/>
        </w:rPr>
        <w:t xml:space="preserve">page </w:t>
      </w:r>
      <w:r>
        <w:rPr>
          <w:rFonts w:ascii="Arial" w:hAnsi="Arial" w:cs="Arial"/>
        </w:rPr>
        <w:t>C48).  A copy of the Trust’s current Constitution may be found here:-</w:t>
      </w:r>
    </w:p>
    <w:p w:rsidR="00F27C58" w:rsidRPr="0062659A" w:rsidRDefault="00F27C58" w:rsidP="0062659A">
      <w:pPr>
        <w:pStyle w:val="NormalWeb"/>
        <w:spacing w:after="0"/>
        <w:jc w:val="both"/>
        <w:rPr>
          <w:rFonts w:ascii="Arial" w:hAnsi="Arial" w:cs="Arial"/>
        </w:rPr>
      </w:pPr>
    </w:p>
    <w:p w:rsidR="0062659A" w:rsidRPr="0062659A" w:rsidRDefault="008C4879" w:rsidP="0062659A">
      <w:pPr>
        <w:rPr>
          <w:rFonts w:ascii="Arial" w:hAnsi="Arial" w:cs="Arial"/>
        </w:rPr>
      </w:pPr>
      <w:hyperlink r:id="rId9" w:history="1">
        <w:r w:rsidR="0062659A" w:rsidRPr="0062659A">
          <w:rPr>
            <w:rStyle w:val="Hyperlink"/>
            <w:rFonts w:ascii="Arial" w:hAnsi="Arial" w:cs="Arial"/>
          </w:rPr>
          <w:t>http://www.oxfordhealth.nhs.uk/about-us/governance/constitution/</w:t>
        </w:r>
      </w:hyperlink>
      <w:r w:rsidR="0062659A" w:rsidRPr="0062659A">
        <w:rPr>
          <w:rFonts w:ascii="Arial" w:hAnsi="Arial" w:cs="Arial"/>
        </w:rPr>
        <w:t xml:space="preserve"> </w:t>
      </w:r>
    </w:p>
    <w:p w:rsidR="0062659A" w:rsidRDefault="0062659A" w:rsidP="0062659A">
      <w:pPr>
        <w:pStyle w:val="NormalWeb"/>
        <w:spacing w:after="0"/>
        <w:jc w:val="both"/>
        <w:rPr>
          <w:rFonts w:ascii="Arial" w:hAnsi="Arial" w:cs="Arial"/>
        </w:rPr>
      </w:pPr>
    </w:p>
    <w:p w:rsidR="00E111AC" w:rsidRDefault="00F27C58" w:rsidP="0062659A">
      <w:pPr>
        <w:pStyle w:val="NormalWeb"/>
        <w:jc w:val="both"/>
        <w:rPr>
          <w:rFonts w:ascii="Arial" w:hAnsi="Arial" w:cs="Arial"/>
        </w:rPr>
      </w:pPr>
      <w:r>
        <w:rPr>
          <w:rFonts w:ascii="Arial" w:hAnsi="Arial" w:cs="Arial"/>
        </w:rPr>
        <w:t xml:space="preserve">By allowing FT Members to vote using electronic and telephone means it is likely </w:t>
      </w:r>
      <w:r w:rsidR="0062659A">
        <w:rPr>
          <w:rFonts w:ascii="Arial" w:hAnsi="Arial" w:cs="Arial"/>
        </w:rPr>
        <w:t xml:space="preserve">that </w:t>
      </w:r>
      <w:r>
        <w:rPr>
          <w:rFonts w:ascii="Arial" w:hAnsi="Arial" w:cs="Arial"/>
        </w:rPr>
        <w:t xml:space="preserve">costs associated with elections </w:t>
      </w:r>
      <w:r w:rsidR="0062659A">
        <w:rPr>
          <w:rFonts w:ascii="Arial" w:hAnsi="Arial" w:cs="Arial"/>
        </w:rPr>
        <w:t xml:space="preserve">will be reduced </w:t>
      </w:r>
      <w:r>
        <w:rPr>
          <w:rFonts w:ascii="Arial" w:hAnsi="Arial" w:cs="Arial"/>
        </w:rPr>
        <w:t>and it may increase voter turnout</w:t>
      </w:r>
      <w:r w:rsidR="00C0726F">
        <w:rPr>
          <w:rFonts w:ascii="Arial" w:hAnsi="Arial" w:cs="Arial"/>
        </w:rPr>
        <w:t>.</w:t>
      </w:r>
    </w:p>
    <w:p w:rsidR="00AF1C6A" w:rsidRDefault="00AF1C6A" w:rsidP="0062659A">
      <w:pPr>
        <w:pStyle w:val="PlainText"/>
        <w:jc w:val="both"/>
        <w:rPr>
          <w:rFonts w:ascii="Arial" w:hAnsi="Arial" w:cs="Arial"/>
          <w:sz w:val="24"/>
          <w:szCs w:val="24"/>
        </w:rPr>
      </w:pPr>
    </w:p>
    <w:p w:rsidR="0062659A" w:rsidRPr="00C0726F" w:rsidRDefault="0062659A" w:rsidP="0062659A">
      <w:pPr>
        <w:pStyle w:val="NormalWeb"/>
        <w:jc w:val="both"/>
        <w:rPr>
          <w:rFonts w:ascii="Arial" w:hAnsi="Arial" w:cs="Arial"/>
        </w:rPr>
      </w:pPr>
      <w:r>
        <w:rPr>
          <w:rFonts w:ascii="Arial" w:hAnsi="Arial" w:cs="Arial"/>
        </w:rPr>
        <w:t>No other changes to the Trust Constitu</w:t>
      </w:r>
      <w:r w:rsidR="007A4D5D">
        <w:rPr>
          <w:rFonts w:ascii="Arial" w:hAnsi="Arial" w:cs="Arial"/>
        </w:rPr>
        <w:t xml:space="preserve">tion are proposed at this time; </w:t>
      </w:r>
      <w:r>
        <w:rPr>
          <w:rFonts w:ascii="Arial" w:hAnsi="Arial" w:cs="Arial"/>
        </w:rPr>
        <w:t xml:space="preserve">as previously agreed, a wider review of the Constitution and, in particular, the </w:t>
      </w:r>
      <w:r>
        <w:rPr>
          <w:rFonts w:ascii="Arial" w:hAnsi="Arial" w:cs="Arial"/>
        </w:rPr>
        <w:lastRenderedPageBreak/>
        <w:t>conflict of interests’ sections will be undertaken and any amendments propos</w:t>
      </w:r>
      <w:r w:rsidR="007A4D5D">
        <w:rPr>
          <w:rFonts w:ascii="Arial" w:hAnsi="Arial" w:cs="Arial"/>
        </w:rPr>
        <w:t>ed to Board and Council in 2015</w:t>
      </w:r>
      <w:r>
        <w:rPr>
          <w:rFonts w:ascii="Arial" w:hAnsi="Arial" w:cs="Arial"/>
        </w:rPr>
        <w:t xml:space="preserve">. </w:t>
      </w:r>
    </w:p>
    <w:p w:rsidR="0062659A" w:rsidRDefault="0062659A" w:rsidP="0062659A">
      <w:pPr>
        <w:pStyle w:val="PlainText"/>
        <w:jc w:val="both"/>
        <w:rPr>
          <w:rFonts w:ascii="Arial" w:hAnsi="Arial" w:cs="Arial"/>
          <w:sz w:val="24"/>
          <w:szCs w:val="24"/>
        </w:rPr>
      </w:pPr>
    </w:p>
    <w:p w:rsidR="00CE4218" w:rsidRDefault="00CE4218" w:rsidP="0062659A">
      <w:pPr>
        <w:pStyle w:val="PlainText"/>
        <w:jc w:val="both"/>
        <w:rPr>
          <w:rFonts w:ascii="Arial" w:hAnsi="Arial" w:cs="Arial"/>
          <w:sz w:val="24"/>
          <w:szCs w:val="24"/>
        </w:rPr>
      </w:pPr>
      <w:r>
        <w:rPr>
          <w:rFonts w:ascii="Arial" w:hAnsi="Arial" w:cs="Arial"/>
          <w:sz w:val="24"/>
          <w:szCs w:val="24"/>
        </w:rPr>
        <w:t xml:space="preserve">Following Board approval, the </w:t>
      </w:r>
      <w:r w:rsidR="0062659A">
        <w:rPr>
          <w:rFonts w:ascii="Arial" w:hAnsi="Arial" w:cs="Arial"/>
          <w:sz w:val="24"/>
          <w:szCs w:val="24"/>
        </w:rPr>
        <w:t>model election rules</w:t>
      </w:r>
      <w:r w:rsidR="00C0726F">
        <w:rPr>
          <w:rFonts w:ascii="Arial" w:hAnsi="Arial" w:cs="Arial"/>
          <w:sz w:val="24"/>
          <w:szCs w:val="24"/>
        </w:rPr>
        <w:t xml:space="preserve"> and the proposal to include them in the Trust </w:t>
      </w:r>
      <w:r>
        <w:rPr>
          <w:rFonts w:ascii="Arial" w:hAnsi="Arial" w:cs="Arial"/>
          <w:sz w:val="24"/>
          <w:szCs w:val="24"/>
        </w:rPr>
        <w:t>Constitution will be presented to the next meeting of the Council of Governors for final approval.</w:t>
      </w:r>
    </w:p>
    <w:p w:rsidR="00BA3B3E" w:rsidRDefault="00BA3B3E" w:rsidP="0073522A">
      <w:pPr>
        <w:jc w:val="both"/>
        <w:rPr>
          <w:rFonts w:ascii="Arial" w:hAnsi="Arial" w:cs="Arial"/>
          <w:b/>
        </w:rPr>
      </w:pPr>
    </w:p>
    <w:p w:rsidR="00C0726F" w:rsidRPr="007358E3" w:rsidRDefault="00C0726F"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CE4218" w:rsidP="0073522A">
      <w:pPr>
        <w:jc w:val="both"/>
        <w:rPr>
          <w:rFonts w:ascii="Arial" w:hAnsi="Arial" w:cs="Arial"/>
        </w:rPr>
      </w:pPr>
      <w:r>
        <w:rPr>
          <w:rFonts w:ascii="Arial" w:hAnsi="Arial" w:cs="Arial"/>
        </w:rPr>
        <w:t>The Board is asked to approve the proposed amendments to the Constitution before presentation to the Council of Governors for final approval.</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7358E3">
        <w:rPr>
          <w:rFonts w:ascii="Arial" w:hAnsi="Arial" w:cs="Arial"/>
        </w:rPr>
        <w:tab/>
        <w:t>Justinian Habner, Trust Secretary</w:t>
      </w:r>
    </w:p>
    <w:p w:rsidR="0073522A" w:rsidRDefault="0073522A">
      <w:pPr>
        <w:jc w:val="both"/>
        <w:rPr>
          <w:rFonts w:ascii="Arial" w:hAnsi="Arial" w:cs="Arial"/>
          <w:b/>
        </w:rPr>
      </w:pPr>
    </w:p>
    <w:p w:rsidR="00E111AC" w:rsidRPr="0073522A" w:rsidRDefault="00E111AC" w:rsidP="00E111AC">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9A" w:rsidRDefault="0062659A" w:rsidP="005B3E3C">
      <w:r>
        <w:separator/>
      </w:r>
    </w:p>
  </w:endnote>
  <w:endnote w:type="continuationSeparator" w:id="0">
    <w:p w:rsidR="0062659A" w:rsidRDefault="0062659A"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rutiger">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9A" w:rsidRDefault="0062659A" w:rsidP="005B3E3C">
      <w:r>
        <w:separator/>
      </w:r>
    </w:p>
  </w:footnote>
  <w:footnote w:type="continuationSeparator" w:id="0">
    <w:p w:rsidR="0062659A" w:rsidRDefault="0062659A"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9A" w:rsidRPr="005B3E3C" w:rsidRDefault="0062659A"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748A"/>
    <w:multiLevelType w:val="multilevel"/>
    <w:tmpl w:val="5C5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94B7C08"/>
    <w:multiLevelType w:val="multilevel"/>
    <w:tmpl w:val="1EE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2A73E8"/>
    <w:rsid w:val="001F76ED"/>
    <w:rsid w:val="00227FCE"/>
    <w:rsid w:val="002619EF"/>
    <w:rsid w:val="002821F8"/>
    <w:rsid w:val="00292613"/>
    <w:rsid w:val="002A73E8"/>
    <w:rsid w:val="002C2F97"/>
    <w:rsid w:val="002E65E2"/>
    <w:rsid w:val="002E6FC6"/>
    <w:rsid w:val="003971F6"/>
    <w:rsid w:val="0040494B"/>
    <w:rsid w:val="004326BB"/>
    <w:rsid w:val="0049474E"/>
    <w:rsid w:val="004F4BBA"/>
    <w:rsid w:val="005233AA"/>
    <w:rsid w:val="00551B0F"/>
    <w:rsid w:val="005659FB"/>
    <w:rsid w:val="00584EBB"/>
    <w:rsid w:val="005B3E3C"/>
    <w:rsid w:val="005C3FC1"/>
    <w:rsid w:val="005D3499"/>
    <w:rsid w:val="005E2583"/>
    <w:rsid w:val="0061684E"/>
    <w:rsid w:val="0062659A"/>
    <w:rsid w:val="0073522A"/>
    <w:rsid w:val="007358E3"/>
    <w:rsid w:val="007769CD"/>
    <w:rsid w:val="0078032B"/>
    <w:rsid w:val="00781566"/>
    <w:rsid w:val="007976E7"/>
    <w:rsid w:val="007A4D5D"/>
    <w:rsid w:val="007B6D77"/>
    <w:rsid w:val="00802701"/>
    <w:rsid w:val="008038A2"/>
    <w:rsid w:val="00811FE8"/>
    <w:rsid w:val="0086436B"/>
    <w:rsid w:val="00894B97"/>
    <w:rsid w:val="008C4879"/>
    <w:rsid w:val="00946E6E"/>
    <w:rsid w:val="009D473C"/>
    <w:rsid w:val="00A674FB"/>
    <w:rsid w:val="00A74B14"/>
    <w:rsid w:val="00A85311"/>
    <w:rsid w:val="00AA0C3F"/>
    <w:rsid w:val="00AC3814"/>
    <w:rsid w:val="00AC608F"/>
    <w:rsid w:val="00AF0562"/>
    <w:rsid w:val="00AF1C6A"/>
    <w:rsid w:val="00B26E1A"/>
    <w:rsid w:val="00B26F2C"/>
    <w:rsid w:val="00B50D5E"/>
    <w:rsid w:val="00BA3B3E"/>
    <w:rsid w:val="00BF5367"/>
    <w:rsid w:val="00C0726F"/>
    <w:rsid w:val="00C07817"/>
    <w:rsid w:val="00C11AA2"/>
    <w:rsid w:val="00CE4218"/>
    <w:rsid w:val="00D07064"/>
    <w:rsid w:val="00D279FC"/>
    <w:rsid w:val="00D55ADD"/>
    <w:rsid w:val="00D8544F"/>
    <w:rsid w:val="00DA0FA6"/>
    <w:rsid w:val="00DD33DF"/>
    <w:rsid w:val="00DE1293"/>
    <w:rsid w:val="00E111AC"/>
    <w:rsid w:val="00E827C5"/>
    <w:rsid w:val="00F24EB2"/>
    <w:rsid w:val="00F27C58"/>
    <w:rsid w:val="00F50A07"/>
    <w:rsid w:val="00F5711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3">
    <w:name w:val="heading 3"/>
    <w:basedOn w:val="Normal"/>
    <w:next w:val="Normal"/>
    <w:link w:val="Heading3Char"/>
    <w:semiHidden/>
    <w:unhideWhenUsed/>
    <w:qFormat/>
    <w:rsid w:val="00E111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A74B14"/>
    <w:rPr>
      <w:rFonts w:ascii="Tahoma" w:hAnsi="Tahoma" w:cs="Tahoma"/>
      <w:sz w:val="16"/>
      <w:szCs w:val="16"/>
    </w:rPr>
  </w:style>
  <w:style w:type="character" w:customStyle="1" w:styleId="BalloonTextChar">
    <w:name w:val="Balloon Text Char"/>
    <w:basedOn w:val="DefaultParagraphFont"/>
    <w:link w:val="BalloonText"/>
    <w:rsid w:val="00A74B14"/>
    <w:rPr>
      <w:rFonts w:ascii="Tahoma" w:hAnsi="Tahoma" w:cs="Tahoma"/>
      <w:sz w:val="16"/>
      <w:szCs w:val="16"/>
      <w:lang w:val="en-US" w:eastAsia="en-US"/>
    </w:rPr>
  </w:style>
  <w:style w:type="paragraph" w:styleId="NormalWeb">
    <w:name w:val="Normal (Web)"/>
    <w:basedOn w:val="Normal"/>
    <w:uiPriority w:val="99"/>
    <w:unhideWhenUsed/>
    <w:rsid w:val="00A74B14"/>
    <w:pPr>
      <w:spacing w:after="60"/>
    </w:pPr>
    <w:rPr>
      <w:rFonts w:eastAsiaTheme="minorHAnsi"/>
      <w:lang w:val="en-GB" w:eastAsia="en-GB"/>
    </w:rPr>
  </w:style>
  <w:style w:type="paragraph" w:styleId="PlainText">
    <w:name w:val="Plain Text"/>
    <w:basedOn w:val="Normal"/>
    <w:link w:val="PlainTextChar"/>
    <w:uiPriority w:val="99"/>
    <w:unhideWhenUsed/>
    <w:rsid w:val="00A74B14"/>
    <w:rPr>
      <w:rFonts w:ascii="Calibri" w:eastAsiaTheme="minorHAnsi" w:hAnsi="Calibri"/>
      <w:sz w:val="22"/>
      <w:szCs w:val="22"/>
      <w:lang w:val="en-GB" w:eastAsia="en-GB"/>
    </w:rPr>
  </w:style>
  <w:style w:type="character" w:customStyle="1" w:styleId="PlainTextChar">
    <w:name w:val="Plain Text Char"/>
    <w:basedOn w:val="DefaultParagraphFont"/>
    <w:link w:val="PlainText"/>
    <w:uiPriority w:val="99"/>
    <w:rsid w:val="00A74B14"/>
    <w:rPr>
      <w:rFonts w:ascii="Calibri" w:eastAsiaTheme="minorHAnsi" w:hAnsi="Calibri"/>
      <w:sz w:val="22"/>
      <w:szCs w:val="22"/>
    </w:rPr>
  </w:style>
  <w:style w:type="character" w:customStyle="1" w:styleId="Heading3Char">
    <w:name w:val="Heading 3 Char"/>
    <w:basedOn w:val="DefaultParagraphFont"/>
    <w:link w:val="Heading3"/>
    <w:semiHidden/>
    <w:rsid w:val="00E111AC"/>
    <w:rPr>
      <w:rFonts w:asciiTheme="majorHAnsi" w:eastAsiaTheme="majorEastAsia" w:hAnsiTheme="majorHAnsi" w:cstheme="majorBidi"/>
      <w:b/>
      <w:bCs/>
      <w:color w:val="4F81BD" w:themeColor="accent1"/>
      <w:sz w:val="24"/>
      <w:szCs w:val="24"/>
      <w:lang w:val="en-US" w:eastAsia="en-US"/>
    </w:rPr>
  </w:style>
  <w:style w:type="character" w:styleId="Hyperlink">
    <w:name w:val="Hyperlink"/>
    <w:basedOn w:val="DefaultParagraphFont"/>
    <w:uiPriority w:val="99"/>
    <w:unhideWhenUsed/>
    <w:rsid w:val="00E111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447787">
      <w:bodyDiv w:val="1"/>
      <w:marLeft w:val="0"/>
      <w:marRight w:val="0"/>
      <w:marTop w:val="0"/>
      <w:marBottom w:val="0"/>
      <w:divBdr>
        <w:top w:val="none" w:sz="0" w:space="0" w:color="auto"/>
        <w:left w:val="none" w:sz="0" w:space="0" w:color="auto"/>
        <w:bottom w:val="none" w:sz="0" w:space="0" w:color="auto"/>
        <w:right w:val="none" w:sz="0" w:space="0" w:color="auto"/>
      </w:divBdr>
    </w:div>
    <w:div w:id="1668744552">
      <w:bodyDiv w:val="1"/>
      <w:marLeft w:val="0"/>
      <w:marRight w:val="0"/>
      <w:marTop w:val="0"/>
      <w:marBottom w:val="0"/>
      <w:divBdr>
        <w:top w:val="none" w:sz="0" w:space="0" w:color="auto"/>
        <w:left w:val="none" w:sz="0" w:space="0" w:color="auto"/>
        <w:bottom w:val="none" w:sz="0" w:space="0" w:color="auto"/>
        <w:right w:val="none" w:sz="0" w:space="0" w:color="auto"/>
      </w:divBdr>
    </w:div>
    <w:div w:id="1736120879">
      <w:bodyDiv w:val="1"/>
      <w:marLeft w:val="0"/>
      <w:marRight w:val="0"/>
      <w:marTop w:val="0"/>
      <w:marBottom w:val="0"/>
      <w:divBdr>
        <w:top w:val="none" w:sz="0" w:space="0" w:color="auto"/>
        <w:left w:val="none" w:sz="0" w:space="0" w:color="auto"/>
        <w:bottom w:val="none" w:sz="0" w:space="0" w:color="auto"/>
        <w:right w:val="none" w:sz="0" w:space="0" w:color="auto"/>
      </w:divBdr>
      <w:divsChild>
        <w:div w:id="386493824">
          <w:marLeft w:val="0"/>
          <w:marRight w:val="0"/>
          <w:marTop w:val="0"/>
          <w:marBottom w:val="0"/>
          <w:divBdr>
            <w:top w:val="none" w:sz="0" w:space="0" w:color="auto"/>
            <w:left w:val="none" w:sz="0" w:space="0" w:color="auto"/>
            <w:bottom w:val="none" w:sz="0" w:space="0" w:color="auto"/>
            <w:right w:val="none" w:sz="0" w:space="0" w:color="auto"/>
          </w:divBdr>
          <w:divsChild>
            <w:div w:id="2055348270">
              <w:marLeft w:val="0"/>
              <w:marRight w:val="0"/>
              <w:marTop w:val="0"/>
              <w:marBottom w:val="0"/>
              <w:divBdr>
                <w:top w:val="none" w:sz="0" w:space="0" w:color="auto"/>
                <w:left w:val="none" w:sz="0" w:space="0" w:color="auto"/>
                <w:bottom w:val="none" w:sz="0" w:space="0" w:color="auto"/>
                <w:right w:val="none" w:sz="0" w:space="0" w:color="auto"/>
              </w:divBdr>
              <w:divsChild>
                <w:div w:id="1206403316">
                  <w:marLeft w:val="0"/>
                  <w:marRight w:val="0"/>
                  <w:marTop w:val="0"/>
                  <w:marBottom w:val="0"/>
                  <w:divBdr>
                    <w:top w:val="none" w:sz="0" w:space="0" w:color="auto"/>
                    <w:left w:val="none" w:sz="0" w:space="0" w:color="auto"/>
                    <w:bottom w:val="none" w:sz="0" w:space="0" w:color="auto"/>
                    <w:right w:val="none" w:sz="0" w:space="0" w:color="auto"/>
                  </w:divBdr>
                  <w:divsChild>
                    <w:div w:id="1719478427">
                      <w:marLeft w:val="0"/>
                      <w:marRight w:val="0"/>
                      <w:marTop w:val="0"/>
                      <w:marBottom w:val="0"/>
                      <w:divBdr>
                        <w:top w:val="none" w:sz="0" w:space="0" w:color="auto"/>
                        <w:left w:val="none" w:sz="0" w:space="0" w:color="auto"/>
                        <w:bottom w:val="none" w:sz="0" w:space="0" w:color="auto"/>
                        <w:right w:val="none" w:sz="0" w:space="0" w:color="auto"/>
                      </w:divBdr>
                      <w:divsChild>
                        <w:div w:id="451555146">
                          <w:marLeft w:val="0"/>
                          <w:marRight w:val="0"/>
                          <w:marTop w:val="0"/>
                          <w:marBottom w:val="0"/>
                          <w:divBdr>
                            <w:top w:val="none" w:sz="0" w:space="0" w:color="auto"/>
                            <w:left w:val="none" w:sz="0" w:space="0" w:color="auto"/>
                            <w:bottom w:val="none" w:sz="0" w:space="0" w:color="auto"/>
                            <w:right w:val="none" w:sz="0" w:space="0" w:color="auto"/>
                          </w:divBdr>
                        </w:div>
                        <w:div w:id="219829153">
                          <w:marLeft w:val="0"/>
                          <w:marRight w:val="0"/>
                          <w:marTop w:val="0"/>
                          <w:marBottom w:val="0"/>
                          <w:divBdr>
                            <w:top w:val="none" w:sz="0" w:space="0" w:color="auto"/>
                            <w:left w:val="none" w:sz="0" w:space="0" w:color="auto"/>
                            <w:bottom w:val="none" w:sz="0" w:space="0" w:color="auto"/>
                            <w:right w:val="none" w:sz="0" w:space="0" w:color="auto"/>
                          </w:divBdr>
                          <w:divsChild>
                            <w:div w:id="681324708">
                              <w:marLeft w:val="0"/>
                              <w:marRight w:val="0"/>
                              <w:marTop w:val="0"/>
                              <w:marBottom w:val="0"/>
                              <w:divBdr>
                                <w:top w:val="none" w:sz="0" w:space="0" w:color="auto"/>
                                <w:left w:val="none" w:sz="0" w:space="0" w:color="auto"/>
                                <w:bottom w:val="none" w:sz="0" w:space="0" w:color="auto"/>
                                <w:right w:val="none" w:sz="0" w:space="0" w:color="auto"/>
                              </w:divBdr>
                              <w:divsChild>
                                <w:div w:id="1452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fordhealth.nhs.uk/about-us/governance/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668B4-E253-40A2-BEDF-739E38FA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5</cp:revision>
  <cp:lastPrinted>2005-05-11T11:48:00Z</cp:lastPrinted>
  <dcterms:created xsi:type="dcterms:W3CDTF">2014-10-16T09:26:00Z</dcterms:created>
  <dcterms:modified xsi:type="dcterms:W3CDTF">2014-10-17T09:30:00Z</dcterms:modified>
</cp:coreProperties>
</file>