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F50" w:rsidRDefault="005A2F50" w:rsidP="005A2F50">
      <w:pPr>
        <w:ind w:right="-900"/>
        <w:jc w:val="right"/>
      </w:pPr>
      <w:r>
        <w:rPr>
          <w:noProof/>
          <w:lang w:eastAsia="en-GB"/>
        </w:rPr>
        <w:drawing>
          <wp:inline distT="0" distB="0" distL="0" distR="0">
            <wp:extent cx="2552700" cy="504825"/>
            <wp:effectExtent l="19050" t="0" r="0"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A2F50" w:rsidRDefault="005A2F50" w:rsidP="005A2F50">
      <w:pPr>
        <w:pStyle w:val="Heading1"/>
        <w:rPr>
          <w:sz w:val="28"/>
        </w:rPr>
      </w:pPr>
    </w:p>
    <w:p w:rsidR="00C12AEA" w:rsidRDefault="00C12AEA" w:rsidP="00C12AEA"/>
    <w:p w:rsidR="00020558" w:rsidRDefault="00C12AEA" w:rsidP="00C12AEA">
      <w:pPr>
        <w:pStyle w:val="Heading1"/>
        <w:rPr>
          <w:sz w:val="28"/>
        </w:rPr>
      </w:pPr>
      <w:r>
        <w:rPr>
          <w:sz w:val="28"/>
        </w:rPr>
        <w:t xml:space="preserve">Report to the Meeting of the </w:t>
      </w:r>
    </w:p>
    <w:p w:rsidR="00C12AEA" w:rsidRDefault="00C12AEA" w:rsidP="00C12AEA">
      <w:pPr>
        <w:pStyle w:val="Heading1"/>
        <w:rPr>
          <w:sz w:val="28"/>
        </w:rPr>
      </w:pPr>
      <w:r>
        <w:rPr>
          <w:sz w:val="28"/>
        </w:rPr>
        <w:t>Oxford Health NHS Foundation Trust</w:t>
      </w:r>
    </w:p>
    <w:p w:rsidR="00C12AEA" w:rsidRDefault="00C12AEA" w:rsidP="00C12AEA">
      <w:pPr>
        <w:pStyle w:val="Heading1"/>
        <w:rPr>
          <w:sz w:val="28"/>
        </w:rPr>
      </w:pPr>
      <w:r>
        <w:rPr>
          <w:sz w:val="28"/>
        </w:rPr>
        <w:t>Board of Directors</w:t>
      </w:r>
    </w:p>
    <w:p w:rsidR="00C12AEA" w:rsidRDefault="00C12AEA" w:rsidP="00C12AEA">
      <w:pPr>
        <w:jc w:val="center"/>
        <w:rPr>
          <w:rFonts w:cs="Arial"/>
          <w:b/>
        </w:rPr>
      </w:pPr>
    </w:p>
    <w:p w:rsidR="00C12AEA" w:rsidRDefault="000970EA" w:rsidP="00C12AEA">
      <w:pPr>
        <w:jc w:val="center"/>
        <w:rPr>
          <w:rFonts w:cs="Arial"/>
          <w:b/>
        </w:rPr>
      </w:pPr>
      <w:bookmarkStart w:id="0" w:name="_GoBack"/>
      <w:r w:rsidRPr="000970EA">
        <w:rPr>
          <w:rFonts w:ascii="Times New Roman" w:hAnsi="Times New Roman"/>
          <w:noProof/>
          <w:sz w:val="20"/>
        </w:rPr>
        <w:pict>
          <v:rect id="_x0000_s1035" style="position:absolute;left:0;text-align:left;margin-left:351pt;margin-top:2.4pt;width:108pt;height:44.65pt;z-index:251660288">
            <v:textbox style="mso-next-textbox:#_x0000_s1035" inset="0,0,0,0">
              <w:txbxContent>
                <w:p w:rsidR="008D70A8" w:rsidRPr="008D70A8" w:rsidRDefault="008D70A8" w:rsidP="008D70A8">
                  <w:pPr>
                    <w:pStyle w:val="Heading1"/>
                    <w:rPr>
                      <w:sz w:val="22"/>
                      <w:szCs w:val="22"/>
                    </w:rPr>
                  </w:pPr>
                  <w:r w:rsidRPr="008D70A8">
                    <w:rPr>
                      <w:sz w:val="22"/>
                      <w:szCs w:val="22"/>
                    </w:rPr>
                    <w:t>PAPER</w:t>
                  </w:r>
                </w:p>
                <w:p w:rsidR="008D70A8" w:rsidRPr="008D70A8" w:rsidRDefault="008D70A8" w:rsidP="008D70A8">
                  <w:pPr>
                    <w:pStyle w:val="BodyText"/>
                    <w:jc w:val="center"/>
                    <w:rPr>
                      <w:b/>
                      <w:sz w:val="22"/>
                      <w:szCs w:val="22"/>
                    </w:rPr>
                  </w:pPr>
                  <w:r w:rsidRPr="008D70A8">
                    <w:rPr>
                      <w:b/>
                      <w:sz w:val="22"/>
                      <w:szCs w:val="22"/>
                    </w:rPr>
                    <w:t>BOD 1</w:t>
                  </w:r>
                  <w:r>
                    <w:rPr>
                      <w:b/>
                      <w:sz w:val="22"/>
                      <w:szCs w:val="22"/>
                    </w:rPr>
                    <w:t>52</w:t>
                  </w:r>
                  <w:r w:rsidRPr="008D70A8">
                    <w:rPr>
                      <w:b/>
                      <w:sz w:val="22"/>
                      <w:szCs w:val="22"/>
                    </w:rPr>
                    <w:t>/2014</w:t>
                  </w:r>
                </w:p>
                <w:p w:rsidR="008D70A8" w:rsidRPr="00D33E1B" w:rsidRDefault="008D70A8" w:rsidP="008D70A8">
                  <w:pPr>
                    <w:pStyle w:val="BodyText"/>
                    <w:jc w:val="center"/>
                    <w:rPr>
                      <w:sz w:val="20"/>
                      <w:szCs w:val="20"/>
                    </w:rPr>
                  </w:pPr>
                  <w:r w:rsidRPr="00D33E1B">
                    <w:rPr>
                      <w:sz w:val="20"/>
                      <w:szCs w:val="20"/>
                    </w:rPr>
                    <w:t>Agenda Item: 17</w:t>
                  </w:r>
                </w:p>
                <w:p w:rsidR="0007425E" w:rsidRDefault="0007425E" w:rsidP="00C12AEA">
                  <w:pPr>
                    <w:jc w:val="center"/>
                    <w:rPr>
                      <w:b/>
                    </w:rPr>
                  </w:pPr>
                </w:p>
              </w:txbxContent>
            </v:textbox>
          </v:rect>
        </w:pict>
      </w:r>
      <w:r w:rsidR="00C12AEA">
        <w:rPr>
          <w:rFonts w:cs="Arial"/>
          <w:b/>
        </w:rPr>
        <w:t>To receive and approve</w:t>
      </w:r>
    </w:p>
    <w:bookmarkEnd w:id="0"/>
    <w:p w:rsidR="00C12AEA" w:rsidRDefault="00C12AEA" w:rsidP="00C12AEA">
      <w:pPr>
        <w:jc w:val="center"/>
        <w:rPr>
          <w:rFonts w:cs="Arial"/>
          <w:b/>
        </w:rPr>
      </w:pPr>
    </w:p>
    <w:p w:rsidR="00C12AEA" w:rsidRDefault="000C6A81" w:rsidP="00C12AEA">
      <w:pPr>
        <w:jc w:val="center"/>
        <w:rPr>
          <w:rFonts w:cs="Arial"/>
          <w:b/>
        </w:rPr>
      </w:pPr>
      <w:r>
        <w:rPr>
          <w:rFonts w:cs="Arial"/>
          <w:b/>
        </w:rPr>
        <w:t>2</w:t>
      </w:r>
      <w:r w:rsidR="0044057F">
        <w:rPr>
          <w:rFonts w:cs="Arial"/>
          <w:b/>
        </w:rPr>
        <w:t>6</w:t>
      </w:r>
      <w:r>
        <w:rPr>
          <w:rFonts w:cs="Arial"/>
          <w:b/>
        </w:rPr>
        <w:t xml:space="preserve"> November</w:t>
      </w:r>
      <w:r w:rsidR="00C12AEA">
        <w:rPr>
          <w:rFonts w:cs="Arial"/>
          <w:b/>
        </w:rPr>
        <w:t xml:space="preserve"> 2014</w:t>
      </w:r>
    </w:p>
    <w:p w:rsidR="00C12AEA" w:rsidRDefault="00C12AEA" w:rsidP="00C12AEA">
      <w:pPr>
        <w:jc w:val="center"/>
        <w:rPr>
          <w:rFonts w:cs="Arial"/>
          <w:b/>
        </w:rPr>
      </w:pPr>
    </w:p>
    <w:p w:rsidR="00C12AEA" w:rsidRDefault="000C6A81" w:rsidP="00C12AEA">
      <w:pPr>
        <w:jc w:val="center"/>
        <w:rPr>
          <w:rFonts w:cs="Arial"/>
          <w:b/>
        </w:rPr>
      </w:pPr>
      <w:r>
        <w:rPr>
          <w:rFonts w:cs="Arial"/>
          <w:b/>
        </w:rPr>
        <w:t>Integrated Governance</w:t>
      </w:r>
      <w:r w:rsidR="00C12AEA">
        <w:rPr>
          <w:rFonts w:cs="Arial"/>
          <w:b/>
        </w:rPr>
        <w:t xml:space="preserve"> Committee Annual Report 2013/14</w:t>
      </w:r>
    </w:p>
    <w:p w:rsidR="00C12AEA" w:rsidRPr="00100E70" w:rsidRDefault="00C12AEA" w:rsidP="00C12AEA">
      <w:pPr>
        <w:jc w:val="center"/>
        <w:rPr>
          <w:rFonts w:cs="Arial"/>
        </w:rPr>
      </w:pPr>
    </w:p>
    <w:p w:rsidR="00C12AEA" w:rsidRPr="00100E70" w:rsidRDefault="00C12AEA" w:rsidP="00C12AEA">
      <w:pPr>
        <w:rPr>
          <w:rFonts w:cs="Arial"/>
          <w:b/>
        </w:rPr>
      </w:pPr>
    </w:p>
    <w:p w:rsidR="00C12AEA" w:rsidRPr="00100E70" w:rsidRDefault="00C12AEA" w:rsidP="00C12AEA">
      <w:pPr>
        <w:rPr>
          <w:rFonts w:cs="Arial"/>
          <w:b/>
        </w:rPr>
      </w:pPr>
    </w:p>
    <w:p w:rsidR="000C6A81" w:rsidRDefault="000C6A81" w:rsidP="000C6A81">
      <w:pPr>
        <w:jc w:val="both"/>
        <w:rPr>
          <w:rFonts w:cs="Arial"/>
          <w:b/>
        </w:rPr>
      </w:pPr>
      <w:r>
        <w:rPr>
          <w:rFonts w:cs="Arial"/>
          <w:b/>
        </w:rPr>
        <w:t>Executive Summary</w:t>
      </w:r>
    </w:p>
    <w:p w:rsidR="00C12AEA" w:rsidRDefault="000C6A81" w:rsidP="000C6A81">
      <w:pPr>
        <w:jc w:val="both"/>
        <w:rPr>
          <w:rFonts w:cs="Arial"/>
        </w:rPr>
      </w:pPr>
      <w:r w:rsidRPr="007560C8">
        <w:rPr>
          <w:rFonts w:cs="Arial"/>
        </w:rPr>
        <w:t xml:space="preserve">Attached is the Integrated Governance Committee Annual Report covering the period 1 April </w:t>
      </w:r>
      <w:r>
        <w:rPr>
          <w:rFonts w:cs="Arial"/>
        </w:rPr>
        <w:t>2013</w:t>
      </w:r>
      <w:r w:rsidRPr="007560C8">
        <w:rPr>
          <w:rFonts w:cs="Arial"/>
        </w:rPr>
        <w:t xml:space="preserve"> to 31 March </w:t>
      </w:r>
      <w:r>
        <w:rPr>
          <w:rFonts w:cs="Arial"/>
        </w:rPr>
        <w:t>2014</w:t>
      </w:r>
      <w:r w:rsidRPr="007560C8">
        <w:rPr>
          <w:rFonts w:cs="Arial"/>
        </w:rPr>
        <w:t xml:space="preserve">. The Annual Report summarises the performance and work programme of the Committee during the period specified.  </w:t>
      </w:r>
    </w:p>
    <w:p w:rsidR="000C6A81" w:rsidRDefault="000C6A81" w:rsidP="00C12AEA">
      <w:pPr>
        <w:jc w:val="both"/>
        <w:rPr>
          <w:rFonts w:cs="Arial"/>
        </w:rPr>
      </w:pPr>
    </w:p>
    <w:p w:rsidR="0007425E" w:rsidRDefault="0007425E" w:rsidP="0007425E">
      <w:pPr>
        <w:jc w:val="both"/>
        <w:rPr>
          <w:rFonts w:cs="Arial"/>
        </w:rPr>
      </w:pPr>
      <w:r>
        <w:rPr>
          <w:rFonts w:cs="Arial"/>
        </w:rPr>
        <w:t xml:space="preserve">The Annual Report was approved and recommended to the Board by the Integrated Governance Committee at its meeting on 13 November 2014. </w:t>
      </w:r>
    </w:p>
    <w:p w:rsidR="0007425E" w:rsidRDefault="0007425E" w:rsidP="00C12AEA">
      <w:pPr>
        <w:jc w:val="both"/>
        <w:rPr>
          <w:rFonts w:cs="Arial"/>
        </w:rPr>
      </w:pPr>
    </w:p>
    <w:p w:rsidR="000C6A81" w:rsidRPr="000C6A81" w:rsidRDefault="000C6A81" w:rsidP="000C6A81">
      <w:pPr>
        <w:jc w:val="both"/>
        <w:rPr>
          <w:rFonts w:cs="Arial"/>
          <w:bCs/>
          <w:i/>
        </w:rPr>
      </w:pPr>
      <w:r w:rsidRPr="000C6A81">
        <w:rPr>
          <w:rFonts w:cs="Arial"/>
          <w:bCs/>
          <w:i/>
        </w:rPr>
        <w:t xml:space="preserve">Integrated Governance Framework (IGF) Review </w:t>
      </w:r>
    </w:p>
    <w:p w:rsidR="000C6A81" w:rsidRPr="000A097D" w:rsidRDefault="000C6A81" w:rsidP="000C6A81">
      <w:pPr>
        <w:jc w:val="both"/>
        <w:rPr>
          <w:rFonts w:cs="Arial"/>
          <w:bCs/>
        </w:rPr>
      </w:pPr>
      <w:r>
        <w:rPr>
          <w:rFonts w:cs="Arial"/>
          <w:bCs/>
        </w:rPr>
        <w:t>During the year, the Trust IGF was reviewed with changes proposed to the structure and remit of the Integrated Governance Committee and its sub-committees.  In October 2014, the Board approved new Terms of Reference for the Quality Committee which would replace the Integrated Governance Committee from January 2015.  Accordingly, the Integrated Governance Committee’s Terms of Reference have not been reviewed on this occasion.</w:t>
      </w:r>
    </w:p>
    <w:p w:rsidR="000C6A81" w:rsidRDefault="000C6A81" w:rsidP="00C12AEA">
      <w:pPr>
        <w:jc w:val="both"/>
        <w:rPr>
          <w:rFonts w:cs="Arial"/>
        </w:rPr>
      </w:pPr>
    </w:p>
    <w:p w:rsidR="000C6A81" w:rsidRPr="000C6A81" w:rsidRDefault="000C6A81" w:rsidP="00C12AEA">
      <w:pPr>
        <w:jc w:val="both"/>
        <w:rPr>
          <w:rFonts w:cs="Arial"/>
          <w:i/>
        </w:rPr>
      </w:pPr>
      <w:r>
        <w:rPr>
          <w:rFonts w:cs="Arial"/>
          <w:i/>
        </w:rPr>
        <w:t>Committee annual reports</w:t>
      </w:r>
    </w:p>
    <w:p w:rsidR="000C6A81" w:rsidRDefault="000C6A81" w:rsidP="00C12AEA">
      <w:pPr>
        <w:jc w:val="both"/>
        <w:rPr>
          <w:rFonts w:cs="Arial"/>
        </w:rPr>
      </w:pPr>
      <w:r>
        <w:rPr>
          <w:rFonts w:cs="Arial"/>
        </w:rPr>
        <w:t xml:space="preserve">When reviewing the Annual Report, the Committee discussed future reporting arrangements for Board committees and sub-committees.  It was noted that the current approach </w:t>
      </w:r>
      <w:r w:rsidR="0007425E">
        <w:rPr>
          <w:rFonts w:cs="Arial"/>
        </w:rPr>
        <w:t>whereby each committee produced annual reports and minutes were presented to the parent committee was first instituted when the IGF was approve.  Furthermore, it was noted that this system was designed to suit the corporate governance administration establishment in 2007/08; since that time the establishment and responsibilities of the corporate governance function had significantly changed.  The Committee considered the benefits and downsides of producing annual reports and reporting through minutes and agreed that the Board should consider what systems of reporting should be implemented for 2014/15.</w:t>
      </w:r>
    </w:p>
    <w:p w:rsidR="0007425E" w:rsidRDefault="0007425E" w:rsidP="00C12AEA">
      <w:pPr>
        <w:jc w:val="both"/>
        <w:rPr>
          <w:rFonts w:cs="Arial"/>
        </w:rPr>
      </w:pPr>
    </w:p>
    <w:p w:rsidR="0007425E" w:rsidRPr="00100E70" w:rsidRDefault="0007425E" w:rsidP="00C12AEA">
      <w:pPr>
        <w:jc w:val="both"/>
        <w:rPr>
          <w:rFonts w:cs="Arial"/>
        </w:rPr>
      </w:pPr>
    </w:p>
    <w:p w:rsidR="00C12AEA" w:rsidRPr="00100E70" w:rsidRDefault="00C12AEA" w:rsidP="00C12AEA">
      <w:pPr>
        <w:jc w:val="both"/>
        <w:rPr>
          <w:rFonts w:cs="Arial"/>
          <w:bCs/>
        </w:rPr>
      </w:pPr>
    </w:p>
    <w:p w:rsidR="00C12AEA" w:rsidRPr="00100E70" w:rsidRDefault="00C12AEA" w:rsidP="00C12AEA">
      <w:pPr>
        <w:jc w:val="both"/>
        <w:rPr>
          <w:rFonts w:cs="Arial"/>
          <w:b/>
        </w:rPr>
      </w:pPr>
      <w:r w:rsidRPr="00100E70">
        <w:rPr>
          <w:rFonts w:cs="Arial"/>
          <w:b/>
        </w:rPr>
        <w:lastRenderedPageBreak/>
        <w:t>Recommendation</w:t>
      </w:r>
    </w:p>
    <w:p w:rsidR="00C12AEA" w:rsidRPr="00100E70" w:rsidRDefault="00C12AEA" w:rsidP="00C12AEA">
      <w:pPr>
        <w:jc w:val="both"/>
        <w:rPr>
          <w:rFonts w:cs="Arial"/>
        </w:rPr>
      </w:pPr>
    </w:p>
    <w:p w:rsidR="00C12AEA" w:rsidRDefault="00C12AEA" w:rsidP="00C12AEA">
      <w:pPr>
        <w:jc w:val="both"/>
        <w:rPr>
          <w:rFonts w:cs="Arial"/>
        </w:rPr>
      </w:pPr>
      <w:r w:rsidRPr="00100E70">
        <w:rPr>
          <w:rFonts w:cs="Arial"/>
        </w:rPr>
        <w:t xml:space="preserve">The </w:t>
      </w:r>
      <w:r>
        <w:rPr>
          <w:rFonts w:cs="Arial"/>
        </w:rPr>
        <w:t>Board</w:t>
      </w:r>
      <w:r w:rsidRPr="00100E70">
        <w:rPr>
          <w:rFonts w:cs="Arial"/>
        </w:rPr>
        <w:t xml:space="preserve"> is asked to </w:t>
      </w:r>
      <w:r>
        <w:rPr>
          <w:rFonts w:cs="Arial"/>
        </w:rPr>
        <w:t>receive</w:t>
      </w:r>
      <w:r w:rsidRPr="00100E70">
        <w:rPr>
          <w:rFonts w:cs="Arial"/>
        </w:rPr>
        <w:t xml:space="preserve"> the </w:t>
      </w:r>
      <w:r w:rsidR="000C6A81">
        <w:rPr>
          <w:rFonts w:cs="Arial"/>
        </w:rPr>
        <w:t>A</w:t>
      </w:r>
      <w:r>
        <w:rPr>
          <w:rFonts w:cs="Arial"/>
        </w:rPr>
        <w:t xml:space="preserve">nnual </w:t>
      </w:r>
      <w:r w:rsidR="000C6A81">
        <w:rPr>
          <w:rFonts w:cs="Arial"/>
        </w:rPr>
        <w:t>R</w:t>
      </w:r>
      <w:r>
        <w:rPr>
          <w:rFonts w:cs="Arial"/>
        </w:rPr>
        <w:t xml:space="preserve">eport of the </w:t>
      </w:r>
      <w:r w:rsidR="000C6A81">
        <w:rPr>
          <w:rFonts w:cs="Arial"/>
        </w:rPr>
        <w:t>Integrated Governance</w:t>
      </w:r>
      <w:r>
        <w:rPr>
          <w:rFonts w:cs="Arial"/>
        </w:rPr>
        <w:t xml:space="preserve"> Committee.  </w:t>
      </w:r>
    </w:p>
    <w:p w:rsidR="000C6A81" w:rsidRDefault="000C6A81" w:rsidP="00C12AEA">
      <w:pPr>
        <w:jc w:val="both"/>
        <w:rPr>
          <w:rFonts w:cs="Arial"/>
        </w:rPr>
      </w:pPr>
    </w:p>
    <w:p w:rsidR="000C6A81" w:rsidRPr="00100E70" w:rsidRDefault="000C6A81" w:rsidP="00C12AEA">
      <w:pPr>
        <w:jc w:val="both"/>
        <w:rPr>
          <w:rFonts w:cs="Arial"/>
        </w:rPr>
      </w:pPr>
      <w:r>
        <w:rPr>
          <w:rFonts w:cs="Arial"/>
        </w:rPr>
        <w:t>The Board is asked to consider what reporting arrangements should be established for committees and sub-committees in 2014/15.</w:t>
      </w:r>
    </w:p>
    <w:p w:rsidR="00C12AEA" w:rsidRPr="00100E70" w:rsidRDefault="00C12AEA" w:rsidP="00C12AEA">
      <w:pPr>
        <w:jc w:val="both"/>
        <w:rPr>
          <w:rFonts w:cs="Arial"/>
          <w:b/>
        </w:rPr>
      </w:pPr>
    </w:p>
    <w:p w:rsidR="00C12AEA" w:rsidRPr="00100E70" w:rsidRDefault="00C12AEA" w:rsidP="00C12AEA">
      <w:pPr>
        <w:ind w:left="1440" w:hanging="1440"/>
        <w:jc w:val="both"/>
        <w:rPr>
          <w:rFonts w:cs="Arial"/>
        </w:rPr>
      </w:pPr>
      <w:r w:rsidRPr="00100E70">
        <w:rPr>
          <w:rFonts w:cs="Arial"/>
          <w:b/>
        </w:rPr>
        <w:t>Author and title:</w:t>
      </w:r>
      <w:r w:rsidRPr="00100E70">
        <w:rPr>
          <w:rFonts w:cs="Arial"/>
        </w:rPr>
        <w:t xml:space="preserve"> </w:t>
      </w:r>
      <w:r w:rsidR="000C6A81">
        <w:rPr>
          <w:rFonts w:cs="Arial"/>
        </w:rPr>
        <w:t>Martin Howell</w:t>
      </w:r>
      <w:r w:rsidRPr="00100E70">
        <w:rPr>
          <w:rFonts w:cs="Arial"/>
        </w:rPr>
        <w:t xml:space="preserve">, Chair of the </w:t>
      </w:r>
      <w:r w:rsidR="0066142C">
        <w:rPr>
          <w:rFonts w:cs="Arial"/>
        </w:rPr>
        <w:t>Integrated Governance</w:t>
      </w:r>
      <w:r w:rsidRPr="00100E70">
        <w:rPr>
          <w:rFonts w:cs="Arial"/>
        </w:rPr>
        <w:t xml:space="preserve"> Committee</w:t>
      </w:r>
      <w:r w:rsidRPr="00100E70">
        <w:rPr>
          <w:rFonts w:cs="Arial"/>
        </w:rPr>
        <w:tab/>
      </w:r>
    </w:p>
    <w:p w:rsidR="005A2F50" w:rsidRDefault="005A2F50" w:rsidP="005A2F50">
      <w:pPr>
        <w:jc w:val="center"/>
        <w:rPr>
          <w:rFonts w:cs="Arial"/>
        </w:rPr>
      </w:pPr>
    </w:p>
    <w:p w:rsidR="001D3998" w:rsidRPr="001D3998" w:rsidRDefault="001D3998" w:rsidP="001D3998">
      <w:pPr>
        <w:sectPr w:rsidR="001D3998" w:rsidRPr="001D3998" w:rsidSect="004D19C5">
          <w:headerReference w:type="even" r:id="rId9"/>
          <w:headerReference w:type="default" r:id="rId10"/>
          <w:footerReference w:type="even" r:id="rId11"/>
          <w:footerReference w:type="default" r:id="rId12"/>
          <w:headerReference w:type="first" r:id="rId13"/>
          <w:footerReference w:type="first" r:id="rId14"/>
          <w:pgSz w:w="12240" w:h="15840"/>
          <w:pgMar w:top="1134" w:right="1797" w:bottom="1134" w:left="1797" w:header="720" w:footer="720" w:gutter="0"/>
          <w:cols w:space="720"/>
          <w:docGrid w:linePitch="360"/>
        </w:sectPr>
      </w:pPr>
    </w:p>
    <w:p w:rsidR="00B34036" w:rsidRPr="00250C2D" w:rsidRDefault="002D6FC8" w:rsidP="00250C2D">
      <w:pPr>
        <w:jc w:val="both"/>
        <w:rPr>
          <w:b/>
          <w:sz w:val="28"/>
          <w:szCs w:val="28"/>
        </w:rPr>
      </w:pPr>
      <w:r>
        <w:rPr>
          <w:b/>
          <w:sz w:val="28"/>
          <w:szCs w:val="28"/>
        </w:rPr>
        <w:lastRenderedPageBreak/>
        <w:t>Integrated Governance</w:t>
      </w:r>
      <w:r w:rsidR="00FF342B" w:rsidRPr="00250C2D">
        <w:rPr>
          <w:b/>
          <w:sz w:val="28"/>
          <w:szCs w:val="28"/>
        </w:rPr>
        <w:t xml:space="preserve"> </w:t>
      </w:r>
      <w:r w:rsidR="00B34036" w:rsidRPr="00250C2D">
        <w:rPr>
          <w:b/>
          <w:sz w:val="28"/>
          <w:szCs w:val="28"/>
        </w:rPr>
        <w:t>Committee Annual Report</w:t>
      </w:r>
    </w:p>
    <w:p w:rsidR="00B34036" w:rsidRDefault="00B34036" w:rsidP="005C67A4">
      <w:pPr>
        <w:jc w:val="both"/>
        <w:rPr>
          <w:rFonts w:cs="Arial"/>
          <w:b/>
          <w:bCs/>
        </w:rPr>
      </w:pPr>
      <w:r>
        <w:rPr>
          <w:rFonts w:cs="Arial"/>
          <w:b/>
          <w:bCs/>
          <w:sz w:val="28"/>
        </w:rPr>
        <w:t xml:space="preserve">For the period </w:t>
      </w:r>
      <w:r w:rsidR="007C64B9">
        <w:rPr>
          <w:rFonts w:cs="Arial"/>
          <w:b/>
          <w:bCs/>
          <w:sz w:val="28"/>
        </w:rPr>
        <w:t>1</w:t>
      </w:r>
      <w:r w:rsidR="007C7338">
        <w:rPr>
          <w:rFonts w:cs="Arial"/>
          <w:b/>
          <w:bCs/>
          <w:sz w:val="28"/>
        </w:rPr>
        <w:t xml:space="preserve"> April 20</w:t>
      </w:r>
      <w:r w:rsidR="007C64B9">
        <w:rPr>
          <w:rFonts w:cs="Arial"/>
          <w:b/>
          <w:bCs/>
          <w:sz w:val="28"/>
        </w:rPr>
        <w:t>1</w:t>
      </w:r>
      <w:r w:rsidR="00026533">
        <w:rPr>
          <w:rFonts w:cs="Arial"/>
          <w:b/>
          <w:bCs/>
          <w:sz w:val="28"/>
        </w:rPr>
        <w:t>3</w:t>
      </w:r>
      <w:r w:rsidR="002D6FC8">
        <w:rPr>
          <w:rFonts w:cs="Arial"/>
          <w:b/>
          <w:bCs/>
          <w:sz w:val="28"/>
        </w:rPr>
        <w:t xml:space="preserve"> to 31</w:t>
      </w:r>
      <w:r w:rsidR="007C64B9">
        <w:rPr>
          <w:rFonts w:cs="Arial"/>
          <w:b/>
          <w:bCs/>
          <w:sz w:val="28"/>
          <w:vertAlign w:val="superscript"/>
        </w:rPr>
        <w:t xml:space="preserve"> </w:t>
      </w:r>
      <w:r w:rsidR="007C7338">
        <w:rPr>
          <w:rFonts w:cs="Arial"/>
          <w:b/>
          <w:bCs/>
          <w:sz w:val="28"/>
        </w:rPr>
        <w:t>March 201</w:t>
      </w:r>
      <w:r w:rsidR="00026533">
        <w:rPr>
          <w:rFonts w:cs="Arial"/>
          <w:b/>
          <w:bCs/>
          <w:sz w:val="28"/>
        </w:rPr>
        <w:t>4</w:t>
      </w:r>
    </w:p>
    <w:p w:rsidR="00B34036" w:rsidRDefault="00B34036" w:rsidP="005C67A4">
      <w:pPr>
        <w:jc w:val="both"/>
        <w:rPr>
          <w:rFonts w:cs="Arial"/>
          <w:b/>
          <w:bCs/>
        </w:rPr>
      </w:pPr>
    </w:p>
    <w:p w:rsidR="00B34036" w:rsidRDefault="00B34036" w:rsidP="005C67A4">
      <w:pPr>
        <w:jc w:val="both"/>
        <w:rPr>
          <w:rFonts w:cs="Arial"/>
          <w:b/>
          <w:bCs/>
        </w:rPr>
      </w:pPr>
    </w:p>
    <w:p w:rsidR="0030427B" w:rsidRDefault="00B34036" w:rsidP="005C67A4">
      <w:pPr>
        <w:jc w:val="both"/>
        <w:rPr>
          <w:rFonts w:cs="Arial"/>
        </w:rPr>
      </w:pPr>
      <w:r>
        <w:rPr>
          <w:rFonts w:cs="Arial"/>
        </w:rPr>
        <w:t xml:space="preserve">The </w:t>
      </w:r>
      <w:r w:rsidR="002D6FC8">
        <w:rPr>
          <w:rFonts w:cs="Arial"/>
        </w:rPr>
        <w:t>Integrated Governance</w:t>
      </w:r>
      <w:r w:rsidR="00FF342B">
        <w:rPr>
          <w:rFonts w:cs="Arial"/>
        </w:rPr>
        <w:t xml:space="preserve"> </w:t>
      </w:r>
      <w:r w:rsidR="00F311EA">
        <w:rPr>
          <w:rFonts w:cs="Arial"/>
        </w:rPr>
        <w:t>Committee’s ke</w:t>
      </w:r>
      <w:r w:rsidR="002D6FC8">
        <w:rPr>
          <w:rFonts w:cs="Arial"/>
        </w:rPr>
        <w:t>y responsibilities are</w:t>
      </w:r>
      <w:r w:rsidR="0030427B">
        <w:rPr>
          <w:rFonts w:cs="Arial"/>
        </w:rPr>
        <w:t xml:space="preserve"> to </w:t>
      </w:r>
      <w:r w:rsidR="002D6FC8">
        <w:rPr>
          <w:rFonts w:cs="Arial"/>
        </w:rPr>
        <w:t>maintain the integrated governance framework, including the effective management of clinical and non-clinical risk, and oversee the requirements of practice governance in line with HSC1999/65</w:t>
      </w:r>
      <w:r w:rsidR="00026533">
        <w:rPr>
          <w:rFonts w:cs="Arial"/>
        </w:rPr>
        <w:t xml:space="preserve"> and other relevant documents / regulations (including Monitor’s Code of Governance)</w:t>
      </w:r>
      <w:r w:rsidR="002D6FC8">
        <w:rPr>
          <w:rFonts w:cs="Arial"/>
        </w:rPr>
        <w:t>.</w:t>
      </w:r>
      <w:r w:rsidR="00674250">
        <w:rPr>
          <w:rFonts w:cs="Arial"/>
        </w:rPr>
        <w:t xml:space="preserve"> T</w:t>
      </w:r>
      <w:r w:rsidR="00F311EA">
        <w:rPr>
          <w:rFonts w:cs="Arial"/>
        </w:rPr>
        <w:t xml:space="preserve">he </w:t>
      </w:r>
      <w:r>
        <w:rPr>
          <w:rFonts w:cs="Arial"/>
        </w:rPr>
        <w:t>Committee</w:t>
      </w:r>
      <w:r w:rsidR="00F311EA">
        <w:rPr>
          <w:rFonts w:cs="Arial"/>
        </w:rPr>
        <w:t>’s t</w:t>
      </w:r>
      <w:r>
        <w:rPr>
          <w:rFonts w:cs="Arial"/>
        </w:rPr>
        <w:t xml:space="preserve">erms of </w:t>
      </w:r>
      <w:r w:rsidR="00F311EA">
        <w:rPr>
          <w:rFonts w:cs="Arial"/>
        </w:rPr>
        <w:t>r</w:t>
      </w:r>
      <w:r>
        <w:rPr>
          <w:rFonts w:cs="Arial"/>
        </w:rPr>
        <w:t xml:space="preserve">eference </w:t>
      </w:r>
      <w:r w:rsidR="00DF65C9">
        <w:rPr>
          <w:rFonts w:cs="Arial"/>
        </w:rPr>
        <w:t>w</w:t>
      </w:r>
      <w:r w:rsidR="00F311EA">
        <w:rPr>
          <w:rFonts w:cs="Arial"/>
        </w:rPr>
        <w:t xml:space="preserve">ere </w:t>
      </w:r>
      <w:r w:rsidR="002D6FC8">
        <w:rPr>
          <w:rFonts w:cs="Arial"/>
        </w:rPr>
        <w:t>last</w:t>
      </w:r>
      <w:r w:rsidR="00CA5CD6">
        <w:rPr>
          <w:rFonts w:cs="Arial"/>
        </w:rPr>
        <w:t xml:space="preserve"> reviewed and </w:t>
      </w:r>
      <w:r w:rsidR="00EF4415">
        <w:rPr>
          <w:rFonts w:cs="Arial"/>
        </w:rPr>
        <w:t xml:space="preserve">approved by the </w:t>
      </w:r>
      <w:r w:rsidR="00FF342B">
        <w:rPr>
          <w:rFonts w:cs="Arial"/>
        </w:rPr>
        <w:t xml:space="preserve">Board </w:t>
      </w:r>
      <w:r w:rsidR="00EF4415">
        <w:rPr>
          <w:rFonts w:cs="Arial"/>
        </w:rPr>
        <w:t xml:space="preserve">of Directors </w:t>
      </w:r>
      <w:r w:rsidR="00FF342B">
        <w:rPr>
          <w:rFonts w:cs="Arial"/>
        </w:rPr>
        <w:t xml:space="preserve">at its meeting </w:t>
      </w:r>
      <w:r w:rsidR="00195882">
        <w:rPr>
          <w:rFonts w:cs="Arial"/>
        </w:rPr>
        <w:t xml:space="preserve">in </w:t>
      </w:r>
      <w:r w:rsidR="00026533">
        <w:rPr>
          <w:rFonts w:cs="Arial"/>
        </w:rPr>
        <w:t>November 2013</w:t>
      </w:r>
      <w:r w:rsidR="00EF4415">
        <w:rPr>
          <w:rFonts w:cs="Arial"/>
        </w:rPr>
        <w:t xml:space="preserve"> as part o</w:t>
      </w:r>
      <w:r w:rsidR="00AD07CD">
        <w:rPr>
          <w:rFonts w:cs="Arial"/>
        </w:rPr>
        <w:t xml:space="preserve">f its consideration of the </w:t>
      </w:r>
      <w:r w:rsidR="00EF4415">
        <w:rPr>
          <w:rFonts w:cs="Arial"/>
        </w:rPr>
        <w:t>Committee</w:t>
      </w:r>
      <w:r w:rsidR="00195882">
        <w:rPr>
          <w:rFonts w:cs="Arial"/>
        </w:rPr>
        <w:t>’s</w:t>
      </w:r>
      <w:r w:rsidR="00EF4415">
        <w:rPr>
          <w:rFonts w:cs="Arial"/>
        </w:rPr>
        <w:t xml:space="preserve"> Annual Report.</w:t>
      </w:r>
    </w:p>
    <w:p w:rsidR="002D6FC8" w:rsidRDefault="002D6FC8" w:rsidP="005C67A4">
      <w:pPr>
        <w:jc w:val="both"/>
        <w:rPr>
          <w:rFonts w:cs="Arial"/>
        </w:rPr>
      </w:pPr>
    </w:p>
    <w:p w:rsidR="0018369F" w:rsidRDefault="00D440A0" w:rsidP="005C67A4">
      <w:pPr>
        <w:jc w:val="both"/>
        <w:rPr>
          <w:rFonts w:cs="Arial"/>
        </w:rPr>
      </w:pPr>
      <w:r>
        <w:rPr>
          <w:rFonts w:cs="Arial"/>
        </w:rPr>
        <w:t xml:space="preserve">During the reporting </w:t>
      </w:r>
      <w:r w:rsidR="007C48C0">
        <w:rPr>
          <w:rFonts w:cs="Arial"/>
        </w:rPr>
        <w:t xml:space="preserve">period </w:t>
      </w:r>
      <w:r w:rsidR="00FD1916">
        <w:rPr>
          <w:rFonts w:cs="Arial"/>
        </w:rPr>
        <w:t xml:space="preserve">Martin Howell, Trust Chairman, was chair of the Committee; the Board of Directors appointed him to that role in April 2014. </w:t>
      </w:r>
      <w:r>
        <w:rPr>
          <w:rFonts w:cs="Arial"/>
        </w:rPr>
        <w:t xml:space="preserve"> Clive Meux</w:t>
      </w:r>
      <w:r w:rsidR="00EF4415">
        <w:rPr>
          <w:rFonts w:cs="Arial"/>
        </w:rPr>
        <w:t>, Medical Director</w:t>
      </w:r>
      <w:r w:rsidR="00FD1916">
        <w:rPr>
          <w:rFonts w:cs="Arial"/>
        </w:rPr>
        <w:t>,</w:t>
      </w:r>
      <w:r w:rsidR="00EF4415">
        <w:rPr>
          <w:rFonts w:cs="Arial"/>
        </w:rPr>
        <w:t xml:space="preserve"> </w:t>
      </w:r>
      <w:r w:rsidR="00FD1916">
        <w:rPr>
          <w:rFonts w:cs="Arial"/>
        </w:rPr>
        <w:t>remained the nominated</w:t>
      </w:r>
      <w:r>
        <w:rPr>
          <w:rFonts w:cs="Arial"/>
        </w:rPr>
        <w:t xml:space="preserve"> Vice-c</w:t>
      </w:r>
      <w:r w:rsidR="00EF4415">
        <w:rPr>
          <w:rFonts w:cs="Arial"/>
        </w:rPr>
        <w:t xml:space="preserve">hair of the </w:t>
      </w:r>
      <w:r>
        <w:rPr>
          <w:rFonts w:cs="Arial"/>
        </w:rPr>
        <w:t>Committee</w:t>
      </w:r>
      <w:r w:rsidR="00FD1916">
        <w:rPr>
          <w:rFonts w:cs="Arial"/>
        </w:rPr>
        <w:t xml:space="preserve"> during the reporting period.</w:t>
      </w:r>
    </w:p>
    <w:p w:rsidR="00EF4415" w:rsidRDefault="00EF4415" w:rsidP="005C67A4">
      <w:pPr>
        <w:jc w:val="both"/>
        <w:rPr>
          <w:rFonts w:cs="Arial"/>
        </w:rPr>
      </w:pPr>
    </w:p>
    <w:p w:rsidR="00B34036" w:rsidRDefault="00B34036" w:rsidP="005C67A4">
      <w:pPr>
        <w:jc w:val="both"/>
        <w:rPr>
          <w:rFonts w:cs="Arial"/>
          <w:b/>
          <w:bCs/>
        </w:rPr>
      </w:pPr>
      <w:r>
        <w:rPr>
          <w:rFonts w:cs="Arial"/>
          <w:b/>
          <w:bCs/>
        </w:rPr>
        <w:t>Frequency of meetings and attendance</w:t>
      </w:r>
    </w:p>
    <w:p w:rsidR="00B34036" w:rsidRDefault="00B34036" w:rsidP="005C67A4">
      <w:pPr>
        <w:jc w:val="both"/>
        <w:rPr>
          <w:rFonts w:cs="Arial"/>
          <w:b/>
          <w:bCs/>
        </w:rPr>
      </w:pPr>
    </w:p>
    <w:p w:rsidR="00B34036" w:rsidRDefault="00B34036" w:rsidP="005C67A4">
      <w:pPr>
        <w:pStyle w:val="BodyText"/>
      </w:pPr>
      <w:r>
        <w:t>The Terms of Reference state that the Committee should meet</w:t>
      </w:r>
      <w:r w:rsidR="0018369F">
        <w:t xml:space="preserve"> </w:t>
      </w:r>
      <w:r w:rsidR="00A8118C">
        <w:t>not less than three times a year</w:t>
      </w:r>
      <w:r>
        <w:t xml:space="preserve">. In </w:t>
      </w:r>
      <w:r w:rsidR="009A191D">
        <w:t xml:space="preserve">the </w:t>
      </w:r>
      <w:r w:rsidR="00674250">
        <w:t xml:space="preserve">reporting </w:t>
      </w:r>
      <w:r w:rsidR="009A191D">
        <w:t>period the committee met</w:t>
      </w:r>
      <w:r w:rsidR="004A2865">
        <w:t xml:space="preserve"> five</w:t>
      </w:r>
      <w:r w:rsidR="00A8118C">
        <w:t xml:space="preserve"> times</w:t>
      </w:r>
      <w:r w:rsidR="009A191D">
        <w:t>.</w:t>
      </w:r>
      <w:r w:rsidR="0018369F">
        <w:t xml:space="preserve"> </w:t>
      </w:r>
      <w:r w:rsidR="000B2B5E">
        <w:t xml:space="preserve"> One of those meetings (in </w:t>
      </w:r>
      <w:r w:rsidR="00FD1916">
        <w:t>Jul</w:t>
      </w:r>
      <w:r w:rsidR="00A5167A">
        <w:t>y</w:t>
      </w:r>
      <w:r w:rsidR="00FD1916">
        <w:t xml:space="preserve"> 2013</w:t>
      </w:r>
      <w:r w:rsidR="000B2B5E">
        <w:t>) was an extraordinary meeting.</w:t>
      </w:r>
    </w:p>
    <w:p w:rsidR="001501C0" w:rsidRDefault="001501C0" w:rsidP="005C67A4">
      <w:pPr>
        <w:jc w:val="both"/>
        <w:rPr>
          <w:rFonts w:cs="Arial"/>
          <w:b/>
          <w:bCs/>
        </w:rPr>
      </w:pPr>
    </w:p>
    <w:p w:rsidR="00B34036" w:rsidRDefault="00B34036" w:rsidP="005C67A4">
      <w:pPr>
        <w:pStyle w:val="BodyText"/>
      </w:pPr>
      <w:r>
        <w:t xml:space="preserve">The following </w:t>
      </w:r>
      <w:r w:rsidR="00D94A33">
        <w:t>we</w:t>
      </w:r>
      <w:r>
        <w:t xml:space="preserve">re </w:t>
      </w:r>
      <w:r w:rsidR="00036FD0">
        <w:t xml:space="preserve">formal </w:t>
      </w:r>
      <w:r>
        <w:t>members of the Committee</w:t>
      </w:r>
      <w:r w:rsidR="00D94A33">
        <w:t xml:space="preserve"> during the reporting period</w:t>
      </w:r>
      <w:r>
        <w:t>:</w:t>
      </w:r>
    </w:p>
    <w:p w:rsidR="00A8118C" w:rsidRDefault="002C58AE" w:rsidP="00F42050">
      <w:pPr>
        <w:numPr>
          <w:ilvl w:val="0"/>
          <w:numId w:val="2"/>
        </w:numPr>
        <w:jc w:val="both"/>
        <w:rPr>
          <w:rFonts w:cs="Arial"/>
        </w:rPr>
      </w:pPr>
      <w:r>
        <w:rPr>
          <w:rFonts w:cs="Arial"/>
        </w:rPr>
        <w:t>Martin Howell</w:t>
      </w:r>
      <w:r w:rsidR="00FD1916">
        <w:rPr>
          <w:rFonts w:cs="Arial"/>
        </w:rPr>
        <w:t xml:space="preserve">, </w:t>
      </w:r>
      <w:r w:rsidR="00A8118C">
        <w:rPr>
          <w:rFonts w:cs="Arial"/>
        </w:rPr>
        <w:t>Chair</w:t>
      </w:r>
      <w:r w:rsidR="00FD1916">
        <w:rPr>
          <w:rFonts w:cs="Arial"/>
        </w:rPr>
        <w:t>man of the Trust – Committee chair</w:t>
      </w:r>
    </w:p>
    <w:p w:rsidR="00A8118C" w:rsidRDefault="004A2865" w:rsidP="00F42050">
      <w:pPr>
        <w:numPr>
          <w:ilvl w:val="0"/>
          <w:numId w:val="2"/>
        </w:numPr>
        <w:jc w:val="both"/>
        <w:rPr>
          <w:rFonts w:cs="Arial"/>
        </w:rPr>
      </w:pPr>
      <w:r>
        <w:rPr>
          <w:rFonts w:cs="Arial"/>
        </w:rPr>
        <w:t>Mike Bellamy</w:t>
      </w:r>
      <w:r w:rsidR="00FD1916">
        <w:rPr>
          <w:rFonts w:cs="Arial"/>
        </w:rPr>
        <w:t xml:space="preserve">, </w:t>
      </w:r>
      <w:r w:rsidR="00442B28">
        <w:rPr>
          <w:rFonts w:cs="Arial"/>
        </w:rPr>
        <w:t>Non-Executive Director</w:t>
      </w:r>
    </w:p>
    <w:p w:rsidR="004A2865" w:rsidRDefault="00FD1916" w:rsidP="00F42050">
      <w:pPr>
        <w:numPr>
          <w:ilvl w:val="0"/>
          <w:numId w:val="2"/>
        </w:numPr>
        <w:jc w:val="both"/>
        <w:rPr>
          <w:rFonts w:cs="Arial"/>
        </w:rPr>
      </w:pPr>
      <w:r>
        <w:rPr>
          <w:rFonts w:cs="Arial"/>
        </w:rPr>
        <w:t>Anne Grocock, Non-Executive Director</w:t>
      </w:r>
    </w:p>
    <w:p w:rsidR="00FD1916" w:rsidRDefault="00FD1916" w:rsidP="00F42050">
      <w:pPr>
        <w:numPr>
          <w:ilvl w:val="0"/>
          <w:numId w:val="2"/>
        </w:numPr>
        <w:jc w:val="both"/>
        <w:rPr>
          <w:rFonts w:cs="Arial"/>
        </w:rPr>
      </w:pPr>
      <w:r>
        <w:rPr>
          <w:rFonts w:cs="Arial"/>
        </w:rPr>
        <w:t>Stuart Bell, Chief Executive</w:t>
      </w:r>
    </w:p>
    <w:p w:rsidR="004A2865" w:rsidRDefault="00FD1916" w:rsidP="00F42050">
      <w:pPr>
        <w:numPr>
          <w:ilvl w:val="0"/>
          <w:numId w:val="2"/>
        </w:numPr>
        <w:jc w:val="both"/>
        <w:rPr>
          <w:rFonts w:cs="Arial"/>
        </w:rPr>
      </w:pPr>
      <w:r>
        <w:rPr>
          <w:rFonts w:cs="Arial"/>
        </w:rPr>
        <w:t>Yvonne Taylor, Chief Operating Officer</w:t>
      </w:r>
    </w:p>
    <w:p w:rsidR="004A2865" w:rsidRDefault="00FD1916" w:rsidP="00F42050">
      <w:pPr>
        <w:numPr>
          <w:ilvl w:val="0"/>
          <w:numId w:val="2"/>
        </w:numPr>
        <w:jc w:val="both"/>
        <w:rPr>
          <w:rFonts w:cs="Arial"/>
        </w:rPr>
      </w:pPr>
      <w:r>
        <w:rPr>
          <w:rFonts w:cs="Arial"/>
        </w:rPr>
        <w:t xml:space="preserve">Ros Alstead, </w:t>
      </w:r>
      <w:r w:rsidR="004A2865">
        <w:rPr>
          <w:rFonts w:cs="Arial"/>
        </w:rPr>
        <w:t>Director of Nursing and Clinical Sta</w:t>
      </w:r>
      <w:r>
        <w:rPr>
          <w:rFonts w:cs="Arial"/>
        </w:rPr>
        <w:t>ndards</w:t>
      </w:r>
    </w:p>
    <w:p w:rsidR="00265E57" w:rsidRDefault="00FD1916" w:rsidP="00F42050">
      <w:pPr>
        <w:numPr>
          <w:ilvl w:val="0"/>
          <w:numId w:val="2"/>
        </w:numPr>
        <w:jc w:val="both"/>
        <w:rPr>
          <w:rFonts w:cs="Arial"/>
        </w:rPr>
      </w:pPr>
      <w:r>
        <w:rPr>
          <w:rFonts w:cs="Arial"/>
        </w:rPr>
        <w:t xml:space="preserve">Clive Meux, </w:t>
      </w:r>
      <w:r w:rsidR="00265E57">
        <w:rPr>
          <w:rFonts w:cs="Arial"/>
        </w:rPr>
        <w:t xml:space="preserve">Medical Director </w:t>
      </w:r>
      <w:r>
        <w:rPr>
          <w:rFonts w:cs="Arial"/>
        </w:rPr>
        <w:t>and vice-chair of the Committee</w:t>
      </w:r>
    </w:p>
    <w:p w:rsidR="00265E57" w:rsidRDefault="00FD1916" w:rsidP="00F42050">
      <w:pPr>
        <w:numPr>
          <w:ilvl w:val="0"/>
          <w:numId w:val="2"/>
        </w:numPr>
        <w:jc w:val="both"/>
        <w:rPr>
          <w:rFonts w:cs="Arial"/>
        </w:rPr>
      </w:pPr>
      <w:r>
        <w:rPr>
          <w:rFonts w:cs="Arial"/>
        </w:rPr>
        <w:t>Mike McEnaney, Director of Finance</w:t>
      </w:r>
    </w:p>
    <w:p w:rsidR="00646F7B" w:rsidRDefault="00646F7B" w:rsidP="005C67A4">
      <w:pPr>
        <w:jc w:val="both"/>
        <w:rPr>
          <w:rFonts w:cs="Arial"/>
        </w:rPr>
      </w:pPr>
    </w:p>
    <w:p w:rsidR="001501C0" w:rsidRDefault="00265E57" w:rsidP="005C67A4">
      <w:pPr>
        <w:jc w:val="both"/>
        <w:rPr>
          <w:rFonts w:cs="Arial"/>
        </w:rPr>
      </w:pPr>
      <w:r>
        <w:rPr>
          <w:rFonts w:cs="Arial"/>
        </w:rPr>
        <w:t>With the exception of the Chief Executive, each Executive Director chaired one of the Trust’s Quality Improvement Committees (QUICs) and reported on the activity of their QUIC at the Integrated Governance Committee.</w:t>
      </w:r>
      <w:r w:rsidR="003B0663">
        <w:rPr>
          <w:rFonts w:cs="Arial"/>
        </w:rPr>
        <w:t xml:space="preserve">  The QUICs are:-</w:t>
      </w:r>
    </w:p>
    <w:p w:rsidR="003B0663" w:rsidRDefault="003B0663" w:rsidP="003B0663">
      <w:pPr>
        <w:numPr>
          <w:ilvl w:val="0"/>
          <w:numId w:val="2"/>
        </w:numPr>
        <w:jc w:val="both"/>
        <w:rPr>
          <w:rFonts w:cs="Arial"/>
        </w:rPr>
      </w:pPr>
      <w:r>
        <w:rPr>
          <w:rFonts w:cs="Arial"/>
        </w:rPr>
        <w:t>Safety Committee</w:t>
      </w:r>
    </w:p>
    <w:p w:rsidR="003B0663" w:rsidRDefault="003860C1" w:rsidP="003B0663">
      <w:pPr>
        <w:numPr>
          <w:ilvl w:val="0"/>
          <w:numId w:val="2"/>
        </w:numPr>
        <w:jc w:val="both"/>
        <w:rPr>
          <w:rFonts w:cs="Arial"/>
        </w:rPr>
      </w:pPr>
      <w:r>
        <w:rPr>
          <w:rFonts w:cs="Arial"/>
        </w:rPr>
        <w:t xml:space="preserve">Services </w:t>
      </w:r>
      <w:r w:rsidR="00463EA9">
        <w:rPr>
          <w:rFonts w:cs="Arial"/>
        </w:rPr>
        <w:t>and Estates Committee</w:t>
      </w:r>
    </w:p>
    <w:p w:rsidR="00463EA9" w:rsidRDefault="00463EA9" w:rsidP="003B0663">
      <w:pPr>
        <w:numPr>
          <w:ilvl w:val="0"/>
          <w:numId w:val="2"/>
        </w:numPr>
        <w:jc w:val="both"/>
        <w:rPr>
          <w:rFonts w:cs="Arial"/>
        </w:rPr>
      </w:pPr>
      <w:r>
        <w:rPr>
          <w:rFonts w:cs="Arial"/>
        </w:rPr>
        <w:t>Clinical Effectiveness Committee</w:t>
      </w:r>
    </w:p>
    <w:p w:rsidR="00463EA9" w:rsidRDefault="00463EA9" w:rsidP="003B0663">
      <w:pPr>
        <w:numPr>
          <w:ilvl w:val="0"/>
          <w:numId w:val="2"/>
        </w:numPr>
        <w:jc w:val="both"/>
        <w:rPr>
          <w:rFonts w:cs="Arial"/>
        </w:rPr>
      </w:pPr>
      <w:r>
        <w:rPr>
          <w:rFonts w:cs="Arial"/>
        </w:rPr>
        <w:t>Human Resources Committee</w:t>
      </w:r>
    </w:p>
    <w:p w:rsidR="00463EA9" w:rsidRDefault="00463EA9" w:rsidP="003B0663">
      <w:pPr>
        <w:numPr>
          <w:ilvl w:val="0"/>
          <w:numId w:val="2"/>
        </w:numPr>
        <w:jc w:val="both"/>
        <w:rPr>
          <w:rFonts w:cs="Arial"/>
        </w:rPr>
      </w:pPr>
      <w:r>
        <w:rPr>
          <w:rFonts w:cs="Arial"/>
        </w:rPr>
        <w:t>Governance and Information Management Committee</w:t>
      </w:r>
    </w:p>
    <w:p w:rsidR="00265E57" w:rsidRDefault="00265E57" w:rsidP="005C67A4">
      <w:pPr>
        <w:jc w:val="both"/>
        <w:rPr>
          <w:rFonts w:cs="Arial"/>
        </w:rPr>
      </w:pPr>
    </w:p>
    <w:p w:rsidR="00FD1916" w:rsidRDefault="00FD1916" w:rsidP="005C67A4">
      <w:pPr>
        <w:jc w:val="both"/>
        <w:rPr>
          <w:rFonts w:cs="Arial"/>
        </w:rPr>
      </w:pPr>
      <w:r>
        <w:rPr>
          <w:rFonts w:cs="Arial"/>
        </w:rPr>
        <w:t>From July 2013 onwards, the Committee formally invited the Clinical Directors from each of the service directorates to attend every meeting in an advisory, non-voting capacity.  The clinical directors are:-</w:t>
      </w:r>
    </w:p>
    <w:p w:rsidR="00FD1916" w:rsidRDefault="00FD1916" w:rsidP="00FD1916">
      <w:pPr>
        <w:numPr>
          <w:ilvl w:val="0"/>
          <w:numId w:val="2"/>
        </w:numPr>
        <w:jc w:val="both"/>
        <w:rPr>
          <w:rFonts w:cs="Arial"/>
        </w:rPr>
      </w:pPr>
      <w:r>
        <w:rPr>
          <w:rFonts w:cs="Arial"/>
        </w:rPr>
        <w:t xml:space="preserve">Wendy Woodhouse – Children and Families </w:t>
      </w:r>
    </w:p>
    <w:p w:rsidR="00CA3842" w:rsidRDefault="00CA3842" w:rsidP="00FD1916">
      <w:pPr>
        <w:numPr>
          <w:ilvl w:val="0"/>
          <w:numId w:val="2"/>
        </w:numPr>
        <w:jc w:val="both"/>
        <w:rPr>
          <w:rFonts w:cs="Arial"/>
        </w:rPr>
      </w:pPr>
      <w:r>
        <w:rPr>
          <w:rFonts w:cs="Arial"/>
        </w:rPr>
        <w:t>Rosie Shepherd – Children and Families</w:t>
      </w:r>
    </w:p>
    <w:p w:rsidR="00FD1916" w:rsidRDefault="00FD1916" w:rsidP="00FD1916">
      <w:pPr>
        <w:numPr>
          <w:ilvl w:val="0"/>
          <w:numId w:val="2"/>
        </w:numPr>
        <w:jc w:val="both"/>
        <w:rPr>
          <w:rFonts w:cs="Arial"/>
        </w:rPr>
      </w:pPr>
      <w:r>
        <w:rPr>
          <w:rFonts w:cs="Arial"/>
        </w:rPr>
        <w:t xml:space="preserve">Rob Bale – Adult Mental Health </w:t>
      </w:r>
    </w:p>
    <w:p w:rsidR="00F3648D" w:rsidRDefault="00F3648D" w:rsidP="00FD1916">
      <w:pPr>
        <w:numPr>
          <w:ilvl w:val="0"/>
          <w:numId w:val="2"/>
        </w:numPr>
        <w:jc w:val="both"/>
        <w:rPr>
          <w:rFonts w:cs="Arial"/>
        </w:rPr>
      </w:pPr>
      <w:r>
        <w:rPr>
          <w:rFonts w:cs="Arial"/>
        </w:rPr>
        <w:lastRenderedPageBreak/>
        <w:t>Brian Murray Older Adult Mental Health</w:t>
      </w:r>
    </w:p>
    <w:p w:rsidR="00FD1916" w:rsidRDefault="00FD1916" w:rsidP="00FD1916">
      <w:pPr>
        <w:numPr>
          <w:ilvl w:val="0"/>
          <w:numId w:val="2"/>
        </w:numPr>
        <w:jc w:val="both"/>
        <w:rPr>
          <w:rFonts w:cs="Arial"/>
        </w:rPr>
      </w:pPr>
      <w:proofErr w:type="spellStart"/>
      <w:r>
        <w:rPr>
          <w:rFonts w:cs="Arial"/>
        </w:rPr>
        <w:t>Sukh</w:t>
      </w:r>
      <w:proofErr w:type="spellEnd"/>
      <w:r>
        <w:rPr>
          <w:rFonts w:cs="Arial"/>
        </w:rPr>
        <w:t xml:space="preserve"> Lally </w:t>
      </w:r>
      <w:r w:rsidR="00F3648D">
        <w:rPr>
          <w:rFonts w:cs="Arial"/>
        </w:rPr>
        <w:t>–</w:t>
      </w:r>
      <w:r>
        <w:rPr>
          <w:rFonts w:cs="Arial"/>
        </w:rPr>
        <w:t xml:space="preserve"> </w:t>
      </w:r>
      <w:r w:rsidR="00F3648D">
        <w:rPr>
          <w:rFonts w:cs="Arial"/>
        </w:rPr>
        <w:t>Specialised Services</w:t>
      </w:r>
    </w:p>
    <w:p w:rsidR="00FD1916" w:rsidRPr="00F3648D" w:rsidRDefault="00F3648D" w:rsidP="00FD1916">
      <w:pPr>
        <w:numPr>
          <w:ilvl w:val="0"/>
          <w:numId w:val="2"/>
        </w:numPr>
        <w:jc w:val="both"/>
        <w:rPr>
          <w:rFonts w:cs="Arial"/>
        </w:rPr>
      </w:pPr>
      <w:r>
        <w:rPr>
          <w:rFonts w:cs="Arial"/>
        </w:rPr>
        <w:t>Pete McGrane – Community Services</w:t>
      </w:r>
    </w:p>
    <w:p w:rsidR="00FD1916" w:rsidRDefault="00FD1916" w:rsidP="005C67A4">
      <w:pPr>
        <w:jc w:val="both"/>
        <w:rPr>
          <w:rFonts w:cs="Arial"/>
        </w:rPr>
      </w:pPr>
    </w:p>
    <w:p w:rsidR="00265E57" w:rsidRDefault="00265E57" w:rsidP="005C67A4">
      <w:pPr>
        <w:jc w:val="both"/>
        <w:rPr>
          <w:rFonts w:cs="Arial"/>
        </w:rPr>
      </w:pPr>
      <w:r>
        <w:rPr>
          <w:rFonts w:cs="Arial"/>
        </w:rPr>
        <w:t>In terms of other officers invited to attend and observe the Committee / present reports, the following were in attendance</w:t>
      </w:r>
      <w:r w:rsidR="00CA3842">
        <w:rPr>
          <w:rFonts w:cs="Arial"/>
        </w:rPr>
        <w:t>, either for all or some of the meetings,</w:t>
      </w:r>
      <w:r>
        <w:rPr>
          <w:rFonts w:cs="Arial"/>
        </w:rPr>
        <w:t xml:space="preserve"> during the reporting period:</w:t>
      </w:r>
    </w:p>
    <w:p w:rsidR="00265E57" w:rsidRDefault="00CA3842" w:rsidP="00265E57">
      <w:pPr>
        <w:numPr>
          <w:ilvl w:val="0"/>
          <w:numId w:val="2"/>
        </w:numPr>
        <w:jc w:val="both"/>
        <w:rPr>
          <w:rFonts w:cs="Arial"/>
        </w:rPr>
      </w:pPr>
      <w:r>
        <w:rPr>
          <w:rFonts w:cs="Arial"/>
        </w:rPr>
        <w:t>Peter Crabb, Head of Internal Audit</w:t>
      </w:r>
      <w:r w:rsidR="00265E57">
        <w:rPr>
          <w:rFonts w:cs="Arial"/>
        </w:rPr>
        <w:t xml:space="preserve"> – standing invite</w:t>
      </w:r>
    </w:p>
    <w:p w:rsidR="00CA3842" w:rsidRDefault="00CA3842" w:rsidP="00265E57">
      <w:pPr>
        <w:numPr>
          <w:ilvl w:val="0"/>
          <w:numId w:val="2"/>
        </w:numPr>
        <w:jc w:val="both"/>
        <w:rPr>
          <w:rFonts w:cs="Arial"/>
        </w:rPr>
      </w:pPr>
      <w:r>
        <w:rPr>
          <w:rFonts w:cs="Arial"/>
        </w:rPr>
        <w:t>Mieke Tyrell, Internal Audit Manager</w:t>
      </w:r>
    </w:p>
    <w:p w:rsidR="00265E57" w:rsidRDefault="00265E57" w:rsidP="00265E57">
      <w:pPr>
        <w:numPr>
          <w:ilvl w:val="0"/>
          <w:numId w:val="2"/>
        </w:numPr>
        <w:jc w:val="both"/>
        <w:rPr>
          <w:rFonts w:cs="Arial"/>
        </w:rPr>
      </w:pPr>
      <w:r>
        <w:rPr>
          <w:rFonts w:cs="Arial"/>
        </w:rPr>
        <w:t>Helen Ward (NHS Buckinghamshire &amp; Oxfordshire Cluster</w:t>
      </w:r>
      <w:r w:rsidR="00FD1916">
        <w:rPr>
          <w:rFonts w:cs="Arial"/>
        </w:rPr>
        <w:t xml:space="preserve"> / Oxfordshire CCG</w:t>
      </w:r>
      <w:r>
        <w:rPr>
          <w:rFonts w:cs="Arial"/>
        </w:rPr>
        <w:t>) – standing invite</w:t>
      </w:r>
    </w:p>
    <w:p w:rsidR="00265E57" w:rsidRDefault="00265E57" w:rsidP="00265E57">
      <w:pPr>
        <w:numPr>
          <w:ilvl w:val="0"/>
          <w:numId w:val="2"/>
        </w:numPr>
        <w:jc w:val="both"/>
        <w:rPr>
          <w:rFonts w:cs="Arial"/>
        </w:rPr>
      </w:pPr>
      <w:r>
        <w:rPr>
          <w:rFonts w:cs="Arial"/>
        </w:rPr>
        <w:t>Sula W</w:t>
      </w:r>
      <w:r w:rsidR="00B126D5">
        <w:rPr>
          <w:rFonts w:cs="Arial"/>
        </w:rPr>
        <w:t>iltshire (NHS Buckinghamshire &amp; Oxfordshire Cluster) – standing invite</w:t>
      </w:r>
    </w:p>
    <w:p w:rsidR="00CA3842" w:rsidRDefault="00CA3842" w:rsidP="00265E57">
      <w:pPr>
        <w:numPr>
          <w:ilvl w:val="0"/>
          <w:numId w:val="2"/>
        </w:numPr>
        <w:jc w:val="both"/>
        <w:rPr>
          <w:rFonts w:cs="Arial"/>
        </w:rPr>
      </w:pPr>
      <w:r>
        <w:rPr>
          <w:rFonts w:cs="Arial"/>
        </w:rPr>
        <w:t>Mark Hancock, Deputy Medical Director</w:t>
      </w:r>
    </w:p>
    <w:p w:rsidR="00CA3842" w:rsidRDefault="00CA3842" w:rsidP="00265E57">
      <w:pPr>
        <w:numPr>
          <w:ilvl w:val="0"/>
          <w:numId w:val="2"/>
        </w:numPr>
        <w:jc w:val="both"/>
        <w:rPr>
          <w:rFonts w:cs="Arial"/>
        </w:rPr>
      </w:pPr>
      <w:r>
        <w:rPr>
          <w:rFonts w:cs="Arial"/>
        </w:rPr>
        <w:t>Mike Foster, Head of Nursing</w:t>
      </w:r>
    </w:p>
    <w:p w:rsidR="00CA3842" w:rsidRDefault="00CA3842" w:rsidP="00265E57">
      <w:pPr>
        <w:numPr>
          <w:ilvl w:val="0"/>
          <w:numId w:val="2"/>
        </w:numPr>
        <w:jc w:val="both"/>
        <w:rPr>
          <w:rFonts w:cs="Arial"/>
        </w:rPr>
      </w:pPr>
      <w:r>
        <w:rPr>
          <w:rFonts w:cs="Arial"/>
        </w:rPr>
        <w:t>John Campbell, Head of Nursing</w:t>
      </w:r>
    </w:p>
    <w:p w:rsidR="00CA3842" w:rsidRDefault="00CA3842" w:rsidP="00265E57">
      <w:pPr>
        <w:numPr>
          <w:ilvl w:val="0"/>
          <w:numId w:val="2"/>
        </w:numPr>
        <w:jc w:val="both"/>
        <w:rPr>
          <w:rFonts w:cs="Arial"/>
        </w:rPr>
      </w:pPr>
      <w:r>
        <w:rPr>
          <w:rFonts w:cs="Arial"/>
        </w:rPr>
        <w:t>Deborah Humphrey, Head of Nursing</w:t>
      </w:r>
    </w:p>
    <w:p w:rsidR="00B126D5" w:rsidRDefault="00CA3842" w:rsidP="00265E57">
      <w:pPr>
        <w:numPr>
          <w:ilvl w:val="0"/>
          <w:numId w:val="2"/>
        </w:numPr>
        <w:jc w:val="both"/>
        <w:rPr>
          <w:rFonts w:cs="Arial"/>
        </w:rPr>
      </w:pPr>
      <w:r>
        <w:rPr>
          <w:rFonts w:cs="Arial"/>
        </w:rPr>
        <w:t>Michael Marven, Chief Pharmacist</w:t>
      </w:r>
    </w:p>
    <w:p w:rsidR="00CA3842" w:rsidRDefault="00CA3842" w:rsidP="00265E57">
      <w:pPr>
        <w:numPr>
          <w:ilvl w:val="0"/>
          <w:numId w:val="2"/>
        </w:numPr>
        <w:jc w:val="both"/>
        <w:rPr>
          <w:rFonts w:cs="Arial"/>
        </w:rPr>
      </w:pPr>
      <w:r>
        <w:rPr>
          <w:rFonts w:cs="Arial"/>
        </w:rPr>
        <w:t xml:space="preserve">Dan White, Specialist Pharmacist </w:t>
      </w:r>
    </w:p>
    <w:p w:rsidR="00CA3842" w:rsidRDefault="00CA3842" w:rsidP="00265E57">
      <w:pPr>
        <w:numPr>
          <w:ilvl w:val="0"/>
          <w:numId w:val="2"/>
        </w:numPr>
        <w:jc w:val="both"/>
        <w:rPr>
          <w:rFonts w:cs="Arial"/>
        </w:rPr>
      </w:pPr>
      <w:r>
        <w:rPr>
          <w:rFonts w:cs="Arial"/>
        </w:rPr>
        <w:t>Eddie McLaughlin, Divisional Director</w:t>
      </w:r>
    </w:p>
    <w:p w:rsidR="00CA3842" w:rsidRDefault="00CA3842" w:rsidP="00265E57">
      <w:pPr>
        <w:numPr>
          <w:ilvl w:val="0"/>
          <w:numId w:val="2"/>
        </w:numPr>
        <w:jc w:val="both"/>
        <w:rPr>
          <w:rFonts w:cs="Arial"/>
        </w:rPr>
      </w:pPr>
      <w:r>
        <w:rPr>
          <w:rFonts w:cs="Arial"/>
        </w:rPr>
        <w:t>Mark Underwood, Head of Information Governance</w:t>
      </w:r>
    </w:p>
    <w:p w:rsidR="00CA3842" w:rsidRDefault="00CA3842" w:rsidP="00265E57">
      <w:pPr>
        <w:numPr>
          <w:ilvl w:val="0"/>
          <w:numId w:val="2"/>
        </w:numPr>
        <w:jc w:val="both"/>
        <w:rPr>
          <w:rFonts w:cs="Arial"/>
        </w:rPr>
      </w:pPr>
      <w:r>
        <w:rPr>
          <w:rFonts w:cs="Arial"/>
        </w:rPr>
        <w:t>Tehmeena Ajmal, Head of Quality and Safety</w:t>
      </w:r>
    </w:p>
    <w:p w:rsidR="00CA3842" w:rsidRDefault="00CA3842" w:rsidP="00265E57">
      <w:pPr>
        <w:numPr>
          <w:ilvl w:val="0"/>
          <w:numId w:val="2"/>
        </w:numPr>
        <w:jc w:val="both"/>
        <w:rPr>
          <w:rFonts w:cs="Arial"/>
        </w:rPr>
      </w:pPr>
      <w:r>
        <w:rPr>
          <w:rFonts w:cs="Arial"/>
        </w:rPr>
        <w:t>Jeanette Wilding, Head of Governance</w:t>
      </w:r>
    </w:p>
    <w:p w:rsidR="00CA3842" w:rsidRDefault="00CA3842" w:rsidP="00265E57">
      <w:pPr>
        <w:numPr>
          <w:ilvl w:val="0"/>
          <w:numId w:val="2"/>
        </w:numPr>
        <w:jc w:val="both"/>
        <w:rPr>
          <w:rFonts w:cs="Arial"/>
        </w:rPr>
      </w:pPr>
      <w:r>
        <w:rPr>
          <w:rFonts w:cs="Arial"/>
        </w:rPr>
        <w:t>Karen Lascelles, Suicide Prevention Lead</w:t>
      </w:r>
    </w:p>
    <w:p w:rsidR="001501C0" w:rsidRDefault="001501C0" w:rsidP="005C67A4">
      <w:pPr>
        <w:jc w:val="both"/>
        <w:rPr>
          <w:rFonts w:cs="Arial"/>
        </w:rPr>
      </w:pPr>
    </w:p>
    <w:p w:rsidR="003F3AA5" w:rsidRDefault="00B126D5" w:rsidP="005C67A4">
      <w:pPr>
        <w:jc w:val="both"/>
        <w:rPr>
          <w:rFonts w:cs="Arial"/>
        </w:rPr>
      </w:pPr>
      <w:r>
        <w:rPr>
          <w:rFonts w:cs="Arial"/>
        </w:rPr>
        <w:t xml:space="preserve">Justinian Habner, </w:t>
      </w:r>
      <w:r w:rsidR="0027742C">
        <w:rPr>
          <w:rFonts w:cs="Arial"/>
        </w:rPr>
        <w:t>Trust Secretary</w:t>
      </w:r>
      <w:r w:rsidR="007C48C0">
        <w:rPr>
          <w:rFonts w:cs="Arial"/>
        </w:rPr>
        <w:t>,</w:t>
      </w:r>
      <w:r w:rsidR="00F015BE">
        <w:rPr>
          <w:rFonts w:cs="Arial"/>
        </w:rPr>
        <w:t xml:space="preserve"> </w:t>
      </w:r>
      <w:r>
        <w:rPr>
          <w:rFonts w:cs="Arial"/>
        </w:rPr>
        <w:t>and Hannah Smith, Assistant Trust Secretary</w:t>
      </w:r>
      <w:r w:rsidR="007C48C0">
        <w:rPr>
          <w:rFonts w:cs="Arial"/>
        </w:rPr>
        <w:t>,</w:t>
      </w:r>
      <w:r>
        <w:rPr>
          <w:rFonts w:cs="Arial"/>
        </w:rPr>
        <w:t xml:space="preserve"> attend meetings to support the Committee through providing advice on governance matters and taking minutes.</w:t>
      </w:r>
    </w:p>
    <w:p w:rsidR="00030D75" w:rsidRDefault="003F3AA5" w:rsidP="00030D75">
      <w:pPr>
        <w:jc w:val="both"/>
        <w:rPr>
          <w:rFonts w:cs="Arial"/>
        </w:rPr>
      </w:pPr>
      <w:r>
        <w:rPr>
          <w:rFonts w:cs="Arial"/>
        </w:rPr>
        <w:t xml:space="preserve"> </w:t>
      </w:r>
    </w:p>
    <w:p w:rsidR="00B34036" w:rsidRDefault="00B34036" w:rsidP="005C67A4">
      <w:pPr>
        <w:jc w:val="both"/>
        <w:rPr>
          <w:rFonts w:cs="Arial"/>
        </w:rPr>
      </w:pPr>
      <w:r>
        <w:t xml:space="preserve">The </w:t>
      </w:r>
      <w:r w:rsidR="00312BD7">
        <w:t>C</w:t>
      </w:r>
      <w:r>
        <w:t>ommittee quorum is</w:t>
      </w:r>
      <w:r w:rsidR="003A11B5" w:rsidRPr="003A11B5">
        <w:rPr>
          <w:rFonts w:cs="Arial"/>
        </w:rPr>
        <w:t xml:space="preserve"> </w:t>
      </w:r>
      <w:r w:rsidR="00CE7ED4">
        <w:rPr>
          <w:rFonts w:cs="Arial"/>
        </w:rPr>
        <w:t xml:space="preserve">five members to include the </w:t>
      </w:r>
      <w:r w:rsidR="00E47C11">
        <w:rPr>
          <w:rFonts w:cs="Arial"/>
        </w:rPr>
        <w:t>Trust Chairman</w:t>
      </w:r>
      <w:r w:rsidR="00722393">
        <w:rPr>
          <w:rFonts w:cs="Arial"/>
        </w:rPr>
        <w:t xml:space="preserve"> (or vice-chair of the committee in </w:t>
      </w:r>
      <w:r w:rsidR="00B126D5">
        <w:rPr>
          <w:rFonts w:cs="Arial"/>
        </w:rPr>
        <w:t>their</w:t>
      </w:r>
      <w:r w:rsidR="00722393">
        <w:rPr>
          <w:rFonts w:cs="Arial"/>
        </w:rPr>
        <w:t xml:space="preserve"> absence)</w:t>
      </w:r>
      <w:r w:rsidR="00CE7ED4">
        <w:rPr>
          <w:rFonts w:cs="Arial"/>
        </w:rPr>
        <w:t>, one non-executive director and one executive director</w:t>
      </w:r>
      <w:r w:rsidR="00722393">
        <w:rPr>
          <w:rFonts w:cs="Arial"/>
        </w:rPr>
        <w:t xml:space="preserve"> (deputies </w:t>
      </w:r>
      <w:r w:rsidR="00B963E5">
        <w:rPr>
          <w:rFonts w:cs="Arial"/>
        </w:rPr>
        <w:t>count toward the quorum)</w:t>
      </w:r>
      <w:r w:rsidR="003A11B5" w:rsidRPr="00D30122">
        <w:rPr>
          <w:rFonts w:cs="Arial"/>
        </w:rPr>
        <w:t>.</w:t>
      </w:r>
      <w:r w:rsidR="006B209A">
        <w:rPr>
          <w:rFonts w:cs="Arial"/>
        </w:rPr>
        <w:t xml:space="preserve">  </w:t>
      </w:r>
      <w:r w:rsidR="00CE7ED4">
        <w:rPr>
          <w:rFonts w:cs="Arial"/>
        </w:rPr>
        <w:t xml:space="preserve">A quorum </w:t>
      </w:r>
      <w:r w:rsidR="00920292">
        <w:rPr>
          <w:rFonts w:cs="Arial"/>
        </w:rPr>
        <w:t xml:space="preserve">of members </w:t>
      </w:r>
      <w:r w:rsidR="006C703C">
        <w:rPr>
          <w:rFonts w:cs="Arial"/>
        </w:rPr>
        <w:t>w</w:t>
      </w:r>
      <w:r w:rsidR="00920292">
        <w:rPr>
          <w:rFonts w:cs="Arial"/>
        </w:rPr>
        <w:t>as available for all meetings</w:t>
      </w:r>
      <w:r w:rsidR="007C7338">
        <w:rPr>
          <w:rFonts w:cs="Arial"/>
        </w:rPr>
        <w:t>.</w:t>
      </w:r>
      <w:r w:rsidR="00030D75">
        <w:rPr>
          <w:rFonts w:cs="Arial"/>
        </w:rPr>
        <w:t xml:space="preserve"> </w:t>
      </w:r>
      <w:r>
        <w:rPr>
          <w:rFonts w:cs="Arial"/>
        </w:rPr>
        <w:t>Attendance by the members has been as follows:</w:t>
      </w:r>
    </w:p>
    <w:p w:rsidR="006C703C" w:rsidRDefault="006C703C" w:rsidP="005C67A4">
      <w:pPr>
        <w:pStyle w:val="Heading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1421"/>
        <w:gridCol w:w="1477"/>
        <w:gridCol w:w="1463"/>
        <w:gridCol w:w="1463"/>
        <w:gridCol w:w="1278"/>
      </w:tblGrid>
      <w:tr w:rsidR="00B126D5" w:rsidRPr="00E90CA4" w:rsidTr="00B126D5">
        <w:trPr>
          <w:jc w:val="center"/>
        </w:trPr>
        <w:tc>
          <w:tcPr>
            <w:tcW w:w="1760" w:type="dxa"/>
          </w:tcPr>
          <w:p w:rsidR="00B126D5" w:rsidRPr="00E90CA4" w:rsidRDefault="00B126D5" w:rsidP="00E90CA4">
            <w:pPr>
              <w:pStyle w:val="Heading2"/>
              <w:jc w:val="left"/>
              <w:rPr>
                <w:b w:val="0"/>
                <w:sz w:val="20"/>
                <w:szCs w:val="20"/>
              </w:rPr>
            </w:pPr>
          </w:p>
        </w:tc>
        <w:tc>
          <w:tcPr>
            <w:tcW w:w="1421" w:type="dxa"/>
          </w:tcPr>
          <w:p w:rsidR="00B126D5" w:rsidRPr="00E90CA4" w:rsidRDefault="00E47C11" w:rsidP="00E90CA4">
            <w:pPr>
              <w:pStyle w:val="Heading2"/>
              <w:jc w:val="center"/>
              <w:rPr>
                <w:b w:val="0"/>
                <w:sz w:val="20"/>
                <w:szCs w:val="20"/>
              </w:rPr>
            </w:pPr>
            <w:r>
              <w:rPr>
                <w:b w:val="0"/>
                <w:sz w:val="20"/>
                <w:szCs w:val="20"/>
              </w:rPr>
              <w:t>08/05/13</w:t>
            </w:r>
          </w:p>
        </w:tc>
        <w:tc>
          <w:tcPr>
            <w:tcW w:w="1477" w:type="dxa"/>
          </w:tcPr>
          <w:p w:rsidR="00B126D5" w:rsidRPr="00E90CA4" w:rsidRDefault="00E47C11" w:rsidP="00E90CA4">
            <w:pPr>
              <w:pStyle w:val="Heading2"/>
              <w:jc w:val="center"/>
              <w:rPr>
                <w:b w:val="0"/>
                <w:sz w:val="20"/>
                <w:szCs w:val="20"/>
              </w:rPr>
            </w:pPr>
            <w:r>
              <w:rPr>
                <w:b w:val="0"/>
                <w:sz w:val="20"/>
                <w:szCs w:val="20"/>
              </w:rPr>
              <w:t>17/07/13</w:t>
            </w:r>
          </w:p>
        </w:tc>
        <w:tc>
          <w:tcPr>
            <w:tcW w:w="1463" w:type="dxa"/>
          </w:tcPr>
          <w:p w:rsidR="00B126D5" w:rsidRPr="00E90CA4" w:rsidRDefault="00E47C11" w:rsidP="00E90CA4">
            <w:pPr>
              <w:pStyle w:val="Heading2"/>
              <w:jc w:val="center"/>
              <w:rPr>
                <w:b w:val="0"/>
                <w:sz w:val="20"/>
                <w:szCs w:val="20"/>
              </w:rPr>
            </w:pPr>
            <w:r>
              <w:rPr>
                <w:b w:val="0"/>
                <w:sz w:val="20"/>
                <w:szCs w:val="20"/>
              </w:rPr>
              <w:t>11/09/13</w:t>
            </w:r>
          </w:p>
        </w:tc>
        <w:tc>
          <w:tcPr>
            <w:tcW w:w="1463" w:type="dxa"/>
          </w:tcPr>
          <w:p w:rsidR="00B126D5" w:rsidRDefault="00E47C11" w:rsidP="00E90CA4">
            <w:pPr>
              <w:pStyle w:val="Heading2"/>
              <w:jc w:val="center"/>
              <w:rPr>
                <w:b w:val="0"/>
                <w:sz w:val="20"/>
                <w:szCs w:val="20"/>
              </w:rPr>
            </w:pPr>
            <w:r>
              <w:rPr>
                <w:b w:val="0"/>
                <w:sz w:val="20"/>
                <w:szCs w:val="20"/>
              </w:rPr>
              <w:t>13/11/13</w:t>
            </w:r>
          </w:p>
        </w:tc>
        <w:tc>
          <w:tcPr>
            <w:tcW w:w="1278" w:type="dxa"/>
          </w:tcPr>
          <w:p w:rsidR="00B126D5" w:rsidRDefault="00E47C11" w:rsidP="00E90CA4">
            <w:pPr>
              <w:pStyle w:val="Heading2"/>
              <w:jc w:val="center"/>
              <w:rPr>
                <w:b w:val="0"/>
                <w:sz w:val="20"/>
                <w:szCs w:val="20"/>
              </w:rPr>
            </w:pPr>
            <w:r>
              <w:rPr>
                <w:b w:val="0"/>
                <w:sz w:val="20"/>
                <w:szCs w:val="20"/>
              </w:rPr>
              <w:t>12/02/14</w:t>
            </w:r>
          </w:p>
        </w:tc>
      </w:tr>
      <w:tr w:rsidR="00B126D5" w:rsidRPr="00E90CA4" w:rsidTr="00B126D5">
        <w:trPr>
          <w:jc w:val="center"/>
        </w:trPr>
        <w:tc>
          <w:tcPr>
            <w:tcW w:w="1760" w:type="dxa"/>
          </w:tcPr>
          <w:p w:rsidR="00B126D5" w:rsidRPr="00E90CA4" w:rsidRDefault="00E47C11" w:rsidP="00E90CA4">
            <w:pPr>
              <w:pStyle w:val="Heading2"/>
              <w:jc w:val="left"/>
              <w:rPr>
                <w:b w:val="0"/>
                <w:sz w:val="20"/>
                <w:szCs w:val="20"/>
              </w:rPr>
            </w:pPr>
            <w:r>
              <w:rPr>
                <w:b w:val="0"/>
                <w:sz w:val="20"/>
                <w:szCs w:val="20"/>
              </w:rPr>
              <w:t>Trust Chairman</w:t>
            </w:r>
            <w:r w:rsidR="00B126D5" w:rsidRPr="00E90CA4">
              <w:rPr>
                <w:b w:val="0"/>
                <w:sz w:val="20"/>
                <w:szCs w:val="20"/>
              </w:rPr>
              <w:t xml:space="preserve"> (Chair)</w:t>
            </w:r>
          </w:p>
        </w:tc>
        <w:tc>
          <w:tcPr>
            <w:tcW w:w="1421" w:type="dxa"/>
          </w:tcPr>
          <w:p w:rsidR="00B126D5" w:rsidRPr="00E90CA4" w:rsidRDefault="00B126D5" w:rsidP="00E90CA4">
            <w:pPr>
              <w:pStyle w:val="Heading2"/>
              <w:jc w:val="center"/>
              <w:rPr>
                <w:b w:val="0"/>
                <w:sz w:val="20"/>
                <w:szCs w:val="20"/>
              </w:rPr>
            </w:pPr>
            <w:r w:rsidRPr="00E90CA4">
              <w:rPr>
                <w:b w:val="0"/>
                <w:sz w:val="20"/>
                <w:szCs w:val="20"/>
              </w:rPr>
              <w:t>1</w:t>
            </w:r>
          </w:p>
        </w:tc>
        <w:tc>
          <w:tcPr>
            <w:tcW w:w="1477" w:type="dxa"/>
          </w:tcPr>
          <w:p w:rsidR="00B126D5" w:rsidRPr="00E90CA4" w:rsidRDefault="00B126D5" w:rsidP="00E90CA4">
            <w:pPr>
              <w:pStyle w:val="Heading2"/>
              <w:jc w:val="center"/>
              <w:rPr>
                <w:b w:val="0"/>
                <w:sz w:val="20"/>
                <w:szCs w:val="20"/>
              </w:rPr>
            </w:pPr>
            <w:r w:rsidRPr="00E90CA4">
              <w:rPr>
                <w:b w:val="0"/>
                <w:sz w:val="20"/>
                <w:szCs w:val="20"/>
              </w:rPr>
              <w:t>1</w:t>
            </w:r>
          </w:p>
        </w:tc>
        <w:tc>
          <w:tcPr>
            <w:tcW w:w="1463" w:type="dxa"/>
          </w:tcPr>
          <w:p w:rsidR="00B126D5" w:rsidRPr="00E90CA4" w:rsidRDefault="00B126D5" w:rsidP="00E90CA4">
            <w:pPr>
              <w:pStyle w:val="Heading2"/>
              <w:jc w:val="center"/>
              <w:rPr>
                <w:b w:val="0"/>
                <w:sz w:val="20"/>
                <w:szCs w:val="20"/>
              </w:rPr>
            </w:pPr>
            <w:r w:rsidRPr="00E90CA4">
              <w:rPr>
                <w:b w:val="0"/>
                <w:sz w:val="20"/>
                <w:szCs w:val="20"/>
              </w:rPr>
              <w:t>1</w:t>
            </w:r>
          </w:p>
        </w:tc>
        <w:tc>
          <w:tcPr>
            <w:tcW w:w="1463" w:type="dxa"/>
          </w:tcPr>
          <w:p w:rsidR="00B126D5" w:rsidRPr="00E90CA4" w:rsidRDefault="00B126D5" w:rsidP="00E90CA4">
            <w:pPr>
              <w:pStyle w:val="Heading2"/>
              <w:jc w:val="center"/>
              <w:rPr>
                <w:b w:val="0"/>
                <w:sz w:val="20"/>
                <w:szCs w:val="20"/>
              </w:rPr>
            </w:pPr>
            <w:r>
              <w:rPr>
                <w:b w:val="0"/>
                <w:sz w:val="20"/>
                <w:szCs w:val="20"/>
              </w:rPr>
              <w:t>1</w:t>
            </w:r>
          </w:p>
        </w:tc>
        <w:tc>
          <w:tcPr>
            <w:tcW w:w="1278" w:type="dxa"/>
          </w:tcPr>
          <w:p w:rsidR="00B126D5" w:rsidRDefault="00B126D5" w:rsidP="00E90CA4">
            <w:pPr>
              <w:pStyle w:val="Heading2"/>
              <w:jc w:val="center"/>
              <w:rPr>
                <w:b w:val="0"/>
                <w:sz w:val="20"/>
                <w:szCs w:val="20"/>
              </w:rPr>
            </w:pPr>
            <w:r>
              <w:rPr>
                <w:b w:val="0"/>
                <w:sz w:val="20"/>
                <w:szCs w:val="20"/>
              </w:rPr>
              <w:t>1</w:t>
            </w:r>
          </w:p>
        </w:tc>
      </w:tr>
      <w:tr w:rsidR="00B126D5" w:rsidRPr="00E90CA4" w:rsidTr="00B126D5">
        <w:trPr>
          <w:jc w:val="center"/>
        </w:trPr>
        <w:tc>
          <w:tcPr>
            <w:tcW w:w="1760" w:type="dxa"/>
          </w:tcPr>
          <w:p w:rsidR="00B126D5" w:rsidRPr="00E90CA4" w:rsidRDefault="00B126D5" w:rsidP="00E90CA4">
            <w:pPr>
              <w:pStyle w:val="Heading2"/>
              <w:jc w:val="left"/>
              <w:rPr>
                <w:b w:val="0"/>
                <w:sz w:val="20"/>
                <w:szCs w:val="20"/>
              </w:rPr>
            </w:pPr>
            <w:r w:rsidRPr="00E90CA4">
              <w:rPr>
                <w:b w:val="0"/>
                <w:sz w:val="20"/>
                <w:szCs w:val="20"/>
              </w:rPr>
              <w:t>NEDs</w:t>
            </w:r>
          </w:p>
        </w:tc>
        <w:tc>
          <w:tcPr>
            <w:tcW w:w="1421" w:type="dxa"/>
          </w:tcPr>
          <w:p w:rsidR="00B126D5" w:rsidRPr="00E90CA4" w:rsidRDefault="00E47C11" w:rsidP="00E90CA4">
            <w:pPr>
              <w:pStyle w:val="Heading2"/>
              <w:jc w:val="center"/>
              <w:rPr>
                <w:b w:val="0"/>
                <w:sz w:val="20"/>
                <w:szCs w:val="20"/>
              </w:rPr>
            </w:pPr>
            <w:r>
              <w:rPr>
                <w:b w:val="0"/>
                <w:sz w:val="20"/>
                <w:szCs w:val="20"/>
              </w:rPr>
              <w:t>1</w:t>
            </w:r>
          </w:p>
        </w:tc>
        <w:tc>
          <w:tcPr>
            <w:tcW w:w="1477" w:type="dxa"/>
          </w:tcPr>
          <w:p w:rsidR="00B126D5" w:rsidRPr="00E90CA4" w:rsidRDefault="00E47C11" w:rsidP="00E90CA4">
            <w:pPr>
              <w:pStyle w:val="Heading2"/>
              <w:jc w:val="center"/>
              <w:rPr>
                <w:b w:val="0"/>
                <w:sz w:val="20"/>
                <w:szCs w:val="20"/>
              </w:rPr>
            </w:pPr>
            <w:r>
              <w:rPr>
                <w:b w:val="0"/>
                <w:sz w:val="20"/>
                <w:szCs w:val="20"/>
              </w:rPr>
              <w:t>1</w:t>
            </w:r>
          </w:p>
        </w:tc>
        <w:tc>
          <w:tcPr>
            <w:tcW w:w="1463" w:type="dxa"/>
          </w:tcPr>
          <w:p w:rsidR="00B126D5" w:rsidRPr="00B126D5" w:rsidRDefault="00E47C11" w:rsidP="00B126D5">
            <w:pPr>
              <w:pStyle w:val="Heading2"/>
              <w:jc w:val="center"/>
              <w:rPr>
                <w:b w:val="0"/>
                <w:sz w:val="20"/>
                <w:szCs w:val="20"/>
              </w:rPr>
            </w:pPr>
            <w:r>
              <w:rPr>
                <w:b w:val="0"/>
                <w:sz w:val="20"/>
                <w:szCs w:val="20"/>
              </w:rPr>
              <w:t>2</w:t>
            </w:r>
          </w:p>
        </w:tc>
        <w:tc>
          <w:tcPr>
            <w:tcW w:w="1463" w:type="dxa"/>
          </w:tcPr>
          <w:p w:rsidR="00B126D5" w:rsidRDefault="00B126D5" w:rsidP="00E90CA4">
            <w:pPr>
              <w:pStyle w:val="Heading2"/>
              <w:jc w:val="center"/>
              <w:rPr>
                <w:b w:val="0"/>
                <w:sz w:val="20"/>
                <w:szCs w:val="20"/>
              </w:rPr>
            </w:pPr>
            <w:r>
              <w:rPr>
                <w:b w:val="0"/>
                <w:sz w:val="20"/>
                <w:szCs w:val="20"/>
              </w:rPr>
              <w:t>2</w:t>
            </w:r>
          </w:p>
        </w:tc>
        <w:tc>
          <w:tcPr>
            <w:tcW w:w="1278" w:type="dxa"/>
          </w:tcPr>
          <w:p w:rsidR="00B126D5" w:rsidRDefault="00B126D5" w:rsidP="00E90CA4">
            <w:pPr>
              <w:pStyle w:val="Heading2"/>
              <w:jc w:val="center"/>
              <w:rPr>
                <w:b w:val="0"/>
                <w:sz w:val="20"/>
                <w:szCs w:val="20"/>
              </w:rPr>
            </w:pPr>
            <w:r>
              <w:rPr>
                <w:b w:val="0"/>
                <w:sz w:val="20"/>
                <w:szCs w:val="20"/>
              </w:rPr>
              <w:t>1</w:t>
            </w:r>
          </w:p>
        </w:tc>
      </w:tr>
      <w:tr w:rsidR="00B126D5" w:rsidRPr="00E90CA4" w:rsidTr="00B126D5">
        <w:trPr>
          <w:jc w:val="center"/>
        </w:trPr>
        <w:tc>
          <w:tcPr>
            <w:tcW w:w="1760" w:type="dxa"/>
          </w:tcPr>
          <w:p w:rsidR="00B126D5" w:rsidRPr="00E90CA4" w:rsidRDefault="00B126D5" w:rsidP="00E90CA4">
            <w:pPr>
              <w:pStyle w:val="Heading2"/>
              <w:jc w:val="left"/>
              <w:rPr>
                <w:b w:val="0"/>
                <w:sz w:val="20"/>
                <w:szCs w:val="20"/>
              </w:rPr>
            </w:pPr>
            <w:r w:rsidRPr="00E90CA4">
              <w:rPr>
                <w:b w:val="0"/>
                <w:sz w:val="20"/>
                <w:szCs w:val="20"/>
              </w:rPr>
              <w:t>Chair of QUICs</w:t>
            </w:r>
            <w:r>
              <w:rPr>
                <w:b w:val="0"/>
                <w:sz w:val="20"/>
                <w:szCs w:val="20"/>
              </w:rPr>
              <w:t xml:space="preserve"> / Executive Directors</w:t>
            </w:r>
          </w:p>
        </w:tc>
        <w:tc>
          <w:tcPr>
            <w:tcW w:w="1421" w:type="dxa"/>
          </w:tcPr>
          <w:p w:rsidR="00B126D5" w:rsidRPr="00E90CA4" w:rsidRDefault="00B126D5" w:rsidP="00E90CA4">
            <w:pPr>
              <w:pStyle w:val="Heading2"/>
              <w:jc w:val="center"/>
              <w:rPr>
                <w:b w:val="0"/>
                <w:sz w:val="20"/>
                <w:szCs w:val="20"/>
              </w:rPr>
            </w:pPr>
            <w:r>
              <w:rPr>
                <w:b w:val="0"/>
                <w:sz w:val="20"/>
                <w:szCs w:val="20"/>
              </w:rPr>
              <w:t>4</w:t>
            </w:r>
          </w:p>
        </w:tc>
        <w:tc>
          <w:tcPr>
            <w:tcW w:w="1477" w:type="dxa"/>
          </w:tcPr>
          <w:p w:rsidR="00B126D5" w:rsidRPr="00E90CA4" w:rsidRDefault="00E47C11" w:rsidP="00E90CA4">
            <w:pPr>
              <w:pStyle w:val="Heading2"/>
              <w:jc w:val="center"/>
              <w:rPr>
                <w:b w:val="0"/>
                <w:sz w:val="20"/>
                <w:szCs w:val="20"/>
              </w:rPr>
            </w:pPr>
            <w:r>
              <w:rPr>
                <w:b w:val="0"/>
                <w:sz w:val="20"/>
                <w:szCs w:val="20"/>
              </w:rPr>
              <w:t>3</w:t>
            </w:r>
          </w:p>
        </w:tc>
        <w:tc>
          <w:tcPr>
            <w:tcW w:w="1463" w:type="dxa"/>
          </w:tcPr>
          <w:p w:rsidR="00B126D5" w:rsidRPr="00E90CA4" w:rsidRDefault="00E47C11" w:rsidP="00E90CA4">
            <w:pPr>
              <w:pStyle w:val="Heading2"/>
              <w:jc w:val="center"/>
              <w:rPr>
                <w:b w:val="0"/>
                <w:sz w:val="20"/>
                <w:szCs w:val="20"/>
              </w:rPr>
            </w:pPr>
            <w:r>
              <w:rPr>
                <w:b w:val="0"/>
                <w:sz w:val="20"/>
                <w:szCs w:val="20"/>
              </w:rPr>
              <w:t>5</w:t>
            </w:r>
          </w:p>
        </w:tc>
        <w:tc>
          <w:tcPr>
            <w:tcW w:w="1463" w:type="dxa"/>
          </w:tcPr>
          <w:p w:rsidR="00B126D5" w:rsidRDefault="00E47C11" w:rsidP="00E90CA4">
            <w:pPr>
              <w:pStyle w:val="Heading2"/>
              <w:jc w:val="center"/>
              <w:rPr>
                <w:b w:val="0"/>
                <w:sz w:val="20"/>
                <w:szCs w:val="20"/>
              </w:rPr>
            </w:pPr>
            <w:r>
              <w:rPr>
                <w:b w:val="0"/>
                <w:sz w:val="20"/>
                <w:szCs w:val="20"/>
              </w:rPr>
              <w:t>5</w:t>
            </w:r>
          </w:p>
        </w:tc>
        <w:tc>
          <w:tcPr>
            <w:tcW w:w="1278" w:type="dxa"/>
          </w:tcPr>
          <w:p w:rsidR="00B126D5" w:rsidRDefault="00B126D5" w:rsidP="00E90CA4">
            <w:pPr>
              <w:pStyle w:val="Heading2"/>
              <w:jc w:val="center"/>
              <w:rPr>
                <w:b w:val="0"/>
                <w:sz w:val="20"/>
                <w:szCs w:val="20"/>
              </w:rPr>
            </w:pPr>
            <w:r>
              <w:rPr>
                <w:b w:val="0"/>
                <w:sz w:val="20"/>
                <w:szCs w:val="20"/>
              </w:rPr>
              <w:t>4</w:t>
            </w:r>
          </w:p>
        </w:tc>
      </w:tr>
      <w:tr w:rsidR="00B126D5" w:rsidRPr="00E90CA4" w:rsidTr="00B126D5">
        <w:trPr>
          <w:jc w:val="center"/>
        </w:trPr>
        <w:tc>
          <w:tcPr>
            <w:tcW w:w="1760" w:type="dxa"/>
          </w:tcPr>
          <w:p w:rsidR="00B126D5" w:rsidRPr="00E90CA4" w:rsidRDefault="00B126D5" w:rsidP="00E90CA4">
            <w:pPr>
              <w:pStyle w:val="Heading2"/>
              <w:jc w:val="left"/>
              <w:rPr>
                <w:b w:val="0"/>
                <w:sz w:val="20"/>
                <w:szCs w:val="20"/>
              </w:rPr>
            </w:pPr>
            <w:r w:rsidRPr="00E90CA4">
              <w:rPr>
                <w:b w:val="0"/>
                <w:sz w:val="20"/>
                <w:szCs w:val="20"/>
              </w:rPr>
              <w:t>Deputies for Chairs of QUICs</w:t>
            </w:r>
            <w:r>
              <w:rPr>
                <w:b w:val="0"/>
                <w:sz w:val="20"/>
                <w:szCs w:val="20"/>
              </w:rPr>
              <w:t xml:space="preserve"> / Executive Directors</w:t>
            </w:r>
          </w:p>
        </w:tc>
        <w:tc>
          <w:tcPr>
            <w:tcW w:w="1421" w:type="dxa"/>
          </w:tcPr>
          <w:p w:rsidR="00B126D5" w:rsidRPr="00722393" w:rsidRDefault="00E47C11" w:rsidP="00E90CA4">
            <w:pPr>
              <w:pStyle w:val="Heading2"/>
              <w:jc w:val="center"/>
              <w:rPr>
                <w:b w:val="0"/>
                <w:sz w:val="20"/>
                <w:szCs w:val="20"/>
                <w:vertAlign w:val="superscript"/>
              </w:rPr>
            </w:pPr>
            <w:r>
              <w:rPr>
                <w:b w:val="0"/>
                <w:sz w:val="20"/>
                <w:szCs w:val="20"/>
              </w:rPr>
              <w:t>1</w:t>
            </w:r>
          </w:p>
        </w:tc>
        <w:tc>
          <w:tcPr>
            <w:tcW w:w="1477" w:type="dxa"/>
          </w:tcPr>
          <w:p w:rsidR="00B126D5" w:rsidRPr="00E90CA4" w:rsidRDefault="00B126D5" w:rsidP="00E90CA4">
            <w:pPr>
              <w:pStyle w:val="Heading2"/>
              <w:jc w:val="center"/>
              <w:rPr>
                <w:b w:val="0"/>
                <w:sz w:val="20"/>
                <w:szCs w:val="20"/>
              </w:rPr>
            </w:pPr>
            <w:r>
              <w:rPr>
                <w:b w:val="0"/>
                <w:sz w:val="20"/>
                <w:szCs w:val="20"/>
              </w:rPr>
              <w:t>1</w:t>
            </w:r>
          </w:p>
        </w:tc>
        <w:tc>
          <w:tcPr>
            <w:tcW w:w="1463" w:type="dxa"/>
          </w:tcPr>
          <w:p w:rsidR="00B126D5" w:rsidRPr="00722393" w:rsidRDefault="00E47C11" w:rsidP="00E90CA4">
            <w:pPr>
              <w:pStyle w:val="Heading2"/>
              <w:jc w:val="center"/>
              <w:rPr>
                <w:b w:val="0"/>
                <w:sz w:val="20"/>
                <w:szCs w:val="20"/>
                <w:vertAlign w:val="superscript"/>
              </w:rPr>
            </w:pPr>
            <w:r>
              <w:rPr>
                <w:b w:val="0"/>
                <w:sz w:val="20"/>
                <w:szCs w:val="20"/>
              </w:rPr>
              <w:t>0</w:t>
            </w:r>
          </w:p>
        </w:tc>
        <w:tc>
          <w:tcPr>
            <w:tcW w:w="1463" w:type="dxa"/>
          </w:tcPr>
          <w:p w:rsidR="00B126D5" w:rsidRDefault="00B126D5" w:rsidP="00E90CA4">
            <w:pPr>
              <w:pStyle w:val="Heading2"/>
              <w:jc w:val="center"/>
              <w:rPr>
                <w:b w:val="0"/>
                <w:sz w:val="20"/>
                <w:szCs w:val="20"/>
              </w:rPr>
            </w:pPr>
            <w:r>
              <w:rPr>
                <w:b w:val="0"/>
                <w:sz w:val="20"/>
                <w:szCs w:val="20"/>
              </w:rPr>
              <w:t>0</w:t>
            </w:r>
          </w:p>
        </w:tc>
        <w:tc>
          <w:tcPr>
            <w:tcW w:w="1278" w:type="dxa"/>
          </w:tcPr>
          <w:p w:rsidR="00B126D5" w:rsidRDefault="00B126D5" w:rsidP="00E90CA4">
            <w:pPr>
              <w:pStyle w:val="Heading2"/>
              <w:jc w:val="center"/>
              <w:rPr>
                <w:b w:val="0"/>
                <w:sz w:val="20"/>
                <w:szCs w:val="20"/>
              </w:rPr>
            </w:pPr>
            <w:r>
              <w:rPr>
                <w:b w:val="0"/>
                <w:sz w:val="20"/>
                <w:szCs w:val="20"/>
              </w:rPr>
              <w:t>0</w:t>
            </w:r>
          </w:p>
        </w:tc>
      </w:tr>
      <w:tr w:rsidR="00B126D5" w:rsidRPr="00E90CA4" w:rsidTr="00B126D5">
        <w:trPr>
          <w:jc w:val="center"/>
        </w:trPr>
        <w:tc>
          <w:tcPr>
            <w:tcW w:w="1760" w:type="dxa"/>
          </w:tcPr>
          <w:p w:rsidR="00B126D5" w:rsidRPr="00E90CA4" w:rsidRDefault="00B126D5" w:rsidP="00E90CA4">
            <w:pPr>
              <w:pStyle w:val="Heading2"/>
              <w:jc w:val="left"/>
              <w:rPr>
                <w:b w:val="0"/>
                <w:sz w:val="20"/>
                <w:szCs w:val="20"/>
              </w:rPr>
            </w:pPr>
            <w:r w:rsidRPr="00E90CA4">
              <w:rPr>
                <w:b w:val="0"/>
                <w:sz w:val="20"/>
                <w:szCs w:val="20"/>
              </w:rPr>
              <w:t>Total</w:t>
            </w:r>
          </w:p>
        </w:tc>
        <w:tc>
          <w:tcPr>
            <w:tcW w:w="1421" w:type="dxa"/>
          </w:tcPr>
          <w:p w:rsidR="00B126D5" w:rsidRPr="00E90CA4" w:rsidRDefault="00E47C11" w:rsidP="00E90CA4">
            <w:pPr>
              <w:pStyle w:val="Heading2"/>
              <w:jc w:val="center"/>
              <w:rPr>
                <w:b w:val="0"/>
                <w:sz w:val="20"/>
                <w:szCs w:val="20"/>
              </w:rPr>
            </w:pPr>
            <w:r>
              <w:rPr>
                <w:b w:val="0"/>
                <w:sz w:val="20"/>
                <w:szCs w:val="20"/>
              </w:rPr>
              <w:t>7</w:t>
            </w:r>
          </w:p>
        </w:tc>
        <w:tc>
          <w:tcPr>
            <w:tcW w:w="1477" w:type="dxa"/>
          </w:tcPr>
          <w:p w:rsidR="00B126D5" w:rsidRPr="00E90CA4" w:rsidRDefault="00E47C11" w:rsidP="00E90CA4">
            <w:pPr>
              <w:pStyle w:val="Heading2"/>
              <w:jc w:val="center"/>
              <w:rPr>
                <w:b w:val="0"/>
                <w:sz w:val="20"/>
                <w:szCs w:val="20"/>
              </w:rPr>
            </w:pPr>
            <w:r>
              <w:rPr>
                <w:b w:val="0"/>
                <w:sz w:val="20"/>
                <w:szCs w:val="20"/>
              </w:rPr>
              <w:t>6</w:t>
            </w:r>
          </w:p>
        </w:tc>
        <w:tc>
          <w:tcPr>
            <w:tcW w:w="1463" w:type="dxa"/>
          </w:tcPr>
          <w:p w:rsidR="00B126D5" w:rsidRPr="00E90CA4" w:rsidRDefault="00E47C11" w:rsidP="00E90CA4">
            <w:pPr>
              <w:pStyle w:val="Heading2"/>
              <w:jc w:val="center"/>
              <w:rPr>
                <w:b w:val="0"/>
                <w:sz w:val="20"/>
                <w:szCs w:val="20"/>
              </w:rPr>
            </w:pPr>
            <w:r>
              <w:rPr>
                <w:b w:val="0"/>
                <w:sz w:val="20"/>
                <w:szCs w:val="20"/>
              </w:rPr>
              <w:t>8</w:t>
            </w:r>
          </w:p>
        </w:tc>
        <w:tc>
          <w:tcPr>
            <w:tcW w:w="1463" w:type="dxa"/>
          </w:tcPr>
          <w:p w:rsidR="00B126D5" w:rsidRDefault="00E47C11" w:rsidP="00E90CA4">
            <w:pPr>
              <w:pStyle w:val="Heading2"/>
              <w:jc w:val="center"/>
              <w:rPr>
                <w:b w:val="0"/>
                <w:sz w:val="20"/>
                <w:szCs w:val="20"/>
              </w:rPr>
            </w:pPr>
            <w:r>
              <w:rPr>
                <w:b w:val="0"/>
                <w:sz w:val="20"/>
                <w:szCs w:val="20"/>
              </w:rPr>
              <w:t>8</w:t>
            </w:r>
          </w:p>
        </w:tc>
        <w:tc>
          <w:tcPr>
            <w:tcW w:w="1278" w:type="dxa"/>
          </w:tcPr>
          <w:p w:rsidR="00B126D5" w:rsidRDefault="00B126D5" w:rsidP="00E90CA4">
            <w:pPr>
              <w:pStyle w:val="Heading2"/>
              <w:jc w:val="center"/>
              <w:rPr>
                <w:b w:val="0"/>
                <w:sz w:val="20"/>
                <w:szCs w:val="20"/>
              </w:rPr>
            </w:pPr>
            <w:r>
              <w:rPr>
                <w:b w:val="0"/>
                <w:sz w:val="20"/>
                <w:szCs w:val="20"/>
              </w:rPr>
              <w:t>6</w:t>
            </w:r>
          </w:p>
        </w:tc>
      </w:tr>
    </w:tbl>
    <w:p w:rsidR="006C703C" w:rsidRDefault="006C703C" w:rsidP="005C67A4">
      <w:pPr>
        <w:pStyle w:val="Heading2"/>
      </w:pPr>
    </w:p>
    <w:p w:rsidR="00111583" w:rsidRDefault="00111583" w:rsidP="00111583"/>
    <w:p w:rsidR="00111583" w:rsidRPr="00111583" w:rsidRDefault="00111583" w:rsidP="00111583"/>
    <w:p w:rsidR="00CE7ED4" w:rsidRPr="0027742C" w:rsidRDefault="001D3998" w:rsidP="007672D2">
      <w:pPr>
        <w:pStyle w:val="Heading2"/>
        <w:rPr>
          <w:sz w:val="16"/>
          <w:szCs w:val="16"/>
        </w:rPr>
      </w:pPr>
      <w:r>
        <w:rPr>
          <w:b w:val="0"/>
        </w:rPr>
        <w:br w:type="page"/>
      </w:r>
    </w:p>
    <w:p w:rsidR="0027742C" w:rsidRPr="00CE7ED4" w:rsidRDefault="0027742C" w:rsidP="00CE7ED4"/>
    <w:p w:rsidR="00B34036" w:rsidRDefault="00B34036" w:rsidP="005C67A4">
      <w:pPr>
        <w:pStyle w:val="Heading2"/>
      </w:pPr>
      <w:r>
        <w:t xml:space="preserve">Business conducted by the </w:t>
      </w:r>
      <w:r w:rsidR="00215594">
        <w:t>C</w:t>
      </w:r>
      <w:r>
        <w:t>ommittee</w:t>
      </w:r>
    </w:p>
    <w:p w:rsidR="00286288" w:rsidRDefault="00286288" w:rsidP="005C67A4">
      <w:pPr>
        <w:jc w:val="both"/>
      </w:pPr>
      <w:r>
        <w:t>Set</w:t>
      </w:r>
      <w:r w:rsidR="00B126D5">
        <w:t xml:space="preserve"> out below is the remit of the C</w:t>
      </w:r>
      <w:r>
        <w:t>ommittee together with a report on the business tra</w:t>
      </w:r>
      <w:r w:rsidR="00B126D5">
        <w:t>nsacted over the period of the Annual R</w:t>
      </w:r>
      <w:r>
        <w:t>eport.</w:t>
      </w:r>
    </w:p>
    <w:p w:rsidR="00286288" w:rsidRDefault="00286288" w:rsidP="005C67A4">
      <w:pPr>
        <w:jc w:val="both"/>
      </w:pPr>
    </w:p>
    <w:p w:rsidR="006C703C" w:rsidRDefault="00B963E5" w:rsidP="00F42050">
      <w:pPr>
        <w:numPr>
          <w:ilvl w:val="0"/>
          <w:numId w:val="1"/>
        </w:numPr>
        <w:jc w:val="both"/>
        <w:rPr>
          <w:b/>
          <w:i/>
        </w:rPr>
      </w:pPr>
      <w:r>
        <w:rPr>
          <w:b/>
          <w:i/>
        </w:rPr>
        <w:t>Ensure the development and maintenance of the integrated governance framework</w:t>
      </w:r>
    </w:p>
    <w:p w:rsidR="00C761FA" w:rsidRDefault="003B0FE0" w:rsidP="00AE69F2">
      <w:pPr>
        <w:ind w:left="360"/>
        <w:jc w:val="both"/>
      </w:pPr>
      <w:r>
        <w:t>Following the agreement and implementation of new</w:t>
      </w:r>
      <w:r w:rsidR="00506458">
        <w:t xml:space="preserve"> executive management arrangements </w:t>
      </w:r>
      <w:r>
        <w:t>(as a consequence of the appointment of a new Chief Executive and departure of senior managers / directors), the a review of the Trust’s IGF was undertaken by Sharon Fennell, Associate Director of Operations, and supported by Justinian Habner, Trust Secretary, and more recently, Tehmeena Ajmal, Head of Quality and Safety.</w:t>
      </w:r>
      <w:r w:rsidR="00B03A37">
        <w:t xml:space="preserve">  </w:t>
      </w:r>
      <w:r>
        <w:t>The Committee was kept informed of progress and was given the opportunity to comment on the proposals (particularly those relating to the Committee and the QUICs).  The results of the review were reported to the full Board of Directors which subsequently agreed to replace the Integrated Governance Committee with a Quality Committee and the QUICs with sub-committees reflecting the new CQC domains.  The new arrangements will be implemented in 2015 and the new Quality Committee will receive and be asked to approve a report which sets out the new framework when it first meets.</w:t>
      </w:r>
    </w:p>
    <w:p w:rsidR="00257EE6" w:rsidRPr="00DF449A" w:rsidRDefault="00257EE6" w:rsidP="00C761FA">
      <w:pPr>
        <w:jc w:val="both"/>
      </w:pPr>
    </w:p>
    <w:p w:rsidR="006C703C" w:rsidRDefault="00B963E5" w:rsidP="00F42050">
      <w:pPr>
        <w:numPr>
          <w:ilvl w:val="0"/>
          <w:numId w:val="1"/>
        </w:numPr>
        <w:jc w:val="both"/>
        <w:rPr>
          <w:b/>
          <w:i/>
        </w:rPr>
      </w:pPr>
      <w:r>
        <w:rPr>
          <w:b/>
          <w:i/>
        </w:rPr>
        <w:t xml:space="preserve">Critically review and recommend </w:t>
      </w:r>
      <w:r w:rsidR="008E7258">
        <w:rPr>
          <w:b/>
          <w:i/>
        </w:rPr>
        <w:t>to the Board</w:t>
      </w:r>
      <w:r w:rsidR="00260249">
        <w:rPr>
          <w:b/>
          <w:i/>
        </w:rPr>
        <w:t xml:space="preserve"> of Directors the Risk Management,</w:t>
      </w:r>
      <w:r w:rsidR="008E7258">
        <w:rPr>
          <w:b/>
          <w:i/>
        </w:rPr>
        <w:t xml:space="preserve"> </w:t>
      </w:r>
      <w:r w:rsidR="00260249">
        <w:rPr>
          <w:b/>
          <w:i/>
        </w:rPr>
        <w:t>Clinical</w:t>
      </w:r>
      <w:r>
        <w:rPr>
          <w:b/>
          <w:i/>
        </w:rPr>
        <w:t xml:space="preserve"> Quality </w:t>
      </w:r>
      <w:r w:rsidR="00260249">
        <w:rPr>
          <w:b/>
          <w:i/>
        </w:rPr>
        <w:t>Improvement, Human Resources and Communication</w:t>
      </w:r>
      <w:r w:rsidR="00A67109">
        <w:rPr>
          <w:b/>
          <w:i/>
        </w:rPr>
        <w:t xml:space="preserve">s </w:t>
      </w:r>
      <w:r w:rsidR="00260249">
        <w:rPr>
          <w:b/>
          <w:i/>
        </w:rPr>
        <w:t>and Involvement strategies; and receive annual progress reports on the anniversary of their approval</w:t>
      </w:r>
      <w:r w:rsidR="00A13FA2">
        <w:rPr>
          <w:b/>
          <w:i/>
        </w:rPr>
        <w:t>. Approve any supporting strategies relating to these key strategies.</w:t>
      </w:r>
    </w:p>
    <w:p w:rsidR="00416BE3" w:rsidRPr="0028669A" w:rsidRDefault="00AE69F2" w:rsidP="0028669A">
      <w:pPr>
        <w:ind w:left="720"/>
        <w:jc w:val="both"/>
        <w:rPr>
          <w:color w:val="FF0000"/>
        </w:rPr>
      </w:pPr>
      <w:r w:rsidRPr="0027742C">
        <w:rPr>
          <w:color w:val="FF0000"/>
        </w:rPr>
        <w:t xml:space="preserve">  </w:t>
      </w:r>
    </w:p>
    <w:p w:rsidR="00A67109" w:rsidRDefault="008D6B4A" w:rsidP="00CE4AC9">
      <w:pPr>
        <w:ind w:left="360"/>
        <w:jc w:val="both"/>
      </w:pPr>
      <w:r>
        <w:t xml:space="preserve">No formal update against the Trust’s </w:t>
      </w:r>
      <w:r w:rsidR="00A67109">
        <w:t xml:space="preserve">Risk Management </w:t>
      </w:r>
      <w:r w:rsidR="00B03A37">
        <w:t>Policy</w:t>
      </w:r>
      <w:r w:rsidR="00A022F3">
        <w:t xml:space="preserve"> (which was last reviewed and approved by the Board in December 2011)</w:t>
      </w:r>
      <w:r>
        <w:t xml:space="preserve"> was considered by the Committee during the </w:t>
      </w:r>
      <w:r w:rsidR="00170444">
        <w:t>reporting period</w:t>
      </w:r>
      <w:r>
        <w:t>.</w:t>
      </w:r>
      <w:r w:rsidR="002143C8">
        <w:t xml:space="preserve">  </w:t>
      </w:r>
      <w:r w:rsidR="00080EF1">
        <w:t>The Committee was informed during the year that o</w:t>
      </w:r>
      <w:r w:rsidR="00B90911">
        <w:t xml:space="preserve">nce the Trust’s service re-modelling work </w:t>
      </w:r>
      <w:r w:rsidR="00080EF1">
        <w:t>had been completed then a the</w:t>
      </w:r>
      <w:r w:rsidR="001E2E44">
        <w:t xml:space="preserve"> Risk Management Policy would be review</w:t>
      </w:r>
      <w:r w:rsidR="00080EF1">
        <w:t>ed and redrafted to reflect the</w:t>
      </w:r>
      <w:r w:rsidR="001E2E44">
        <w:t xml:space="preserve"> organisational and service changes.  </w:t>
      </w:r>
      <w:r w:rsidR="00080EF1">
        <w:t>The Committee agreed to this extension to the policy in November 2013.</w:t>
      </w:r>
      <w:r w:rsidR="0007425E">
        <w:rPr>
          <w:rStyle w:val="FootnoteReference"/>
        </w:rPr>
        <w:footnoteReference w:id="1"/>
      </w:r>
    </w:p>
    <w:p w:rsidR="008F5911" w:rsidRPr="00A67109" w:rsidRDefault="008F5911" w:rsidP="00CE4AC9">
      <w:pPr>
        <w:ind w:left="360"/>
        <w:jc w:val="both"/>
      </w:pPr>
    </w:p>
    <w:p w:rsidR="003A38F6" w:rsidRDefault="0010587F" w:rsidP="00CE4AC9">
      <w:pPr>
        <w:ind w:left="360"/>
        <w:jc w:val="both"/>
      </w:pPr>
      <w:r w:rsidRPr="00F977BB">
        <w:t xml:space="preserve">The Monitor Annual Plan template </w:t>
      </w:r>
      <w:r w:rsidR="008D6B4A" w:rsidRPr="00F977BB">
        <w:t>requires the</w:t>
      </w:r>
      <w:r w:rsidRPr="00F977BB">
        <w:t xml:space="preserve"> inclusion of clinical quality priorities and </w:t>
      </w:r>
      <w:r w:rsidR="008D6B4A" w:rsidRPr="00F977BB">
        <w:t xml:space="preserve">the Committee </w:t>
      </w:r>
      <w:r w:rsidR="00A022F3" w:rsidRPr="00F977BB">
        <w:t xml:space="preserve">has previously </w:t>
      </w:r>
      <w:r w:rsidR="008D6B4A" w:rsidRPr="00F977BB">
        <w:t>agreed that this constituted</w:t>
      </w:r>
      <w:r w:rsidRPr="00F977BB">
        <w:t xml:space="preserve"> the ongoing clinical improvement strategy</w:t>
      </w:r>
      <w:r w:rsidR="008D6B4A" w:rsidRPr="00F977BB">
        <w:t>; accordingly</w:t>
      </w:r>
      <w:r w:rsidRPr="00F977BB">
        <w:t xml:space="preserve"> a separate document </w:t>
      </w:r>
      <w:r w:rsidR="0028669A" w:rsidRPr="00F977BB">
        <w:t>was not produced</w:t>
      </w:r>
      <w:r w:rsidR="00FF75EC" w:rsidRPr="00F977BB">
        <w:t xml:space="preserve">. </w:t>
      </w:r>
      <w:r w:rsidR="00A022F3" w:rsidRPr="00F977BB">
        <w:t xml:space="preserve">In addition, the Committee reviewed the Trust’s self-assessment against Monitor’s Quality Governance Framework in </w:t>
      </w:r>
      <w:r w:rsidR="00F977BB">
        <w:t xml:space="preserve">November 2013 and approved the proposed self-assessment plan culminating in submission of the final assessment to Board.  </w:t>
      </w:r>
      <w:r w:rsidR="00A022F3" w:rsidRPr="00F977BB">
        <w:t xml:space="preserve">Finally, the Committee received a report setting out </w:t>
      </w:r>
      <w:r w:rsidR="00F977BB">
        <w:t xml:space="preserve">the Quality Report 2012/13 and Quality Account 2013/14 </w:t>
      </w:r>
      <w:r w:rsidR="00A022F3" w:rsidRPr="00F977BB">
        <w:t xml:space="preserve">during the reporting period, </w:t>
      </w:r>
      <w:r w:rsidR="00F977BB">
        <w:t xml:space="preserve">and </w:t>
      </w:r>
      <w:r w:rsidR="00A022F3" w:rsidRPr="00F977BB">
        <w:t>formally reviewed Q1, Q2 and Q3 updates against the Trust</w:t>
      </w:r>
      <w:r w:rsidR="00D05DEE" w:rsidRPr="00F977BB">
        <w:t>-</w:t>
      </w:r>
      <w:r w:rsidR="00A022F3" w:rsidRPr="00F977BB">
        <w:t>approved Quality Account.</w:t>
      </w:r>
      <w:r w:rsidR="005C671D">
        <w:t xml:space="preserve">  </w:t>
      </w:r>
    </w:p>
    <w:p w:rsidR="008F5911" w:rsidRDefault="008F5911" w:rsidP="00CE4AC9">
      <w:pPr>
        <w:ind w:left="360"/>
        <w:jc w:val="both"/>
      </w:pPr>
    </w:p>
    <w:p w:rsidR="00387BA6" w:rsidRDefault="00387BA6" w:rsidP="00CE4AC9">
      <w:pPr>
        <w:ind w:left="360"/>
        <w:jc w:val="both"/>
      </w:pPr>
      <w:r>
        <w:t xml:space="preserve">The Committee reviewed and recommend </w:t>
      </w:r>
      <w:proofErr w:type="gramStart"/>
      <w:r>
        <w:t>to Board</w:t>
      </w:r>
      <w:proofErr w:type="gramEnd"/>
      <w:r>
        <w:t xml:space="preserve"> the Patient Experience Strategy in Jul 2013.  This was a new strategy which had been developed following consultation with service users and Governors.  Following Board approval, updates on implementing the strategy were presented to the Committee.</w:t>
      </w:r>
    </w:p>
    <w:p w:rsidR="00387BA6" w:rsidRDefault="00387BA6" w:rsidP="00CE4AC9">
      <w:pPr>
        <w:ind w:left="360"/>
        <w:jc w:val="both"/>
      </w:pPr>
    </w:p>
    <w:p w:rsidR="00387BA6" w:rsidRDefault="00387BA6" w:rsidP="00CE4AC9">
      <w:pPr>
        <w:ind w:left="360"/>
        <w:jc w:val="both"/>
      </w:pPr>
      <w:r>
        <w:t>In September 2013, the Committee approved the Trust Carers Strategy and corresponding divisional (directorate) action plans; the Board had considered a draft in June 2013 and delegated final authority to the Committee to approve the new strategy.</w:t>
      </w:r>
    </w:p>
    <w:p w:rsidR="00387BA6" w:rsidRDefault="00387BA6" w:rsidP="00CE4AC9">
      <w:pPr>
        <w:ind w:left="360"/>
        <w:jc w:val="both"/>
      </w:pPr>
    </w:p>
    <w:p w:rsidR="008F5911" w:rsidRPr="00387BA6" w:rsidRDefault="00387BA6" w:rsidP="00CE4AC9">
      <w:pPr>
        <w:ind w:left="360"/>
        <w:jc w:val="both"/>
      </w:pPr>
      <w:r>
        <w:t>In 2012/13, t</w:t>
      </w:r>
      <w:r w:rsidR="00170444" w:rsidRPr="00387BA6">
        <w:t xml:space="preserve">he Committee </w:t>
      </w:r>
      <w:r>
        <w:t xml:space="preserve">had </w:t>
      </w:r>
      <w:r w:rsidR="00170444" w:rsidRPr="00387BA6">
        <w:t xml:space="preserve">reviewed a proposed Workforce and OD Strategy 2013-16 but noted that with impending changes to the Trust’s management of Human Resources and OD, including reporting lines, that final recommendation to Board should be postponed until such time as the new arrangements were implemented.  </w:t>
      </w:r>
      <w:r>
        <w:t>During 2013/14 no further draft strategy was presented to the Committee and the Board has been kept informed of progress in relation to the OD and Leadership element of this strategy.</w:t>
      </w:r>
    </w:p>
    <w:p w:rsidR="008F5911" w:rsidRPr="00387BA6" w:rsidRDefault="008F5911" w:rsidP="00CE4AC9">
      <w:pPr>
        <w:ind w:left="360"/>
        <w:jc w:val="both"/>
        <w:rPr>
          <w:highlight w:val="yellow"/>
        </w:rPr>
      </w:pPr>
    </w:p>
    <w:p w:rsidR="00170444" w:rsidRDefault="002C361A" w:rsidP="00170444">
      <w:pPr>
        <w:ind w:left="360"/>
        <w:jc w:val="both"/>
      </w:pPr>
      <w:r>
        <w:t>In 2012/13, the Committee agreed to postpone the finalisation of a new communications and involvement strategy pending the implementation of new management arrangements for communications.  During 2013/14, a new Head of Communications and Engagement was appointed and undertook a review of the team and resourcing and set out an interim communications strategy as part of the Trust 5-year strategic plan submission that was approved by the Board.  A more detailed communications strategy will be developed once the communication team’s establishment and resourcing has been agreed and implemented.</w:t>
      </w:r>
    </w:p>
    <w:p w:rsidR="000371F5" w:rsidRDefault="000371F5" w:rsidP="00CE4AC9">
      <w:pPr>
        <w:ind w:left="360"/>
        <w:jc w:val="both"/>
      </w:pPr>
    </w:p>
    <w:p w:rsidR="00CE3D71" w:rsidRDefault="00CE3D71" w:rsidP="00CE3D71">
      <w:pPr>
        <w:jc w:val="both"/>
      </w:pPr>
    </w:p>
    <w:p w:rsidR="006C703C" w:rsidRDefault="008E7258" w:rsidP="00F42050">
      <w:pPr>
        <w:numPr>
          <w:ilvl w:val="0"/>
          <w:numId w:val="1"/>
        </w:numPr>
        <w:jc w:val="both"/>
        <w:rPr>
          <w:b/>
          <w:i/>
        </w:rPr>
      </w:pPr>
      <w:r>
        <w:rPr>
          <w:b/>
          <w:i/>
        </w:rPr>
        <w:t>Ensure effective interfaces between the Quality Improvement Committees and the co-ordination of risk management across the Trust</w:t>
      </w:r>
      <w:r w:rsidR="006C4FE2">
        <w:rPr>
          <w:b/>
          <w:i/>
        </w:rPr>
        <w:t>, both clinical and non-clinical areas, including the review and recommendation to the Board of the Risk Management Strategy</w:t>
      </w:r>
    </w:p>
    <w:p w:rsidR="0019627C" w:rsidRPr="00AE69F2" w:rsidRDefault="0019627C" w:rsidP="0019627C">
      <w:pPr>
        <w:ind w:left="720"/>
        <w:jc w:val="both"/>
      </w:pPr>
    </w:p>
    <w:p w:rsidR="00200A0D" w:rsidRPr="002D36F0" w:rsidRDefault="002D36F0" w:rsidP="00CE4AC9">
      <w:pPr>
        <w:ind w:left="360"/>
        <w:jc w:val="both"/>
      </w:pPr>
      <w:r>
        <w:t>In May 2013, the Committee received a report which set out the wide-ranging review of the Board Assurance Framework (BAF) structure and management.  Following implementation of the new BAF, t</w:t>
      </w:r>
      <w:r w:rsidR="0019627C" w:rsidRPr="002D36F0">
        <w:t>he Committee re</w:t>
      </w:r>
      <w:r w:rsidR="00D05DEE" w:rsidRPr="002D36F0">
        <w:t xml:space="preserve">ceived </w:t>
      </w:r>
      <w:r w:rsidR="008C7562" w:rsidRPr="002D36F0">
        <w:t>and reviewed update</w:t>
      </w:r>
      <w:r w:rsidR="0019627C" w:rsidRPr="002D36F0">
        <w:t xml:space="preserve"> report</w:t>
      </w:r>
      <w:r w:rsidR="00AE69F2" w:rsidRPr="002D36F0">
        <w:t>s</w:t>
      </w:r>
      <w:r w:rsidR="0019627C" w:rsidRPr="002D36F0">
        <w:t xml:space="preserve"> in </w:t>
      </w:r>
      <w:r>
        <w:t>September 2013, November 2013 and February 2014</w:t>
      </w:r>
      <w:r w:rsidR="009E2D39" w:rsidRPr="002D36F0">
        <w:t>,</w:t>
      </w:r>
      <w:r w:rsidR="004B5737" w:rsidRPr="002D36F0">
        <w:t xml:space="preserve"> </w:t>
      </w:r>
      <w:r w:rsidR="0019627C" w:rsidRPr="002D36F0">
        <w:t xml:space="preserve">identifying areas of insufficient assurance, new risks and progress in improving the effectiveness of key controls. </w:t>
      </w:r>
      <w:r w:rsidR="00865143" w:rsidRPr="002D36F0">
        <w:t xml:space="preserve"> </w:t>
      </w:r>
    </w:p>
    <w:p w:rsidR="00200A0D" w:rsidRPr="002D36F0" w:rsidRDefault="00200A0D" w:rsidP="00CE4AC9">
      <w:pPr>
        <w:ind w:left="360"/>
        <w:jc w:val="both"/>
        <w:rPr>
          <w:color w:val="FF0000"/>
          <w:highlight w:val="yellow"/>
        </w:rPr>
      </w:pPr>
    </w:p>
    <w:p w:rsidR="0019627C" w:rsidRPr="002D36F0" w:rsidRDefault="00200A0D" w:rsidP="00CE4AC9">
      <w:pPr>
        <w:ind w:left="360"/>
        <w:jc w:val="both"/>
      </w:pPr>
      <w:r w:rsidRPr="002D36F0">
        <w:t xml:space="preserve">The Committee </w:t>
      </w:r>
      <w:r w:rsidR="005C671D" w:rsidRPr="002D36F0">
        <w:t xml:space="preserve">did not review the </w:t>
      </w:r>
      <w:r w:rsidRPr="002D36F0">
        <w:t xml:space="preserve">Risk Management </w:t>
      </w:r>
      <w:r w:rsidR="00170444" w:rsidRPr="002D36F0">
        <w:t>Policy</w:t>
      </w:r>
      <w:r w:rsidRPr="002D36F0">
        <w:t xml:space="preserve"> as reported in </w:t>
      </w:r>
      <w:r w:rsidR="00170444" w:rsidRPr="002D36F0">
        <w:t xml:space="preserve">section </w:t>
      </w:r>
      <w:r w:rsidRPr="002D36F0">
        <w:t xml:space="preserve">2 </w:t>
      </w:r>
      <w:r w:rsidR="00170444" w:rsidRPr="002D36F0">
        <w:t>of the Annual Report</w:t>
      </w:r>
      <w:r w:rsidRPr="002D36F0">
        <w:t>.</w:t>
      </w:r>
    </w:p>
    <w:p w:rsidR="000B2B5E" w:rsidRPr="002D36F0" w:rsidRDefault="000B2B5E" w:rsidP="008C7562">
      <w:pPr>
        <w:ind w:left="360"/>
        <w:jc w:val="both"/>
        <w:rPr>
          <w:highlight w:val="yellow"/>
        </w:rPr>
      </w:pPr>
    </w:p>
    <w:p w:rsidR="000B2B5E" w:rsidRPr="00AA74D2" w:rsidRDefault="00AA74D2" w:rsidP="00AA74D2">
      <w:pPr>
        <w:ind w:left="360"/>
        <w:jc w:val="both"/>
      </w:pPr>
      <w:r>
        <w:t>During the reporting period, t</w:t>
      </w:r>
      <w:r w:rsidRPr="00AA74D2">
        <w:t>he Committee approved</w:t>
      </w:r>
      <w:r>
        <w:t xml:space="preserve"> the Clinical Audit Plan for 2013/14 and then 2014/15.  </w:t>
      </w:r>
      <w:r w:rsidR="000B2B5E" w:rsidRPr="00AA74D2">
        <w:t xml:space="preserve">The Committee also received summary </w:t>
      </w:r>
      <w:r w:rsidR="000B2B5E" w:rsidRPr="00AA74D2">
        <w:lastRenderedPageBreak/>
        <w:t>reports on clinical audit outcomes throughout the reporting period at every meeting of the Committee.  In considering these audits the Committee interrogated the details of audits and results, seeking assurance on follow-up from the audits and action to be taken, and frequency of re-audits.</w:t>
      </w:r>
      <w:r>
        <w:t xml:space="preserve">  During the course of the year, the Committee focused on clinical audit in considerable detail as a consequence of concerns raised by the Committee itself, alongside those of the Audit Committee and Board (which had been referred to the Committee).  Action taken by the Committee to address the concerns included inviting clinical directors from service divisions to become regular attendees at meetings in order to support the Committee in its role </w:t>
      </w:r>
      <w:r w:rsidR="00F4621E">
        <w:t>of reviewing the clinical audit plan and summaries and ensuring improvements were made.</w:t>
      </w:r>
      <w:r w:rsidR="000B2B5E" w:rsidRPr="00AA74D2">
        <w:t xml:space="preserve">  </w:t>
      </w:r>
      <w:r w:rsidR="00F4621E">
        <w:t>The Committee also reviewed and approved a response to the Audit Committee which had requested assurances on the Clinical Audit Plan.</w:t>
      </w:r>
    </w:p>
    <w:p w:rsidR="000B2B5E" w:rsidRPr="009308F7" w:rsidRDefault="000B2B5E" w:rsidP="00865143">
      <w:pPr>
        <w:jc w:val="both"/>
      </w:pPr>
    </w:p>
    <w:p w:rsidR="0019627C" w:rsidRPr="009308F7" w:rsidRDefault="009E2D39" w:rsidP="00CE4AC9">
      <w:pPr>
        <w:ind w:left="360"/>
        <w:jc w:val="both"/>
      </w:pPr>
      <w:r w:rsidRPr="009308F7">
        <w:t>The C</w:t>
      </w:r>
      <w:r w:rsidR="0019627C" w:rsidRPr="009308F7">
        <w:t>ommittee received assurance reports through</w:t>
      </w:r>
      <w:r w:rsidR="00474773" w:rsidRPr="009308F7">
        <w:t>out</w:t>
      </w:r>
      <w:r w:rsidR="0019627C" w:rsidRPr="009308F7">
        <w:t xml:space="preserve"> the year</w:t>
      </w:r>
      <w:r w:rsidR="00DF00BA" w:rsidRPr="009308F7">
        <w:t xml:space="preserve"> for the following areas:</w:t>
      </w:r>
    </w:p>
    <w:p w:rsidR="009E34B3" w:rsidRPr="009308F7" w:rsidRDefault="009E34B3" w:rsidP="00DF00BA">
      <w:pPr>
        <w:numPr>
          <w:ilvl w:val="0"/>
          <w:numId w:val="14"/>
        </w:numPr>
        <w:jc w:val="both"/>
      </w:pPr>
      <w:r w:rsidRPr="009308F7">
        <w:t xml:space="preserve">Information Governance </w:t>
      </w:r>
    </w:p>
    <w:p w:rsidR="009E34B3" w:rsidRPr="009308F7" w:rsidRDefault="009E34B3" w:rsidP="00DF00BA">
      <w:pPr>
        <w:numPr>
          <w:ilvl w:val="0"/>
          <w:numId w:val="14"/>
        </w:numPr>
        <w:jc w:val="both"/>
      </w:pPr>
      <w:r w:rsidRPr="009308F7">
        <w:t>Complaint and PALS</w:t>
      </w:r>
    </w:p>
    <w:p w:rsidR="009E34B3" w:rsidRPr="009308F7" w:rsidRDefault="009E34B3" w:rsidP="00DF00BA">
      <w:pPr>
        <w:numPr>
          <w:ilvl w:val="0"/>
          <w:numId w:val="14"/>
        </w:numPr>
        <w:jc w:val="both"/>
      </w:pPr>
      <w:r w:rsidRPr="009308F7">
        <w:t>Equality Delivery System</w:t>
      </w:r>
    </w:p>
    <w:p w:rsidR="009E34B3" w:rsidRPr="009308F7" w:rsidRDefault="009E34B3" w:rsidP="00DF00BA">
      <w:pPr>
        <w:numPr>
          <w:ilvl w:val="0"/>
          <w:numId w:val="14"/>
        </w:numPr>
        <w:jc w:val="both"/>
      </w:pPr>
      <w:r w:rsidRPr="009308F7">
        <w:t>Medicines Management</w:t>
      </w:r>
    </w:p>
    <w:p w:rsidR="009E34B3" w:rsidRPr="009308F7" w:rsidRDefault="009E34B3" w:rsidP="00DF00BA">
      <w:pPr>
        <w:numPr>
          <w:ilvl w:val="0"/>
          <w:numId w:val="14"/>
        </w:numPr>
        <w:jc w:val="both"/>
      </w:pPr>
      <w:r w:rsidRPr="009308F7">
        <w:t>Mental Health Act</w:t>
      </w:r>
    </w:p>
    <w:p w:rsidR="009E34B3" w:rsidRDefault="009E34B3" w:rsidP="00DF00BA">
      <w:pPr>
        <w:numPr>
          <w:ilvl w:val="0"/>
          <w:numId w:val="14"/>
        </w:numPr>
        <w:jc w:val="both"/>
      </w:pPr>
      <w:r w:rsidRPr="009308F7">
        <w:t>Freedom of Information Act</w:t>
      </w:r>
    </w:p>
    <w:p w:rsidR="009308F7" w:rsidRPr="009308F7" w:rsidRDefault="009308F7" w:rsidP="00DF00BA">
      <w:pPr>
        <w:numPr>
          <w:ilvl w:val="0"/>
          <w:numId w:val="14"/>
        </w:numPr>
        <w:jc w:val="both"/>
      </w:pPr>
      <w:r>
        <w:t>Patient and Personal Safety Training</w:t>
      </w:r>
    </w:p>
    <w:p w:rsidR="00A617B4" w:rsidRPr="00DF449A" w:rsidRDefault="00A617B4" w:rsidP="009E34B3">
      <w:pPr>
        <w:jc w:val="both"/>
      </w:pPr>
    </w:p>
    <w:p w:rsidR="008E7258" w:rsidRPr="00A5167A" w:rsidRDefault="008E7258" w:rsidP="00F42050">
      <w:pPr>
        <w:numPr>
          <w:ilvl w:val="0"/>
          <w:numId w:val="1"/>
        </w:numPr>
        <w:jc w:val="both"/>
        <w:rPr>
          <w:b/>
          <w:i/>
        </w:rPr>
      </w:pPr>
      <w:r w:rsidRPr="00A5167A">
        <w:rPr>
          <w:b/>
          <w:i/>
        </w:rPr>
        <w:t>Ensure that workforce planning, education and training are fully integrated into the integrated governance framework</w:t>
      </w:r>
    </w:p>
    <w:p w:rsidR="00435B9B" w:rsidRPr="00A5167A" w:rsidRDefault="008F1042" w:rsidP="00190551">
      <w:pPr>
        <w:ind w:left="360"/>
        <w:jc w:val="both"/>
      </w:pPr>
      <w:r w:rsidRPr="00A5167A">
        <w:t xml:space="preserve">The Committee received </w:t>
      </w:r>
      <w:r w:rsidR="007455A9">
        <w:t>two</w:t>
      </w:r>
      <w:r w:rsidR="00A5167A">
        <w:t xml:space="preserve"> report</w:t>
      </w:r>
      <w:r w:rsidR="007455A9">
        <w:t>s</w:t>
      </w:r>
      <w:r w:rsidR="00190551" w:rsidRPr="00A5167A">
        <w:t xml:space="preserve"> on </w:t>
      </w:r>
      <w:r w:rsidRPr="00A5167A">
        <w:t xml:space="preserve">general </w:t>
      </w:r>
      <w:r w:rsidR="00A978DF" w:rsidRPr="00A5167A">
        <w:t>HR matters</w:t>
      </w:r>
      <w:r w:rsidRPr="00A5167A">
        <w:t xml:space="preserve">, </w:t>
      </w:r>
      <w:r w:rsidR="00A5167A">
        <w:t xml:space="preserve">with a focus </w:t>
      </w:r>
      <w:r w:rsidR="007455A9">
        <w:t xml:space="preserve">on </w:t>
      </w:r>
      <w:r w:rsidRPr="00A5167A">
        <w:t xml:space="preserve">employment law, </w:t>
      </w:r>
      <w:r w:rsidR="00190551" w:rsidRPr="00A5167A">
        <w:t xml:space="preserve">but no </w:t>
      </w:r>
      <w:r w:rsidR="000E285C" w:rsidRPr="00A5167A">
        <w:t>progress report</w:t>
      </w:r>
      <w:r w:rsidR="00435B9B" w:rsidRPr="00A5167A">
        <w:t xml:space="preserve"> against the HR</w:t>
      </w:r>
      <w:r w:rsidR="00EA54CC" w:rsidRPr="00A5167A">
        <w:t xml:space="preserve"> </w:t>
      </w:r>
      <w:r w:rsidRPr="00A5167A">
        <w:t>strategy</w:t>
      </w:r>
      <w:r w:rsidR="000E285C" w:rsidRPr="00A5167A">
        <w:t xml:space="preserve"> within the reporting period </w:t>
      </w:r>
      <w:r w:rsidR="00190551" w:rsidRPr="00A5167A">
        <w:t xml:space="preserve">was provided.  </w:t>
      </w:r>
      <w:r w:rsidRPr="00A5167A">
        <w:t>However</w:t>
      </w:r>
      <w:r w:rsidR="00D46FF3" w:rsidRPr="00A5167A">
        <w:t xml:space="preserve">, </w:t>
      </w:r>
      <w:r w:rsidR="00A5167A">
        <w:t>a</w:t>
      </w:r>
      <w:r w:rsidR="00C91FE9">
        <w:t xml:space="preserve">s in previous years, the Board has </w:t>
      </w:r>
      <w:r w:rsidR="00A978DF" w:rsidRPr="00A5167A">
        <w:t>received regular updates on</w:t>
      </w:r>
      <w:r w:rsidR="00C91FE9">
        <w:t xml:space="preserve"> training and workforce matters, with a workforce performance report now presented to each Board meeting.</w:t>
      </w:r>
    </w:p>
    <w:p w:rsidR="00435B9B" w:rsidRPr="00C91FE9" w:rsidRDefault="00435B9B" w:rsidP="00AF79A8">
      <w:pPr>
        <w:ind w:left="360"/>
        <w:jc w:val="both"/>
      </w:pPr>
    </w:p>
    <w:p w:rsidR="00DF00BA" w:rsidRPr="00C91FE9" w:rsidRDefault="008E7258" w:rsidP="007E15DB">
      <w:pPr>
        <w:numPr>
          <w:ilvl w:val="0"/>
          <w:numId w:val="1"/>
        </w:numPr>
        <w:jc w:val="both"/>
        <w:rPr>
          <w:b/>
          <w:i/>
        </w:rPr>
      </w:pPr>
      <w:r w:rsidRPr="00C91FE9">
        <w:rPr>
          <w:b/>
          <w:i/>
        </w:rPr>
        <w:t>Ensure the readiness for submission to external governance reviews</w:t>
      </w:r>
    </w:p>
    <w:p w:rsidR="008F1042" w:rsidRDefault="008F1042" w:rsidP="00435B9B">
      <w:pPr>
        <w:ind w:left="360"/>
        <w:jc w:val="both"/>
      </w:pPr>
      <w:r w:rsidRPr="00C91FE9">
        <w:t>During the reporting period, the Committee did not consider the submissions for any external governance reviews.  Although, the Committee kept compliance with CQC registration under regular review either through consider specific reports on CQC Outcomes or through reviewing the work undertaken by the QUICS.</w:t>
      </w:r>
      <w:r w:rsidR="00C91FE9">
        <w:t xml:space="preserve">  Alongside this, through the updates on the IGF review taking place, the Committee noted and discussed the emerging requirement for every NHS foundation trust to have an external governance review every three years (in line with Monitor’s requirements).  The Committee noted that the Trust would undertake this review in 2015/16.</w:t>
      </w:r>
    </w:p>
    <w:p w:rsidR="00C91FE9" w:rsidRDefault="00C91FE9" w:rsidP="00435B9B">
      <w:pPr>
        <w:ind w:left="360"/>
        <w:jc w:val="both"/>
      </w:pPr>
    </w:p>
    <w:p w:rsidR="00C91FE9" w:rsidRPr="00C91FE9" w:rsidRDefault="00114BBC" w:rsidP="00435B9B">
      <w:pPr>
        <w:ind w:left="360"/>
        <w:jc w:val="both"/>
      </w:pPr>
      <w:r>
        <w:t xml:space="preserve">As previously </w:t>
      </w:r>
      <w:proofErr w:type="gramStart"/>
      <w:r>
        <w:t>reported,</w:t>
      </w:r>
      <w:proofErr w:type="gramEnd"/>
      <w:r>
        <w:t xml:space="preserve"> </w:t>
      </w:r>
      <w:r w:rsidRPr="00F977BB">
        <w:t xml:space="preserve">the Committee reviewed the Trust’s self-assessment against Monitor’s Quality Governance Framework in </w:t>
      </w:r>
      <w:r>
        <w:t xml:space="preserve">November 2013 and approved the proposed self-assessment plan culminating in submission of the final assessment to Board.  </w:t>
      </w:r>
    </w:p>
    <w:p w:rsidR="002D7573" w:rsidRPr="00C91FE9" w:rsidRDefault="002D7573" w:rsidP="00435B9B">
      <w:pPr>
        <w:ind w:left="360"/>
        <w:jc w:val="both"/>
      </w:pPr>
    </w:p>
    <w:p w:rsidR="002D7573" w:rsidRPr="00C91FE9" w:rsidRDefault="002D7573" w:rsidP="00435B9B">
      <w:pPr>
        <w:ind w:left="360"/>
        <w:jc w:val="both"/>
      </w:pPr>
      <w:r w:rsidRPr="00C91FE9">
        <w:lastRenderedPageBreak/>
        <w:t xml:space="preserve">The Committee also </w:t>
      </w:r>
      <w:r w:rsidR="00C91FE9">
        <w:t>received a report setting out the Trust’s progress on implementing the relevant recommendations of the second Francis report.</w:t>
      </w:r>
    </w:p>
    <w:p w:rsidR="009E34B3" w:rsidRPr="00B01ACE" w:rsidRDefault="009E34B3" w:rsidP="00435B9B">
      <w:pPr>
        <w:ind w:left="360"/>
        <w:jc w:val="both"/>
        <w:rPr>
          <w:highlight w:val="yellow"/>
        </w:rPr>
      </w:pPr>
    </w:p>
    <w:p w:rsidR="00CD7C93" w:rsidRPr="00114BBC" w:rsidRDefault="00CD7C93" w:rsidP="008F1042">
      <w:pPr>
        <w:jc w:val="both"/>
        <w:rPr>
          <w:color w:val="FF0000"/>
        </w:rPr>
      </w:pPr>
    </w:p>
    <w:p w:rsidR="008E7258" w:rsidRPr="00114BBC" w:rsidRDefault="008E7258" w:rsidP="00F42050">
      <w:pPr>
        <w:numPr>
          <w:ilvl w:val="0"/>
          <w:numId w:val="1"/>
        </w:numPr>
        <w:jc w:val="both"/>
        <w:rPr>
          <w:b/>
          <w:i/>
        </w:rPr>
      </w:pPr>
      <w:r w:rsidRPr="00114BBC">
        <w:rPr>
          <w:b/>
          <w:i/>
        </w:rPr>
        <w:t>Ensure the findings of the Audit Committee are responded to</w:t>
      </w:r>
      <w:r w:rsidR="00ED696B" w:rsidRPr="00114BBC">
        <w:rPr>
          <w:b/>
          <w:i/>
        </w:rPr>
        <w:t xml:space="preserve"> and provide to the Audit Committee an annual report on the assurance gained throughout the year relating to clinical governance issues not considered directly by the Audit Committee.</w:t>
      </w:r>
    </w:p>
    <w:p w:rsidR="00ED696B" w:rsidRPr="00114BBC" w:rsidRDefault="005A6A87" w:rsidP="005A6A87">
      <w:pPr>
        <w:ind w:left="360"/>
        <w:jc w:val="both"/>
      </w:pPr>
      <w:r w:rsidRPr="00114BBC">
        <w:t xml:space="preserve">The Audit Committee </w:t>
      </w:r>
      <w:r w:rsidR="003B0663" w:rsidRPr="00114BBC">
        <w:t>referred one matter to the Committee concerning clinical audits (see section 3 in the Annual Report)</w:t>
      </w:r>
      <w:r w:rsidR="00114BBC">
        <w:t>.  As a consequence, the Committee commissioned work to provide further assurance to the Audit Committee on the work taking place to improve clinical audit results and implementation of action plans</w:t>
      </w:r>
      <w:r w:rsidR="003B0663" w:rsidRPr="00114BBC">
        <w:t xml:space="preserve">.  </w:t>
      </w:r>
      <w:r w:rsidR="00ED696B" w:rsidRPr="00114BBC">
        <w:t xml:space="preserve">The current annual report, which </w:t>
      </w:r>
      <w:r w:rsidR="00114BBC">
        <w:t>sets out the Committee’s main areas of focus over the year</w:t>
      </w:r>
      <w:r w:rsidR="00ED696B" w:rsidRPr="00114BBC">
        <w:t>, will be shared with the Audit Committee.</w:t>
      </w:r>
    </w:p>
    <w:p w:rsidR="00BE3CFE" w:rsidRPr="00114BBC" w:rsidRDefault="00BE3CFE" w:rsidP="005A6A87">
      <w:pPr>
        <w:ind w:left="360"/>
        <w:jc w:val="both"/>
      </w:pPr>
    </w:p>
    <w:p w:rsidR="008E7258" w:rsidRPr="00114BBC" w:rsidRDefault="008E7258" w:rsidP="00F42050">
      <w:pPr>
        <w:numPr>
          <w:ilvl w:val="0"/>
          <w:numId w:val="1"/>
        </w:numPr>
        <w:jc w:val="both"/>
        <w:rPr>
          <w:b/>
          <w:i/>
        </w:rPr>
      </w:pPr>
      <w:r w:rsidRPr="00114BBC">
        <w:rPr>
          <w:b/>
          <w:i/>
        </w:rPr>
        <w:t xml:space="preserve">Agree and </w:t>
      </w:r>
      <w:r w:rsidR="00A520A8" w:rsidRPr="00114BBC">
        <w:rPr>
          <w:b/>
          <w:i/>
        </w:rPr>
        <w:t>monitor the w</w:t>
      </w:r>
      <w:r w:rsidRPr="00114BBC">
        <w:rPr>
          <w:b/>
          <w:i/>
        </w:rPr>
        <w:t>ork of the Quality Improvement Committees and review annually their performance</w:t>
      </w:r>
    </w:p>
    <w:p w:rsidR="0014712B" w:rsidRPr="00114BBC" w:rsidRDefault="003B0663" w:rsidP="002929F0">
      <w:pPr>
        <w:ind w:left="360"/>
        <w:jc w:val="both"/>
      </w:pPr>
      <w:r w:rsidRPr="00114BBC">
        <w:t>The Committee reviewed</w:t>
      </w:r>
      <w:r w:rsidR="00735166" w:rsidRPr="00114BBC">
        <w:t xml:space="preserve"> the </w:t>
      </w:r>
      <w:r w:rsidR="00114BBC">
        <w:t>2012/13</w:t>
      </w:r>
      <w:r w:rsidRPr="00114BBC">
        <w:t xml:space="preserve"> </w:t>
      </w:r>
      <w:r w:rsidR="00735166" w:rsidRPr="00114BBC">
        <w:t>annual reports of each QUI</w:t>
      </w:r>
      <w:r w:rsidR="005F446B" w:rsidRPr="00114BBC">
        <w:t>C</w:t>
      </w:r>
      <w:r w:rsidRPr="00114BBC">
        <w:t xml:space="preserve"> in </w:t>
      </w:r>
      <w:r w:rsidR="00894E98">
        <w:t>May 2013, July 2013</w:t>
      </w:r>
      <w:r w:rsidRPr="00114BBC">
        <w:t xml:space="preserve"> and </w:t>
      </w:r>
      <w:r w:rsidR="00894E98">
        <w:t xml:space="preserve">September 2013; these contained work plans for the year ahead.  </w:t>
      </w:r>
      <w:r w:rsidR="00703201" w:rsidRPr="00114BBC">
        <w:t>Minutes from each QUIC meeting and oral updates from relevant chairs were prov</w:t>
      </w:r>
      <w:r w:rsidR="00D05DEE" w:rsidRPr="00114BBC">
        <w:t>id</w:t>
      </w:r>
      <w:r w:rsidR="00703201" w:rsidRPr="00114BBC">
        <w:t>ed at each meeting of the Committee providing the opportunity for progress and performance to be monitored.</w:t>
      </w:r>
    </w:p>
    <w:p w:rsidR="004E0ED1" w:rsidRPr="00894E98" w:rsidRDefault="004E0ED1" w:rsidP="004E0ED1">
      <w:pPr>
        <w:ind w:left="360"/>
        <w:jc w:val="both"/>
      </w:pPr>
    </w:p>
    <w:p w:rsidR="008E7258" w:rsidRPr="00894E98" w:rsidRDefault="008E7258" w:rsidP="00F42050">
      <w:pPr>
        <w:numPr>
          <w:ilvl w:val="0"/>
          <w:numId w:val="1"/>
        </w:numPr>
        <w:jc w:val="both"/>
        <w:rPr>
          <w:b/>
          <w:i/>
        </w:rPr>
      </w:pPr>
      <w:r w:rsidRPr="00894E98">
        <w:rPr>
          <w:b/>
          <w:i/>
        </w:rPr>
        <w:t>Receive reports from the Section 75 J</w:t>
      </w:r>
      <w:r w:rsidR="004A49D4" w:rsidRPr="00894E98">
        <w:rPr>
          <w:b/>
          <w:i/>
        </w:rPr>
        <w:t xml:space="preserve">oint </w:t>
      </w:r>
      <w:r w:rsidRPr="00894E98">
        <w:rPr>
          <w:b/>
          <w:i/>
        </w:rPr>
        <w:t>M</w:t>
      </w:r>
      <w:r w:rsidR="004A49D4" w:rsidRPr="00894E98">
        <w:rPr>
          <w:b/>
          <w:i/>
        </w:rPr>
        <w:t xml:space="preserve">anagement </w:t>
      </w:r>
      <w:r w:rsidRPr="00894E98">
        <w:rPr>
          <w:b/>
          <w:i/>
        </w:rPr>
        <w:t>G</w:t>
      </w:r>
      <w:r w:rsidR="004A49D4" w:rsidRPr="00894E98">
        <w:rPr>
          <w:b/>
          <w:i/>
        </w:rPr>
        <w:t>roup</w:t>
      </w:r>
      <w:r w:rsidRPr="00894E98">
        <w:rPr>
          <w:b/>
          <w:i/>
        </w:rPr>
        <w:t>s as required by the Section 75 agreements</w:t>
      </w:r>
    </w:p>
    <w:p w:rsidR="0018638E" w:rsidRPr="00894E98" w:rsidRDefault="00DA605E" w:rsidP="00DA605E">
      <w:pPr>
        <w:ind w:left="360"/>
        <w:jc w:val="both"/>
      </w:pPr>
      <w:r>
        <w:t>At every meeting the Committee</w:t>
      </w:r>
      <w:r w:rsidR="0080328C">
        <w:t xml:space="preserve"> received an overview of the main items considered by the JMGs either through receiving </w:t>
      </w:r>
      <w:r w:rsidR="00F5272D" w:rsidRPr="00894E98">
        <w:t xml:space="preserve">minutes of the </w:t>
      </w:r>
      <w:r w:rsidR="00EA34A8" w:rsidRPr="00894E98">
        <w:t>county</w:t>
      </w:r>
      <w:r w:rsidR="00D05DEE" w:rsidRPr="00894E98">
        <w:t>-</w:t>
      </w:r>
      <w:r w:rsidR="00F5272D" w:rsidRPr="00894E98">
        <w:t xml:space="preserve">based </w:t>
      </w:r>
      <w:r w:rsidR="0018638E" w:rsidRPr="00894E98">
        <w:t>JMG</w:t>
      </w:r>
      <w:r w:rsidR="00F5272D" w:rsidRPr="00894E98">
        <w:t xml:space="preserve"> meeting</w:t>
      </w:r>
      <w:r w:rsidR="007A5BDF" w:rsidRPr="00894E98">
        <w:t xml:space="preserve">s </w:t>
      </w:r>
      <w:r w:rsidR="0080328C">
        <w:t xml:space="preserve">or </w:t>
      </w:r>
      <w:r>
        <w:t>an oral update</w:t>
      </w:r>
      <w:r w:rsidR="0080328C">
        <w:t>.</w:t>
      </w:r>
      <w:r>
        <w:t xml:space="preserve">  </w:t>
      </w:r>
    </w:p>
    <w:p w:rsidR="00437118" w:rsidRPr="00B01ACE" w:rsidRDefault="00437118" w:rsidP="00437118">
      <w:pPr>
        <w:ind w:left="360"/>
        <w:jc w:val="both"/>
        <w:rPr>
          <w:highlight w:val="yellow"/>
        </w:rPr>
      </w:pPr>
    </w:p>
    <w:p w:rsidR="00BE3CFE" w:rsidRPr="0080328C" w:rsidRDefault="00BE3CFE" w:rsidP="00F42050">
      <w:pPr>
        <w:numPr>
          <w:ilvl w:val="0"/>
          <w:numId w:val="1"/>
        </w:numPr>
        <w:jc w:val="both"/>
        <w:rPr>
          <w:b/>
          <w:i/>
        </w:rPr>
      </w:pPr>
      <w:r w:rsidRPr="0080328C">
        <w:rPr>
          <w:b/>
          <w:i/>
        </w:rPr>
        <w:t>The Committee shall receive and review at each o</w:t>
      </w:r>
      <w:r w:rsidR="000E285C" w:rsidRPr="0080328C">
        <w:rPr>
          <w:b/>
          <w:i/>
        </w:rPr>
        <w:t>f its meetings the minutes of th</w:t>
      </w:r>
      <w:r w:rsidRPr="0080328C">
        <w:rPr>
          <w:b/>
          <w:i/>
        </w:rPr>
        <w:t xml:space="preserve">e Quality Improvement Committees with an oral summary of the business transacted </w:t>
      </w:r>
    </w:p>
    <w:p w:rsidR="00E3686D" w:rsidRPr="0080328C" w:rsidRDefault="007A5BDF" w:rsidP="006715E2">
      <w:pPr>
        <w:ind w:left="360"/>
        <w:jc w:val="both"/>
      </w:pPr>
      <w:r w:rsidRPr="0080328C">
        <w:t>As reported in section 7 of the annual report, m</w:t>
      </w:r>
      <w:r w:rsidR="00BE3CFE" w:rsidRPr="0080328C">
        <w:t>inutes of the QUICs were considered at each mee</w:t>
      </w:r>
      <w:r w:rsidRPr="0080328C">
        <w:t>ting of the Committee with the c</w:t>
      </w:r>
      <w:r w:rsidR="00BE3CFE" w:rsidRPr="0080328C">
        <w:t xml:space="preserve">hairs invited to highlight any key items of business or assurance received by the QUICs. Issues raised by the Committee </w:t>
      </w:r>
      <w:r w:rsidR="00E3686D" w:rsidRPr="0080328C">
        <w:t xml:space="preserve">in relation to assurance and emerging risk </w:t>
      </w:r>
      <w:r w:rsidR="00BE3CFE" w:rsidRPr="0080328C">
        <w:t>in considering the minutes included</w:t>
      </w:r>
      <w:r w:rsidR="00E3686D" w:rsidRPr="0080328C">
        <w:t>:</w:t>
      </w:r>
    </w:p>
    <w:p w:rsidR="00D638D6" w:rsidRDefault="007455A9" w:rsidP="0097321C">
      <w:pPr>
        <w:numPr>
          <w:ilvl w:val="0"/>
          <w:numId w:val="17"/>
        </w:numPr>
        <w:jc w:val="both"/>
      </w:pPr>
      <w:r>
        <w:t xml:space="preserve">Data entry on </w:t>
      </w:r>
      <w:proofErr w:type="spellStart"/>
      <w:r>
        <w:t>RiO</w:t>
      </w:r>
      <w:proofErr w:type="spellEnd"/>
      <w:r>
        <w:t xml:space="preserve"> and clarifying requirements with staff.</w:t>
      </w:r>
    </w:p>
    <w:p w:rsidR="007455A9" w:rsidRDefault="007455A9" w:rsidP="0097321C">
      <w:pPr>
        <w:numPr>
          <w:ilvl w:val="0"/>
          <w:numId w:val="17"/>
        </w:numPr>
        <w:jc w:val="both"/>
      </w:pPr>
      <w:r>
        <w:t>Changes to the Services and Estates Committee structure to allow it to link more closely with the weekly clinical governance meetings.</w:t>
      </w:r>
    </w:p>
    <w:p w:rsidR="007455A9" w:rsidRDefault="007455A9" w:rsidP="0097321C">
      <w:pPr>
        <w:numPr>
          <w:ilvl w:val="0"/>
          <w:numId w:val="17"/>
        </w:numPr>
        <w:jc w:val="both"/>
      </w:pPr>
      <w:r>
        <w:t>Structures to support R&amp;D oversight and governance.</w:t>
      </w:r>
    </w:p>
    <w:p w:rsidR="007455A9" w:rsidRDefault="007455A9" w:rsidP="0097321C">
      <w:pPr>
        <w:numPr>
          <w:ilvl w:val="0"/>
          <w:numId w:val="17"/>
        </w:numPr>
        <w:jc w:val="both"/>
      </w:pPr>
      <w:r>
        <w:t>Mental Health Act KPIs.</w:t>
      </w:r>
    </w:p>
    <w:p w:rsidR="007455A9" w:rsidRPr="0080328C" w:rsidRDefault="007455A9" w:rsidP="0097321C">
      <w:pPr>
        <w:numPr>
          <w:ilvl w:val="0"/>
          <w:numId w:val="17"/>
        </w:numPr>
        <w:jc w:val="both"/>
      </w:pPr>
      <w:r>
        <w:t>Application of the Manchester ligature audit tool.</w:t>
      </w:r>
    </w:p>
    <w:p w:rsidR="00E3686D" w:rsidRPr="00B01ACE" w:rsidRDefault="00E3686D" w:rsidP="00BE3CFE">
      <w:pPr>
        <w:jc w:val="both"/>
        <w:rPr>
          <w:b/>
          <w:i/>
          <w:highlight w:val="yellow"/>
        </w:rPr>
      </w:pPr>
    </w:p>
    <w:p w:rsidR="00BE3CFE" w:rsidRPr="0080328C" w:rsidRDefault="003F106C" w:rsidP="007A5BDF">
      <w:pPr>
        <w:ind w:left="426"/>
        <w:jc w:val="both"/>
      </w:pPr>
      <w:r w:rsidRPr="0080328C">
        <w:t>As in previous years, t</w:t>
      </w:r>
      <w:r w:rsidR="00E3686D" w:rsidRPr="0080328C">
        <w:t xml:space="preserve">he late </w:t>
      </w:r>
      <w:r w:rsidR="0018638E" w:rsidRPr="0080328C">
        <w:t>submission of minutes</w:t>
      </w:r>
      <w:r w:rsidR="00E3686D" w:rsidRPr="0080328C">
        <w:t xml:space="preserve"> to the </w:t>
      </w:r>
      <w:r w:rsidRPr="0080328C">
        <w:t>Committee</w:t>
      </w:r>
      <w:r w:rsidR="00E3686D" w:rsidRPr="0080328C">
        <w:t xml:space="preserve"> was noted as a concern. </w:t>
      </w:r>
      <w:r w:rsidRPr="0080328C">
        <w:t xml:space="preserve"> </w:t>
      </w:r>
      <w:r w:rsidR="0080328C">
        <w:t xml:space="preserve">This was also identified through the IGF review and, as a consequence, the Board agreed that for the new quality sub-committees </w:t>
      </w:r>
      <w:r w:rsidR="0080328C">
        <w:lastRenderedPageBreak/>
        <w:t>would not submit minutes to its parent committee but an escalation report after each meeting.</w:t>
      </w:r>
      <w:r w:rsidR="00F5272D" w:rsidRPr="0080328C">
        <w:t xml:space="preserve"> </w:t>
      </w:r>
    </w:p>
    <w:p w:rsidR="00F5272D" w:rsidRPr="00B01ACE" w:rsidRDefault="00F5272D" w:rsidP="00E3686D">
      <w:pPr>
        <w:ind w:left="720"/>
        <w:jc w:val="both"/>
        <w:rPr>
          <w:highlight w:val="yellow"/>
        </w:rPr>
      </w:pPr>
    </w:p>
    <w:p w:rsidR="008E7258" w:rsidRPr="001A4EBC" w:rsidRDefault="008E7258" w:rsidP="00F42050">
      <w:pPr>
        <w:numPr>
          <w:ilvl w:val="0"/>
          <w:numId w:val="1"/>
        </w:numPr>
        <w:jc w:val="both"/>
        <w:rPr>
          <w:b/>
          <w:i/>
        </w:rPr>
      </w:pPr>
      <w:r w:rsidRPr="001A4EBC">
        <w:rPr>
          <w:b/>
          <w:i/>
        </w:rPr>
        <w:t>Revie</w:t>
      </w:r>
      <w:r w:rsidR="008B19E6" w:rsidRPr="001A4EBC">
        <w:rPr>
          <w:b/>
          <w:i/>
        </w:rPr>
        <w:t xml:space="preserve">w a schedule of </w:t>
      </w:r>
      <w:r w:rsidRPr="001A4EBC">
        <w:rPr>
          <w:b/>
          <w:i/>
        </w:rPr>
        <w:t xml:space="preserve">SUIs </w:t>
      </w:r>
      <w:r w:rsidR="008B19E6" w:rsidRPr="001A4EBC">
        <w:rPr>
          <w:b/>
          <w:i/>
        </w:rPr>
        <w:t xml:space="preserve">where Root Cause Analysis has been undertaken </w:t>
      </w:r>
      <w:r w:rsidRPr="001A4EBC">
        <w:rPr>
          <w:b/>
          <w:i/>
        </w:rPr>
        <w:t>at each meeting</w:t>
      </w:r>
    </w:p>
    <w:p w:rsidR="00190551" w:rsidRPr="001A4EBC" w:rsidRDefault="008B19E6" w:rsidP="007A5BDF">
      <w:pPr>
        <w:ind w:left="360"/>
        <w:jc w:val="both"/>
      </w:pPr>
      <w:r w:rsidRPr="001A4EBC">
        <w:t xml:space="preserve">The Committee received </w:t>
      </w:r>
      <w:r w:rsidR="00333670">
        <w:t xml:space="preserve">detailed quarterly </w:t>
      </w:r>
      <w:r w:rsidRPr="001A4EBC">
        <w:t xml:space="preserve">reports in </w:t>
      </w:r>
      <w:r w:rsidR="007A5BDF" w:rsidRPr="001A4EBC">
        <w:t xml:space="preserve">May 2013, </w:t>
      </w:r>
      <w:r w:rsidR="00333670">
        <w:t>September 2013</w:t>
      </w:r>
      <w:r w:rsidR="007A5BDF" w:rsidRPr="001A4EBC">
        <w:t xml:space="preserve">, </w:t>
      </w:r>
      <w:r w:rsidR="00333670">
        <w:t>November 2013</w:t>
      </w:r>
      <w:r w:rsidR="007A5BDF" w:rsidRPr="001A4EBC">
        <w:t xml:space="preserve"> and </w:t>
      </w:r>
      <w:r w:rsidR="00333670">
        <w:t>February 2014</w:t>
      </w:r>
      <w:r w:rsidR="00190551" w:rsidRPr="001A4EBC">
        <w:t xml:space="preserve"> </w:t>
      </w:r>
      <w:r w:rsidR="00CE4AC9" w:rsidRPr="001A4EBC">
        <w:t xml:space="preserve">which provided information on </w:t>
      </w:r>
      <w:r w:rsidR="0097321C">
        <w:t>Serious Incident</w:t>
      </w:r>
      <w:r w:rsidR="00CE4AC9" w:rsidRPr="001A4EBC">
        <w:t>s</w:t>
      </w:r>
      <w:r w:rsidR="0097321C">
        <w:t xml:space="preserve"> Requiring Investigation (SIRI)</w:t>
      </w:r>
      <w:r w:rsidR="005F446B" w:rsidRPr="001A4EBC">
        <w:t>, including those</w:t>
      </w:r>
      <w:r w:rsidR="00CE4AC9" w:rsidRPr="001A4EBC">
        <w:t xml:space="preserve"> which had been subject to a Root Cause Analysis and on the corresponding action plans</w:t>
      </w:r>
      <w:r w:rsidRPr="001A4EBC">
        <w:t xml:space="preserve">.  </w:t>
      </w:r>
      <w:r w:rsidR="00190551" w:rsidRPr="001A4EBC">
        <w:t>At each meeting, the Committee discussed trends and lessons in detail and sought to compare this to data and intelligence from other trusts.</w:t>
      </w:r>
    </w:p>
    <w:p w:rsidR="004F14C4" w:rsidRPr="001A4EBC" w:rsidRDefault="004F14C4" w:rsidP="002E3629">
      <w:pPr>
        <w:ind w:left="360"/>
        <w:jc w:val="both"/>
      </w:pPr>
    </w:p>
    <w:p w:rsidR="004F14C4" w:rsidRDefault="0097321C" w:rsidP="002E3629">
      <w:pPr>
        <w:ind w:left="360"/>
        <w:jc w:val="both"/>
      </w:pPr>
      <w:r>
        <w:t>Alongside the SIRI reports,</w:t>
      </w:r>
      <w:r w:rsidR="007A5BDF" w:rsidRPr="001A4EBC">
        <w:t xml:space="preserve"> Committee also </w:t>
      </w:r>
      <w:r>
        <w:t xml:space="preserve">received </w:t>
      </w:r>
      <w:r w:rsidR="007A5BDF" w:rsidRPr="001A4EBC">
        <w:t xml:space="preserve">reports on </w:t>
      </w:r>
      <w:r w:rsidR="002D7573" w:rsidRPr="001A4EBC">
        <w:t>restraint and seclusion</w:t>
      </w:r>
      <w:r>
        <w:t xml:space="preserve"> which provided</w:t>
      </w:r>
      <w:r w:rsidR="002D7573" w:rsidRPr="001A4EBC">
        <w:t xml:space="preserve"> provided detail on numbers of incidents, trends and training data.  </w:t>
      </w:r>
      <w:r>
        <w:t xml:space="preserve"> Both the SIRI and restraint / seclusion reports were considered in detail by the Committee at every regular meeting.</w:t>
      </w:r>
    </w:p>
    <w:p w:rsidR="0097321C" w:rsidRDefault="0097321C" w:rsidP="002E3629">
      <w:pPr>
        <w:ind w:left="360"/>
        <w:jc w:val="both"/>
      </w:pPr>
    </w:p>
    <w:p w:rsidR="0097321C" w:rsidRDefault="0097321C" w:rsidP="002E3629">
      <w:pPr>
        <w:ind w:left="360"/>
        <w:jc w:val="both"/>
      </w:pPr>
      <w:r>
        <w:t>The Committee received two reports (in November 2013 and February 2014) on information incidents.  The number of reported incidents relating to information governance had increased through the year and, as a consequence, the Committee requested regular reporting on these alongside regular reporting to the Information Management QUIC.</w:t>
      </w:r>
    </w:p>
    <w:p w:rsidR="0097321C" w:rsidRDefault="0097321C" w:rsidP="002E3629">
      <w:pPr>
        <w:ind w:left="360"/>
        <w:jc w:val="both"/>
      </w:pPr>
    </w:p>
    <w:p w:rsidR="0097321C" w:rsidRDefault="0097321C" w:rsidP="002E3629">
      <w:pPr>
        <w:ind w:left="360"/>
        <w:jc w:val="both"/>
      </w:pPr>
      <w:r>
        <w:t>During the reporting period, the Committee also received presentations on three areas where work was taking place to address known risks and incidents:-</w:t>
      </w:r>
    </w:p>
    <w:p w:rsidR="0097321C" w:rsidRDefault="0097321C" w:rsidP="0097321C">
      <w:pPr>
        <w:numPr>
          <w:ilvl w:val="0"/>
          <w:numId w:val="4"/>
        </w:numPr>
        <w:jc w:val="both"/>
      </w:pPr>
      <w:r>
        <w:t>Preventing falls in older adult mental health settings.</w:t>
      </w:r>
    </w:p>
    <w:p w:rsidR="0097321C" w:rsidRDefault="0097321C" w:rsidP="0097321C">
      <w:pPr>
        <w:numPr>
          <w:ilvl w:val="0"/>
          <w:numId w:val="4"/>
        </w:numPr>
        <w:jc w:val="both"/>
      </w:pPr>
      <w:r>
        <w:t>Suicide prevention benchmarking project.</w:t>
      </w:r>
    </w:p>
    <w:p w:rsidR="0097321C" w:rsidRDefault="0097321C" w:rsidP="0097321C">
      <w:pPr>
        <w:numPr>
          <w:ilvl w:val="0"/>
          <w:numId w:val="4"/>
        </w:numPr>
        <w:jc w:val="both"/>
      </w:pPr>
      <w:r>
        <w:t>Non-adherence with medicines.</w:t>
      </w:r>
    </w:p>
    <w:p w:rsidR="00C41D0D" w:rsidRPr="00B01ACE" w:rsidRDefault="00C41D0D" w:rsidP="0097321C">
      <w:pPr>
        <w:jc w:val="both"/>
        <w:rPr>
          <w:highlight w:val="yellow"/>
        </w:rPr>
      </w:pPr>
    </w:p>
    <w:p w:rsidR="008E7258" w:rsidRPr="007455A9" w:rsidRDefault="008E7258" w:rsidP="00F42050">
      <w:pPr>
        <w:numPr>
          <w:ilvl w:val="0"/>
          <w:numId w:val="1"/>
        </w:numPr>
        <w:jc w:val="both"/>
        <w:rPr>
          <w:b/>
          <w:i/>
        </w:rPr>
      </w:pPr>
      <w:r w:rsidRPr="007455A9">
        <w:rPr>
          <w:b/>
          <w:i/>
        </w:rPr>
        <w:t>Approve new policies</w:t>
      </w:r>
    </w:p>
    <w:p w:rsidR="008E7258" w:rsidRPr="007455A9" w:rsidRDefault="003F0B24" w:rsidP="003F0B24">
      <w:pPr>
        <w:ind w:left="420"/>
        <w:jc w:val="both"/>
      </w:pPr>
      <w:r w:rsidRPr="007455A9">
        <w:t>The Committee approved the following policies during the reporting period:</w:t>
      </w:r>
    </w:p>
    <w:p w:rsidR="002D7573" w:rsidRDefault="003A50E3" w:rsidP="00F42050">
      <w:pPr>
        <w:numPr>
          <w:ilvl w:val="0"/>
          <w:numId w:val="4"/>
        </w:numPr>
        <w:jc w:val="both"/>
      </w:pPr>
      <w:r>
        <w:t>Probationary Period Policy</w:t>
      </w:r>
    </w:p>
    <w:p w:rsidR="003A50E3" w:rsidRDefault="003A50E3" w:rsidP="00F42050">
      <w:pPr>
        <w:numPr>
          <w:ilvl w:val="0"/>
          <w:numId w:val="4"/>
        </w:numPr>
        <w:jc w:val="both"/>
      </w:pPr>
      <w:r>
        <w:t>Food Safety / Hygiene Policy</w:t>
      </w:r>
    </w:p>
    <w:p w:rsidR="001A4EBC" w:rsidRPr="007455A9" w:rsidRDefault="001A4EBC" w:rsidP="00F42050">
      <w:pPr>
        <w:numPr>
          <w:ilvl w:val="0"/>
          <w:numId w:val="4"/>
        </w:numPr>
        <w:jc w:val="both"/>
      </w:pPr>
      <w:r>
        <w:t>Allegations Against Staff – Management Policy</w:t>
      </w:r>
    </w:p>
    <w:p w:rsidR="00D638D6" w:rsidRPr="0097321C" w:rsidRDefault="00D638D6" w:rsidP="007455A9">
      <w:pPr>
        <w:jc w:val="both"/>
        <w:rPr>
          <w:b/>
          <w:i/>
        </w:rPr>
      </w:pPr>
    </w:p>
    <w:p w:rsidR="001F1D00" w:rsidRPr="0097321C" w:rsidRDefault="00411DBC" w:rsidP="00F42050">
      <w:pPr>
        <w:numPr>
          <w:ilvl w:val="0"/>
          <w:numId w:val="1"/>
        </w:numPr>
        <w:jc w:val="both"/>
        <w:rPr>
          <w:b/>
          <w:i/>
        </w:rPr>
      </w:pPr>
      <w:r w:rsidRPr="0097321C">
        <w:rPr>
          <w:b/>
          <w:i/>
        </w:rPr>
        <w:t>Receive briefings on legal and key national policy developments</w:t>
      </w:r>
    </w:p>
    <w:p w:rsidR="00E66057" w:rsidRPr="00D638D6" w:rsidRDefault="00411DBC" w:rsidP="00411DBC">
      <w:pPr>
        <w:ind w:left="360"/>
        <w:jc w:val="both"/>
      </w:pPr>
      <w:r w:rsidRPr="0097321C">
        <w:t xml:space="preserve">The Committee received </w:t>
      </w:r>
      <w:r w:rsidR="00E66057" w:rsidRPr="0097321C">
        <w:t xml:space="preserve">an update on </w:t>
      </w:r>
      <w:r w:rsidR="0097321C">
        <w:t>the changes in commissioning arrangements which were a feature of the national policy on healthcare in England.</w:t>
      </w:r>
    </w:p>
    <w:p w:rsidR="001F1D00" w:rsidRDefault="001F1D00" w:rsidP="008E7258">
      <w:pPr>
        <w:ind w:left="420"/>
        <w:jc w:val="both"/>
        <w:rPr>
          <w:b/>
          <w:i/>
        </w:rPr>
      </w:pPr>
    </w:p>
    <w:p w:rsidR="00B34036" w:rsidRDefault="00B34036" w:rsidP="005C67A4">
      <w:pPr>
        <w:pStyle w:val="Heading2"/>
      </w:pPr>
      <w:r>
        <w:t>Reporting</w:t>
      </w:r>
    </w:p>
    <w:p w:rsidR="00DF65C9" w:rsidRDefault="00E62765" w:rsidP="005C67A4">
      <w:pPr>
        <w:jc w:val="both"/>
        <w:rPr>
          <w:rFonts w:cs="Arial"/>
          <w:b/>
          <w:bCs/>
        </w:rPr>
      </w:pPr>
      <w:r>
        <w:rPr>
          <w:rFonts w:cs="Arial"/>
          <w:bCs/>
        </w:rPr>
        <w:t xml:space="preserve">Meetings are formally </w:t>
      </w:r>
      <w:r w:rsidR="00CF1BEF">
        <w:rPr>
          <w:rFonts w:cs="Arial"/>
          <w:bCs/>
        </w:rPr>
        <w:t>under the auspices of the</w:t>
      </w:r>
      <w:r w:rsidR="008E7258">
        <w:rPr>
          <w:rFonts w:cs="Arial"/>
          <w:bCs/>
        </w:rPr>
        <w:t xml:space="preserve"> Trust Secretary and circulated in accordance with the terms of reference</w:t>
      </w:r>
      <w:r w:rsidR="00991F28">
        <w:rPr>
          <w:rFonts w:cs="Arial"/>
          <w:bCs/>
        </w:rPr>
        <w:t>.</w:t>
      </w:r>
      <w:r>
        <w:rPr>
          <w:rFonts w:cs="Arial"/>
          <w:bCs/>
        </w:rPr>
        <w:t xml:space="preserve">  </w:t>
      </w:r>
      <w:r w:rsidR="004E0ED1">
        <w:rPr>
          <w:rFonts w:cs="Arial"/>
          <w:bCs/>
        </w:rPr>
        <w:t>The minutes are considered by the Board of Directors at the following Board meeting.</w:t>
      </w:r>
    </w:p>
    <w:p w:rsidR="00166361" w:rsidRDefault="00166361" w:rsidP="005C67A4">
      <w:pPr>
        <w:jc w:val="both"/>
        <w:rPr>
          <w:rFonts w:cs="Arial"/>
          <w:bCs/>
        </w:rPr>
      </w:pPr>
    </w:p>
    <w:p w:rsidR="00416224" w:rsidRDefault="00416224" w:rsidP="005C67A4">
      <w:pPr>
        <w:jc w:val="both"/>
        <w:rPr>
          <w:rFonts w:cs="Arial"/>
          <w:bCs/>
        </w:rPr>
      </w:pPr>
    </w:p>
    <w:p w:rsidR="004152AD" w:rsidRDefault="00C730F3" w:rsidP="005C67A4">
      <w:pPr>
        <w:jc w:val="both"/>
        <w:rPr>
          <w:rFonts w:cs="Arial"/>
          <w:bCs/>
        </w:rPr>
      </w:pPr>
      <w:r>
        <w:rPr>
          <w:rFonts w:cs="Arial"/>
          <w:bCs/>
        </w:rPr>
        <w:t>Martin Howell</w:t>
      </w:r>
    </w:p>
    <w:p w:rsidR="00166361" w:rsidRDefault="00166361" w:rsidP="005C67A4">
      <w:pPr>
        <w:jc w:val="both"/>
        <w:rPr>
          <w:rFonts w:cs="Arial"/>
          <w:bCs/>
        </w:rPr>
      </w:pPr>
      <w:r>
        <w:rPr>
          <w:rFonts w:cs="Arial"/>
          <w:bCs/>
        </w:rPr>
        <w:t xml:space="preserve">Chair, </w:t>
      </w:r>
      <w:r w:rsidR="008E7258">
        <w:rPr>
          <w:rFonts w:cs="Arial"/>
          <w:bCs/>
        </w:rPr>
        <w:t>Integrated Governance</w:t>
      </w:r>
      <w:r>
        <w:rPr>
          <w:rFonts w:cs="Arial"/>
          <w:bCs/>
        </w:rPr>
        <w:t xml:space="preserve"> Committee</w:t>
      </w:r>
      <w:r w:rsidR="00C730F3">
        <w:rPr>
          <w:rFonts w:cs="Arial"/>
          <w:bCs/>
        </w:rPr>
        <w:t xml:space="preserve"> </w:t>
      </w:r>
    </w:p>
    <w:sectPr w:rsidR="00166361" w:rsidSect="001D3998">
      <w:headerReference w:type="even" r:id="rId15"/>
      <w:headerReference w:type="default" r:id="rId16"/>
      <w:footerReference w:type="default" r:id="rId17"/>
      <w:headerReference w:type="first" r:id="rId18"/>
      <w:pgSz w:w="12240" w:h="15840"/>
      <w:pgMar w:top="1134" w:right="1797" w:bottom="1134" w:left="1797"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25E" w:rsidRDefault="0007425E">
      <w:r>
        <w:separator/>
      </w:r>
    </w:p>
  </w:endnote>
  <w:endnote w:type="continuationSeparator" w:id="0">
    <w:p w:rsidR="0007425E" w:rsidRDefault="000742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25E" w:rsidRDefault="000970EA" w:rsidP="001A5020">
    <w:pPr>
      <w:pStyle w:val="Footer"/>
      <w:framePr w:wrap="around" w:vAnchor="text" w:hAnchor="margin" w:xAlign="center" w:y="1"/>
      <w:rPr>
        <w:rStyle w:val="PageNumber"/>
      </w:rPr>
    </w:pPr>
    <w:r>
      <w:rPr>
        <w:rStyle w:val="PageNumber"/>
      </w:rPr>
      <w:fldChar w:fldCharType="begin"/>
    </w:r>
    <w:r w:rsidR="0007425E">
      <w:rPr>
        <w:rStyle w:val="PageNumber"/>
      </w:rPr>
      <w:instrText xml:space="preserve">PAGE  </w:instrText>
    </w:r>
    <w:r>
      <w:rPr>
        <w:rStyle w:val="PageNumber"/>
      </w:rPr>
      <w:fldChar w:fldCharType="end"/>
    </w:r>
  </w:p>
  <w:p w:rsidR="0007425E" w:rsidRDefault="000742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25E" w:rsidRDefault="000742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25E" w:rsidRDefault="0007425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25E" w:rsidRDefault="000970EA" w:rsidP="001A5020">
    <w:pPr>
      <w:pStyle w:val="Footer"/>
      <w:framePr w:wrap="around" w:vAnchor="text" w:hAnchor="margin" w:xAlign="center" w:y="1"/>
      <w:rPr>
        <w:rStyle w:val="PageNumber"/>
      </w:rPr>
    </w:pPr>
    <w:r>
      <w:rPr>
        <w:rStyle w:val="PageNumber"/>
      </w:rPr>
      <w:fldChar w:fldCharType="begin"/>
    </w:r>
    <w:r w:rsidR="0007425E">
      <w:rPr>
        <w:rStyle w:val="PageNumber"/>
      </w:rPr>
      <w:instrText xml:space="preserve">PAGE  </w:instrText>
    </w:r>
    <w:r>
      <w:rPr>
        <w:rStyle w:val="PageNumber"/>
      </w:rPr>
      <w:fldChar w:fldCharType="separate"/>
    </w:r>
    <w:r w:rsidR="0066142C">
      <w:rPr>
        <w:rStyle w:val="PageNumber"/>
        <w:noProof/>
      </w:rPr>
      <w:t>7</w:t>
    </w:r>
    <w:r>
      <w:rPr>
        <w:rStyle w:val="PageNumber"/>
      </w:rPr>
      <w:fldChar w:fldCharType="end"/>
    </w:r>
  </w:p>
  <w:p w:rsidR="0007425E" w:rsidRDefault="000742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25E" w:rsidRDefault="0007425E">
      <w:r>
        <w:separator/>
      </w:r>
    </w:p>
  </w:footnote>
  <w:footnote w:type="continuationSeparator" w:id="0">
    <w:p w:rsidR="0007425E" w:rsidRDefault="0007425E">
      <w:r>
        <w:continuationSeparator/>
      </w:r>
    </w:p>
  </w:footnote>
  <w:footnote w:id="1">
    <w:p w:rsidR="0007425E" w:rsidRDefault="0007425E">
      <w:pPr>
        <w:pStyle w:val="FootnoteText"/>
      </w:pPr>
      <w:r>
        <w:rPr>
          <w:rStyle w:val="FootnoteReference"/>
        </w:rPr>
        <w:footnoteRef/>
      </w:r>
      <w:r>
        <w:t xml:space="preserve"> </w:t>
      </w:r>
      <w:r w:rsidR="00422DDE">
        <w:t>The Committee approved the Risk Management Strategy and Policy 2014-2017 at its meeting in November 2014 (which is outside of the reporting period).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25E" w:rsidRDefault="000742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25E" w:rsidRPr="003B3521" w:rsidRDefault="0007425E" w:rsidP="003B3521">
    <w:pPr>
      <w:pStyle w:val="Header"/>
      <w:jc w:val="center"/>
      <w:rPr>
        <w:b/>
        <w:i/>
      </w:rPr>
    </w:pPr>
    <w:r>
      <w:rPr>
        <w:b/>
        <w:i/>
      </w:rPr>
      <w:t>PUBLIC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25E" w:rsidRDefault="0007425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25E" w:rsidRDefault="0007425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25E" w:rsidRDefault="0007425E">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25E" w:rsidRDefault="000742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7AFC"/>
    <w:multiLevelType w:val="hybridMultilevel"/>
    <w:tmpl w:val="51DA9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E85B66"/>
    <w:multiLevelType w:val="hybridMultilevel"/>
    <w:tmpl w:val="49827586"/>
    <w:lvl w:ilvl="0" w:tplc="5808A5B8">
      <w:start w:val="1"/>
      <w:numFmt w:val="decimal"/>
      <w:lvlText w:val="%1."/>
      <w:lvlJc w:val="left"/>
      <w:pPr>
        <w:tabs>
          <w:tab w:val="num" w:pos="360"/>
        </w:tabs>
        <w:ind w:left="36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A1A27BC"/>
    <w:multiLevelType w:val="hybridMultilevel"/>
    <w:tmpl w:val="1D9098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FBE293E"/>
    <w:multiLevelType w:val="hybridMultilevel"/>
    <w:tmpl w:val="C83C5CFA"/>
    <w:lvl w:ilvl="0" w:tplc="49CC7EFC">
      <w:start w:val="1"/>
      <w:numFmt w:val="decimal"/>
      <w:lvlText w:val="%1."/>
      <w:lvlJc w:val="left"/>
      <w:pPr>
        <w:tabs>
          <w:tab w:val="num" w:pos="360"/>
        </w:tabs>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F81254"/>
    <w:multiLevelType w:val="hybridMultilevel"/>
    <w:tmpl w:val="AF7A7B7A"/>
    <w:lvl w:ilvl="0" w:tplc="0809000B">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419"/>
        </w:tabs>
        <w:ind w:left="419" w:hanging="360"/>
      </w:pPr>
      <w:rPr>
        <w:rFonts w:ascii="Courier New" w:hAnsi="Courier New" w:cs="Courier New" w:hint="default"/>
      </w:rPr>
    </w:lvl>
    <w:lvl w:ilvl="2" w:tplc="08090005">
      <w:start w:val="1"/>
      <w:numFmt w:val="bullet"/>
      <w:lvlText w:val=""/>
      <w:lvlJc w:val="left"/>
      <w:pPr>
        <w:tabs>
          <w:tab w:val="num" w:pos="1139"/>
        </w:tabs>
        <w:ind w:left="1139" w:hanging="360"/>
      </w:pPr>
      <w:rPr>
        <w:rFonts w:ascii="Wingdings" w:hAnsi="Wingdings" w:hint="default"/>
      </w:rPr>
    </w:lvl>
    <w:lvl w:ilvl="3" w:tplc="08090001" w:tentative="1">
      <w:start w:val="1"/>
      <w:numFmt w:val="bullet"/>
      <w:lvlText w:val=""/>
      <w:lvlJc w:val="left"/>
      <w:pPr>
        <w:tabs>
          <w:tab w:val="num" w:pos="1859"/>
        </w:tabs>
        <w:ind w:left="1859" w:hanging="360"/>
      </w:pPr>
      <w:rPr>
        <w:rFonts w:ascii="Symbol" w:hAnsi="Symbol" w:hint="default"/>
      </w:rPr>
    </w:lvl>
    <w:lvl w:ilvl="4" w:tplc="08090003" w:tentative="1">
      <w:start w:val="1"/>
      <w:numFmt w:val="bullet"/>
      <w:lvlText w:val="o"/>
      <w:lvlJc w:val="left"/>
      <w:pPr>
        <w:tabs>
          <w:tab w:val="num" w:pos="2579"/>
        </w:tabs>
        <w:ind w:left="2579" w:hanging="360"/>
      </w:pPr>
      <w:rPr>
        <w:rFonts w:ascii="Courier New" w:hAnsi="Courier New" w:cs="Courier New" w:hint="default"/>
      </w:rPr>
    </w:lvl>
    <w:lvl w:ilvl="5" w:tplc="08090005" w:tentative="1">
      <w:start w:val="1"/>
      <w:numFmt w:val="bullet"/>
      <w:lvlText w:val=""/>
      <w:lvlJc w:val="left"/>
      <w:pPr>
        <w:tabs>
          <w:tab w:val="num" w:pos="3299"/>
        </w:tabs>
        <w:ind w:left="3299" w:hanging="360"/>
      </w:pPr>
      <w:rPr>
        <w:rFonts w:ascii="Wingdings" w:hAnsi="Wingdings" w:hint="default"/>
      </w:rPr>
    </w:lvl>
    <w:lvl w:ilvl="6" w:tplc="08090001" w:tentative="1">
      <w:start w:val="1"/>
      <w:numFmt w:val="bullet"/>
      <w:lvlText w:val=""/>
      <w:lvlJc w:val="left"/>
      <w:pPr>
        <w:tabs>
          <w:tab w:val="num" w:pos="4019"/>
        </w:tabs>
        <w:ind w:left="4019" w:hanging="360"/>
      </w:pPr>
      <w:rPr>
        <w:rFonts w:ascii="Symbol" w:hAnsi="Symbol" w:hint="default"/>
      </w:rPr>
    </w:lvl>
    <w:lvl w:ilvl="7" w:tplc="08090003" w:tentative="1">
      <w:start w:val="1"/>
      <w:numFmt w:val="bullet"/>
      <w:lvlText w:val="o"/>
      <w:lvlJc w:val="left"/>
      <w:pPr>
        <w:tabs>
          <w:tab w:val="num" w:pos="4739"/>
        </w:tabs>
        <w:ind w:left="4739" w:hanging="360"/>
      </w:pPr>
      <w:rPr>
        <w:rFonts w:ascii="Courier New" w:hAnsi="Courier New" w:cs="Courier New" w:hint="default"/>
      </w:rPr>
    </w:lvl>
    <w:lvl w:ilvl="8" w:tplc="08090005" w:tentative="1">
      <w:start w:val="1"/>
      <w:numFmt w:val="bullet"/>
      <w:lvlText w:val=""/>
      <w:lvlJc w:val="left"/>
      <w:pPr>
        <w:tabs>
          <w:tab w:val="num" w:pos="5459"/>
        </w:tabs>
        <w:ind w:left="5459" w:hanging="360"/>
      </w:pPr>
      <w:rPr>
        <w:rFonts w:ascii="Wingdings" w:hAnsi="Wingdings" w:hint="default"/>
      </w:rPr>
    </w:lvl>
  </w:abstractNum>
  <w:abstractNum w:abstractNumId="5">
    <w:nsid w:val="21197B96"/>
    <w:multiLevelType w:val="hybridMultilevel"/>
    <w:tmpl w:val="CB1A1774"/>
    <w:lvl w:ilvl="0" w:tplc="08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1F20812"/>
    <w:multiLevelType w:val="hybridMultilevel"/>
    <w:tmpl w:val="803E347A"/>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nsid w:val="34B2541E"/>
    <w:multiLevelType w:val="hybridMultilevel"/>
    <w:tmpl w:val="B68EFC4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96E5D97"/>
    <w:multiLevelType w:val="hybridMultilevel"/>
    <w:tmpl w:val="3E9C6F48"/>
    <w:lvl w:ilvl="0" w:tplc="0809000F">
      <w:start w:val="1"/>
      <w:numFmt w:val="decimal"/>
      <w:lvlText w:val="%1."/>
      <w:lvlJc w:val="left"/>
      <w:pPr>
        <w:tabs>
          <w:tab w:val="num" w:pos="360"/>
        </w:tabs>
        <w:ind w:left="360" w:hanging="360"/>
      </w:pPr>
    </w:lvl>
    <w:lvl w:ilvl="1" w:tplc="0809000B">
      <w:start w:val="1"/>
      <w:numFmt w:val="bullet"/>
      <w:lvlText w:val=""/>
      <w:lvlJc w:val="left"/>
      <w:pPr>
        <w:tabs>
          <w:tab w:val="num" w:pos="1080"/>
        </w:tabs>
        <w:ind w:left="1080" w:hanging="36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3B626695"/>
    <w:multiLevelType w:val="hybridMultilevel"/>
    <w:tmpl w:val="4F4C80CC"/>
    <w:lvl w:ilvl="0" w:tplc="5808A5B8">
      <w:start w:val="1"/>
      <w:numFmt w:val="decimal"/>
      <w:lvlText w:val="%1."/>
      <w:lvlJc w:val="left"/>
      <w:pPr>
        <w:tabs>
          <w:tab w:val="num" w:pos="360"/>
        </w:tabs>
        <w:ind w:left="36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44041BE3"/>
    <w:multiLevelType w:val="hybridMultilevel"/>
    <w:tmpl w:val="36D8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A8170D5"/>
    <w:multiLevelType w:val="hybridMultilevel"/>
    <w:tmpl w:val="0930E4C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19D48E3"/>
    <w:multiLevelType w:val="hybridMultilevel"/>
    <w:tmpl w:val="F83227E4"/>
    <w:lvl w:ilvl="0" w:tplc="7274543A">
      <w:start w:val="1"/>
      <w:numFmt w:val="decimal"/>
      <w:lvlText w:val="%1."/>
      <w:lvlJc w:val="left"/>
      <w:pPr>
        <w:tabs>
          <w:tab w:val="num" w:pos="360"/>
        </w:tabs>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C9F0DDE"/>
    <w:multiLevelType w:val="hybridMultilevel"/>
    <w:tmpl w:val="35541E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B35315B"/>
    <w:multiLevelType w:val="hybridMultilevel"/>
    <w:tmpl w:val="41A278DC"/>
    <w:lvl w:ilvl="0" w:tplc="BAF26DCE">
      <w:start w:val="1"/>
      <w:numFmt w:val="decimal"/>
      <w:lvlText w:val="%1."/>
      <w:lvlJc w:val="left"/>
      <w:pPr>
        <w:tabs>
          <w:tab w:val="num" w:pos="360"/>
        </w:tabs>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A1A0E52"/>
    <w:multiLevelType w:val="hybridMultilevel"/>
    <w:tmpl w:val="124C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2"/>
  </w:num>
  <w:num w:numId="4">
    <w:abstractNumId w:val="6"/>
  </w:num>
  <w:num w:numId="5">
    <w:abstractNumId w:val="9"/>
  </w:num>
  <w:num w:numId="6">
    <w:abstractNumId w:val="1"/>
  </w:num>
  <w:num w:numId="7">
    <w:abstractNumId w:val="4"/>
  </w:num>
  <w:num w:numId="8">
    <w:abstractNumId w:val="14"/>
  </w:num>
  <w:num w:numId="9">
    <w:abstractNumId w:val="3"/>
  </w:num>
  <w:num w:numId="10">
    <w:abstractNumId w:val="13"/>
  </w:num>
  <w:num w:numId="11">
    <w:abstractNumId w:val="15"/>
  </w:num>
  <w:num w:numId="12">
    <w:abstractNumId w:val="10"/>
  </w:num>
  <w:num w:numId="13">
    <w:abstractNumId w:val="0"/>
  </w:num>
  <w:num w:numId="14">
    <w:abstractNumId w:val="2"/>
  </w:num>
  <w:num w:numId="15">
    <w:abstractNumId w:val="11"/>
  </w:num>
  <w:num w:numId="16">
    <w:abstractNumId w:val="16"/>
  </w:num>
  <w:num w:numId="17">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36865"/>
  </w:hdrShapeDefaults>
  <w:footnotePr>
    <w:footnote w:id="-1"/>
    <w:footnote w:id="0"/>
  </w:footnotePr>
  <w:endnotePr>
    <w:endnote w:id="-1"/>
    <w:endnote w:id="0"/>
  </w:endnotePr>
  <w:compat/>
  <w:rsids>
    <w:rsidRoot w:val="00C45323"/>
    <w:rsid w:val="000200A6"/>
    <w:rsid w:val="00020558"/>
    <w:rsid w:val="000209B8"/>
    <w:rsid w:val="00026533"/>
    <w:rsid w:val="00030D75"/>
    <w:rsid w:val="00036FD0"/>
    <w:rsid w:val="000371F5"/>
    <w:rsid w:val="00063C85"/>
    <w:rsid w:val="0007425E"/>
    <w:rsid w:val="00076D1A"/>
    <w:rsid w:val="00080EF1"/>
    <w:rsid w:val="000970EA"/>
    <w:rsid w:val="000A26E8"/>
    <w:rsid w:val="000B2B5E"/>
    <w:rsid w:val="000B441D"/>
    <w:rsid w:val="000B6381"/>
    <w:rsid w:val="000B665B"/>
    <w:rsid w:val="000B79FA"/>
    <w:rsid w:val="000C6A81"/>
    <w:rsid w:val="000E285C"/>
    <w:rsid w:val="000E3EE6"/>
    <w:rsid w:val="000F2C97"/>
    <w:rsid w:val="00102B7A"/>
    <w:rsid w:val="0010587F"/>
    <w:rsid w:val="00105B76"/>
    <w:rsid w:val="001101E5"/>
    <w:rsid w:val="00111583"/>
    <w:rsid w:val="00114BBC"/>
    <w:rsid w:val="001153AE"/>
    <w:rsid w:val="001170DB"/>
    <w:rsid w:val="00122A9C"/>
    <w:rsid w:val="0012430D"/>
    <w:rsid w:val="00126448"/>
    <w:rsid w:val="0013534B"/>
    <w:rsid w:val="0014712B"/>
    <w:rsid w:val="001501C0"/>
    <w:rsid w:val="00157CB5"/>
    <w:rsid w:val="00166361"/>
    <w:rsid w:val="00170444"/>
    <w:rsid w:val="001738E6"/>
    <w:rsid w:val="001820D3"/>
    <w:rsid w:val="0018369F"/>
    <w:rsid w:val="00184ED2"/>
    <w:rsid w:val="0018638E"/>
    <w:rsid w:val="00190551"/>
    <w:rsid w:val="00194BEE"/>
    <w:rsid w:val="00195882"/>
    <w:rsid w:val="0019627C"/>
    <w:rsid w:val="001A4EBC"/>
    <w:rsid w:val="001A5020"/>
    <w:rsid w:val="001B2708"/>
    <w:rsid w:val="001B72EA"/>
    <w:rsid w:val="001D3998"/>
    <w:rsid w:val="001E2E44"/>
    <w:rsid w:val="001E4C42"/>
    <w:rsid w:val="001E6EBD"/>
    <w:rsid w:val="001F1D00"/>
    <w:rsid w:val="00200A0D"/>
    <w:rsid w:val="002029F0"/>
    <w:rsid w:val="00203006"/>
    <w:rsid w:val="00205EF2"/>
    <w:rsid w:val="002143C8"/>
    <w:rsid w:val="00215594"/>
    <w:rsid w:val="00221AEF"/>
    <w:rsid w:val="00224408"/>
    <w:rsid w:val="00250C2D"/>
    <w:rsid w:val="00253682"/>
    <w:rsid w:val="00257EE6"/>
    <w:rsid w:val="00260249"/>
    <w:rsid w:val="00265E57"/>
    <w:rsid w:val="00266288"/>
    <w:rsid w:val="0027742C"/>
    <w:rsid w:val="00277945"/>
    <w:rsid w:val="00286288"/>
    <w:rsid w:val="0028669A"/>
    <w:rsid w:val="002929F0"/>
    <w:rsid w:val="002B29F3"/>
    <w:rsid w:val="002C361A"/>
    <w:rsid w:val="002C58AE"/>
    <w:rsid w:val="002D2877"/>
    <w:rsid w:val="002D36F0"/>
    <w:rsid w:val="002D3B0A"/>
    <w:rsid w:val="002D4D90"/>
    <w:rsid w:val="002D6FC8"/>
    <w:rsid w:val="002D7573"/>
    <w:rsid w:val="002E3629"/>
    <w:rsid w:val="002E7D08"/>
    <w:rsid w:val="003003CF"/>
    <w:rsid w:val="00302BFA"/>
    <w:rsid w:val="0030427B"/>
    <w:rsid w:val="003102A3"/>
    <w:rsid w:val="00312BD7"/>
    <w:rsid w:val="0031380C"/>
    <w:rsid w:val="00333670"/>
    <w:rsid w:val="00346642"/>
    <w:rsid w:val="00366941"/>
    <w:rsid w:val="00381A25"/>
    <w:rsid w:val="00381A3F"/>
    <w:rsid w:val="00384B9C"/>
    <w:rsid w:val="003860C1"/>
    <w:rsid w:val="00387BA6"/>
    <w:rsid w:val="003A11B5"/>
    <w:rsid w:val="003A38F6"/>
    <w:rsid w:val="003A50E3"/>
    <w:rsid w:val="003B0663"/>
    <w:rsid w:val="003B0FE0"/>
    <w:rsid w:val="003B2823"/>
    <w:rsid w:val="003B3521"/>
    <w:rsid w:val="003D27A8"/>
    <w:rsid w:val="003E1971"/>
    <w:rsid w:val="003F0B24"/>
    <w:rsid w:val="003F106C"/>
    <w:rsid w:val="003F3AA5"/>
    <w:rsid w:val="003F4B5B"/>
    <w:rsid w:val="003F71FD"/>
    <w:rsid w:val="00400FC9"/>
    <w:rsid w:val="00402311"/>
    <w:rsid w:val="00407294"/>
    <w:rsid w:val="00411DBC"/>
    <w:rsid w:val="00412BCC"/>
    <w:rsid w:val="004152AD"/>
    <w:rsid w:val="00416224"/>
    <w:rsid w:val="00416BE3"/>
    <w:rsid w:val="00417AAE"/>
    <w:rsid w:val="00422DDE"/>
    <w:rsid w:val="00434E41"/>
    <w:rsid w:val="00435B9B"/>
    <w:rsid w:val="00437118"/>
    <w:rsid w:val="0044057F"/>
    <w:rsid w:val="004415E3"/>
    <w:rsid w:val="00441C86"/>
    <w:rsid w:val="00442B28"/>
    <w:rsid w:val="0044593E"/>
    <w:rsid w:val="00463EA9"/>
    <w:rsid w:val="0046787B"/>
    <w:rsid w:val="0047362E"/>
    <w:rsid w:val="00474773"/>
    <w:rsid w:val="004A2865"/>
    <w:rsid w:val="004A49D4"/>
    <w:rsid w:val="004B3169"/>
    <w:rsid w:val="004B5737"/>
    <w:rsid w:val="004D19C5"/>
    <w:rsid w:val="004D4DF1"/>
    <w:rsid w:val="004E0ED1"/>
    <w:rsid w:val="004E4346"/>
    <w:rsid w:val="004E51E3"/>
    <w:rsid w:val="004F14C4"/>
    <w:rsid w:val="004F7BA0"/>
    <w:rsid w:val="00503AD6"/>
    <w:rsid w:val="00506458"/>
    <w:rsid w:val="00523589"/>
    <w:rsid w:val="00536631"/>
    <w:rsid w:val="005658AA"/>
    <w:rsid w:val="005771CB"/>
    <w:rsid w:val="00580F62"/>
    <w:rsid w:val="0058591A"/>
    <w:rsid w:val="005A2F50"/>
    <w:rsid w:val="005A6A87"/>
    <w:rsid w:val="005C671D"/>
    <w:rsid w:val="005C67A4"/>
    <w:rsid w:val="005C7571"/>
    <w:rsid w:val="005D0293"/>
    <w:rsid w:val="005F446B"/>
    <w:rsid w:val="00615693"/>
    <w:rsid w:val="006241C7"/>
    <w:rsid w:val="006258F7"/>
    <w:rsid w:val="00631E57"/>
    <w:rsid w:val="00646F7B"/>
    <w:rsid w:val="006574F6"/>
    <w:rsid w:val="0066142C"/>
    <w:rsid w:val="006715E2"/>
    <w:rsid w:val="00674250"/>
    <w:rsid w:val="006810F9"/>
    <w:rsid w:val="006B209A"/>
    <w:rsid w:val="006C2CC9"/>
    <w:rsid w:val="006C39CC"/>
    <w:rsid w:val="006C4FE2"/>
    <w:rsid w:val="006C703C"/>
    <w:rsid w:val="006D14F7"/>
    <w:rsid w:val="006D6352"/>
    <w:rsid w:val="006E2CF3"/>
    <w:rsid w:val="006F3DA7"/>
    <w:rsid w:val="006F604F"/>
    <w:rsid w:val="00703201"/>
    <w:rsid w:val="00703D2F"/>
    <w:rsid w:val="00705E2E"/>
    <w:rsid w:val="00716206"/>
    <w:rsid w:val="00722393"/>
    <w:rsid w:val="00735166"/>
    <w:rsid w:val="007455A9"/>
    <w:rsid w:val="007530C8"/>
    <w:rsid w:val="00763311"/>
    <w:rsid w:val="007672D2"/>
    <w:rsid w:val="0076769F"/>
    <w:rsid w:val="007766DC"/>
    <w:rsid w:val="007A0333"/>
    <w:rsid w:val="007A0FFE"/>
    <w:rsid w:val="007A5BDF"/>
    <w:rsid w:val="007C00A9"/>
    <w:rsid w:val="007C31CD"/>
    <w:rsid w:val="007C48C0"/>
    <w:rsid w:val="007C64B9"/>
    <w:rsid w:val="007C7338"/>
    <w:rsid w:val="007D0EA8"/>
    <w:rsid w:val="007E15DB"/>
    <w:rsid w:val="007F6537"/>
    <w:rsid w:val="00802B8D"/>
    <w:rsid w:val="0080328C"/>
    <w:rsid w:val="008043E0"/>
    <w:rsid w:val="008063E1"/>
    <w:rsid w:val="00834FBE"/>
    <w:rsid w:val="0083745B"/>
    <w:rsid w:val="0084758A"/>
    <w:rsid w:val="00865143"/>
    <w:rsid w:val="0086617A"/>
    <w:rsid w:val="0087247D"/>
    <w:rsid w:val="0087448F"/>
    <w:rsid w:val="00890A50"/>
    <w:rsid w:val="00894E98"/>
    <w:rsid w:val="008B19E6"/>
    <w:rsid w:val="008C7562"/>
    <w:rsid w:val="008D6B4A"/>
    <w:rsid w:val="008D70A8"/>
    <w:rsid w:val="008E7258"/>
    <w:rsid w:val="008F1042"/>
    <w:rsid w:val="008F5911"/>
    <w:rsid w:val="009000FB"/>
    <w:rsid w:val="00920292"/>
    <w:rsid w:val="009308F7"/>
    <w:rsid w:val="00942C05"/>
    <w:rsid w:val="0094392F"/>
    <w:rsid w:val="009655EC"/>
    <w:rsid w:val="0097121D"/>
    <w:rsid w:val="0097321C"/>
    <w:rsid w:val="00991F28"/>
    <w:rsid w:val="009A191D"/>
    <w:rsid w:val="009B02FF"/>
    <w:rsid w:val="009B1CCD"/>
    <w:rsid w:val="009E2D39"/>
    <w:rsid w:val="009E34B3"/>
    <w:rsid w:val="009F0BF9"/>
    <w:rsid w:val="00A022F3"/>
    <w:rsid w:val="00A11829"/>
    <w:rsid w:val="00A13FA2"/>
    <w:rsid w:val="00A17D76"/>
    <w:rsid w:val="00A5167A"/>
    <w:rsid w:val="00A5178E"/>
    <w:rsid w:val="00A520A8"/>
    <w:rsid w:val="00A617B4"/>
    <w:rsid w:val="00A67109"/>
    <w:rsid w:val="00A702F0"/>
    <w:rsid w:val="00A732B4"/>
    <w:rsid w:val="00A7766F"/>
    <w:rsid w:val="00A8118C"/>
    <w:rsid w:val="00A840CE"/>
    <w:rsid w:val="00A95F5A"/>
    <w:rsid w:val="00A978DF"/>
    <w:rsid w:val="00AA74D2"/>
    <w:rsid w:val="00AD07CD"/>
    <w:rsid w:val="00AE69F2"/>
    <w:rsid w:val="00AF59A7"/>
    <w:rsid w:val="00AF79A8"/>
    <w:rsid w:val="00B01ACE"/>
    <w:rsid w:val="00B03A37"/>
    <w:rsid w:val="00B10542"/>
    <w:rsid w:val="00B11525"/>
    <w:rsid w:val="00B126D5"/>
    <w:rsid w:val="00B24C55"/>
    <w:rsid w:val="00B25EAC"/>
    <w:rsid w:val="00B34036"/>
    <w:rsid w:val="00B341BB"/>
    <w:rsid w:val="00B3676F"/>
    <w:rsid w:val="00B415D9"/>
    <w:rsid w:val="00B52CF5"/>
    <w:rsid w:val="00B6770D"/>
    <w:rsid w:val="00B808B0"/>
    <w:rsid w:val="00B90911"/>
    <w:rsid w:val="00B963E5"/>
    <w:rsid w:val="00BA442D"/>
    <w:rsid w:val="00BA452E"/>
    <w:rsid w:val="00BA4ED0"/>
    <w:rsid w:val="00BB0C00"/>
    <w:rsid w:val="00BC1B7E"/>
    <w:rsid w:val="00BC52EA"/>
    <w:rsid w:val="00BD20C8"/>
    <w:rsid w:val="00BE30A3"/>
    <w:rsid w:val="00BE3CFE"/>
    <w:rsid w:val="00C0230D"/>
    <w:rsid w:val="00C12AEA"/>
    <w:rsid w:val="00C1375D"/>
    <w:rsid w:val="00C14C42"/>
    <w:rsid w:val="00C24BEC"/>
    <w:rsid w:val="00C41D0D"/>
    <w:rsid w:val="00C434D7"/>
    <w:rsid w:val="00C45323"/>
    <w:rsid w:val="00C537C1"/>
    <w:rsid w:val="00C576B9"/>
    <w:rsid w:val="00C66F56"/>
    <w:rsid w:val="00C730F3"/>
    <w:rsid w:val="00C761FA"/>
    <w:rsid w:val="00C91FE9"/>
    <w:rsid w:val="00C924BD"/>
    <w:rsid w:val="00CA3842"/>
    <w:rsid w:val="00CA5CD6"/>
    <w:rsid w:val="00CC6CDC"/>
    <w:rsid w:val="00CD46FE"/>
    <w:rsid w:val="00CD56A3"/>
    <w:rsid w:val="00CD7C93"/>
    <w:rsid w:val="00CE3D71"/>
    <w:rsid w:val="00CE4AC9"/>
    <w:rsid w:val="00CE7ED4"/>
    <w:rsid w:val="00CF0624"/>
    <w:rsid w:val="00CF1BEF"/>
    <w:rsid w:val="00D010D0"/>
    <w:rsid w:val="00D027CC"/>
    <w:rsid w:val="00D05DEE"/>
    <w:rsid w:val="00D26480"/>
    <w:rsid w:val="00D33E1B"/>
    <w:rsid w:val="00D440A0"/>
    <w:rsid w:val="00D46FF3"/>
    <w:rsid w:val="00D6061B"/>
    <w:rsid w:val="00D638D6"/>
    <w:rsid w:val="00D65C44"/>
    <w:rsid w:val="00D7799F"/>
    <w:rsid w:val="00D84212"/>
    <w:rsid w:val="00D94A33"/>
    <w:rsid w:val="00DA01BA"/>
    <w:rsid w:val="00DA605E"/>
    <w:rsid w:val="00DA7583"/>
    <w:rsid w:val="00DC2944"/>
    <w:rsid w:val="00DD5C60"/>
    <w:rsid w:val="00DE5978"/>
    <w:rsid w:val="00DF00BA"/>
    <w:rsid w:val="00DF449A"/>
    <w:rsid w:val="00DF65C9"/>
    <w:rsid w:val="00DF7DD9"/>
    <w:rsid w:val="00E02D41"/>
    <w:rsid w:val="00E11A8E"/>
    <w:rsid w:val="00E20525"/>
    <w:rsid w:val="00E3212C"/>
    <w:rsid w:val="00E3686D"/>
    <w:rsid w:val="00E47C11"/>
    <w:rsid w:val="00E62765"/>
    <w:rsid w:val="00E66057"/>
    <w:rsid w:val="00E90CA4"/>
    <w:rsid w:val="00E93D1E"/>
    <w:rsid w:val="00EA34A8"/>
    <w:rsid w:val="00EA51D3"/>
    <w:rsid w:val="00EA54CC"/>
    <w:rsid w:val="00ED696B"/>
    <w:rsid w:val="00EE6BF2"/>
    <w:rsid w:val="00EF4415"/>
    <w:rsid w:val="00EF50E7"/>
    <w:rsid w:val="00EF7F55"/>
    <w:rsid w:val="00F015BE"/>
    <w:rsid w:val="00F236C1"/>
    <w:rsid w:val="00F2523C"/>
    <w:rsid w:val="00F2641C"/>
    <w:rsid w:val="00F311EA"/>
    <w:rsid w:val="00F32362"/>
    <w:rsid w:val="00F3648D"/>
    <w:rsid w:val="00F42050"/>
    <w:rsid w:val="00F4621E"/>
    <w:rsid w:val="00F50BE5"/>
    <w:rsid w:val="00F5272D"/>
    <w:rsid w:val="00F619E4"/>
    <w:rsid w:val="00F6517B"/>
    <w:rsid w:val="00F73043"/>
    <w:rsid w:val="00F76954"/>
    <w:rsid w:val="00F82F00"/>
    <w:rsid w:val="00F977BB"/>
    <w:rsid w:val="00F978F4"/>
    <w:rsid w:val="00FB4993"/>
    <w:rsid w:val="00FB77D5"/>
    <w:rsid w:val="00FC1662"/>
    <w:rsid w:val="00FC6EDA"/>
    <w:rsid w:val="00FD1916"/>
    <w:rsid w:val="00FD27B4"/>
    <w:rsid w:val="00FF342B"/>
    <w:rsid w:val="00FF481D"/>
    <w:rsid w:val="00FF75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954"/>
    <w:rPr>
      <w:rFonts w:ascii="Arial" w:hAnsi="Arial"/>
      <w:sz w:val="24"/>
      <w:szCs w:val="24"/>
      <w:lang w:val="en-GB"/>
    </w:rPr>
  </w:style>
  <w:style w:type="paragraph" w:styleId="Heading1">
    <w:name w:val="heading 1"/>
    <w:basedOn w:val="Normal"/>
    <w:next w:val="Normal"/>
    <w:qFormat/>
    <w:rsid w:val="00F76954"/>
    <w:pPr>
      <w:keepNext/>
      <w:jc w:val="center"/>
      <w:outlineLvl w:val="0"/>
    </w:pPr>
    <w:rPr>
      <w:rFonts w:cs="Arial"/>
      <w:b/>
      <w:bCs/>
    </w:rPr>
  </w:style>
  <w:style w:type="paragraph" w:styleId="Heading2">
    <w:name w:val="heading 2"/>
    <w:basedOn w:val="Normal"/>
    <w:next w:val="Normal"/>
    <w:qFormat/>
    <w:rsid w:val="00F76954"/>
    <w:pPr>
      <w:keepNext/>
      <w:jc w:val="both"/>
      <w:outlineLvl w:val="1"/>
    </w:pPr>
    <w:rPr>
      <w:rFonts w:cs="Arial"/>
      <w:b/>
      <w:bCs/>
    </w:rPr>
  </w:style>
  <w:style w:type="paragraph" w:styleId="Heading3">
    <w:name w:val="heading 3"/>
    <w:basedOn w:val="Normal"/>
    <w:next w:val="Normal"/>
    <w:qFormat/>
    <w:rsid w:val="00F76954"/>
    <w:pPr>
      <w:keepNext/>
      <w:overflowPunct w:val="0"/>
      <w:autoSpaceDE w:val="0"/>
      <w:autoSpaceDN w:val="0"/>
      <w:adjustRightInd w:val="0"/>
      <w:jc w:val="center"/>
      <w:textAlignment w:val="baseline"/>
      <w:outlineLvl w:val="2"/>
    </w:pPr>
    <w:rPr>
      <w:b/>
      <w:color w:val="000000"/>
      <w:szCs w:val="20"/>
    </w:rPr>
  </w:style>
  <w:style w:type="paragraph" w:styleId="Heading4">
    <w:name w:val="heading 4"/>
    <w:basedOn w:val="Normal"/>
    <w:next w:val="Normal"/>
    <w:qFormat/>
    <w:rsid w:val="00F76954"/>
    <w:pPr>
      <w:keepNext/>
      <w:tabs>
        <w:tab w:val="left" w:pos="3060"/>
      </w:tabs>
      <w:overflowPunct w:val="0"/>
      <w:autoSpaceDE w:val="0"/>
      <w:autoSpaceDN w:val="0"/>
      <w:adjustRightInd w:val="0"/>
      <w:textAlignment w:val="baseline"/>
      <w:outlineLvl w:val="3"/>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76954"/>
    <w:pPr>
      <w:jc w:val="both"/>
    </w:pPr>
    <w:rPr>
      <w:rFonts w:cs="Arial"/>
    </w:rPr>
  </w:style>
  <w:style w:type="paragraph" w:styleId="BodyText2">
    <w:name w:val="Body Text 2"/>
    <w:basedOn w:val="Normal"/>
    <w:rsid w:val="00F76954"/>
    <w:pPr>
      <w:jc w:val="both"/>
    </w:pPr>
    <w:rPr>
      <w:rFonts w:cs="Arial"/>
      <w:b/>
      <w:bCs/>
      <w:i/>
      <w:iCs/>
    </w:rPr>
  </w:style>
  <w:style w:type="paragraph" w:styleId="BodyText3">
    <w:name w:val="Body Text 3"/>
    <w:basedOn w:val="Normal"/>
    <w:rsid w:val="00F76954"/>
    <w:pPr>
      <w:jc w:val="both"/>
    </w:pPr>
    <w:rPr>
      <w:rFonts w:cs="Arial"/>
      <w:i/>
      <w:iCs/>
      <w:color w:val="FF0000"/>
    </w:rPr>
  </w:style>
  <w:style w:type="paragraph" w:styleId="Header">
    <w:name w:val="header"/>
    <w:basedOn w:val="Normal"/>
    <w:rsid w:val="00F76954"/>
    <w:pPr>
      <w:tabs>
        <w:tab w:val="center" w:pos="4320"/>
        <w:tab w:val="right" w:pos="8640"/>
      </w:tabs>
    </w:pPr>
  </w:style>
  <w:style w:type="paragraph" w:styleId="Footer">
    <w:name w:val="footer"/>
    <w:basedOn w:val="Normal"/>
    <w:rsid w:val="00F76954"/>
    <w:pPr>
      <w:tabs>
        <w:tab w:val="center" w:pos="4320"/>
        <w:tab w:val="right" w:pos="8640"/>
      </w:tabs>
    </w:pPr>
  </w:style>
  <w:style w:type="table" w:styleId="TableGrid">
    <w:name w:val="Table Grid"/>
    <w:basedOn w:val="TableNormal"/>
    <w:rsid w:val="003A1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C1662"/>
    <w:pPr>
      <w:autoSpaceDE w:val="0"/>
      <w:autoSpaceDN w:val="0"/>
      <w:adjustRightInd w:val="0"/>
    </w:pPr>
    <w:rPr>
      <w:rFonts w:ascii="Arial" w:hAnsi="Arial" w:cs="Arial"/>
      <w:color w:val="000000"/>
      <w:sz w:val="24"/>
      <w:szCs w:val="24"/>
      <w:lang w:val="en-GB" w:eastAsia="en-GB"/>
    </w:rPr>
  </w:style>
  <w:style w:type="character" w:styleId="PageNumber">
    <w:name w:val="page number"/>
    <w:basedOn w:val="DefaultParagraphFont"/>
    <w:rsid w:val="001D3998"/>
  </w:style>
  <w:style w:type="paragraph" w:styleId="BalloonText">
    <w:name w:val="Balloon Text"/>
    <w:basedOn w:val="Normal"/>
    <w:link w:val="BalloonTextChar"/>
    <w:rsid w:val="00195882"/>
    <w:rPr>
      <w:rFonts w:ascii="Tahoma" w:hAnsi="Tahoma" w:cs="Tahoma"/>
      <w:sz w:val="16"/>
      <w:szCs w:val="16"/>
    </w:rPr>
  </w:style>
  <w:style w:type="character" w:customStyle="1" w:styleId="BalloonTextChar">
    <w:name w:val="Balloon Text Char"/>
    <w:basedOn w:val="DefaultParagraphFont"/>
    <w:link w:val="BalloonText"/>
    <w:rsid w:val="00195882"/>
    <w:rPr>
      <w:rFonts w:ascii="Tahoma" w:hAnsi="Tahoma" w:cs="Tahoma"/>
      <w:sz w:val="16"/>
      <w:szCs w:val="16"/>
      <w:lang w:val="en-GB"/>
    </w:rPr>
  </w:style>
  <w:style w:type="paragraph" w:styleId="ListParagraph">
    <w:name w:val="List Paragraph"/>
    <w:basedOn w:val="Normal"/>
    <w:uiPriority w:val="34"/>
    <w:qFormat/>
    <w:rsid w:val="00FD1916"/>
    <w:pPr>
      <w:ind w:left="720"/>
      <w:contextualSpacing/>
    </w:pPr>
  </w:style>
  <w:style w:type="paragraph" w:styleId="FootnoteText">
    <w:name w:val="footnote text"/>
    <w:basedOn w:val="Normal"/>
    <w:link w:val="FootnoteTextChar"/>
    <w:rsid w:val="0007425E"/>
    <w:rPr>
      <w:sz w:val="20"/>
      <w:szCs w:val="20"/>
    </w:rPr>
  </w:style>
  <w:style w:type="character" w:customStyle="1" w:styleId="FootnoteTextChar">
    <w:name w:val="Footnote Text Char"/>
    <w:basedOn w:val="DefaultParagraphFont"/>
    <w:link w:val="FootnoteText"/>
    <w:rsid w:val="0007425E"/>
    <w:rPr>
      <w:rFonts w:ascii="Arial" w:hAnsi="Arial"/>
      <w:lang w:val="en-GB"/>
    </w:rPr>
  </w:style>
  <w:style w:type="character" w:styleId="FootnoteReference">
    <w:name w:val="footnote reference"/>
    <w:basedOn w:val="DefaultParagraphFont"/>
    <w:rsid w:val="000742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817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3AD91-43EF-41AC-A1A6-B70DBA252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2872</Words>
  <Characters>16060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lpstr>
    </vt:vector>
  </TitlesOfParts>
  <Company>Mental Healthcare NHS</Company>
  <LinksUpToDate>false</LinksUpToDate>
  <CharactersWithSpaces>18895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NearyA</dc:creator>
  <cp:keywords/>
  <dc:description/>
  <cp:lastModifiedBy>justinian.habner</cp:lastModifiedBy>
  <cp:revision>2</cp:revision>
  <cp:lastPrinted>2009-06-16T11:42:00Z</cp:lastPrinted>
  <dcterms:created xsi:type="dcterms:W3CDTF">2014-11-27T17:09:00Z</dcterms:created>
  <dcterms:modified xsi:type="dcterms:W3CDTF">2014-11-27T17:09:00Z</dcterms:modified>
</cp:coreProperties>
</file>