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51" w:rsidRPr="00A027BB" w:rsidRDefault="00EE4D66" w:rsidP="00DA4A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en-GB"/>
        </w:rPr>
        <w:drawing>
          <wp:inline distT="0" distB="0" distL="0" distR="0">
            <wp:extent cx="2552700" cy="504825"/>
            <wp:effectExtent l="0" t="0" r="0" b="9525"/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51" w:rsidRPr="00A027BB" w:rsidRDefault="00DA4A51" w:rsidP="00DA4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DA4A51" w:rsidRPr="00A027BB" w:rsidRDefault="00DA4A51" w:rsidP="00DA4A5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DA4A51" w:rsidRPr="00A027BB" w:rsidRDefault="00DA4A51" w:rsidP="00DA4A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DA4A51" w:rsidRPr="00A027BB" w:rsidRDefault="00DA4A51" w:rsidP="00DA4A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A027BB">
        <w:rPr>
          <w:rFonts w:ascii="Arial" w:eastAsia="Times New Roman" w:hAnsi="Arial" w:cs="Arial"/>
          <w:b/>
          <w:sz w:val="24"/>
          <w:szCs w:val="24"/>
        </w:rPr>
        <w:t xml:space="preserve">Report to the Meeting of the   </w:t>
      </w:r>
    </w:p>
    <w:p w:rsidR="00DA4A51" w:rsidRPr="00A027BB" w:rsidRDefault="00DA4A51" w:rsidP="00DA4A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A027BB">
        <w:rPr>
          <w:rFonts w:ascii="Arial" w:eastAsia="Times New Roman" w:hAnsi="Arial" w:cs="Arial"/>
          <w:b/>
          <w:sz w:val="24"/>
          <w:szCs w:val="24"/>
        </w:rPr>
        <w:t xml:space="preserve">Oxford Health NHS Foundation Trust </w:t>
      </w:r>
    </w:p>
    <w:p w:rsidR="00DA4A51" w:rsidRPr="00A027BB" w:rsidRDefault="00C74E30" w:rsidP="00DA4A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C74E30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91E927" wp14:editId="15AA48A0">
                <wp:simplePos x="0" y="0"/>
                <wp:positionH relativeFrom="column">
                  <wp:posOffset>5362574</wp:posOffset>
                </wp:positionH>
                <wp:positionV relativeFrom="paragraph">
                  <wp:posOffset>123825</wp:posOffset>
                </wp:positionV>
                <wp:extent cx="1287145" cy="561975"/>
                <wp:effectExtent l="0" t="0" r="273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933" w:rsidRPr="00C74E30" w:rsidRDefault="00E179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BOD 75/2014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(Agenda item: 7)</w:t>
                            </w:r>
                          </w:p>
                          <w:p w:rsidR="00E17933" w:rsidRPr="00C74E30" w:rsidRDefault="00E179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9.75pt;width:101.35pt;height:4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">
                <v:textbox>
                  <w:txbxContent>
                    <w:p w:rsidR="00E17933" w:rsidRPr="00C74E30" w:rsidRDefault="00E179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BOD 75/2014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(Agenda item: 7)</w:t>
                      </w:r>
                    </w:p>
                    <w:p w:rsidR="00E17933" w:rsidRPr="00C74E30" w:rsidRDefault="00E1793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A51" w:rsidRPr="00A027BB">
        <w:rPr>
          <w:rFonts w:ascii="Arial" w:eastAsia="Times New Roman" w:hAnsi="Arial" w:cs="Arial"/>
          <w:b/>
          <w:sz w:val="24"/>
          <w:szCs w:val="24"/>
        </w:rPr>
        <w:t>Board of Directors</w:t>
      </w:r>
    </w:p>
    <w:p w:rsidR="00DA4A51" w:rsidRPr="00A027BB" w:rsidRDefault="00DA4A51" w:rsidP="00DA4A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DA4A51" w:rsidRPr="00A027BB" w:rsidRDefault="00C74E30" w:rsidP="00DA4A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25 </w:t>
      </w:r>
      <w:r w:rsidR="00650ACD" w:rsidRPr="00A027BB">
        <w:rPr>
          <w:rFonts w:ascii="Arial" w:eastAsia="Times New Roman" w:hAnsi="Arial" w:cs="Arial"/>
          <w:b/>
          <w:sz w:val="24"/>
          <w:szCs w:val="24"/>
          <w:lang w:val="en-US"/>
        </w:rPr>
        <w:t>June</w:t>
      </w:r>
      <w:r w:rsidR="00DA4A51" w:rsidRPr="00A027BB">
        <w:rPr>
          <w:rFonts w:ascii="Arial" w:eastAsia="Times New Roman" w:hAnsi="Arial" w:cs="Arial"/>
          <w:b/>
          <w:sz w:val="24"/>
          <w:szCs w:val="24"/>
          <w:lang w:val="en-US"/>
        </w:rPr>
        <w:t xml:space="preserve"> 201</w:t>
      </w:r>
      <w:r w:rsidR="00650ACD" w:rsidRPr="00A027BB">
        <w:rPr>
          <w:rFonts w:ascii="Arial" w:eastAsia="Times New Roman" w:hAnsi="Arial" w:cs="Arial"/>
          <w:b/>
          <w:sz w:val="24"/>
          <w:szCs w:val="24"/>
          <w:lang w:val="en-US"/>
        </w:rPr>
        <w:t>4</w:t>
      </w:r>
    </w:p>
    <w:p w:rsidR="00DA4A51" w:rsidRPr="00A027BB" w:rsidRDefault="00DA4A51" w:rsidP="00DA4A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DA4A51" w:rsidRPr="00A027BB" w:rsidRDefault="00DA4A51" w:rsidP="00DA4A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027BB">
        <w:rPr>
          <w:rFonts w:ascii="Arial" w:eastAsia="Times New Roman" w:hAnsi="Arial" w:cs="Arial"/>
          <w:b/>
          <w:sz w:val="24"/>
          <w:szCs w:val="24"/>
          <w:lang w:val="en-US"/>
        </w:rPr>
        <w:t>Quality and Safety Report</w:t>
      </w:r>
    </w:p>
    <w:p w:rsidR="00F82A9B" w:rsidRPr="00A027BB" w:rsidRDefault="00F82A9B" w:rsidP="00F82A9B">
      <w:pPr>
        <w:pStyle w:val="PlainText"/>
        <w:rPr>
          <w:rFonts w:ascii="Arial" w:hAnsi="Arial" w:cs="Arial"/>
          <w:sz w:val="24"/>
          <w:szCs w:val="24"/>
        </w:rPr>
      </w:pPr>
      <w:r w:rsidRPr="00A027BB">
        <w:rPr>
          <w:rFonts w:ascii="Arial" w:hAnsi="Arial" w:cs="Arial"/>
          <w:sz w:val="24"/>
          <w:szCs w:val="24"/>
        </w:rPr>
        <w:t xml:space="preserve"> </w:t>
      </w:r>
    </w:p>
    <w:p w:rsidR="00DA4A51" w:rsidRPr="00A027BB" w:rsidRDefault="009770FB" w:rsidP="00DA4A51">
      <w:pPr>
        <w:spacing w:after="0" w:line="240" w:lineRule="auto"/>
        <w:ind w:right="-46"/>
        <w:rPr>
          <w:rFonts w:ascii="Arial" w:eastAsia="Arial Unicode MS" w:hAnsi="Arial" w:cs="Arial"/>
          <w:b/>
          <w:sz w:val="24"/>
          <w:szCs w:val="24"/>
          <w:lang w:val="en-US"/>
        </w:rPr>
      </w:pPr>
      <w:r>
        <w:rPr>
          <w:rFonts w:ascii="Arial" w:eastAsia="Arial Unicode MS" w:hAnsi="Arial" w:cs="Arial"/>
          <w:b/>
          <w:sz w:val="24"/>
          <w:szCs w:val="24"/>
          <w:lang w:val="en-US"/>
        </w:rPr>
        <w:t xml:space="preserve">                                           </w:t>
      </w:r>
      <w:r w:rsidR="001748D3">
        <w:rPr>
          <w:rFonts w:ascii="Arial" w:eastAsia="Arial Unicode MS" w:hAnsi="Arial" w:cs="Arial"/>
          <w:b/>
          <w:sz w:val="24"/>
          <w:szCs w:val="24"/>
          <w:lang w:val="en-US"/>
        </w:rPr>
        <w:t>Quarterly Clinical Effectiveness Report</w:t>
      </w:r>
    </w:p>
    <w:p w:rsidR="00DA4A51" w:rsidRPr="00A027BB" w:rsidRDefault="00DA4A51" w:rsidP="00DA4A51">
      <w:pPr>
        <w:spacing w:after="0" w:line="240" w:lineRule="auto"/>
        <w:ind w:right="-46"/>
        <w:jc w:val="both"/>
        <w:rPr>
          <w:rFonts w:ascii="Arial" w:eastAsia="Arial Unicode MS" w:hAnsi="Arial" w:cs="Arial"/>
          <w:sz w:val="24"/>
          <w:szCs w:val="24"/>
          <w:lang w:val="en-US"/>
        </w:rPr>
      </w:pPr>
    </w:p>
    <w:p w:rsidR="00DA4A51" w:rsidRPr="00A027BB" w:rsidRDefault="0028745C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Introduction</w:t>
      </w:r>
    </w:p>
    <w:p w:rsidR="00DA4A51" w:rsidRPr="00A027BB" w:rsidRDefault="00DA4A51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DA4A51" w:rsidRPr="00A027BB" w:rsidRDefault="00E9195D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Ensuring </w:t>
      </w:r>
      <w:r w:rsidR="007C2E1B">
        <w:rPr>
          <w:rFonts w:ascii="Arial" w:eastAsia="Times New Roman" w:hAnsi="Arial" w:cs="Arial"/>
          <w:sz w:val="24"/>
          <w:szCs w:val="24"/>
          <w:lang w:val="en-US"/>
        </w:rPr>
        <w:t>patient</w:t>
      </w:r>
      <w:r w:rsidR="00ED33A5">
        <w:rPr>
          <w:rFonts w:ascii="Arial" w:eastAsia="Times New Roman" w:hAnsi="Arial" w:cs="Arial"/>
          <w:sz w:val="24"/>
          <w:szCs w:val="24"/>
          <w:lang w:val="en-US"/>
        </w:rPr>
        <w:t xml:space="preserve"> outcomes are </w:t>
      </w:r>
      <w:r>
        <w:rPr>
          <w:rFonts w:ascii="Arial" w:eastAsia="Times New Roman" w:hAnsi="Arial" w:cs="Arial"/>
          <w:sz w:val="24"/>
          <w:szCs w:val="24"/>
          <w:lang w:val="en-US"/>
        </w:rPr>
        <w:t>clinically effective and helping people to recover or live a better life wi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th their long term conditions are </w:t>
      </w:r>
      <w:r>
        <w:rPr>
          <w:rFonts w:ascii="Arial" w:eastAsia="Times New Roman" w:hAnsi="Arial" w:cs="Arial"/>
          <w:sz w:val="24"/>
          <w:szCs w:val="24"/>
          <w:lang w:val="en-US"/>
        </w:rPr>
        <w:t>core component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of our Quality Strategy. This report focusses on the standards of care 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achieved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primarily in </w:t>
      </w:r>
      <w:r w:rsidR="001748D3">
        <w:rPr>
          <w:rFonts w:ascii="Arial" w:eastAsia="Times New Roman" w:hAnsi="Arial" w:cs="Arial"/>
          <w:sz w:val="24"/>
          <w:szCs w:val="24"/>
          <w:lang w:val="en-US"/>
        </w:rPr>
        <w:t>Quarter 4 January to March 2014</w:t>
      </w:r>
      <w:r w:rsidR="006452A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and includes</w:t>
      </w:r>
      <w:r w:rsidR="00300C26">
        <w:rPr>
          <w:rFonts w:ascii="Arial" w:eastAsia="Times New Roman" w:hAnsi="Arial" w:cs="Arial"/>
          <w:sz w:val="24"/>
          <w:szCs w:val="24"/>
          <w:lang w:val="en-US"/>
        </w:rPr>
        <w:t xml:space="preserve"> reports on clinical audit</w:t>
      </w:r>
      <w:r w:rsidR="00AA1C3B">
        <w:rPr>
          <w:rFonts w:ascii="Arial" w:eastAsia="Times New Roman" w:hAnsi="Arial" w:cs="Arial"/>
          <w:sz w:val="24"/>
          <w:szCs w:val="24"/>
          <w:lang w:val="en-US"/>
        </w:rPr>
        <w:t>, essential standards audits f</w:t>
      </w:r>
      <w:r>
        <w:rPr>
          <w:rFonts w:ascii="Arial" w:eastAsia="Times New Roman" w:hAnsi="Arial" w:cs="Arial"/>
          <w:sz w:val="24"/>
          <w:szCs w:val="24"/>
          <w:lang w:val="en-US"/>
        </w:rPr>
        <w:t>or</w:t>
      </w:r>
      <w:r w:rsidR="00AA1C3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our</w:t>
      </w:r>
      <w:r w:rsidR="0028745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F088D">
        <w:rPr>
          <w:rFonts w:ascii="Arial" w:eastAsia="Times New Roman" w:hAnsi="Arial" w:cs="Arial"/>
          <w:sz w:val="24"/>
          <w:szCs w:val="24"/>
          <w:lang w:val="en-US"/>
        </w:rPr>
        <w:t xml:space="preserve">inpatient wards, and audits of community team quality standards. New areas included in the </w:t>
      </w:r>
      <w:r>
        <w:rPr>
          <w:rFonts w:ascii="Arial" w:eastAsia="Times New Roman" w:hAnsi="Arial" w:cs="Arial"/>
          <w:sz w:val="24"/>
          <w:szCs w:val="24"/>
          <w:lang w:val="en-US"/>
        </w:rPr>
        <w:t>report detail the j</w:t>
      </w:r>
      <w:r w:rsidR="00AA1C3B">
        <w:rPr>
          <w:rFonts w:ascii="Arial" w:eastAsia="Times New Roman" w:hAnsi="Arial" w:cs="Arial"/>
          <w:sz w:val="24"/>
          <w:szCs w:val="24"/>
          <w:lang w:val="en-US"/>
        </w:rPr>
        <w:t>oint review of Community Nursing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with Oxfordshire CCG </w:t>
      </w:r>
      <w:r w:rsidR="00AA1C3B">
        <w:rPr>
          <w:rFonts w:ascii="Arial" w:eastAsia="Times New Roman" w:hAnsi="Arial" w:cs="Arial"/>
          <w:sz w:val="24"/>
          <w:szCs w:val="24"/>
          <w:lang w:val="en-US"/>
        </w:rPr>
        <w:t xml:space="preserve">and improved patient outcomes </w:t>
      </w:r>
      <w:r w:rsidR="003B1394">
        <w:rPr>
          <w:rFonts w:ascii="Arial" w:eastAsia="Times New Roman" w:hAnsi="Arial" w:cs="Arial"/>
          <w:sz w:val="24"/>
          <w:szCs w:val="24"/>
          <w:lang w:val="en-US"/>
        </w:rPr>
        <w:t xml:space="preserve">for the Oxfordshire </w:t>
      </w:r>
      <w:proofErr w:type="spellStart"/>
      <w:r w:rsidR="003B1394">
        <w:rPr>
          <w:rFonts w:ascii="Arial" w:eastAsia="Times New Roman" w:hAnsi="Arial" w:cs="Arial"/>
          <w:sz w:val="24"/>
          <w:szCs w:val="24"/>
          <w:lang w:val="en-US"/>
        </w:rPr>
        <w:t>Reablement</w:t>
      </w:r>
      <w:proofErr w:type="spellEnd"/>
      <w:r w:rsidR="003B1394">
        <w:rPr>
          <w:rFonts w:ascii="Arial" w:eastAsia="Times New Roman" w:hAnsi="Arial" w:cs="Arial"/>
          <w:sz w:val="24"/>
          <w:szCs w:val="24"/>
          <w:lang w:val="en-US"/>
        </w:rPr>
        <w:t xml:space="preserve"> s</w:t>
      </w:r>
      <w:r w:rsidR="00AA1C3B">
        <w:rPr>
          <w:rFonts w:ascii="Arial" w:eastAsia="Times New Roman" w:hAnsi="Arial" w:cs="Arial"/>
          <w:sz w:val="24"/>
          <w:szCs w:val="24"/>
          <w:lang w:val="en-US"/>
        </w:rPr>
        <w:t xml:space="preserve">ervice </w:t>
      </w:r>
    </w:p>
    <w:p w:rsidR="00DA4A51" w:rsidRPr="00A027BB" w:rsidRDefault="00DA4A51" w:rsidP="00DA4A51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</w:p>
    <w:p w:rsidR="00DA4A51" w:rsidRPr="00A027BB" w:rsidRDefault="00DA4A51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027BB">
        <w:rPr>
          <w:rFonts w:ascii="Arial" w:eastAsia="Times New Roman" w:hAnsi="Arial" w:cs="Arial"/>
          <w:sz w:val="24"/>
          <w:szCs w:val="24"/>
          <w:lang w:val="en-US"/>
        </w:rPr>
        <w:t>The paper also provides a monthly general update on quality and safety including infection prevention and control, CQC outcomes and individual</w:t>
      </w:r>
      <w:r w:rsidR="00AA1C3B">
        <w:rPr>
          <w:rFonts w:ascii="Arial" w:eastAsia="Times New Roman" w:hAnsi="Arial" w:cs="Arial"/>
          <w:sz w:val="24"/>
          <w:szCs w:val="24"/>
          <w:lang w:val="en-US"/>
        </w:rPr>
        <w:t xml:space="preserve"> safety and quality</w:t>
      </w:r>
      <w:r w:rsidRPr="00A027BB">
        <w:rPr>
          <w:rFonts w:ascii="Arial" w:eastAsia="Times New Roman" w:hAnsi="Arial" w:cs="Arial"/>
          <w:sz w:val="24"/>
          <w:szCs w:val="24"/>
          <w:lang w:val="en-US"/>
        </w:rPr>
        <w:t xml:space="preserve"> issues.</w:t>
      </w:r>
    </w:p>
    <w:p w:rsidR="00DA4A51" w:rsidRDefault="00DA4A51" w:rsidP="00DA4A51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</w:p>
    <w:p w:rsidR="0028745C" w:rsidRDefault="00EE4D66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Executive </w:t>
      </w:r>
      <w:r w:rsidR="0028745C" w:rsidRPr="0028745C">
        <w:rPr>
          <w:rFonts w:ascii="Arial" w:eastAsia="Times New Roman" w:hAnsi="Arial" w:cs="Arial"/>
          <w:b/>
          <w:sz w:val="24"/>
          <w:szCs w:val="24"/>
          <w:lang w:val="en-US"/>
        </w:rPr>
        <w:t>Summary</w:t>
      </w:r>
    </w:p>
    <w:p w:rsidR="008F088D" w:rsidRDefault="008F088D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285A47" w:rsidRDefault="00ED33A5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Clinical Audit</w:t>
      </w:r>
    </w:p>
    <w:p w:rsidR="00ED33A5" w:rsidRDefault="00ED33A5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D33A5" w:rsidRPr="00ED33A5" w:rsidRDefault="00E17933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Fourteen trust wide</w:t>
      </w:r>
      <w:r w:rsidR="007C2E1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audits have </w:t>
      </w:r>
      <w:r w:rsidR="006452A1">
        <w:rPr>
          <w:rFonts w:ascii="Arial" w:eastAsia="Times New Roman" w:hAnsi="Arial" w:cs="Arial"/>
          <w:sz w:val="24"/>
          <w:szCs w:val="24"/>
          <w:lang w:val="en-US"/>
        </w:rPr>
        <w:t xml:space="preserve">been </w:t>
      </w:r>
      <w:r>
        <w:rPr>
          <w:rFonts w:ascii="Arial" w:eastAsia="Times New Roman" w:hAnsi="Arial" w:cs="Arial"/>
          <w:sz w:val="24"/>
          <w:szCs w:val="24"/>
          <w:lang w:val="en-US"/>
        </w:rPr>
        <w:t>reported</w:t>
      </w:r>
      <w:r w:rsidR="00ED33A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452A1">
        <w:rPr>
          <w:rFonts w:ascii="Arial" w:eastAsia="Times New Roman" w:hAnsi="Arial" w:cs="Arial"/>
          <w:sz w:val="24"/>
          <w:szCs w:val="24"/>
          <w:lang w:val="en-US"/>
        </w:rPr>
        <w:t xml:space="preserve">upon </w:t>
      </w:r>
      <w:r w:rsidR="00ED33A5">
        <w:rPr>
          <w:rFonts w:ascii="Arial" w:eastAsia="Times New Roman" w:hAnsi="Arial" w:cs="Arial"/>
          <w:sz w:val="24"/>
          <w:szCs w:val="24"/>
          <w:lang w:val="en-US"/>
        </w:rPr>
        <w:t>in Q4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;  seven have been rated good, </w:t>
      </w:r>
      <w:r w:rsidR="00ED33A5">
        <w:rPr>
          <w:rFonts w:ascii="Arial" w:eastAsia="Times New Roman" w:hAnsi="Arial" w:cs="Arial"/>
          <w:sz w:val="24"/>
          <w:szCs w:val="24"/>
          <w:lang w:val="en-US"/>
        </w:rPr>
        <w:t xml:space="preserve">five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have at least </w:t>
      </w:r>
      <w:r w:rsidR="006452A1">
        <w:rPr>
          <w:rFonts w:ascii="Arial" w:eastAsia="Times New Roman" w:hAnsi="Arial" w:cs="Arial"/>
          <w:sz w:val="24"/>
          <w:szCs w:val="24"/>
          <w:lang w:val="en-US"/>
        </w:rPr>
        <w:t>some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aspects that require improvement, three </w:t>
      </w:r>
      <w:r w:rsidR="00ED33A5">
        <w:rPr>
          <w:rFonts w:ascii="Arial" w:eastAsia="Times New Roman" w:hAnsi="Arial" w:cs="Arial"/>
          <w:sz w:val="24"/>
          <w:szCs w:val="24"/>
          <w:lang w:val="en-US"/>
        </w:rPr>
        <w:t xml:space="preserve">have incomplete action plans. The older adult mental capacity audit was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rated </w:t>
      </w:r>
      <w:r w:rsidR="00ED33A5">
        <w:rPr>
          <w:rFonts w:ascii="Arial" w:eastAsia="Times New Roman" w:hAnsi="Arial" w:cs="Arial"/>
          <w:sz w:val="24"/>
          <w:szCs w:val="24"/>
          <w:lang w:val="en-US"/>
        </w:rPr>
        <w:t xml:space="preserve">unacceptable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because all standard statements should achieve 100% and this was not demonstrated.  Following this audit, further checks shown in the table (page 9) provided assurance regarding compliance </w:t>
      </w:r>
      <w:r w:rsidR="00ED33A5">
        <w:rPr>
          <w:rFonts w:ascii="Arial" w:eastAsia="Times New Roman" w:hAnsi="Arial" w:cs="Arial"/>
          <w:sz w:val="24"/>
          <w:szCs w:val="24"/>
          <w:lang w:val="en-US"/>
        </w:rPr>
        <w:t>and immediate action has been ta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>ken to address the shortcomings which are detailed in the report.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F5041D">
        <w:rPr>
          <w:rFonts w:ascii="Arial" w:eastAsia="Times New Roman" w:hAnsi="Arial" w:cs="Arial"/>
          <w:sz w:val="24"/>
          <w:szCs w:val="24"/>
          <w:lang w:val="en-US"/>
        </w:rPr>
        <w:t xml:space="preserve"> Twenty</w:t>
      </w:r>
      <w:r>
        <w:rPr>
          <w:rFonts w:ascii="Arial" w:eastAsia="Times New Roman" w:hAnsi="Arial" w:cs="Arial"/>
          <w:sz w:val="24"/>
          <w:szCs w:val="24"/>
          <w:lang w:val="en-US"/>
        </w:rPr>
        <w:t>-</w:t>
      </w:r>
      <w:r w:rsidR="00F5041D">
        <w:rPr>
          <w:rFonts w:ascii="Arial" w:eastAsia="Times New Roman" w:hAnsi="Arial" w:cs="Arial"/>
          <w:sz w:val="24"/>
          <w:szCs w:val="24"/>
          <w:lang w:val="en-US"/>
        </w:rPr>
        <w:t>five</w:t>
      </w:r>
      <w:r w:rsidR="00ED33A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F5041D">
        <w:rPr>
          <w:rFonts w:ascii="Arial" w:eastAsia="Times New Roman" w:hAnsi="Arial" w:cs="Arial"/>
          <w:sz w:val="24"/>
          <w:szCs w:val="24"/>
          <w:lang w:val="en-US"/>
        </w:rPr>
        <w:t>l</w:t>
      </w:r>
      <w:r>
        <w:rPr>
          <w:rFonts w:ascii="Arial" w:eastAsia="Times New Roman" w:hAnsi="Arial" w:cs="Arial"/>
          <w:sz w:val="24"/>
          <w:szCs w:val="24"/>
          <w:lang w:val="en-US"/>
        </w:rPr>
        <w:t>ocal a</w:t>
      </w:r>
      <w:r w:rsidR="00ED33A5">
        <w:rPr>
          <w:rFonts w:ascii="Arial" w:eastAsia="Times New Roman" w:hAnsi="Arial" w:cs="Arial"/>
          <w:sz w:val="24"/>
          <w:szCs w:val="24"/>
          <w:lang w:val="en-US"/>
        </w:rPr>
        <w:t>udi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ts in the older </w:t>
      </w:r>
      <w:r>
        <w:rPr>
          <w:rFonts w:ascii="Arial" w:eastAsia="Times New Roman" w:hAnsi="Arial" w:cs="Arial"/>
          <w:sz w:val="24"/>
          <w:szCs w:val="24"/>
          <w:lang w:val="en-US"/>
        </w:rPr>
        <w:t>people’s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 directorate</w:t>
      </w:r>
      <w:r w:rsidR="00ED33A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were rated as good or excellent, however thirteen require improvement. 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This highlights the need for </w:t>
      </w:r>
      <w:r w:rsidR="00F5041D">
        <w:rPr>
          <w:rFonts w:ascii="Arial" w:eastAsia="Times New Roman" w:hAnsi="Arial" w:cs="Arial"/>
          <w:sz w:val="24"/>
          <w:szCs w:val="24"/>
          <w:lang w:val="en-US"/>
        </w:rPr>
        <w:t>clinicians and managers to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 focus on ensuring reliable care process are the </w:t>
      </w:r>
      <w:proofErr w:type="gramStart"/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norm to improve </w:t>
      </w:r>
      <w:r w:rsidR="00F5041D">
        <w:rPr>
          <w:rFonts w:ascii="Arial" w:eastAsia="Times New Roman" w:hAnsi="Arial" w:cs="Arial"/>
          <w:sz w:val="24"/>
          <w:szCs w:val="24"/>
          <w:lang w:val="en-US"/>
        </w:rPr>
        <w:t>the individual standards of care clinical staff are</w:t>
      </w:r>
      <w:proofErr w:type="gramEnd"/>
      <w:r w:rsidR="00F5041D">
        <w:rPr>
          <w:rFonts w:ascii="Arial" w:eastAsia="Times New Roman" w:hAnsi="Arial" w:cs="Arial"/>
          <w:sz w:val="24"/>
          <w:szCs w:val="24"/>
          <w:lang w:val="en-US"/>
        </w:rPr>
        <w:t xml:space="preserve"> responsible for.</w:t>
      </w:r>
    </w:p>
    <w:p w:rsidR="00285A47" w:rsidRDefault="00285A47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28745C" w:rsidRDefault="007C2E1B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Inpatient standards of care</w:t>
      </w:r>
    </w:p>
    <w:p w:rsidR="008F088D" w:rsidRDefault="008F088D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C2E1B" w:rsidRDefault="00E17933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Twenty-five</w:t>
      </w:r>
      <w:r w:rsidR="007C2E1B">
        <w:rPr>
          <w:rFonts w:ascii="Arial" w:eastAsia="Times New Roman" w:hAnsi="Arial" w:cs="Arial"/>
          <w:sz w:val="24"/>
          <w:szCs w:val="24"/>
          <w:lang w:val="en-US"/>
        </w:rPr>
        <w:t xml:space="preserve"> mental health wards have completed the Essential Standards Audit. The results are mixed, it is disappointing that the care planning standards particularly patients involvement in care planning has deteriorated 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>this</w:t>
      </w:r>
      <w:r w:rsidR="007C2E1B">
        <w:rPr>
          <w:rFonts w:ascii="Arial" w:eastAsia="Times New Roman" w:hAnsi="Arial" w:cs="Arial"/>
          <w:sz w:val="24"/>
          <w:szCs w:val="24"/>
          <w:lang w:val="en-US"/>
        </w:rPr>
        <w:t xml:space="preserve"> quarter. The new leadership teams of ward based consultant matron and ward manager are all appointed in adult wards with additional </w:t>
      </w:r>
      <w:r w:rsidR="00F54F69">
        <w:rPr>
          <w:rFonts w:ascii="Arial" w:eastAsia="Times New Roman" w:hAnsi="Arial" w:cs="Arial"/>
          <w:sz w:val="24"/>
          <w:szCs w:val="24"/>
          <w:lang w:val="en-US"/>
        </w:rPr>
        <w:t xml:space="preserve">Band 6 staff. Establishments in older adults wards have also been improved and in some forensic wards. </w:t>
      </w:r>
      <w:r w:rsidR="003B139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F54F69">
        <w:rPr>
          <w:rFonts w:ascii="Arial" w:eastAsia="Times New Roman" w:hAnsi="Arial" w:cs="Arial"/>
          <w:sz w:val="24"/>
          <w:szCs w:val="24"/>
          <w:lang w:val="en-US"/>
        </w:rPr>
        <w:t>Improving the core standards is expected within the next quarter.</w:t>
      </w:r>
    </w:p>
    <w:p w:rsidR="006452A1" w:rsidRDefault="006452A1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F54F69" w:rsidRDefault="00F54F69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lastRenderedPageBreak/>
        <w:t>The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 Community Hospital audit for Q4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highlights eight ward rated as good while two City and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Witney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Wenric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requiring improvement. </w:t>
      </w:r>
      <w:r w:rsidR="00E1793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Improvement plans to raise standards in the two wards are in place.</w:t>
      </w:r>
    </w:p>
    <w:p w:rsidR="008F088D" w:rsidRDefault="008F088D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74EA8" w:rsidRPr="00EE4D66" w:rsidRDefault="00D74EA8" w:rsidP="00D74EA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E4D66">
        <w:rPr>
          <w:rFonts w:ascii="Arial" w:eastAsia="Times New Roman" w:hAnsi="Arial" w:cs="Arial"/>
          <w:bCs/>
          <w:color w:val="000000"/>
          <w:sz w:val="24"/>
          <w:szCs w:val="24"/>
        </w:rPr>
        <w:t>The standards which are requiring improvement have been captured in the action plans which were used to address the issues of concern are:</w:t>
      </w:r>
    </w:p>
    <w:p w:rsidR="00D74EA8" w:rsidRPr="00EE4D66" w:rsidRDefault="00D74EA8" w:rsidP="00115A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EE4D66">
        <w:rPr>
          <w:rFonts w:ascii="Arial" w:eastAsia="Times New Roman" w:hAnsi="Arial" w:cs="Arial"/>
          <w:bCs/>
          <w:sz w:val="24"/>
          <w:szCs w:val="24"/>
        </w:rPr>
        <w:t>Recording patient contact numbers</w:t>
      </w:r>
    </w:p>
    <w:p w:rsidR="00D74EA8" w:rsidRPr="00EE4D66" w:rsidRDefault="00D74EA8" w:rsidP="00115A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EE4D66">
        <w:rPr>
          <w:rFonts w:ascii="Arial" w:eastAsia="Times New Roman" w:hAnsi="Arial" w:cs="Arial"/>
          <w:bCs/>
          <w:sz w:val="24"/>
          <w:szCs w:val="24"/>
        </w:rPr>
        <w:t>MUST recording, and subsequent care plans</w:t>
      </w:r>
    </w:p>
    <w:p w:rsidR="00D74EA8" w:rsidRPr="00EE4D66" w:rsidRDefault="00D74EA8" w:rsidP="00115A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EE4D66">
        <w:rPr>
          <w:rFonts w:ascii="Arial" w:eastAsia="Times New Roman" w:hAnsi="Arial" w:cs="Arial"/>
          <w:bCs/>
          <w:sz w:val="24"/>
          <w:szCs w:val="24"/>
        </w:rPr>
        <w:t>Walsall (re)assessments, and subsequent care plans</w:t>
      </w:r>
    </w:p>
    <w:p w:rsidR="00D74EA8" w:rsidRPr="00EE4D66" w:rsidRDefault="00D74EA8" w:rsidP="00115A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EE4D66">
        <w:rPr>
          <w:rFonts w:ascii="Arial" w:eastAsia="Times New Roman" w:hAnsi="Arial" w:cs="Arial"/>
          <w:bCs/>
          <w:sz w:val="24"/>
          <w:szCs w:val="24"/>
        </w:rPr>
        <w:t>Memory screening</w:t>
      </w:r>
    </w:p>
    <w:p w:rsidR="00D74EA8" w:rsidRPr="00EE4D66" w:rsidRDefault="00D74EA8" w:rsidP="00115A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EE4D66">
        <w:rPr>
          <w:rFonts w:ascii="Arial" w:eastAsia="Times New Roman" w:hAnsi="Arial" w:cs="Arial"/>
          <w:bCs/>
          <w:sz w:val="24"/>
          <w:szCs w:val="24"/>
        </w:rPr>
        <w:t>Falls care planning</w:t>
      </w:r>
    </w:p>
    <w:p w:rsidR="00D74EA8" w:rsidRPr="00EE4D66" w:rsidRDefault="00D74EA8" w:rsidP="00115A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EE4D66">
        <w:rPr>
          <w:rFonts w:ascii="Arial" w:eastAsia="Times New Roman" w:hAnsi="Arial" w:cs="Arial"/>
          <w:bCs/>
          <w:sz w:val="24"/>
          <w:szCs w:val="24"/>
        </w:rPr>
        <w:t>Review of care plans</w:t>
      </w:r>
    </w:p>
    <w:p w:rsidR="00D74EA8" w:rsidRPr="00EE4D66" w:rsidRDefault="00D74EA8" w:rsidP="00115A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EE4D66">
        <w:rPr>
          <w:rFonts w:ascii="Arial" w:eastAsia="Times New Roman" w:hAnsi="Arial" w:cs="Arial"/>
          <w:bCs/>
          <w:sz w:val="24"/>
          <w:szCs w:val="24"/>
        </w:rPr>
        <w:t>Communicating discharge details to patients</w:t>
      </w:r>
    </w:p>
    <w:p w:rsidR="00D74EA8" w:rsidRPr="00EE4D66" w:rsidRDefault="00D74EA8" w:rsidP="00115A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EE4D66">
        <w:rPr>
          <w:rFonts w:ascii="Arial" w:eastAsia="Times New Roman" w:hAnsi="Arial" w:cs="Arial"/>
          <w:bCs/>
          <w:sz w:val="24"/>
          <w:szCs w:val="24"/>
        </w:rPr>
        <w:t>Absence of staff photo boards</w:t>
      </w:r>
    </w:p>
    <w:p w:rsidR="00F54F69" w:rsidRDefault="00F54F69" w:rsidP="00DA4A51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</w:p>
    <w:p w:rsidR="00F54F69" w:rsidRPr="00F54F69" w:rsidRDefault="00F54F69" w:rsidP="00DA4A51">
      <w:pPr>
        <w:spacing w:after="0" w:line="240" w:lineRule="auto"/>
        <w:ind w:right="39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F54F69">
        <w:rPr>
          <w:rFonts w:ascii="Arial" w:eastAsia="Times New Roman" w:hAnsi="Arial" w:cs="Arial"/>
          <w:b/>
          <w:sz w:val="24"/>
          <w:szCs w:val="24"/>
          <w:lang w:val="en-US"/>
        </w:rPr>
        <w:t>Community Teams standards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of care</w:t>
      </w:r>
    </w:p>
    <w:p w:rsidR="001F3788" w:rsidRDefault="001F3788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F54F69" w:rsidRDefault="00F54F69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The quarterly audit of </w:t>
      </w:r>
      <w:proofErr w:type="gramStart"/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all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mental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health community teams standards has not taken place while the tool has been reviewed. The next cycle is taking place now.</w:t>
      </w:r>
    </w:p>
    <w:p w:rsidR="00F54F69" w:rsidRDefault="00F54F69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District Nursing dashboards and the safety thermometer show that there are some teams where there is too much variation in practice. These are a priority to ensure greater consistency over the next quarter. The link to high workload and staffing and ensuring that te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mporary staffing solutions are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jn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place to maintain standards is a challenge hence the need to jointly review the District Nursing service with Oxfordshire CCG  </w:t>
      </w:r>
    </w:p>
    <w:p w:rsidR="00F54F69" w:rsidRDefault="00F54F69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D74EA8" w:rsidRPr="00EE4D66" w:rsidRDefault="00D74EA8" w:rsidP="00EE4D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E4D66">
        <w:rPr>
          <w:rFonts w:ascii="Arial" w:eastAsia="Times New Roman" w:hAnsi="Arial" w:cs="Arial"/>
          <w:b/>
          <w:bCs/>
          <w:sz w:val="24"/>
          <w:szCs w:val="24"/>
        </w:rPr>
        <w:t xml:space="preserve">Oxford Reablement Service (ORS) </w:t>
      </w:r>
    </w:p>
    <w:p w:rsidR="00D74EA8" w:rsidRPr="00EE4D66" w:rsidRDefault="00D74EA8" w:rsidP="00EE4D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74EA8" w:rsidRPr="00EE4D66" w:rsidRDefault="00D74EA8" w:rsidP="00EE4D66">
      <w:pPr>
        <w:jc w:val="both"/>
        <w:rPr>
          <w:rFonts w:ascii="Arial" w:hAnsi="Arial" w:cs="Arial"/>
          <w:sz w:val="24"/>
          <w:szCs w:val="24"/>
        </w:rPr>
      </w:pPr>
      <w:r w:rsidRPr="00EE4D66">
        <w:rPr>
          <w:rFonts w:ascii="Arial" w:hAnsi="Arial" w:cs="Arial"/>
          <w:sz w:val="24"/>
          <w:szCs w:val="24"/>
        </w:rPr>
        <w:t>The ORS service continues to play a major role in the whole system joint working to reduce delayed transfers of care, including:</w:t>
      </w:r>
    </w:p>
    <w:p w:rsidR="00D74EA8" w:rsidRPr="00EE4D66" w:rsidRDefault="00D74EA8" w:rsidP="00115A90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E4D66">
        <w:rPr>
          <w:rFonts w:ascii="Arial" w:hAnsi="Arial" w:cs="Arial"/>
          <w:sz w:val="24"/>
          <w:szCs w:val="24"/>
        </w:rPr>
        <w:t>Streamlining the supported discharge pathway (joint working between ORS and the OUH’s supported hospital discharge team)</w:t>
      </w:r>
    </w:p>
    <w:p w:rsidR="00D74EA8" w:rsidRPr="00EE4D66" w:rsidRDefault="00D74EA8" w:rsidP="00115A90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E4D66">
        <w:rPr>
          <w:rFonts w:ascii="Arial" w:hAnsi="Arial" w:cs="Arial"/>
          <w:sz w:val="24"/>
          <w:szCs w:val="24"/>
        </w:rPr>
        <w:t>Current whole system audit on readmission to acute from supported discharge pathway (ORS / SHDs, community hospitals, ICBs, restart of domiciliary care, admission to residential / nursing home bed)</w:t>
      </w:r>
    </w:p>
    <w:p w:rsidR="00D74EA8" w:rsidRPr="00EE4D66" w:rsidRDefault="00D74EA8" w:rsidP="00115A90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E4D66">
        <w:rPr>
          <w:rFonts w:ascii="Arial" w:hAnsi="Arial" w:cs="Arial"/>
          <w:sz w:val="24"/>
          <w:szCs w:val="24"/>
        </w:rPr>
        <w:t>Development of a whole system bariatric pathway for supported discharge (home and bed-based)</w:t>
      </w:r>
    </w:p>
    <w:p w:rsidR="00D74EA8" w:rsidRPr="00EE4D66" w:rsidRDefault="00D74EA8" w:rsidP="00EE4D66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74EA8" w:rsidRPr="00EE4D66" w:rsidRDefault="00D74EA8" w:rsidP="00EE4D66">
      <w:pPr>
        <w:jc w:val="both"/>
        <w:rPr>
          <w:rFonts w:ascii="Arial" w:hAnsi="Arial" w:cs="Arial"/>
          <w:sz w:val="24"/>
          <w:szCs w:val="24"/>
        </w:rPr>
      </w:pPr>
      <w:r w:rsidRPr="00EE4D66">
        <w:rPr>
          <w:rFonts w:ascii="Arial" w:hAnsi="Arial" w:cs="Arial"/>
          <w:sz w:val="24"/>
          <w:szCs w:val="24"/>
        </w:rPr>
        <w:t>ORS is now in the secon</w:t>
      </w:r>
      <w:r w:rsidR="001F3788">
        <w:rPr>
          <w:rFonts w:ascii="Arial" w:hAnsi="Arial" w:cs="Arial"/>
          <w:sz w:val="24"/>
          <w:szCs w:val="24"/>
        </w:rPr>
        <w:t xml:space="preserve">d year of a 2 year </w:t>
      </w:r>
      <w:proofErr w:type="gramStart"/>
      <w:r w:rsidR="001F3788">
        <w:rPr>
          <w:rFonts w:ascii="Arial" w:hAnsi="Arial" w:cs="Arial"/>
          <w:sz w:val="24"/>
          <w:szCs w:val="24"/>
        </w:rPr>
        <w:t xml:space="preserve">contract </w:t>
      </w:r>
      <w:r w:rsidRPr="00EE4D66">
        <w:rPr>
          <w:rFonts w:ascii="Arial" w:hAnsi="Arial" w:cs="Arial"/>
          <w:sz w:val="24"/>
          <w:szCs w:val="24"/>
        </w:rPr>
        <w:t>.</w:t>
      </w:r>
      <w:proofErr w:type="gramEnd"/>
      <w:r w:rsidRPr="00EE4D66">
        <w:rPr>
          <w:rFonts w:ascii="Arial" w:hAnsi="Arial" w:cs="Arial"/>
          <w:sz w:val="24"/>
          <w:szCs w:val="24"/>
        </w:rPr>
        <w:t xml:space="preserve">  </w:t>
      </w:r>
    </w:p>
    <w:p w:rsidR="00D74EA8" w:rsidRPr="00EE4D66" w:rsidRDefault="001F3788" w:rsidP="00EE4D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service is set up to</w:t>
      </w:r>
      <w:r w:rsidR="00D74EA8" w:rsidRPr="00EE4D66">
        <w:rPr>
          <w:rFonts w:ascii="Arial" w:hAnsi="Arial" w:cs="Arial"/>
          <w:sz w:val="24"/>
          <w:szCs w:val="24"/>
        </w:rPr>
        <w:t xml:space="preserve"> work with individuals to increase functional ability after deterioration in health, trauma or a hospital admission which has resulted in a reduction in their level of independence.</w:t>
      </w:r>
    </w:p>
    <w:p w:rsidR="00D74EA8" w:rsidRPr="00EE4D66" w:rsidRDefault="00D74EA8" w:rsidP="00EE4D66">
      <w:pPr>
        <w:jc w:val="both"/>
        <w:rPr>
          <w:rFonts w:ascii="Arial" w:hAnsi="Arial" w:cs="Arial"/>
          <w:sz w:val="24"/>
          <w:szCs w:val="24"/>
        </w:rPr>
      </w:pPr>
      <w:r w:rsidRPr="00EE4D66">
        <w:rPr>
          <w:rFonts w:ascii="Arial" w:hAnsi="Arial" w:cs="Arial"/>
          <w:sz w:val="24"/>
          <w:szCs w:val="24"/>
        </w:rPr>
        <w:t>The success of the service is measured by the following outcome indicators</w:t>
      </w:r>
    </w:p>
    <w:p w:rsidR="00D74EA8" w:rsidRPr="00EE4D66" w:rsidRDefault="00D74EA8" w:rsidP="00115A9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E4D66">
        <w:rPr>
          <w:rFonts w:ascii="Arial" w:hAnsi="Arial" w:cs="Arial"/>
          <w:sz w:val="24"/>
          <w:szCs w:val="24"/>
        </w:rPr>
        <w:t xml:space="preserve">The percentage of people who are discharged from the service needing no ongoing domiciliary care </w:t>
      </w:r>
    </w:p>
    <w:p w:rsidR="00D74EA8" w:rsidRPr="00EE4D66" w:rsidRDefault="00D74EA8" w:rsidP="00115A9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E4D66">
        <w:rPr>
          <w:rFonts w:ascii="Arial" w:hAnsi="Arial" w:cs="Arial"/>
          <w:sz w:val="24"/>
          <w:szCs w:val="24"/>
        </w:rPr>
        <w:t>The percentage of people leaving the service needing a lower level of domiciliary care than when they entered the service</w:t>
      </w:r>
    </w:p>
    <w:p w:rsidR="00D74EA8" w:rsidRPr="00EE4D66" w:rsidRDefault="00D74EA8" w:rsidP="00115A9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E4D66">
        <w:rPr>
          <w:rFonts w:ascii="Arial" w:hAnsi="Arial" w:cs="Arial"/>
          <w:sz w:val="24"/>
          <w:szCs w:val="24"/>
        </w:rPr>
        <w:t>The percentage of non-completers i.e.,  people who do not complete their ORS episode</w:t>
      </w:r>
    </w:p>
    <w:p w:rsidR="00D74EA8" w:rsidRPr="00EE4D66" w:rsidRDefault="00D74EA8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E4D66">
        <w:rPr>
          <w:rFonts w:ascii="Arial" w:eastAsia="Times New Roman" w:hAnsi="Arial" w:cs="Arial"/>
          <w:sz w:val="24"/>
          <w:szCs w:val="24"/>
          <w:lang w:val="en-US"/>
        </w:rPr>
        <w:lastRenderedPageBreak/>
        <w:t>ORS is demonstrating that it is meeting all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 three outcome measures and this has been </w:t>
      </w:r>
      <w:proofErr w:type="spellStart"/>
      <w:r w:rsidR="001F3788">
        <w:rPr>
          <w:rFonts w:ascii="Arial" w:eastAsia="Times New Roman" w:hAnsi="Arial" w:cs="Arial"/>
          <w:sz w:val="24"/>
          <w:szCs w:val="24"/>
          <w:lang w:val="en-US"/>
        </w:rPr>
        <w:t>recognis</w:t>
      </w:r>
      <w:r w:rsidRPr="00EE4D66">
        <w:rPr>
          <w:rFonts w:ascii="Arial" w:eastAsia="Times New Roman" w:hAnsi="Arial" w:cs="Arial"/>
          <w:sz w:val="24"/>
          <w:szCs w:val="24"/>
          <w:lang w:val="en-US"/>
        </w:rPr>
        <w:t>ed</w:t>
      </w:r>
      <w:proofErr w:type="spellEnd"/>
      <w:r w:rsidRPr="00EE4D66">
        <w:rPr>
          <w:rFonts w:ascii="Arial" w:eastAsia="Times New Roman" w:hAnsi="Arial" w:cs="Arial"/>
          <w:sz w:val="24"/>
          <w:szCs w:val="24"/>
          <w:lang w:val="en-US"/>
        </w:rPr>
        <w:t xml:space="preserve"> by peer comparators in benchmarking and also by Oxfordshire County Council who commission it</w:t>
      </w:r>
    </w:p>
    <w:p w:rsidR="00D74EA8" w:rsidRPr="00EE4D66" w:rsidRDefault="00D74EA8" w:rsidP="00EE4D66">
      <w:pPr>
        <w:spacing w:after="0" w:line="240" w:lineRule="auto"/>
        <w:ind w:right="397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8F088D" w:rsidRDefault="008F088D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D74EA8" w:rsidRDefault="00D74EA8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4EA8">
        <w:rPr>
          <w:rFonts w:ascii="Arial" w:eastAsia="Times New Roman" w:hAnsi="Arial" w:cs="Arial"/>
          <w:b/>
          <w:sz w:val="24"/>
          <w:szCs w:val="24"/>
          <w:lang w:val="en-US"/>
        </w:rPr>
        <w:t>Conclusion</w:t>
      </w:r>
    </w:p>
    <w:p w:rsidR="008F088D" w:rsidRPr="00D74EA8" w:rsidRDefault="008F088D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DA4A51" w:rsidRPr="00D74EA8" w:rsidRDefault="00D74EA8" w:rsidP="00D74EA8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  <w:r w:rsidRPr="00D74EA8">
        <w:rPr>
          <w:rFonts w:ascii="Arial" w:eastAsia="Times New Roman" w:hAnsi="Arial" w:cs="Arial"/>
          <w:sz w:val="24"/>
          <w:szCs w:val="24"/>
          <w:lang w:val="en-US"/>
        </w:rPr>
        <w:t>These reports are a snapshot of cli</w:t>
      </w:r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nical effectiveness </w:t>
      </w:r>
      <w:proofErr w:type="gramStart"/>
      <w:r w:rsidR="001F3788">
        <w:rPr>
          <w:rFonts w:ascii="Arial" w:eastAsia="Times New Roman" w:hAnsi="Arial" w:cs="Arial"/>
          <w:sz w:val="24"/>
          <w:szCs w:val="24"/>
          <w:lang w:val="en-US"/>
        </w:rPr>
        <w:t xml:space="preserve">covering </w:t>
      </w:r>
      <w:r w:rsidRPr="00D74EA8">
        <w:rPr>
          <w:rFonts w:ascii="Arial" w:eastAsia="Times New Roman" w:hAnsi="Arial" w:cs="Arial"/>
          <w:sz w:val="24"/>
          <w:szCs w:val="24"/>
          <w:lang w:val="en-US"/>
        </w:rPr>
        <w:t xml:space="preserve"> a</w:t>
      </w:r>
      <w:proofErr w:type="gramEnd"/>
      <w:r w:rsidRPr="00D74EA8">
        <w:rPr>
          <w:rFonts w:ascii="Arial" w:eastAsia="Times New Roman" w:hAnsi="Arial" w:cs="Arial"/>
          <w:sz w:val="24"/>
          <w:szCs w:val="24"/>
          <w:lang w:val="en-US"/>
        </w:rPr>
        <w:t xml:space="preserve"> significant proportion of our services. Other high volume services such as Urgent Care was the subject of a dedicated report in May 2014. Reducing avoidable variation and aiming for greater reliability in care standards and care processes remains a key priority for individual clinicians and the managers and leaders supporting them </w:t>
      </w:r>
    </w:p>
    <w:p w:rsidR="00EE4D66" w:rsidRDefault="00EE4D66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DA4A51" w:rsidRDefault="00DA4A51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027BB">
        <w:rPr>
          <w:rFonts w:ascii="Arial" w:eastAsia="Times New Roman" w:hAnsi="Arial" w:cs="Arial"/>
          <w:b/>
          <w:sz w:val="24"/>
          <w:szCs w:val="24"/>
          <w:lang w:val="en-US"/>
        </w:rPr>
        <w:t>Recommendation</w:t>
      </w:r>
    </w:p>
    <w:p w:rsidR="008F088D" w:rsidRPr="00A027BB" w:rsidRDefault="008F088D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DA4A51" w:rsidRPr="00A027BB" w:rsidRDefault="00DA4A51" w:rsidP="00DA4A51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  <w:r w:rsidRPr="00A027BB">
        <w:rPr>
          <w:rFonts w:ascii="Arial" w:eastAsia="Times New Roman" w:hAnsi="Arial" w:cs="Arial"/>
          <w:sz w:val="24"/>
          <w:szCs w:val="24"/>
          <w:lang w:val="en-US"/>
        </w:rPr>
        <w:t>For information</w:t>
      </w:r>
    </w:p>
    <w:p w:rsidR="00DA4A51" w:rsidRPr="00A027BB" w:rsidRDefault="00DA4A51" w:rsidP="00DA4A51">
      <w:pPr>
        <w:spacing w:after="0" w:line="240" w:lineRule="auto"/>
        <w:ind w:right="397" w:firstLine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DA4A51" w:rsidRPr="00D74EA8" w:rsidRDefault="00DA4A51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4EA8">
        <w:rPr>
          <w:rFonts w:ascii="Arial" w:eastAsia="Times New Roman" w:hAnsi="Arial" w:cs="Arial"/>
          <w:b/>
          <w:sz w:val="24"/>
          <w:szCs w:val="24"/>
          <w:lang w:val="en-US"/>
        </w:rPr>
        <w:t xml:space="preserve">Authors </w:t>
      </w:r>
    </w:p>
    <w:p w:rsidR="00DA4A51" w:rsidRPr="00D74EA8" w:rsidRDefault="00DA4A51" w:rsidP="00DA4A51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  <w:r w:rsidRPr="00D74EA8">
        <w:rPr>
          <w:rFonts w:ascii="Arial" w:eastAsia="Times New Roman" w:hAnsi="Arial" w:cs="Arial"/>
          <w:sz w:val="24"/>
          <w:szCs w:val="24"/>
          <w:lang w:val="en-US"/>
        </w:rPr>
        <w:t>Sue Haynes Head of Nursi</w:t>
      </w:r>
      <w:r w:rsidR="006F0B16" w:rsidRPr="00D74EA8">
        <w:rPr>
          <w:rFonts w:ascii="Arial" w:eastAsia="Times New Roman" w:hAnsi="Arial" w:cs="Arial"/>
          <w:sz w:val="24"/>
          <w:szCs w:val="24"/>
          <w:lang w:val="en-US"/>
        </w:rPr>
        <w:t xml:space="preserve">ng, Mental Health Adult </w:t>
      </w:r>
    </w:p>
    <w:p w:rsidR="001748D3" w:rsidRPr="00D74EA8" w:rsidRDefault="0028745C" w:rsidP="00DA4A51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  <w:r w:rsidRPr="00D74EA8">
        <w:rPr>
          <w:rFonts w:ascii="Arial" w:eastAsia="Times New Roman" w:hAnsi="Arial" w:cs="Arial"/>
          <w:sz w:val="24"/>
          <w:szCs w:val="24"/>
          <w:lang w:val="en-US"/>
        </w:rPr>
        <w:t>Pete McGr</w:t>
      </w:r>
      <w:r w:rsidR="006F0B16" w:rsidRPr="00D74EA8">
        <w:rPr>
          <w:rFonts w:ascii="Arial" w:eastAsia="Times New Roman" w:hAnsi="Arial" w:cs="Arial"/>
          <w:sz w:val="24"/>
          <w:szCs w:val="24"/>
          <w:lang w:val="en-US"/>
        </w:rPr>
        <w:t xml:space="preserve">ane Clinical </w:t>
      </w:r>
      <w:proofErr w:type="gramStart"/>
      <w:r w:rsidR="006F0B16" w:rsidRPr="00D74EA8">
        <w:rPr>
          <w:rFonts w:ascii="Arial" w:eastAsia="Times New Roman" w:hAnsi="Arial" w:cs="Arial"/>
          <w:sz w:val="24"/>
          <w:szCs w:val="24"/>
          <w:lang w:val="en-US"/>
        </w:rPr>
        <w:t>Director ,</w:t>
      </w:r>
      <w:proofErr w:type="gramEnd"/>
      <w:r w:rsidR="006F0B16" w:rsidRPr="00D74EA8">
        <w:rPr>
          <w:rFonts w:ascii="Arial" w:eastAsia="Times New Roman" w:hAnsi="Arial" w:cs="Arial"/>
          <w:sz w:val="24"/>
          <w:szCs w:val="24"/>
          <w:lang w:val="en-US"/>
        </w:rPr>
        <w:t xml:space="preserve"> Older People’s Services</w:t>
      </w:r>
    </w:p>
    <w:p w:rsidR="006F0B16" w:rsidRPr="00D74EA8" w:rsidRDefault="006F0B16" w:rsidP="00DA4A51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  <w:r w:rsidRPr="00D74EA8">
        <w:rPr>
          <w:rFonts w:ascii="Arial" w:eastAsia="Times New Roman" w:hAnsi="Arial" w:cs="Arial"/>
          <w:sz w:val="24"/>
          <w:szCs w:val="24"/>
          <w:lang w:val="en-US"/>
        </w:rPr>
        <w:t>Jane Kershaw head of Registration and Quality</w:t>
      </w:r>
    </w:p>
    <w:p w:rsidR="006F0B16" w:rsidRPr="00D74EA8" w:rsidRDefault="006F0B16" w:rsidP="00DA4A51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  <w:r w:rsidRPr="00D74EA8">
        <w:rPr>
          <w:rFonts w:ascii="Arial" w:eastAsia="Times New Roman" w:hAnsi="Arial" w:cs="Arial"/>
          <w:sz w:val="24"/>
          <w:szCs w:val="24"/>
          <w:lang w:val="en-US"/>
        </w:rPr>
        <w:t xml:space="preserve">Helen </w:t>
      </w:r>
      <w:proofErr w:type="spellStart"/>
      <w:r w:rsidRPr="00D74EA8">
        <w:rPr>
          <w:rFonts w:ascii="Arial" w:eastAsia="Times New Roman" w:hAnsi="Arial" w:cs="Arial"/>
          <w:sz w:val="24"/>
          <w:szCs w:val="24"/>
          <w:lang w:val="en-US"/>
        </w:rPr>
        <w:t>Bosely</w:t>
      </w:r>
      <w:proofErr w:type="spellEnd"/>
      <w:r w:rsidRPr="00D74EA8">
        <w:rPr>
          <w:rFonts w:ascii="Arial" w:eastAsia="Times New Roman" w:hAnsi="Arial" w:cs="Arial"/>
          <w:sz w:val="24"/>
          <w:szCs w:val="24"/>
          <w:lang w:val="en-US"/>
        </w:rPr>
        <w:t xml:space="preserve"> Infection Prevention &amp; Control Matron</w:t>
      </w:r>
    </w:p>
    <w:p w:rsidR="006F0B16" w:rsidRPr="00D74EA8" w:rsidRDefault="00AA1C3B" w:rsidP="00DA4A51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  <w:r w:rsidRPr="00D74EA8">
        <w:rPr>
          <w:rFonts w:ascii="Arial" w:eastAsia="Times New Roman" w:hAnsi="Arial" w:cs="Arial"/>
          <w:sz w:val="24"/>
          <w:szCs w:val="24"/>
          <w:lang w:val="en-US"/>
        </w:rPr>
        <w:t xml:space="preserve">Tine Rees Locality Reablement Manager </w:t>
      </w:r>
    </w:p>
    <w:p w:rsidR="00DA4A51" w:rsidRPr="00D74EA8" w:rsidRDefault="00DA4A51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DA4A51" w:rsidRPr="00D74EA8" w:rsidRDefault="00DA4A51" w:rsidP="00DA4A51">
      <w:pPr>
        <w:spacing w:after="0" w:line="240" w:lineRule="auto"/>
        <w:ind w:right="397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4EA8">
        <w:rPr>
          <w:rFonts w:ascii="Arial" w:eastAsia="Times New Roman" w:hAnsi="Arial" w:cs="Arial"/>
          <w:b/>
          <w:sz w:val="24"/>
          <w:szCs w:val="24"/>
          <w:lang w:val="en-US"/>
        </w:rPr>
        <w:t>Exec Sponsor</w:t>
      </w:r>
    </w:p>
    <w:p w:rsidR="00EE4D66" w:rsidRDefault="00DA4A51" w:rsidP="008F088D">
      <w:pPr>
        <w:spacing w:after="0" w:line="240" w:lineRule="auto"/>
        <w:ind w:right="397"/>
        <w:rPr>
          <w:rFonts w:ascii="Arial" w:eastAsia="Times New Roman" w:hAnsi="Arial" w:cs="Arial"/>
          <w:sz w:val="24"/>
          <w:szCs w:val="24"/>
          <w:lang w:val="en-US"/>
        </w:rPr>
      </w:pPr>
      <w:r w:rsidRPr="00D74EA8">
        <w:rPr>
          <w:rFonts w:ascii="Arial" w:eastAsia="Times New Roman" w:hAnsi="Arial" w:cs="Arial"/>
          <w:sz w:val="24"/>
          <w:szCs w:val="24"/>
          <w:lang w:val="en-US"/>
        </w:rPr>
        <w:t>Ros Alstead Director of Nursing and Clinical Standards</w:t>
      </w:r>
    </w:p>
    <w:sectPr w:rsidR="00EE4D66" w:rsidSect="008F08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2D" w:rsidRDefault="00D6612D" w:rsidP="004F1DB0">
      <w:pPr>
        <w:spacing w:after="0" w:line="240" w:lineRule="auto"/>
      </w:pPr>
      <w:r>
        <w:separator/>
      </w:r>
    </w:p>
  </w:endnote>
  <w:endnote w:type="continuationSeparator" w:id="0">
    <w:p w:rsidR="00D6612D" w:rsidRDefault="00D6612D" w:rsidP="004F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2D" w:rsidRDefault="00D6612D" w:rsidP="004F1DB0">
      <w:pPr>
        <w:spacing w:after="0" w:line="240" w:lineRule="auto"/>
      </w:pPr>
      <w:r>
        <w:separator/>
      </w:r>
    </w:p>
  </w:footnote>
  <w:footnote w:type="continuationSeparator" w:id="0">
    <w:p w:rsidR="00D6612D" w:rsidRDefault="00D6612D" w:rsidP="004F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E8A"/>
    <w:multiLevelType w:val="multilevel"/>
    <w:tmpl w:val="0A98C3D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8B7AD7"/>
    <w:multiLevelType w:val="hybridMultilevel"/>
    <w:tmpl w:val="CF3A7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B55B7"/>
    <w:multiLevelType w:val="hybridMultilevel"/>
    <w:tmpl w:val="845C56F0"/>
    <w:lvl w:ilvl="0" w:tplc="A53440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82AB7"/>
    <w:multiLevelType w:val="hybridMultilevel"/>
    <w:tmpl w:val="788C2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359D6"/>
    <w:multiLevelType w:val="hybridMultilevel"/>
    <w:tmpl w:val="5AC6D9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5DD1163"/>
    <w:multiLevelType w:val="multilevel"/>
    <w:tmpl w:val="FBF2F81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."/>
      <w:lvlJc w:val="left"/>
      <w:pPr>
        <w:ind w:left="1305" w:hanging="73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6">
    <w:nsid w:val="06F5251B"/>
    <w:multiLevelType w:val="multilevel"/>
    <w:tmpl w:val="4B58D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0B9215A3"/>
    <w:multiLevelType w:val="hybridMultilevel"/>
    <w:tmpl w:val="E7D69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0773"/>
    <w:multiLevelType w:val="hybridMultilevel"/>
    <w:tmpl w:val="0B6EC8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2B3E50"/>
    <w:multiLevelType w:val="hybridMultilevel"/>
    <w:tmpl w:val="0B46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D563E"/>
    <w:multiLevelType w:val="hybridMultilevel"/>
    <w:tmpl w:val="C7D0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87ED5"/>
    <w:multiLevelType w:val="multilevel"/>
    <w:tmpl w:val="FBF2F81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."/>
      <w:lvlJc w:val="left"/>
      <w:pPr>
        <w:ind w:left="1305" w:hanging="73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2">
    <w:nsid w:val="17294456"/>
    <w:multiLevelType w:val="hybridMultilevel"/>
    <w:tmpl w:val="520E3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37A47"/>
    <w:multiLevelType w:val="hybridMultilevel"/>
    <w:tmpl w:val="E2BA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A4D96"/>
    <w:multiLevelType w:val="hybridMultilevel"/>
    <w:tmpl w:val="651C83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907130"/>
    <w:multiLevelType w:val="multilevel"/>
    <w:tmpl w:val="41CA2E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0A74DC5"/>
    <w:multiLevelType w:val="hybridMultilevel"/>
    <w:tmpl w:val="82FC5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B779E"/>
    <w:multiLevelType w:val="hybridMultilevel"/>
    <w:tmpl w:val="69567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0135A"/>
    <w:multiLevelType w:val="hybridMultilevel"/>
    <w:tmpl w:val="0CB00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AB429A"/>
    <w:multiLevelType w:val="hybridMultilevel"/>
    <w:tmpl w:val="AB5EE0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C17212F"/>
    <w:multiLevelType w:val="multilevel"/>
    <w:tmpl w:val="22047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1">
    <w:nsid w:val="2F394C4B"/>
    <w:multiLevelType w:val="multilevel"/>
    <w:tmpl w:val="5AE6B3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7311437"/>
    <w:multiLevelType w:val="multilevel"/>
    <w:tmpl w:val="E5988FA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>
    <w:nsid w:val="37544D41"/>
    <w:multiLevelType w:val="hybridMultilevel"/>
    <w:tmpl w:val="B4083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85F61"/>
    <w:multiLevelType w:val="hybridMultilevel"/>
    <w:tmpl w:val="179E7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A90F91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A0DBC"/>
    <w:multiLevelType w:val="hybridMultilevel"/>
    <w:tmpl w:val="1EF28388"/>
    <w:lvl w:ilvl="0" w:tplc="57640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4DEA3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72378"/>
    <w:multiLevelType w:val="hybridMultilevel"/>
    <w:tmpl w:val="1C7C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100E06"/>
    <w:multiLevelType w:val="hybridMultilevel"/>
    <w:tmpl w:val="520E3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B3BEB"/>
    <w:multiLevelType w:val="multilevel"/>
    <w:tmpl w:val="FBF2F81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."/>
      <w:lvlJc w:val="left"/>
      <w:pPr>
        <w:ind w:left="1305" w:hanging="73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29">
    <w:nsid w:val="48B21F05"/>
    <w:multiLevelType w:val="multilevel"/>
    <w:tmpl w:val="6366DCB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4E2F1445"/>
    <w:multiLevelType w:val="multilevel"/>
    <w:tmpl w:val="A30A567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31">
    <w:nsid w:val="4FA52F9E"/>
    <w:multiLevelType w:val="hybridMultilevel"/>
    <w:tmpl w:val="5A44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B82DBE"/>
    <w:multiLevelType w:val="hybridMultilevel"/>
    <w:tmpl w:val="589256A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CE6C04"/>
    <w:multiLevelType w:val="hybridMultilevel"/>
    <w:tmpl w:val="4410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CEC7E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67B88"/>
    <w:multiLevelType w:val="multilevel"/>
    <w:tmpl w:val="C3A4EEE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63574491"/>
    <w:multiLevelType w:val="multilevel"/>
    <w:tmpl w:val="40F8FF5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CB942B5"/>
    <w:multiLevelType w:val="hybridMultilevel"/>
    <w:tmpl w:val="455C6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638AB"/>
    <w:multiLevelType w:val="multilevel"/>
    <w:tmpl w:val="93968AD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FB534F7"/>
    <w:multiLevelType w:val="hybridMultilevel"/>
    <w:tmpl w:val="321829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E071E"/>
    <w:multiLevelType w:val="hybridMultilevel"/>
    <w:tmpl w:val="75A4BA0A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0">
    <w:nsid w:val="729B7FA7"/>
    <w:multiLevelType w:val="hybridMultilevel"/>
    <w:tmpl w:val="F930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C6DDB"/>
    <w:multiLevelType w:val="hybridMultilevel"/>
    <w:tmpl w:val="80BC0F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6A3249C"/>
    <w:multiLevelType w:val="hybridMultilevel"/>
    <w:tmpl w:val="490E1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C333A"/>
    <w:multiLevelType w:val="hybridMultilevel"/>
    <w:tmpl w:val="0F84BF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324C78"/>
    <w:multiLevelType w:val="multilevel"/>
    <w:tmpl w:val="AD72A49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num w:numId="1">
    <w:abstractNumId w:val="26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5"/>
  </w:num>
  <w:num w:numId="6">
    <w:abstractNumId w:val="11"/>
  </w:num>
  <w:num w:numId="7">
    <w:abstractNumId w:val="6"/>
  </w:num>
  <w:num w:numId="8">
    <w:abstractNumId w:val="3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40"/>
  </w:num>
  <w:num w:numId="17">
    <w:abstractNumId w:val="33"/>
  </w:num>
  <w:num w:numId="18">
    <w:abstractNumId w:val="13"/>
  </w:num>
  <w:num w:numId="19">
    <w:abstractNumId w:val="17"/>
  </w:num>
  <w:num w:numId="20">
    <w:abstractNumId w:val="23"/>
  </w:num>
  <w:num w:numId="21">
    <w:abstractNumId w:val="28"/>
  </w:num>
  <w:num w:numId="22">
    <w:abstractNumId w:val="10"/>
  </w:num>
  <w:num w:numId="23">
    <w:abstractNumId w:val="31"/>
  </w:num>
  <w:num w:numId="24">
    <w:abstractNumId w:val="9"/>
  </w:num>
  <w:num w:numId="25">
    <w:abstractNumId w:val="4"/>
  </w:num>
  <w:num w:numId="26">
    <w:abstractNumId w:val="22"/>
  </w:num>
  <w:num w:numId="27">
    <w:abstractNumId w:val="24"/>
  </w:num>
  <w:num w:numId="28">
    <w:abstractNumId w:val="2"/>
  </w:num>
  <w:num w:numId="29">
    <w:abstractNumId w:val="25"/>
  </w:num>
  <w:num w:numId="30">
    <w:abstractNumId w:val="41"/>
  </w:num>
  <w:num w:numId="31">
    <w:abstractNumId w:val="1"/>
  </w:num>
  <w:num w:numId="32">
    <w:abstractNumId w:val="18"/>
  </w:num>
  <w:num w:numId="33">
    <w:abstractNumId w:val="43"/>
  </w:num>
  <w:num w:numId="34">
    <w:abstractNumId w:val="35"/>
  </w:num>
  <w:num w:numId="35">
    <w:abstractNumId w:val="30"/>
  </w:num>
  <w:num w:numId="36">
    <w:abstractNumId w:val="15"/>
  </w:num>
  <w:num w:numId="37">
    <w:abstractNumId w:val="34"/>
  </w:num>
  <w:num w:numId="38">
    <w:abstractNumId w:val="19"/>
  </w:num>
  <w:num w:numId="39">
    <w:abstractNumId w:val="39"/>
  </w:num>
  <w:num w:numId="40">
    <w:abstractNumId w:val="29"/>
  </w:num>
  <w:num w:numId="41">
    <w:abstractNumId w:val="21"/>
  </w:num>
  <w:num w:numId="42">
    <w:abstractNumId w:val="8"/>
  </w:num>
  <w:num w:numId="43">
    <w:abstractNumId w:val="0"/>
  </w:num>
  <w:num w:numId="44">
    <w:abstractNumId w:val="37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51"/>
    <w:rsid w:val="000149E6"/>
    <w:rsid w:val="00015C39"/>
    <w:rsid w:val="000354D0"/>
    <w:rsid w:val="0005090B"/>
    <w:rsid w:val="000541C6"/>
    <w:rsid w:val="0006137C"/>
    <w:rsid w:val="00062114"/>
    <w:rsid w:val="00070E6C"/>
    <w:rsid w:val="0008590A"/>
    <w:rsid w:val="00091F93"/>
    <w:rsid w:val="000D31C2"/>
    <w:rsid w:val="000E5441"/>
    <w:rsid w:val="00114333"/>
    <w:rsid w:val="00115A90"/>
    <w:rsid w:val="001257F0"/>
    <w:rsid w:val="00137C16"/>
    <w:rsid w:val="001521AD"/>
    <w:rsid w:val="00163C1A"/>
    <w:rsid w:val="0016511C"/>
    <w:rsid w:val="001748D3"/>
    <w:rsid w:val="001B372A"/>
    <w:rsid w:val="001F3788"/>
    <w:rsid w:val="00207B7C"/>
    <w:rsid w:val="00213336"/>
    <w:rsid w:val="00240389"/>
    <w:rsid w:val="0025629C"/>
    <w:rsid w:val="00285A47"/>
    <w:rsid w:val="0028745C"/>
    <w:rsid w:val="002B6660"/>
    <w:rsid w:val="002F3AA4"/>
    <w:rsid w:val="00300C26"/>
    <w:rsid w:val="00300F85"/>
    <w:rsid w:val="00310C83"/>
    <w:rsid w:val="00320D0F"/>
    <w:rsid w:val="00341C2D"/>
    <w:rsid w:val="00365CB5"/>
    <w:rsid w:val="003B1394"/>
    <w:rsid w:val="003C6C65"/>
    <w:rsid w:val="00400B51"/>
    <w:rsid w:val="004071BB"/>
    <w:rsid w:val="00420F7D"/>
    <w:rsid w:val="00445C60"/>
    <w:rsid w:val="00457AA0"/>
    <w:rsid w:val="00463232"/>
    <w:rsid w:val="004A60F7"/>
    <w:rsid w:val="004A6BA0"/>
    <w:rsid w:val="004B18B7"/>
    <w:rsid w:val="004B211B"/>
    <w:rsid w:val="004B2D5B"/>
    <w:rsid w:val="004D2F4C"/>
    <w:rsid w:val="004F1DB0"/>
    <w:rsid w:val="004F6219"/>
    <w:rsid w:val="005051B0"/>
    <w:rsid w:val="0051082A"/>
    <w:rsid w:val="00531FDA"/>
    <w:rsid w:val="00566485"/>
    <w:rsid w:val="005D2554"/>
    <w:rsid w:val="00611C29"/>
    <w:rsid w:val="006452A1"/>
    <w:rsid w:val="00650ACD"/>
    <w:rsid w:val="00664BCF"/>
    <w:rsid w:val="006B3EDA"/>
    <w:rsid w:val="006E6095"/>
    <w:rsid w:val="006E6A82"/>
    <w:rsid w:val="006F0B16"/>
    <w:rsid w:val="006F7DC5"/>
    <w:rsid w:val="00714144"/>
    <w:rsid w:val="00725D50"/>
    <w:rsid w:val="00745360"/>
    <w:rsid w:val="007C2E1B"/>
    <w:rsid w:val="00804175"/>
    <w:rsid w:val="0084718B"/>
    <w:rsid w:val="00880D62"/>
    <w:rsid w:val="008900A8"/>
    <w:rsid w:val="008B4C3B"/>
    <w:rsid w:val="008D0CCF"/>
    <w:rsid w:val="008E4367"/>
    <w:rsid w:val="008F088D"/>
    <w:rsid w:val="0094450C"/>
    <w:rsid w:val="00964238"/>
    <w:rsid w:val="00966B8A"/>
    <w:rsid w:val="009770FB"/>
    <w:rsid w:val="00986A29"/>
    <w:rsid w:val="009F7916"/>
    <w:rsid w:val="00A027BB"/>
    <w:rsid w:val="00A413CB"/>
    <w:rsid w:val="00A620D3"/>
    <w:rsid w:val="00AA1C3B"/>
    <w:rsid w:val="00AD3BC3"/>
    <w:rsid w:val="00B145CB"/>
    <w:rsid w:val="00B33275"/>
    <w:rsid w:val="00B52431"/>
    <w:rsid w:val="00B915F2"/>
    <w:rsid w:val="00BB411A"/>
    <w:rsid w:val="00BB4E7C"/>
    <w:rsid w:val="00C126EB"/>
    <w:rsid w:val="00C447B7"/>
    <w:rsid w:val="00C74E30"/>
    <w:rsid w:val="00C9023E"/>
    <w:rsid w:val="00C96474"/>
    <w:rsid w:val="00CF576F"/>
    <w:rsid w:val="00D162FA"/>
    <w:rsid w:val="00D37352"/>
    <w:rsid w:val="00D40540"/>
    <w:rsid w:val="00D444A5"/>
    <w:rsid w:val="00D6612D"/>
    <w:rsid w:val="00D71A56"/>
    <w:rsid w:val="00D74EA8"/>
    <w:rsid w:val="00D841DA"/>
    <w:rsid w:val="00DA4A51"/>
    <w:rsid w:val="00DD22F0"/>
    <w:rsid w:val="00E06DCE"/>
    <w:rsid w:val="00E17933"/>
    <w:rsid w:val="00E55D13"/>
    <w:rsid w:val="00E6019E"/>
    <w:rsid w:val="00E9195D"/>
    <w:rsid w:val="00EB1A2F"/>
    <w:rsid w:val="00ED2078"/>
    <w:rsid w:val="00ED33A5"/>
    <w:rsid w:val="00EE2B37"/>
    <w:rsid w:val="00EE4D66"/>
    <w:rsid w:val="00F5041D"/>
    <w:rsid w:val="00F54F69"/>
    <w:rsid w:val="00F82A9B"/>
    <w:rsid w:val="00FA0694"/>
    <w:rsid w:val="00FB3E0E"/>
    <w:rsid w:val="00FF21F2"/>
    <w:rsid w:val="00FF3ADD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D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82A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A9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63C1A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63C1A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63C1A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63C1A"/>
    <w:rPr>
      <w:rFonts w:ascii="Calibri" w:eastAsia="Calibri" w:hAnsi="Calibri" w:cs="Times New Roman"/>
      <w:lang w:val="x-none"/>
    </w:rPr>
  </w:style>
  <w:style w:type="table" w:styleId="TableGrid">
    <w:name w:val="Table Grid"/>
    <w:basedOn w:val="TableNormal"/>
    <w:uiPriority w:val="59"/>
    <w:rsid w:val="00163C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211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rsid w:val="00C447B7"/>
    <w:pPr>
      <w:spacing w:after="120" w:line="240" w:lineRule="auto"/>
    </w:pPr>
    <w:rPr>
      <w:rFonts w:ascii="Arial" w:eastAsia="Times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47B7"/>
    <w:rPr>
      <w:rFonts w:ascii="Arial" w:eastAsia="Times" w:hAnsi="Arial" w:cs="Times New Roman"/>
      <w:sz w:val="24"/>
      <w:szCs w:val="20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C447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447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link w:val="QuestionChar"/>
    <w:uiPriority w:val="99"/>
    <w:rsid w:val="00650ACD"/>
    <w:pPr>
      <w:widowControl w:val="0"/>
      <w:tabs>
        <w:tab w:val="left" w:pos="426"/>
      </w:tabs>
      <w:spacing w:after="180" w:line="240" w:lineRule="auto"/>
      <w:jc w:val="both"/>
    </w:pPr>
    <w:rPr>
      <w:rFonts w:ascii="Arial" w:eastAsia="Times New Roman" w:hAnsi="Arial" w:cs="Times New Roman"/>
      <w:lang w:val="x-none"/>
    </w:rPr>
  </w:style>
  <w:style w:type="character" w:customStyle="1" w:styleId="QuestionChar">
    <w:name w:val="Question Char"/>
    <w:link w:val="Question"/>
    <w:uiPriority w:val="99"/>
    <w:rsid w:val="00650ACD"/>
    <w:rPr>
      <w:rFonts w:ascii="Arial" w:eastAsia="Times New Roman" w:hAnsi="Arial" w:cs="Times New Roman"/>
      <w:lang w:val="x-none"/>
    </w:rPr>
  </w:style>
  <w:style w:type="character" w:customStyle="1" w:styleId="Style16pt">
    <w:name w:val="Style 16 pt"/>
    <w:uiPriority w:val="99"/>
    <w:rsid w:val="00650ACD"/>
    <w:rPr>
      <w:sz w:val="36"/>
    </w:rPr>
  </w:style>
  <w:style w:type="paragraph" w:customStyle="1" w:styleId="Titleofreport">
    <w:name w:val="Title of report"/>
    <w:basedOn w:val="Subtitle"/>
    <w:rsid w:val="00300F85"/>
    <w:pPr>
      <w:numPr>
        <w:ilvl w:val="0"/>
      </w:numPr>
      <w:spacing w:after="60" w:line="240" w:lineRule="auto"/>
      <w:jc w:val="center"/>
      <w:outlineLvl w:val="1"/>
    </w:pPr>
    <w:rPr>
      <w:rFonts w:ascii="Cambria" w:eastAsia="Times New Roman" w:hAnsi="Cambria" w:cs="Times New Roman"/>
      <w:i w:val="0"/>
      <w:iCs w:val="0"/>
      <w:color w:val="auto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F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0F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8590A"/>
  </w:style>
  <w:style w:type="table" w:customStyle="1" w:styleId="TableGrid1">
    <w:name w:val="Table Grid1"/>
    <w:basedOn w:val="TableNormal"/>
    <w:next w:val="TableGrid"/>
    <w:uiPriority w:val="59"/>
    <w:rsid w:val="0008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8590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590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D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82A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A9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63C1A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63C1A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63C1A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63C1A"/>
    <w:rPr>
      <w:rFonts w:ascii="Calibri" w:eastAsia="Calibri" w:hAnsi="Calibri" w:cs="Times New Roman"/>
      <w:lang w:val="x-none"/>
    </w:rPr>
  </w:style>
  <w:style w:type="table" w:styleId="TableGrid">
    <w:name w:val="Table Grid"/>
    <w:basedOn w:val="TableNormal"/>
    <w:uiPriority w:val="59"/>
    <w:rsid w:val="00163C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211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rsid w:val="00C447B7"/>
    <w:pPr>
      <w:spacing w:after="120" w:line="240" w:lineRule="auto"/>
    </w:pPr>
    <w:rPr>
      <w:rFonts w:ascii="Arial" w:eastAsia="Times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47B7"/>
    <w:rPr>
      <w:rFonts w:ascii="Arial" w:eastAsia="Times" w:hAnsi="Arial" w:cs="Times New Roman"/>
      <w:sz w:val="24"/>
      <w:szCs w:val="20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C447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447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link w:val="QuestionChar"/>
    <w:uiPriority w:val="99"/>
    <w:rsid w:val="00650ACD"/>
    <w:pPr>
      <w:widowControl w:val="0"/>
      <w:tabs>
        <w:tab w:val="left" w:pos="426"/>
      </w:tabs>
      <w:spacing w:after="180" w:line="240" w:lineRule="auto"/>
      <w:jc w:val="both"/>
    </w:pPr>
    <w:rPr>
      <w:rFonts w:ascii="Arial" w:eastAsia="Times New Roman" w:hAnsi="Arial" w:cs="Times New Roman"/>
      <w:lang w:val="x-none"/>
    </w:rPr>
  </w:style>
  <w:style w:type="character" w:customStyle="1" w:styleId="QuestionChar">
    <w:name w:val="Question Char"/>
    <w:link w:val="Question"/>
    <w:uiPriority w:val="99"/>
    <w:rsid w:val="00650ACD"/>
    <w:rPr>
      <w:rFonts w:ascii="Arial" w:eastAsia="Times New Roman" w:hAnsi="Arial" w:cs="Times New Roman"/>
      <w:lang w:val="x-none"/>
    </w:rPr>
  </w:style>
  <w:style w:type="character" w:customStyle="1" w:styleId="Style16pt">
    <w:name w:val="Style 16 pt"/>
    <w:uiPriority w:val="99"/>
    <w:rsid w:val="00650ACD"/>
    <w:rPr>
      <w:sz w:val="36"/>
    </w:rPr>
  </w:style>
  <w:style w:type="paragraph" w:customStyle="1" w:styleId="Titleofreport">
    <w:name w:val="Title of report"/>
    <w:basedOn w:val="Subtitle"/>
    <w:rsid w:val="00300F85"/>
    <w:pPr>
      <w:numPr>
        <w:ilvl w:val="0"/>
      </w:numPr>
      <w:spacing w:after="60" w:line="240" w:lineRule="auto"/>
      <w:jc w:val="center"/>
      <w:outlineLvl w:val="1"/>
    </w:pPr>
    <w:rPr>
      <w:rFonts w:ascii="Cambria" w:eastAsia="Times New Roman" w:hAnsi="Cambria" w:cs="Times New Roman"/>
      <w:i w:val="0"/>
      <w:iCs w:val="0"/>
      <w:color w:val="auto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F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0F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8590A"/>
  </w:style>
  <w:style w:type="table" w:customStyle="1" w:styleId="TableGrid1">
    <w:name w:val="Table Grid1"/>
    <w:basedOn w:val="TableNormal"/>
    <w:next w:val="TableGrid"/>
    <w:uiPriority w:val="59"/>
    <w:rsid w:val="0008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8590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590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4950-FF0E-4CA4-80DA-7242C997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4963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FT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 Mike (RNU) Oxford Health</dc:creator>
  <cp:keywords/>
  <dc:description/>
  <cp:lastModifiedBy>Smith Hannah (RNU) Oxford Health</cp:lastModifiedBy>
  <cp:revision>2</cp:revision>
  <cp:lastPrinted>2014-06-24T14:58:00Z</cp:lastPrinted>
  <dcterms:created xsi:type="dcterms:W3CDTF">2014-06-24T16:59:00Z</dcterms:created>
  <dcterms:modified xsi:type="dcterms:W3CDTF">2014-06-24T16:59:00Z</dcterms:modified>
</cp:coreProperties>
</file>