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B874F3">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D4754E">
                            <w:pPr>
                              <w:pStyle w:val="BodyText"/>
                              <w:rPr>
                                <w:sz w:val="22"/>
                              </w:rPr>
                            </w:pPr>
                            <w:r>
                              <w:rPr>
                                <w:sz w:val="22"/>
                              </w:rPr>
                              <w:t>BOD 81</w:t>
                            </w:r>
                            <w:r w:rsidR="00553872">
                              <w:rPr>
                                <w:sz w:val="22"/>
                              </w:rPr>
                              <w:t>/2014</w:t>
                            </w:r>
                          </w:p>
                          <w:p w:rsidR="00781566" w:rsidRPr="00553872" w:rsidRDefault="00D4754E">
                            <w:pPr>
                              <w:jc w:val="center"/>
                              <w:rPr>
                                <w:rFonts w:ascii="Arial" w:hAnsi="Arial" w:cs="Arial"/>
                                <w:sz w:val="20"/>
                                <w:szCs w:val="20"/>
                              </w:rPr>
                            </w:pPr>
                            <w:r>
                              <w:rPr>
                                <w:rFonts w:ascii="Arial" w:hAnsi="Arial" w:cs="Arial"/>
                                <w:sz w:val="20"/>
                                <w:szCs w:val="20"/>
                              </w:rPr>
                              <w:t>(Agenda Item: 13</w:t>
                            </w:r>
                            <w:r w:rsidR="00553872">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D4754E">
                      <w:pPr>
                        <w:pStyle w:val="BodyText"/>
                        <w:rPr>
                          <w:sz w:val="22"/>
                        </w:rPr>
                      </w:pPr>
                      <w:r>
                        <w:rPr>
                          <w:sz w:val="22"/>
                        </w:rPr>
                        <w:t>BOD 81</w:t>
                      </w:r>
                      <w:r w:rsidR="00553872">
                        <w:rPr>
                          <w:sz w:val="22"/>
                        </w:rPr>
                        <w:t>/2014</w:t>
                      </w:r>
                    </w:p>
                    <w:p w:rsidR="00781566" w:rsidRPr="00553872" w:rsidRDefault="00D4754E">
                      <w:pPr>
                        <w:jc w:val="center"/>
                        <w:rPr>
                          <w:rFonts w:ascii="Arial" w:hAnsi="Arial" w:cs="Arial"/>
                          <w:sz w:val="20"/>
                          <w:szCs w:val="20"/>
                        </w:rPr>
                      </w:pPr>
                      <w:r>
                        <w:rPr>
                          <w:rFonts w:ascii="Arial" w:hAnsi="Arial" w:cs="Arial"/>
                          <w:sz w:val="20"/>
                          <w:szCs w:val="20"/>
                        </w:rPr>
                        <w:t>(Agenda Item: 13</w:t>
                      </w:r>
                      <w:r w:rsidR="00553872">
                        <w:rPr>
                          <w:rFonts w:ascii="Arial" w:hAnsi="Arial" w:cs="Arial"/>
                          <w:sz w:val="20"/>
                          <w:szCs w:val="20"/>
                        </w:rPr>
                        <w:t>)</w:t>
                      </w:r>
                    </w:p>
                  </w:txbxContent>
                </v:textbox>
              </v:rect>
            </w:pict>
          </mc:Fallback>
        </mc:AlternateContent>
      </w:r>
    </w:p>
    <w:p w:rsidR="005D3499" w:rsidRDefault="005D3499">
      <w:pPr>
        <w:pStyle w:val="Heading1"/>
        <w:rPr>
          <w:sz w:val="24"/>
        </w:rPr>
      </w:pPr>
    </w:p>
    <w:p w:rsidR="005D3499" w:rsidRDefault="005D3499">
      <w:pPr>
        <w:pStyle w:val="Heading1"/>
        <w:rPr>
          <w:sz w:val="24"/>
        </w:rPr>
      </w:pPr>
      <w:bookmarkStart w:id="0" w:name="_GoBack"/>
      <w:bookmarkEnd w:id="0"/>
    </w:p>
    <w:p w:rsidR="005D3499" w:rsidRDefault="005D3499">
      <w:pPr>
        <w:pStyle w:val="Heading1"/>
        <w:rPr>
          <w:sz w:val="24"/>
        </w:rPr>
      </w:pPr>
    </w:p>
    <w:p w:rsidR="005D3499" w:rsidRDefault="005D3499">
      <w:pPr>
        <w:pStyle w:val="Heading1"/>
        <w:jc w:val="center"/>
        <w:rPr>
          <w:sz w:val="28"/>
          <w:u w:val="none"/>
        </w:rPr>
      </w:pPr>
    </w:p>
    <w:p w:rsidR="005E2583" w:rsidRDefault="00553872">
      <w:pPr>
        <w:pStyle w:val="Heading1"/>
        <w:jc w:val="center"/>
        <w:rPr>
          <w:sz w:val="28"/>
          <w:u w:val="none"/>
        </w:rPr>
      </w:pPr>
      <w:r>
        <w:rPr>
          <w:sz w:val="28"/>
          <w:u w:val="none"/>
        </w:rPr>
        <w:t>R</w:t>
      </w:r>
      <w:r w:rsidR="005D3499">
        <w:rPr>
          <w:sz w:val="28"/>
          <w:u w:val="none"/>
        </w:rPr>
        <w:t xml:space="preserve">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997325">
      <w:pPr>
        <w:jc w:val="center"/>
        <w:rPr>
          <w:rFonts w:ascii="Arial" w:hAnsi="Arial" w:cs="Arial"/>
          <w:b/>
        </w:rPr>
      </w:pPr>
      <w:r>
        <w:rPr>
          <w:rFonts w:ascii="Arial" w:hAnsi="Arial" w:cs="Arial"/>
          <w:b/>
        </w:rPr>
        <w:t xml:space="preserve"> 2</w:t>
      </w:r>
      <w:r w:rsidR="00D3213C">
        <w:rPr>
          <w:rFonts w:ascii="Arial" w:hAnsi="Arial" w:cs="Arial"/>
          <w:b/>
        </w:rPr>
        <w:t>5</w:t>
      </w:r>
      <w:r>
        <w:rPr>
          <w:rFonts w:ascii="Arial" w:hAnsi="Arial" w:cs="Arial"/>
          <w:b/>
        </w:rPr>
        <w:t xml:space="preserve"> </w:t>
      </w:r>
      <w:r w:rsidR="00F23C27">
        <w:rPr>
          <w:rFonts w:ascii="Arial" w:hAnsi="Arial" w:cs="Arial"/>
          <w:b/>
        </w:rPr>
        <w:t>June</w:t>
      </w:r>
      <w:r w:rsidR="006E3C3E">
        <w:rPr>
          <w:rFonts w:ascii="Arial" w:hAnsi="Arial" w:cs="Arial"/>
          <w:b/>
        </w:rPr>
        <w:t xml:space="preserve"> </w:t>
      </w:r>
      <w:r>
        <w:rPr>
          <w:rFonts w:ascii="Arial" w:hAnsi="Arial" w:cs="Arial"/>
          <w:b/>
        </w:rPr>
        <w:t>2014</w:t>
      </w:r>
    </w:p>
    <w:p w:rsidR="005D3499" w:rsidRDefault="005D3499">
      <w:pPr>
        <w:jc w:val="center"/>
        <w:rPr>
          <w:rFonts w:ascii="Arial" w:hAnsi="Arial" w:cs="Arial"/>
          <w:b/>
        </w:rPr>
      </w:pPr>
    </w:p>
    <w:p w:rsidR="00553872" w:rsidRDefault="00553872">
      <w:pPr>
        <w:jc w:val="center"/>
        <w:rPr>
          <w:rFonts w:ascii="Arial" w:hAnsi="Arial" w:cs="Arial"/>
          <w:b/>
        </w:rPr>
      </w:pPr>
      <w:r>
        <w:rPr>
          <w:rFonts w:ascii="Arial" w:hAnsi="Arial" w:cs="Arial"/>
          <w:b/>
        </w:rPr>
        <w:t>Performance Report</w:t>
      </w:r>
    </w:p>
    <w:p w:rsidR="005D3499" w:rsidRDefault="005D3499" w:rsidP="00FD2279">
      <w:pPr>
        <w:jc w:val="center"/>
        <w:rPr>
          <w:rFonts w:ascii="Arial" w:hAnsi="Arial" w:cs="Arial"/>
          <w:b/>
        </w:rPr>
      </w:pPr>
    </w:p>
    <w:p w:rsidR="005D3499" w:rsidRDefault="005D3499">
      <w:pPr>
        <w:rPr>
          <w:rFonts w:ascii="Arial" w:hAnsi="Arial" w:cs="Arial"/>
          <w:b/>
        </w:rPr>
      </w:pPr>
    </w:p>
    <w:p w:rsidR="00292613" w:rsidRDefault="00292613" w:rsidP="00292613">
      <w:pPr>
        <w:rPr>
          <w:rFonts w:ascii="Arial" w:hAnsi="Arial" w:cs="Arial"/>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Information</w:t>
      </w:r>
      <w:r>
        <w:rPr>
          <w:rFonts w:ascii="Arial" w:hAnsi="Arial" w:cs="Arial"/>
        </w:rPr>
        <w:t xml:space="preserve"> </w:t>
      </w:r>
    </w:p>
    <w:p w:rsidR="00267C69" w:rsidRDefault="00267C69" w:rsidP="00292613">
      <w:pPr>
        <w:rPr>
          <w:rFonts w:ascii="Arial" w:hAnsi="Arial" w:cs="Arial"/>
        </w:rPr>
      </w:pPr>
    </w:p>
    <w:p w:rsidR="00040022" w:rsidRDefault="00040022" w:rsidP="00040022">
      <w:pPr>
        <w:jc w:val="both"/>
        <w:rPr>
          <w:rFonts w:ascii="Arial" w:hAnsi="Arial" w:cs="Arial"/>
        </w:rPr>
      </w:pPr>
      <w:r>
        <w:rPr>
          <w:rFonts w:ascii="Arial" w:hAnsi="Arial" w:cs="Arial"/>
        </w:rPr>
        <w:t xml:space="preserve">This is the Performance report for Oxford Health NHS FT reporting on Month </w:t>
      </w:r>
      <w:r w:rsidR="00F23C27">
        <w:rPr>
          <w:rFonts w:ascii="Arial" w:hAnsi="Arial" w:cs="Arial"/>
        </w:rPr>
        <w:t>2</w:t>
      </w:r>
      <w:r>
        <w:rPr>
          <w:rFonts w:ascii="Arial" w:hAnsi="Arial" w:cs="Arial"/>
        </w:rPr>
        <w:t xml:space="preserve"> of FY15. The attached report format continues to be developed through discussion with the Executive Directors and from comments from the Board as a whole.</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1F2603" w:rsidRDefault="001F2603" w:rsidP="007A2CF0">
      <w:pPr>
        <w:jc w:val="both"/>
        <w:rPr>
          <w:rFonts w:ascii="Arial" w:hAnsi="Arial" w:cs="Arial"/>
          <w:b/>
        </w:rPr>
      </w:pPr>
    </w:p>
    <w:p w:rsidR="001F2603" w:rsidRPr="001F2603" w:rsidRDefault="001F2603" w:rsidP="007A2CF0">
      <w:pPr>
        <w:jc w:val="both"/>
        <w:rPr>
          <w:rFonts w:ascii="Arial" w:hAnsi="Arial" w:cs="Arial"/>
        </w:rPr>
      </w:pPr>
      <w:r>
        <w:rPr>
          <w:rFonts w:ascii="Arial" w:hAnsi="Arial" w:cs="Arial"/>
        </w:rPr>
        <w:t>The report has been considered at the Executive Board meeting on 17</w:t>
      </w:r>
      <w:r w:rsidRPr="001F2603">
        <w:rPr>
          <w:rFonts w:ascii="Arial" w:hAnsi="Arial" w:cs="Arial"/>
          <w:vertAlign w:val="superscript"/>
        </w:rPr>
        <w:t>th</w:t>
      </w:r>
      <w:r>
        <w:rPr>
          <w:rFonts w:ascii="Arial" w:hAnsi="Arial" w:cs="Arial"/>
        </w:rPr>
        <w:t xml:space="preserve"> June 2014.</w:t>
      </w:r>
    </w:p>
    <w:p w:rsidR="007A2CF0" w:rsidRDefault="007A2CF0" w:rsidP="007A2CF0">
      <w:pPr>
        <w:jc w:val="both"/>
        <w:rPr>
          <w:rFonts w:ascii="Arial" w:hAnsi="Arial" w:cs="Arial"/>
          <w:b/>
        </w:rPr>
      </w:pPr>
    </w:p>
    <w:p w:rsidR="00040022" w:rsidRDefault="001F2603" w:rsidP="0073522A">
      <w:pPr>
        <w:jc w:val="both"/>
        <w:rPr>
          <w:rFonts w:ascii="Arial" w:hAnsi="Arial" w:cs="Arial"/>
          <w:b/>
        </w:rPr>
      </w:pPr>
      <w:r w:rsidRPr="001F2603">
        <w:rPr>
          <w:rFonts w:ascii="Arial" w:hAnsi="Arial" w:cs="Arial"/>
          <w:b/>
        </w:rPr>
        <w:t>Performance Highlights</w:t>
      </w:r>
    </w:p>
    <w:p w:rsidR="001F2603" w:rsidRDefault="001F2603" w:rsidP="0073522A">
      <w:pPr>
        <w:jc w:val="both"/>
        <w:rPr>
          <w:rFonts w:ascii="Arial" w:hAnsi="Arial" w:cs="Arial"/>
          <w:b/>
        </w:rPr>
      </w:pPr>
    </w:p>
    <w:p w:rsidR="001F2603" w:rsidRPr="001F2603" w:rsidRDefault="001F2603" w:rsidP="001F2603">
      <w:pPr>
        <w:pStyle w:val="ListParagraph"/>
        <w:numPr>
          <w:ilvl w:val="0"/>
          <w:numId w:val="4"/>
        </w:numPr>
        <w:jc w:val="both"/>
        <w:rPr>
          <w:rFonts w:ascii="Arial" w:hAnsi="Arial" w:cs="Arial"/>
        </w:rPr>
      </w:pPr>
      <w:r w:rsidRPr="001F2603">
        <w:rPr>
          <w:rFonts w:ascii="Arial" w:hAnsi="Arial" w:cs="Arial"/>
        </w:rPr>
        <w:t>Monitor Indicators - All Monitor indicators have been achieved in May 2014 with the exception of Early Intervention.</w:t>
      </w:r>
    </w:p>
    <w:p w:rsidR="001F2603" w:rsidRPr="001F2603" w:rsidRDefault="001F2603" w:rsidP="001F2603">
      <w:pPr>
        <w:pStyle w:val="ListParagraph"/>
        <w:ind w:left="360"/>
        <w:jc w:val="both"/>
        <w:rPr>
          <w:rFonts w:ascii="Arial" w:hAnsi="Arial" w:cs="Arial"/>
        </w:rPr>
      </w:pPr>
    </w:p>
    <w:p w:rsidR="001F2603" w:rsidRPr="001F2603" w:rsidRDefault="001F2603" w:rsidP="001F2603">
      <w:pPr>
        <w:pStyle w:val="ListParagraph"/>
        <w:numPr>
          <w:ilvl w:val="0"/>
          <w:numId w:val="4"/>
        </w:numPr>
        <w:jc w:val="both"/>
        <w:rPr>
          <w:rFonts w:ascii="Arial" w:hAnsi="Arial" w:cs="Arial"/>
        </w:rPr>
      </w:pPr>
      <w:r w:rsidRPr="001F2603">
        <w:rPr>
          <w:rFonts w:ascii="Arial" w:hAnsi="Arial" w:cs="Arial"/>
        </w:rPr>
        <w:t>Single Sex Breaches - There were been no single sex breaches in May 2014.</w:t>
      </w:r>
    </w:p>
    <w:p w:rsidR="001F2603" w:rsidRPr="001F2603" w:rsidRDefault="001F2603" w:rsidP="001F2603">
      <w:pPr>
        <w:jc w:val="both"/>
        <w:rPr>
          <w:rFonts w:ascii="Arial" w:hAnsi="Arial" w:cs="Arial"/>
        </w:rPr>
      </w:pPr>
    </w:p>
    <w:p w:rsidR="001F2603" w:rsidRPr="001F2603" w:rsidRDefault="001F2603" w:rsidP="001F2603">
      <w:pPr>
        <w:pStyle w:val="ListParagraph"/>
        <w:numPr>
          <w:ilvl w:val="0"/>
          <w:numId w:val="4"/>
        </w:numPr>
        <w:jc w:val="both"/>
        <w:rPr>
          <w:rFonts w:ascii="Arial" w:hAnsi="Arial" w:cs="Arial"/>
        </w:rPr>
      </w:pPr>
      <w:r w:rsidRPr="001F2603">
        <w:rPr>
          <w:rFonts w:ascii="Arial" w:hAnsi="Arial" w:cs="Arial"/>
        </w:rPr>
        <w:t>Adult Mental Health Emergency Readmissions within 28 days of discharge - There were 3 adult emergency readmissions in May which is 3.1% of the number of discharges on the month.</w:t>
      </w:r>
    </w:p>
    <w:p w:rsidR="001F2603" w:rsidRPr="001F2603" w:rsidRDefault="001F2603" w:rsidP="001F2603">
      <w:pPr>
        <w:jc w:val="both"/>
        <w:rPr>
          <w:rFonts w:ascii="Arial" w:hAnsi="Arial" w:cs="Arial"/>
        </w:rPr>
      </w:pPr>
    </w:p>
    <w:p w:rsidR="001F2603" w:rsidRDefault="001F2603" w:rsidP="001F2603">
      <w:pPr>
        <w:pStyle w:val="ListParagraph"/>
        <w:numPr>
          <w:ilvl w:val="0"/>
          <w:numId w:val="4"/>
        </w:numPr>
        <w:jc w:val="both"/>
        <w:rPr>
          <w:rFonts w:ascii="Arial" w:hAnsi="Arial" w:cs="Arial"/>
        </w:rPr>
      </w:pPr>
      <w:r w:rsidRPr="001F2603">
        <w:rPr>
          <w:rFonts w:ascii="Arial" w:hAnsi="Arial" w:cs="Arial"/>
        </w:rPr>
        <w:t>Compliance with CPA Metric - Older Adult Mental Health and Forensic</w:t>
      </w:r>
      <w:r>
        <w:rPr>
          <w:rFonts w:ascii="Arial" w:hAnsi="Arial" w:cs="Arial"/>
        </w:rPr>
        <w:t xml:space="preserve"> b</w:t>
      </w:r>
      <w:r w:rsidRPr="001F2603">
        <w:rPr>
          <w:rFonts w:ascii="Arial" w:hAnsi="Arial" w:cs="Arial"/>
        </w:rPr>
        <w:t>oth Adults (Forensic) and Older People (Older Peoples Mental Health) achieved 100% this month.</w:t>
      </w:r>
    </w:p>
    <w:p w:rsidR="001F2603" w:rsidRDefault="001F2603" w:rsidP="001F2603">
      <w:pPr>
        <w:jc w:val="both"/>
        <w:rPr>
          <w:rFonts w:ascii="Arial" w:hAnsi="Arial" w:cs="Arial"/>
        </w:rPr>
      </w:pPr>
    </w:p>
    <w:p w:rsidR="001F2603" w:rsidRDefault="001F2603" w:rsidP="001F2603">
      <w:pPr>
        <w:jc w:val="both"/>
        <w:rPr>
          <w:rFonts w:ascii="Arial" w:hAnsi="Arial" w:cs="Arial"/>
          <w:b/>
        </w:rPr>
      </w:pPr>
    </w:p>
    <w:p w:rsidR="001F2603" w:rsidRDefault="001F2603" w:rsidP="001F2603">
      <w:pPr>
        <w:jc w:val="both"/>
        <w:rPr>
          <w:rFonts w:ascii="Arial" w:hAnsi="Arial" w:cs="Arial"/>
          <w:b/>
        </w:rPr>
      </w:pPr>
    </w:p>
    <w:p w:rsidR="001F2603" w:rsidRDefault="001F2603" w:rsidP="001F2603">
      <w:pPr>
        <w:jc w:val="both"/>
        <w:rPr>
          <w:rFonts w:ascii="Arial" w:hAnsi="Arial" w:cs="Arial"/>
          <w:b/>
        </w:rPr>
      </w:pPr>
    </w:p>
    <w:p w:rsidR="001F2603" w:rsidRPr="001F2603" w:rsidRDefault="001F2603" w:rsidP="001F2603">
      <w:pPr>
        <w:jc w:val="both"/>
        <w:rPr>
          <w:rFonts w:ascii="Arial" w:hAnsi="Arial" w:cs="Arial"/>
          <w:b/>
        </w:rPr>
      </w:pPr>
      <w:r w:rsidRPr="001F2603">
        <w:rPr>
          <w:rFonts w:ascii="Arial" w:hAnsi="Arial" w:cs="Arial"/>
          <w:b/>
        </w:rPr>
        <w:t>Performance Exceptions</w:t>
      </w:r>
    </w:p>
    <w:p w:rsidR="001F2603" w:rsidRDefault="001F2603" w:rsidP="0073522A">
      <w:pPr>
        <w:jc w:val="both"/>
        <w:rPr>
          <w:rFonts w:ascii="Arial" w:hAnsi="Arial" w:cs="Arial"/>
        </w:rPr>
      </w:pPr>
    </w:p>
    <w:p w:rsidR="001F2603" w:rsidRPr="001F2603" w:rsidRDefault="001F2603" w:rsidP="001F2603">
      <w:pPr>
        <w:pStyle w:val="ListParagraph"/>
        <w:numPr>
          <w:ilvl w:val="0"/>
          <w:numId w:val="5"/>
        </w:numPr>
        <w:jc w:val="both"/>
        <w:rPr>
          <w:rFonts w:ascii="Arial" w:hAnsi="Arial" w:cs="Arial"/>
        </w:rPr>
      </w:pPr>
      <w:r w:rsidRPr="001F2603">
        <w:rPr>
          <w:rFonts w:ascii="Arial" w:hAnsi="Arial" w:cs="Arial"/>
        </w:rPr>
        <w:t>Early Intervention - There is an under performance in the Oxfordshire CCG month end snapshot caseload. The caseload is 120 against a target of 134. The combined Oxfordshire and Buckinghamshire CCG performance for May is 88%. The average performance for April and Pay is 92.8% against the Monitor target of 95%.</w:t>
      </w:r>
    </w:p>
    <w:p w:rsidR="001F2603" w:rsidRPr="001F2603" w:rsidRDefault="001F2603" w:rsidP="001F2603">
      <w:pPr>
        <w:pStyle w:val="ListParagraph"/>
        <w:ind w:left="360"/>
        <w:jc w:val="both"/>
        <w:rPr>
          <w:rFonts w:ascii="Arial" w:hAnsi="Arial" w:cs="Arial"/>
        </w:rPr>
      </w:pPr>
    </w:p>
    <w:p w:rsidR="001F2603" w:rsidRPr="001F2603" w:rsidRDefault="001F2603" w:rsidP="001F2603">
      <w:pPr>
        <w:pStyle w:val="ListParagraph"/>
        <w:numPr>
          <w:ilvl w:val="0"/>
          <w:numId w:val="5"/>
        </w:numPr>
        <w:jc w:val="both"/>
        <w:rPr>
          <w:rFonts w:ascii="Arial" w:hAnsi="Arial" w:cs="Arial"/>
        </w:rPr>
      </w:pPr>
      <w:r w:rsidRPr="001F2603">
        <w:rPr>
          <w:rFonts w:ascii="Arial" w:hAnsi="Arial" w:cs="Arial"/>
        </w:rPr>
        <w:t>Compliance with CPA metric, Adult Mental Health - Performance has improved by 2% on last month to 90%. 100 records were audited and 90 had all four CPA metric elements in place. The Community Leads are working with Care Coordinators through supervision to ensure that CPA is undertaken and recorded correctly on RiO. Team Managers and Community Leads will be encouraged to undertake regular monthly audits of selected care coordinators’ case lists to ensure all elements of CPA are being met.</w:t>
      </w:r>
    </w:p>
    <w:p w:rsidR="001F2603" w:rsidRPr="001F2603" w:rsidRDefault="001F2603" w:rsidP="001F2603">
      <w:pPr>
        <w:pStyle w:val="ListParagraph"/>
        <w:rPr>
          <w:rFonts w:ascii="Arial" w:hAnsi="Arial" w:cs="Arial"/>
        </w:rPr>
      </w:pPr>
    </w:p>
    <w:p w:rsidR="001F2603" w:rsidRPr="001F2603" w:rsidRDefault="001F2603" w:rsidP="0073522A">
      <w:pPr>
        <w:pStyle w:val="ListParagraph"/>
        <w:numPr>
          <w:ilvl w:val="0"/>
          <w:numId w:val="5"/>
        </w:numPr>
        <w:jc w:val="both"/>
        <w:rPr>
          <w:rFonts w:ascii="Arial" w:hAnsi="Arial" w:cs="Arial"/>
        </w:rPr>
      </w:pPr>
      <w:r w:rsidRPr="001F2603">
        <w:rPr>
          <w:rFonts w:ascii="Arial" w:hAnsi="Arial" w:cs="Arial"/>
        </w:rPr>
        <w:t>Compliance with CPA metric, CAMHS - Performance has improved by 26% on last month to 74%. The Directorate is now randomly selecting patient records to be audited rather than just those records that appear to have failed on the Omnivo CPA Metric report.</w:t>
      </w:r>
    </w:p>
    <w:p w:rsidR="001F2603" w:rsidRPr="001F2603" w:rsidRDefault="001F2603" w:rsidP="001F2603">
      <w:pPr>
        <w:pStyle w:val="ListParagraph"/>
        <w:rPr>
          <w:rFonts w:ascii="Arial" w:hAnsi="Arial" w:cs="Arial"/>
        </w:rPr>
      </w:pPr>
    </w:p>
    <w:p w:rsidR="001F2603" w:rsidRPr="001F2603" w:rsidRDefault="001F2603" w:rsidP="001F2603">
      <w:pPr>
        <w:pStyle w:val="ListParagraph"/>
        <w:numPr>
          <w:ilvl w:val="0"/>
          <w:numId w:val="5"/>
        </w:numPr>
        <w:jc w:val="both"/>
        <w:rPr>
          <w:rFonts w:ascii="Arial" w:hAnsi="Arial" w:cs="Arial"/>
        </w:rPr>
      </w:pPr>
      <w:r w:rsidRPr="001F2603">
        <w:rPr>
          <w:rFonts w:ascii="Arial" w:hAnsi="Arial" w:cs="Arial"/>
        </w:rPr>
        <w:t xml:space="preserve">Ward closures due to control of infection - Sapphire ward was closed to admissions for 1 day and </w:t>
      </w:r>
      <w:proofErr w:type="spellStart"/>
      <w:r w:rsidRPr="001F2603">
        <w:rPr>
          <w:rFonts w:ascii="Arial" w:hAnsi="Arial" w:cs="Arial"/>
        </w:rPr>
        <w:t>Lindfoot</w:t>
      </w:r>
      <w:proofErr w:type="spellEnd"/>
      <w:r w:rsidRPr="001F2603">
        <w:rPr>
          <w:rFonts w:ascii="Arial" w:hAnsi="Arial" w:cs="Arial"/>
        </w:rPr>
        <w:t xml:space="preserve"> ward for 2 days due to a suspected outbreak of Norovirus. Ward 2 Abingdon Hospital was closed to admissions for 5 days due to a confirmed outbreak of Norovirus.</w:t>
      </w:r>
    </w:p>
    <w:p w:rsidR="001F2603" w:rsidRDefault="001F2603" w:rsidP="0073522A">
      <w:pPr>
        <w:jc w:val="both"/>
        <w:rPr>
          <w:rFonts w:ascii="Arial" w:hAnsi="Arial" w:cs="Arial"/>
        </w:rPr>
      </w:pPr>
    </w:p>
    <w:p w:rsidR="001F2603" w:rsidRDefault="001F2603" w:rsidP="0073522A">
      <w:pPr>
        <w:jc w:val="both"/>
        <w:rPr>
          <w:rFonts w:ascii="Arial" w:hAnsi="Arial" w:cs="Arial"/>
        </w:rPr>
      </w:pPr>
    </w:p>
    <w:p w:rsidR="001F2603" w:rsidRPr="00040022" w:rsidRDefault="001F2603" w:rsidP="0073522A">
      <w:pPr>
        <w:jc w:val="bot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5D3499" w:rsidRDefault="00267C69">
      <w:pPr>
        <w:jc w:val="both"/>
        <w:rPr>
          <w:rFonts w:ascii="Arial" w:hAnsi="Arial" w:cs="Arial"/>
        </w:rPr>
      </w:pPr>
      <w:r w:rsidRPr="00267C69">
        <w:rPr>
          <w:rFonts w:ascii="Arial" w:hAnsi="Arial" w:cs="Arial"/>
        </w:rPr>
        <w:t>The B</w:t>
      </w:r>
      <w:r>
        <w:rPr>
          <w:rFonts w:ascii="Arial" w:hAnsi="Arial" w:cs="Arial"/>
        </w:rPr>
        <w:t>oard is asked to note the report.</w:t>
      </w:r>
    </w:p>
    <w:p w:rsidR="00267C69" w:rsidRDefault="00267C69">
      <w:pPr>
        <w:jc w:val="both"/>
        <w:rPr>
          <w:rFonts w:ascii="Arial" w:hAnsi="Arial" w:cs="Arial"/>
        </w:rPr>
      </w:pPr>
    </w:p>
    <w:p w:rsidR="00267C69" w:rsidRPr="00267C69" w:rsidRDefault="00267C69">
      <w:pPr>
        <w:jc w:val="both"/>
        <w:rPr>
          <w:rFonts w:ascii="Arial" w:hAnsi="Arial" w:cs="Arial"/>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267C69">
        <w:rPr>
          <w:rFonts w:ascii="Arial" w:hAnsi="Arial" w:cs="Arial"/>
        </w:rPr>
        <w:t>Charlotte Hunt, Performance Information Manger</w:t>
      </w:r>
    </w:p>
    <w:p w:rsidR="00267C69" w:rsidRDefault="00267C69" w:rsidP="0073522A">
      <w:pPr>
        <w:ind w:left="1440" w:hanging="1440"/>
        <w:jc w:val="both"/>
        <w:rPr>
          <w:rFonts w:ascii="Arial" w:hAnsi="Arial" w:cs="Arial"/>
        </w:rPr>
      </w:pPr>
    </w:p>
    <w:p w:rsidR="0073522A" w:rsidRPr="00267C69" w:rsidRDefault="0073522A" w:rsidP="0073522A">
      <w:pPr>
        <w:jc w:val="both"/>
        <w:rPr>
          <w:rFonts w:ascii="Arial" w:hAnsi="Arial" w:cs="Arial"/>
        </w:rPr>
      </w:pPr>
      <w:r>
        <w:rPr>
          <w:rFonts w:ascii="Arial" w:hAnsi="Arial" w:cs="Arial"/>
          <w:b/>
        </w:rPr>
        <w:t>Lead Executive Director:</w:t>
      </w:r>
      <w:r>
        <w:rPr>
          <w:rFonts w:ascii="Arial" w:hAnsi="Arial" w:cs="Arial"/>
          <w:b/>
        </w:rPr>
        <w:tab/>
      </w:r>
      <w:r w:rsidR="00267C69">
        <w:rPr>
          <w:rFonts w:ascii="Arial" w:hAnsi="Arial" w:cs="Arial"/>
        </w:rPr>
        <w:t>Mike McEnaney, Finance Director</w:t>
      </w:r>
    </w:p>
    <w:p w:rsidR="0073522A" w:rsidRDefault="0073522A">
      <w:pPr>
        <w:jc w:val="both"/>
        <w:rPr>
          <w:rFonts w:ascii="Arial" w:hAnsi="Arial" w:cs="Arial"/>
          <w:b/>
        </w:rPr>
      </w:pPr>
    </w:p>
    <w:p w:rsidR="00040022" w:rsidRDefault="00040022">
      <w:pPr>
        <w:jc w:val="both"/>
        <w:rPr>
          <w:rFonts w:ascii="Arial" w:hAnsi="Arial" w:cs="Arial"/>
        </w:rPr>
      </w:pPr>
    </w:p>
    <w:p w:rsidR="00040022" w:rsidRDefault="00040022">
      <w:pPr>
        <w:jc w:val="both"/>
        <w:rPr>
          <w:rFonts w:ascii="Arial" w:hAnsi="Arial" w:cs="Arial"/>
        </w:rPr>
      </w:pPr>
    </w:p>
    <w:p w:rsidR="00040022" w:rsidRDefault="00040022">
      <w:pPr>
        <w:jc w:val="both"/>
        <w:rPr>
          <w:rFonts w:ascii="Arial" w:hAnsi="Arial" w:cs="Arial"/>
        </w:rPr>
      </w:pPr>
    </w:p>
    <w:p w:rsidR="001F2603" w:rsidRDefault="001F2603">
      <w:pPr>
        <w:jc w:val="both"/>
        <w:rPr>
          <w:rFonts w:ascii="Arial" w:hAnsi="Arial" w:cs="Arial"/>
        </w:rPr>
      </w:pPr>
    </w:p>
    <w:p w:rsidR="001F2603" w:rsidRDefault="001F2603">
      <w:pPr>
        <w:jc w:val="both"/>
        <w:rPr>
          <w:rFonts w:ascii="Arial" w:hAnsi="Arial" w:cs="Arial"/>
        </w:rPr>
      </w:pPr>
    </w:p>
    <w:p w:rsidR="001F2603" w:rsidRDefault="001F2603">
      <w:pPr>
        <w:jc w:val="both"/>
        <w:rPr>
          <w:rFonts w:ascii="Arial" w:hAnsi="Arial" w:cs="Arial"/>
        </w:rPr>
      </w:pPr>
    </w:p>
    <w:p w:rsidR="001F2603" w:rsidRDefault="001F2603">
      <w:pPr>
        <w:jc w:val="both"/>
        <w:rPr>
          <w:rFonts w:ascii="Arial" w:hAnsi="Arial" w:cs="Arial"/>
        </w:rPr>
      </w:pPr>
    </w:p>
    <w:p w:rsidR="001F2603" w:rsidRDefault="001F2603">
      <w:pPr>
        <w:jc w:val="both"/>
        <w:rPr>
          <w:rFonts w:ascii="Arial" w:hAnsi="Arial" w:cs="Arial"/>
        </w:rPr>
      </w:pPr>
    </w:p>
    <w:p w:rsidR="00040022" w:rsidRDefault="00040022">
      <w:pPr>
        <w:jc w:val="both"/>
        <w:rPr>
          <w:rFonts w:ascii="Arial" w:hAnsi="Arial" w:cs="Arial"/>
        </w:rPr>
      </w:pPr>
    </w:p>
    <w:p w:rsidR="00040022" w:rsidRDefault="00040022">
      <w:pPr>
        <w:jc w:val="both"/>
        <w:rPr>
          <w:rFonts w:ascii="Arial" w:hAnsi="Arial" w:cs="Arial"/>
        </w:rPr>
      </w:pPr>
    </w:p>
    <w:p w:rsidR="004F4BBA" w:rsidRPr="00894B97" w:rsidRDefault="0073522A">
      <w:pPr>
        <w:jc w:val="both"/>
        <w:rPr>
          <w:rFonts w:ascii="Arial" w:hAnsi="Arial" w:cs="Arial"/>
        </w:rPr>
      </w:pPr>
      <w:proofErr w:type="gramStart"/>
      <w:r>
        <w:rPr>
          <w:rFonts w:ascii="Arial" w:hAnsi="Arial" w:cs="Arial"/>
        </w:rPr>
        <w:t>[ Drafting</w:t>
      </w:r>
      <w:proofErr w:type="gramEnd"/>
      <w:r>
        <w:rPr>
          <w:rFonts w:ascii="Arial" w:hAnsi="Arial" w:cs="Arial"/>
        </w:rPr>
        <w:t xml:space="preserve"> Note: The</w:t>
      </w:r>
      <w:r w:rsidR="004F4BBA" w:rsidRPr="004F4BBA">
        <w:rPr>
          <w:rFonts w:ascii="Arial" w:hAnsi="Arial" w:cs="Arial"/>
        </w:rPr>
        <w:t xml:space="preserve"> </w:t>
      </w:r>
      <w:r w:rsidR="004F4BBA">
        <w:rPr>
          <w:rFonts w:ascii="Arial" w:hAnsi="Arial" w:cs="Arial"/>
        </w:rPr>
        <w:t>following statements must be attached to every report.</w:t>
      </w:r>
      <w:r w:rsidR="002C2F97">
        <w:rPr>
          <w:rFonts w:ascii="Arial" w:hAnsi="Arial" w:cs="Arial"/>
        </w:rPr>
        <w:t xml:space="preserve"> </w:t>
      </w:r>
      <w:r w:rsidR="00B26E1A">
        <w:rPr>
          <w:rFonts w:ascii="Arial" w:hAnsi="Arial" w:cs="Arial"/>
        </w:rPr>
        <w:t>]</w:t>
      </w: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781566">
      <w:pPr>
        <w:jc w:val="both"/>
        <w:rPr>
          <w:rFonts w:ascii="Arial" w:hAnsi="Arial" w:cs="Arial"/>
          <w:i/>
          <w:sz w:val="20"/>
          <w:szCs w:val="20"/>
        </w:rPr>
      </w:pP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IN ITS ENTIRETY, MUST NOT BE PUBLISHED UNDER FOI AND THE FOLLOWING EXEMPTION(S) APPLY:</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9" w:history="1">
        <w:r w:rsidR="00781566" w:rsidRPr="00781566">
          <w:rPr>
            <w:rFonts w:ascii="Arial" w:hAnsi="Arial" w:cs="Arial"/>
            <w:i/>
            <w:color w:val="000000" w:themeColor="text1"/>
            <w:sz w:val="20"/>
            <w:szCs w:val="20"/>
            <w:lang w:eastAsia="en-GB"/>
          </w:rPr>
          <w:t>Section 21</w:t>
        </w:r>
      </w:hyperlink>
      <w:r w:rsidR="00781566" w:rsidRPr="00781566">
        <w:rPr>
          <w:rFonts w:ascii="Arial" w:hAnsi="Arial" w:cs="Arial"/>
          <w:i/>
          <w:color w:val="000000" w:themeColor="text1"/>
          <w:sz w:val="20"/>
          <w:szCs w:val="20"/>
          <w:lang w:eastAsia="en-GB"/>
        </w:rPr>
        <w:t>: Information accessible to public by other means</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0" w:history="1">
        <w:r w:rsidR="00781566" w:rsidRPr="00781566">
          <w:rPr>
            <w:rFonts w:ascii="Arial" w:hAnsi="Arial" w:cs="Arial"/>
            <w:i/>
            <w:color w:val="000000" w:themeColor="text1"/>
            <w:sz w:val="20"/>
            <w:szCs w:val="20"/>
            <w:lang w:eastAsia="en-GB"/>
          </w:rPr>
          <w:t>Section 22</w:t>
        </w:r>
      </w:hyperlink>
      <w:r w:rsidR="00781566" w:rsidRPr="00781566">
        <w:rPr>
          <w:rFonts w:ascii="Arial" w:hAnsi="Arial" w:cs="Arial"/>
          <w:i/>
          <w:color w:val="000000" w:themeColor="text1"/>
          <w:sz w:val="20"/>
          <w:szCs w:val="20"/>
          <w:lang w:eastAsia="en-GB"/>
        </w:rPr>
        <w:t>: Information intended for future publication</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1" w:history="1">
        <w:r w:rsidR="00781566" w:rsidRPr="00781566">
          <w:rPr>
            <w:rFonts w:ascii="Arial" w:hAnsi="Arial" w:cs="Arial"/>
            <w:i/>
            <w:color w:val="000000" w:themeColor="text1"/>
            <w:sz w:val="20"/>
            <w:szCs w:val="20"/>
            <w:lang w:eastAsia="en-GB"/>
          </w:rPr>
          <w:t>Section 33</w:t>
        </w:r>
      </w:hyperlink>
      <w:r w:rsidR="00781566" w:rsidRPr="00781566">
        <w:rPr>
          <w:rFonts w:ascii="Arial" w:hAnsi="Arial" w:cs="Arial"/>
          <w:i/>
          <w:color w:val="000000" w:themeColor="text1"/>
          <w:sz w:val="20"/>
          <w:szCs w:val="20"/>
          <w:lang w:eastAsia="en-GB"/>
        </w:rPr>
        <w:t>: Audit functions</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2" w:history="1">
        <w:r w:rsidR="00781566" w:rsidRPr="00781566">
          <w:rPr>
            <w:rFonts w:ascii="Arial" w:hAnsi="Arial" w:cs="Arial"/>
            <w:i/>
            <w:color w:val="000000" w:themeColor="text1"/>
            <w:sz w:val="20"/>
            <w:szCs w:val="20"/>
            <w:lang w:eastAsia="en-GB"/>
          </w:rPr>
          <w:t>Section 36</w:t>
        </w:r>
      </w:hyperlink>
      <w:r w:rsidR="00781566" w:rsidRPr="00781566">
        <w:rPr>
          <w:rFonts w:ascii="Arial" w:hAnsi="Arial" w:cs="Arial"/>
          <w:i/>
          <w:color w:val="000000" w:themeColor="text1"/>
          <w:sz w:val="20"/>
          <w:szCs w:val="20"/>
          <w:lang w:eastAsia="en-GB"/>
        </w:rPr>
        <w:t>: Prejudice to effective conduct of public affairs</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3" w:history="1">
        <w:r w:rsidR="00781566" w:rsidRPr="00781566">
          <w:rPr>
            <w:rFonts w:ascii="Arial" w:hAnsi="Arial" w:cs="Arial"/>
            <w:i/>
            <w:color w:val="000000" w:themeColor="text1"/>
            <w:sz w:val="20"/>
            <w:szCs w:val="20"/>
            <w:lang w:eastAsia="en-GB"/>
          </w:rPr>
          <w:t>Section 38</w:t>
        </w:r>
      </w:hyperlink>
      <w:r w:rsidR="00781566" w:rsidRPr="00781566">
        <w:rPr>
          <w:rFonts w:ascii="Arial" w:hAnsi="Arial" w:cs="Arial"/>
          <w:i/>
          <w:color w:val="000000" w:themeColor="text1"/>
          <w:sz w:val="20"/>
          <w:szCs w:val="20"/>
          <w:lang w:eastAsia="en-GB"/>
        </w:rPr>
        <w:t>: Health and safety</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4" w:history="1">
        <w:r w:rsidR="00781566" w:rsidRPr="00781566">
          <w:rPr>
            <w:rFonts w:ascii="Arial" w:hAnsi="Arial" w:cs="Arial"/>
            <w:i/>
            <w:color w:val="000000" w:themeColor="text1"/>
            <w:sz w:val="20"/>
            <w:szCs w:val="20"/>
            <w:lang w:eastAsia="en-GB"/>
          </w:rPr>
          <w:t>Section 40</w:t>
        </w:r>
      </w:hyperlink>
      <w:r w:rsidR="00781566" w:rsidRPr="00781566">
        <w:rPr>
          <w:rFonts w:ascii="Arial" w:hAnsi="Arial" w:cs="Arial"/>
          <w:i/>
          <w:color w:val="000000" w:themeColor="text1"/>
          <w:sz w:val="20"/>
          <w:szCs w:val="20"/>
          <w:lang w:eastAsia="en-GB"/>
        </w:rPr>
        <w:t>: Personal information</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5" w:history="1">
        <w:r w:rsidR="00781566" w:rsidRPr="00781566">
          <w:rPr>
            <w:rFonts w:ascii="Arial" w:hAnsi="Arial" w:cs="Arial"/>
            <w:i/>
            <w:color w:val="000000" w:themeColor="text1"/>
            <w:sz w:val="20"/>
            <w:szCs w:val="20"/>
            <w:lang w:eastAsia="en-GB"/>
          </w:rPr>
          <w:t>Section 41</w:t>
        </w:r>
      </w:hyperlink>
      <w:r w:rsidR="00781566" w:rsidRPr="00781566">
        <w:rPr>
          <w:rFonts w:ascii="Arial" w:hAnsi="Arial" w:cs="Arial"/>
          <w:i/>
          <w:color w:val="000000" w:themeColor="text1"/>
          <w:sz w:val="20"/>
          <w:szCs w:val="20"/>
          <w:lang w:eastAsia="en-GB"/>
        </w:rPr>
        <w:t>: Information provided in confidence</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6" w:history="1">
        <w:r w:rsidR="00781566" w:rsidRPr="00781566">
          <w:rPr>
            <w:rFonts w:ascii="Arial" w:hAnsi="Arial" w:cs="Arial"/>
            <w:i/>
            <w:color w:val="000000" w:themeColor="text1"/>
            <w:sz w:val="20"/>
            <w:szCs w:val="20"/>
            <w:lang w:eastAsia="en-GB"/>
          </w:rPr>
          <w:t>Section 42</w:t>
        </w:r>
      </w:hyperlink>
      <w:r w:rsidR="00781566" w:rsidRPr="00781566">
        <w:rPr>
          <w:rFonts w:ascii="Arial" w:hAnsi="Arial" w:cs="Arial"/>
          <w:i/>
          <w:color w:val="000000" w:themeColor="text1"/>
          <w:sz w:val="20"/>
          <w:szCs w:val="20"/>
          <w:lang w:eastAsia="en-GB"/>
        </w:rPr>
        <w:t>: Legal professional privilege</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7" w:history="1">
        <w:r w:rsidR="00781566" w:rsidRPr="00781566">
          <w:rPr>
            <w:rFonts w:ascii="Arial" w:hAnsi="Arial" w:cs="Arial"/>
            <w:i/>
            <w:color w:val="000000" w:themeColor="text1"/>
            <w:sz w:val="20"/>
            <w:szCs w:val="20"/>
            <w:lang w:eastAsia="en-GB"/>
          </w:rPr>
          <w:t>Section 43</w:t>
        </w:r>
      </w:hyperlink>
      <w:r w:rsidR="00781566" w:rsidRPr="00781566">
        <w:rPr>
          <w:rFonts w:ascii="Arial" w:hAnsi="Arial" w:cs="Arial"/>
          <w:i/>
          <w:color w:val="000000" w:themeColor="text1"/>
          <w:sz w:val="20"/>
          <w:szCs w:val="20"/>
          <w:lang w:eastAsia="en-GB"/>
        </w:rPr>
        <w:t>: Commercial interests</w:t>
      </w:r>
    </w:p>
    <w:p w:rsidR="00781566" w:rsidRDefault="00781566" w:rsidP="00781566">
      <w:pPr>
        <w:ind w:left="720"/>
        <w:jc w:val="both"/>
        <w:rPr>
          <w:rFonts w:ascii="Arial" w:hAnsi="Arial" w:cs="Arial"/>
          <w:i/>
          <w:sz w:val="20"/>
          <w:szCs w:val="20"/>
        </w:rPr>
      </w:pP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SECTIONS MARKED IN THIS PAPER MUST NOT BE PUBLISHED UNDER FOI AND THE FOLLOWING EXEMPTION(S) APPLY:</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8" w:history="1">
        <w:r w:rsidR="00781566" w:rsidRPr="00781566">
          <w:rPr>
            <w:rFonts w:ascii="Arial" w:hAnsi="Arial" w:cs="Arial"/>
            <w:i/>
            <w:color w:val="000000" w:themeColor="text1"/>
            <w:sz w:val="20"/>
            <w:szCs w:val="20"/>
            <w:lang w:eastAsia="en-GB"/>
          </w:rPr>
          <w:t>Section 21</w:t>
        </w:r>
      </w:hyperlink>
      <w:r w:rsidR="00781566" w:rsidRPr="00781566">
        <w:rPr>
          <w:rFonts w:ascii="Arial" w:hAnsi="Arial" w:cs="Arial"/>
          <w:i/>
          <w:color w:val="000000" w:themeColor="text1"/>
          <w:sz w:val="20"/>
          <w:szCs w:val="20"/>
          <w:lang w:eastAsia="en-GB"/>
        </w:rPr>
        <w:t>: Information accessible to public by other means</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9" w:history="1">
        <w:r w:rsidR="00781566" w:rsidRPr="00781566">
          <w:rPr>
            <w:rFonts w:ascii="Arial" w:hAnsi="Arial" w:cs="Arial"/>
            <w:i/>
            <w:color w:val="000000" w:themeColor="text1"/>
            <w:sz w:val="20"/>
            <w:szCs w:val="20"/>
            <w:lang w:eastAsia="en-GB"/>
          </w:rPr>
          <w:t>Section 22</w:t>
        </w:r>
      </w:hyperlink>
      <w:r w:rsidR="00781566" w:rsidRPr="00781566">
        <w:rPr>
          <w:rFonts w:ascii="Arial" w:hAnsi="Arial" w:cs="Arial"/>
          <w:i/>
          <w:color w:val="000000" w:themeColor="text1"/>
          <w:sz w:val="20"/>
          <w:szCs w:val="20"/>
          <w:lang w:eastAsia="en-GB"/>
        </w:rPr>
        <w:t>: Information intended for future publication</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0" w:history="1">
        <w:r w:rsidR="00781566" w:rsidRPr="00781566">
          <w:rPr>
            <w:rFonts w:ascii="Arial" w:hAnsi="Arial" w:cs="Arial"/>
            <w:i/>
            <w:color w:val="000000" w:themeColor="text1"/>
            <w:sz w:val="20"/>
            <w:szCs w:val="20"/>
            <w:lang w:eastAsia="en-GB"/>
          </w:rPr>
          <w:t>Section 33</w:t>
        </w:r>
      </w:hyperlink>
      <w:r w:rsidR="00781566" w:rsidRPr="00781566">
        <w:rPr>
          <w:rFonts w:ascii="Arial" w:hAnsi="Arial" w:cs="Arial"/>
          <w:i/>
          <w:color w:val="000000" w:themeColor="text1"/>
          <w:sz w:val="20"/>
          <w:szCs w:val="20"/>
          <w:lang w:eastAsia="en-GB"/>
        </w:rPr>
        <w:t>: Audit functions</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1" w:history="1">
        <w:r w:rsidR="00781566" w:rsidRPr="00781566">
          <w:rPr>
            <w:rFonts w:ascii="Arial" w:hAnsi="Arial" w:cs="Arial"/>
            <w:i/>
            <w:color w:val="000000" w:themeColor="text1"/>
            <w:sz w:val="20"/>
            <w:szCs w:val="20"/>
            <w:lang w:eastAsia="en-GB"/>
          </w:rPr>
          <w:t>Section 36</w:t>
        </w:r>
      </w:hyperlink>
      <w:r w:rsidR="00781566" w:rsidRPr="00781566">
        <w:rPr>
          <w:rFonts w:ascii="Arial" w:hAnsi="Arial" w:cs="Arial"/>
          <w:i/>
          <w:color w:val="000000" w:themeColor="text1"/>
          <w:sz w:val="20"/>
          <w:szCs w:val="20"/>
          <w:lang w:eastAsia="en-GB"/>
        </w:rPr>
        <w:t>: Prejudice to effective conduct of public affairs</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2" w:history="1">
        <w:r w:rsidR="00781566" w:rsidRPr="00781566">
          <w:rPr>
            <w:rFonts w:ascii="Arial" w:hAnsi="Arial" w:cs="Arial"/>
            <w:i/>
            <w:color w:val="000000" w:themeColor="text1"/>
            <w:sz w:val="20"/>
            <w:szCs w:val="20"/>
            <w:lang w:eastAsia="en-GB"/>
          </w:rPr>
          <w:t>Section 38</w:t>
        </w:r>
      </w:hyperlink>
      <w:r w:rsidR="00781566" w:rsidRPr="00781566">
        <w:rPr>
          <w:rFonts w:ascii="Arial" w:hAnsi="Arial" w:cs="Arial"/>
          <w:i/>
          <w:color w:val="000000" w:themeColor="text1"/>
          <w:sz w:val="20"/>
          <w:szCs w:val="20"/>
          <w:lang w:eastAsia="en-GB"/>
        </w:rPr>
        <w:t>: Health and safety</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3" w:history="1">
        <w:r w:rsidR="00781566" w:rsidRPr="00781566">
          <w:rPr>
            <w:rFonts w:ascii="Arial" w:hAnsi="Arial" w:cs="Arial"/>
            <w:i/>
            <w:color w:val="000000" w:themeColor="text1"/>
            <w:sz w:val="20"/>
            <w:szCs w:val="20"/>
            <w:lang w:eastAsia="en-GB"/>
          </w:rPr>
          <w:t>Section 40</w:t>
        </w:r>
      </w:hyperlink>
      <w:r w:rsidR="00781566" w:rsidRPr="00781566">
        <w:rPr>
          <w:rFonts w:ascii="Arial" w:hAnsi="Arial" w:cs="Arial"/>
          <w:i/>
          <w:color w:val="000000" w:themeColor="text1"/>
          <w:sz w:val="20"/>
          <w:szCs w:val="20"/>
          <w:lang w:eastAsia="en-GB"/>
        </w:rPr>
        <w:t>: Personal information</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4" w:history="1">
        <w:r w:rsidR="00781566" w:rsidRPr="00781566">
          <w:rPr>
            <w:rFonts w:ascii="Arial" w:hAnsi="Arial" w:cs="Arial"/>
            <w:i/>
            <w:color w:val="000000" w:themeColor="text1"/>
            <w:sz w:val="20"/>
            <w:szCs w:val="20"/>
            <w:lang w:eastAsia="en-GB"/>
          </w:rPr>
          <w:t>Section 41</w:t>
        </w:r>
      </w:hyperlink>
      <w:r w:rsidR="00781566" w:rsidRPr="00781566">
        <w:rPr>
          <w:rFonts w:ascii="Arial" w:hAnsi="Arial" w:cs="Arial"/>
          <w:i/>
          <w:color w:val="000000" w:themeColor="text1"/>
          <w:sz w:val="20"/>
          <w:szCs w:val="20"/>
          <w:lang w:eastAsia="en-GB"/>
        </w:rPr>
        <w:t>: Information provided in confidence</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5" w:history="1">
        <w:r w:rsidR="00781566" w:rsidRPr="00781566">
          <w:rPr>
            <w:rFonts w:ascii="Arial" w:hAnsi="Arial" w:cs="Arial"/>
            <w:i/>
            <w:color w:val="000000" w:themeColor="text1"/>
            <w:sz w:val="20"/>
            <w:szCs w:val="20"/>
            <w:lang w:eastAsia="en-GB"/>
          </w:rPr>
          <w:t>Section 42</w:t>
        </w:r>
      </w:hyperlink>
      <w:r w:rsidR="00781566" w:rsidRPr="00781566">
        <w:rPr>
          <w:rFonts w:ascii="Arial" w:hAnsi="Arial" w:cs="Arial"/>
          <w:i/>
          <w:color w:val="000000" w:themeColor="text1"/>
          <w:sz w:val="20"/>
          <w:szCs w:val="20"/>
          <w:lang w:eastAsia="en-GB"/>
        </w:rPr>
        <w:t>: Legal professional privilege</w:t>
      </w:r>
    </w:p>
    <w:p w:rsidR="00781566" w:rsidRPr="00781566" w:rsidRDefault="007029BC"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6" w:history="1">
        <w:r w:rsidR="00781566" w:rsidRPr="00781566">
          <w:rPr>
            <w:rFonts w:ascii="Arial" w:hAnsi="Arial" w:cs="Arial"/>
            <w:i/>
            <w:color w:val="000000" w:themeColor="text1"/>
            <w:sz w:val="20"/>
            <w:szCs w:val="20"/>
            <w:lang w:eastAsia="en-GB"/>
          </w:rPr>
          <w:t>Section 43</w:t>
        </w:r>
      </w:hyperlink>
      <w:r w:rsidR="00781566" w:rsidRPr="00781566">
        <w:rPr>
          <w:rFonts w:ascii="Arial" w:hAnsi="Arial" w:cs="Arial"/>
          <w:i/>
          <w:color w:val="000000" w:themeColor="text1"/>
          <w:sz w:val="20"/>
          <w:szCs w:val="20"/>
          <w:lang w:eastAsia="en-GB"/>
        </w:rPr>
        <w:t>: Commercial interests</w:t>
      </w:r>
    </w:p>
    <w:p w:rsidR="00781566" w:rsidRDefault="00781566" w:rsidP="00781566">
      <w:pPr>
        <w:ind w:left="720"/>
        <w:jc w:val="both"/>
        <w:rPr>
          <w:rFonts w:ascii="Arial" w:hAnsi="Arial" w:cs="Arial"/>
          <w:i/>
          <w:sz w:val="20"/>
          <w:szCs w:val="20"/>
        </w:rPr>
      </w:pP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C7657"/>
    <w:multiLevelType w:val="hybridMultilevel"/>
    <w:tmpl w:val="50148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B02CB"/>
    <w:multiLevelType w:val="hybridMultilevel"/>
    <w:tmpl w:val="974CC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0022"/>
    <w:rsid w:val="001F2603"/>
    <w:rsid w:val="001F76ED"/>
    <w:rsid w:val="00227FCE"/>
    <w:rsid w:val="00232288"/>
    <w:rsid w:val="002619EF"/>
    <w:rsid w:val="00267C69"/>
    <w:rsid w:val="002821F8"/>
    <w:rsid w:val="00282CE5"/>
    <w:rsid w:val="00292613"/>
    <w:rsid w:val="002A73E8"/>
    <w:rsid w:val="002C2F97"/>
    <w:rsid w:val="002E6FC6"/>
    <w:rsid w:val="003971F6"/>
    <w:rsid w:val="004326BB"/>
    <w:rsid w:val="004F4BBA"/>
    <w:rsid w:val="005233AA"/>
    <w:rsid w:val="00551B0F"/>
    <w:rsid w:val="00553872"/>
    <w:rsid w:val="005659FB"/>
    <w:rsid w:val="005B3E3C"/>
    <w:rsid w:val="005C3FC1"/>
    <w:rsid w:val="005D3499"/>
    <w:rsid w:val="005E2583"/>
    <w:rsid w:val="0061684E"/>
    <w:rsid w:val="006E3C3E"/>
    <w:rsid w:val="007029BC"/>
    <w:rsid w:val="0073522A"/>
    <w:rsid w:val="007769CD"/>
    <w:rsid w:val="0078032B"/>
    <w:rsid w:val="00781566"/>
    <w:rsid w:val="007976E7"/>
    <w:rsid w:val="007A2CF0"/>
    <w:rsid w:val="007B6D77"/>
    <w:rsid w:val="00802701"/>
    <w:rsid w:val="008038A2"/>
    <w:rsid w:val="00811FE8"/>
    <w:rsid w:val="0086436B"/>
    <w:rsid w:val="00894B97"/>
    <w:rsid w:val="00946E6E"/>
    <w:rsid w:val="009869DE"/>
    <w:rsid w:val="00997325"/>
    <w:rsid w:val="00A674FB"/>
    <w:rsid w:val="00A85311"/>
    <w:rsid w:val="00AA0C3F"/>
    <w:rsid w:val="00AC3814"/>
    <w:rsid w:val="00AF0562"/>
    <w:rsid w:val="00B26E1A"/>
    <w:rsid w:val="00B26F2C"/>
    <w:rsid w:val="00B50D5E"/>
    <w:rsid w:val="00B874F3"/>
    <w:rsid w:val="00BA3B3E"/>
    <w:rsid w:val="00BB45F2"/>
    <w:rsid w:val="00BF5367"/>
    <w:rsid w:val="00C07817"/>
    <w:rsid w:val="00C11AA2"/>
    <w:rsid w:val="00D07064"/>
    <w:rsid w:val="00D279FC"/>
    <w:rsid w:val="00D3213C"/>
    <w:rsid w:val="00D4754E"/>
    <w:rsid w:val="00D55ADD"/>
    <w:rsid w:val="00D8544F"/>
    <w:rsid w:val="00DA0FA6"/>
    <w:rsid w:val="00DD33DF"/>
    <w:rsid w:val="00DE1293"/>
    <w:rsid w:val="00E827C5"/>
    <w:rsid w:val="00F23C27"/>
    <w:rsid w:val="00F24EB2"/>
    <w:rsid w:val="00F50A07"/>
    <w:rsid w:val="00F57119"/>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pga/2000/36/section/38" TargetMode="External"/><Relationship Id="rId18" Type="http://schemas.openxmlformats.org/officeDocument/2006/relationships/hyperlink" Target="http://www.legislation.gov.uk/ukpga/2000/36/section/21" TargetMode="External"/><Relationship Id="rId26" Type="http://schemas.openxmlformats.org/officeDocument/2006/relationships/hyperlink" Target="http://www.legislation.gov.uk/ukpga/2000/36/section/43" TargetMode="External"/><Relationship Id="rId3" Type="http://schemas.microsoft.com/office/2007/relationships/stylesWithEffects" Target="stylesWithEffects.xml"/><Relationship Id="rId21" Type="http://schemas.openxmlformats.org/officeDocument/2006/relationships/hyperlink" Target="http://www.legislation.gov.uk/ukpga/2000/36/section/36" TargetMode="External"/><Relationship Id="rId7" Type="http://schemas.openxmlformats.org/officeDocument/2006/relationships/endnotes" Target="endnotes.xml"/><Relationship Id="rId12" Type="http://schemas.openxmlformats.org/officeDocument/2006/relationships/hyperlink" Target="http://www.legislation.gov.uk/ukpga/2000/36/section/36" TargetMode="External"/><Relationship Id="rId17" Type="http://schemas.openxmlformats.org/officeDocument/2006/relationships/hyperlink" Target="http://www.legislation.gov.uk/ukpga/2000/36/section/43" TargetMode="External"/><Relationship Id="rId25" Type="http://schemas.openxmlformats.org/officeDocument/2006/relationships/hyperlink" Target="http://www.legislation.gov.uk/ukpga/2000/36/section/42" TargetMode="External"/><Relationship Id="rId2" Type="http://schemas.openxmlformats.org/officeDocument/2006/relationships/styles" Target="styles.xml"/><Relationship Id="rId16" Type="http://schemas.openxmlformats.org/officeDocument/2006/relationships/hyperlink" Target="http://www.legislation.gov.uk/ukpga/2000/36/section/42" TargetMode="External"/><Relationship Id="rId20" Type="http://schemas.openxmlformats.org/officeDocument/2006/relationships/hyperlink" Target="http://www.legislation.gov.uk/ukpga/2000/36/section/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pga/2000/36/section/33" TargetMode="External"/><Relationship Id="rId24" Type="http://schemas.openxmlformats.org/officeDocument/2006/relationships/hyperlink" Target="http://www.legislation.gov.uk/ukpga/2000/36/section/41" TargetMode="External"/><Relationship Id="rId5" Type="http://schemas.openxmlformats.org/officeDocument/2006/relationships/webSettings" Target="webSettings.xml"/><Relationship Id="rId15" Type="http://schemas.openxmlformats.org/officeDocument/2006/relationships/hyperlink" Target="http://www.legislation.gov.uk/ukpga/2000/36/section/41" TargetMode="External"/><Relationship Id="rId23" Type="http://schemas.openxmlformats.org/officeDocument/2006/relationships/hyperlink" Target="http://www.legislation.gov.uk/ukpga/2000/36/section/40" TargetMode="External"/><Relationship Id="rId28" Type="http://schemas.openxmlformats.org/officeDocument/2006/relationships/fontTable" Target="fontTable.xml"/><Relationship Id="rId10" Type="http://schemas.openxmlformats.org/officeDocument/2006/relationships/hyperlink" Target="http://www.legislation.gov.uk/ukpga/2000/36/section/22" TargetMode="External"/><Relationship Id="rId19" Type="http://schemas.openxmlformats.org/officeDocument/2006/relationships/hyperlink" Target="http://www.legislation.gov.uk/ukpga/2000/36/section/22" TargetMode="External"/><Relationship Id="rId4" Type="http://schemas.openxmlformats.org/officeDocument/2006/relationships/settings" Target="settings.xml"/><Relationship Id="rId9" Type="http://schemas.openxmlformats.org/officeDocument/2006/relationships/hyperlink" Target="http://www.legislation.gov.uk/ukpga/2000/36/section/21" TargetMode="External"/><Relationship Id="rId14" Type="http://schemas.openxmlformats.org/officeDocument/2006/relationships/hyperlink" Target="http://www.legislation.gov.uk/ukpga/2000/36/section/40" TargetMode="External"/><Relationship Id="rId22" Type="http://schemas.openxmlformats.org/officeDocument/2006/relationships/hyperlink" Target="http://www.legislation.gov.uk/ukpga/2000/36/section/38"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641</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Smith Hannah (RNU) Oxford Health</cp:lastModifiedBy>
  <cp:revision>7</cp:revision>
  <cp:lastPrinted>2014-03-17T14:55:00Z</cp:lastPrinted>
  <dcterms:created xsi:type="dcterms:W3CDTF">2014-05-21T09:34:00Z</dcterms:created>
  <dcterms:modified xsi:type="dcterms:W3CDTF">2014-06-18T11:43:00Z</dcterms:modified>
</cp:coreProperties>
</file>