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D" w:rsidRDefault="00723FA5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28575</wp:posOffset>
            </wp:positionV>
            <wp:extent cx="2552700" cy="504825"/>
            <wp:effectExtent l="19050" t="0" r="0" b="0"/>
            <wp:wrapSquare wrapText="left"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AAD" w:rsidRDefault="00D63AAD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4463D2" w:rsidRDefault="003A5204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:rsidR="004463D2" w:rsidRDefault="004463D2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4463D2" w:rsidRDefault="004463D2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AUDIT COMMITTEE </w:t>
      </w:r>
      <w:r w:rsidRPr="00DB2A7F">
        <w:rPr>
          <w:rFonts w:cs="Arial"/>
          <w:b/>
          <w:bCs/>
          <w:sz w:val="28"/>
          <w:szCs w:val="28"/>
        </w:rPr>
        <w:t>TERMS OF REFERENCE</w:t>
      </w:r>
    </w:p>
    <w:p w:rsidR="004463D2" w:rsidRPr="00DB2A7F" w:rsidRDefault="004463D2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B51FCB">
        <w:rPr>
          <w:rFonts w:cs="Arial"/>
          <w:b/>
          <w:u w:val="single"/>
        </w:rPr>
        <w:t>Introduction</w:t>
      </w:r>
    </w:p>
    <w:p w:rsidR="004463D2" w:rsidRPr="00B51FCB" w:rsidRDefault="004463D2" w:rsidP="004463D2">
      <w:pPr>
        <w:autoSpaceDE w:val="0"/>
        <w:autoSpaceDN w:val="0"/>
        <w:adjustRightInd w:val="0"/>
        <w:rPr>
          <w:rFonts w:cs="Arial"/>
          <w:b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These Terms of Reference build on original work based around the Cadbury Committee</w:t>
      </w:r>
      <w:r>
        <w:rPr>
          <w:rFonts w:cs="Arial"/>
        </w:rPr>
        <w:t xml:space="preserve"> </w:t>
      </w:r>
      <w:r w:rsidRPr="00DB2A7F">
        <w:rPr>
          <w:rFonts w:cs="Arial"/>
        </w:rPr>
        <w:t>and Combined Code and subsequent guidance and best practice in the private and public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sector. They reflect the particular nature of </w:t>
      </w:r>
      <w:r w:rsidR="00715656">
        <w:rPr>
          <w:rFonts w:cs="Arial"/>
        </w:rPr>
        <w:t>a</w:t>
      </w:r>
      <w:r w:rsidRPr="00DB2A7F">
        <w:rPr>
          <w:rFonts w:cs="Arial"/>
        </w:rPr>
        <w:t xml:space="preserve">udit </w:t>
      </w:r>
      <w:r w:rsidR="00715656">
        <w:rPr>
          <w:rFonts w:cs="Arial"/>
        </w:rPr>
        <w:t>c</w:t>
      </w:r>
      <w:r w:rsidRPr="00DB2A7F">
        <w:rPr>
          <w:rFonts w:cs="Arial"/>
        </w:rPr>
        <w:t>ommittees in the NHS and the growing role of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the </w:t>
      </w:r>
      <w:r w:rsidR="00715656">
        <w:rPr>
          <w:rFonts w:cs="Arial"/>
        </w:rPr>
        <w:t>c</w:t>
      </w:r>
      <w:r w:rsidRPr="00DB2A7F">
        <w:rPr>
          <w:rFonts w:cs="Arial"/>
        </w:rPr>
        <w:t>ommittee in developing integrated governance arrangements and providing assurance that</w:t>
      </w:r>
      <w:r>
        <w:rPr>
          <w:rFonts w:cs="Arial"/>
        </w:rPr>
        <w:t xml:space="preserve"> </w:t>
      </w:r>
      <w:r w:rsidRPr="00DB2A7F">
        <w:rPr>
          <w:rFonts w:cs="Arial"/>
        </w:rPr>
        <w:t>NHS bodies are well managed across the whole range of their activities.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Pr="00B51FCB" w:rsidRDefault="004463D2" w:rsidP="004463D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u w:val="single"/>
        </w:rPr>
      </w:pPr>
      <w:r w:rsidRPr="00B51FCB">
        <w:rPr>
          <w:rFonts w:cs="Arial"/>
          <w:b/>
          <w:bCs/>
          <w:sz w:val="28"/>
          <w:szCs w:val="28"/>
          <w:u w:val="single"/>
        </w:rPr>
        <w:t>Terms of Reference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Constitution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Board </w:t>
      </w:r>
      <w:r w:rsidR="00D70364">
        <w:rPr>
          <w:rFonts w:cs="Arial"/>
        </w:rPr>
        <w:t xml:space="preserve">of Directors </w:t>
      </w:r>
      <w:r w:rsidRPr="00DB2A7F">
        <w:rPr>
          <w:rFonts w:cs="Arial"/>
        </w:rPr>
        <w:t>hereby resolves to establish a Committee of the Board to be known as the Audit</w:t>
      </w:r>
      <w:r>
        <w:rPr>
          <w:rFonts w:cs="Arial"/>
        </w:rPr>
        <w:t xml:space="preserve"> </w:t>
      </w:r>
      <w:r w:rsidRPr="00DB2A7F">
        <w:rPr>
          <w:rFonts w:cs="Arial"/>
        </w:rPr>
        <w:t>Committee (</w:t>
      </w:r>
      <w:r w:rsidR="00715656" w:rsidRPr="009C09A0">
        <w:rPr>
          <w:rFonts w:cs="Arial"/>
          <w:b/>
        </w:rPr>
        <w:t>t</w:t>
      </w:r>
      <w:r w:rsidRPr="009C09A0">
        <w:rPr>
          <w:rFonts w:cs="Arial"/>
          <w:b/>
        </w:rPr>
        <w:t>he Committee</w:t>
      </w:r>
      <w:r w:rsidRPr="00DB2A7F">
        <w:rPr>
          <w:rFonts w:cs="Arial"/>
        </w:rPr>
        <w:t xml:space="preserve">). The Committee is a non-executive committee of the Board </w:t>
      </w:r>
      <w:r w:rsidR="00D70364">
        <w:rPr>
          <w:rFonts w:cs="Arial"/>
        </w:rPr>
        <w:t xml:space="preserve">of Directors </w:t>
      </w:r>
      <w:r w:rsidRPr="00DB2A7F">
        <w:rPr>
          <w:rFonts w:cs="Arial"/>
        </w:rPr>
        <w:t>and has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no executive powers, other than those </w:t>
      </w:r>
      <w:r>
        <w:rPr>
          <w:rFonts w:cs="Arial"/>
        </w:rPr>
        <w:t>s</w:t>
      </w:r>
      <w:r w:rsidRPr="00DB2A7F">
        <w:rPr>
          <w:rFonts w:cs="Arial"/>
        </w:rPr>
        <w:t>pecifically delegated in these Terms of Reference.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Membership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shall be appointed by the Board </w:t>
      </w:r>
      <w:r w:rsidR="00D70364">
        <w:rPr>
          <w:rFonts w:cs="Arial"/>
        </w:rPr>
        <w:t xml:space="preserve">of Directors </w:t>
      </w:r>
      <w:r w:rsidRPr="00DB2A7F">
        <w:rPr>
          <w:rFonts w:cs="Arial"/>
        </w:rPr>
        <w:t>from amongst the Non-Executive directors of the</w:t>
      </w:r>
      <w:r>
        <w:rPr>
          <w:rFonts w:cs="Arial"/>
        </w:rPr>
        <w:t xml:space="preserve"> Trust</w:t>
      </w:r>
      <w:r w:rsidRPr="00DB2A7F">
        <w:rPr>
          <w:rFonts w:cs="Arial"/>
        </w:rPr>
        <w:t xml:space="preserve"> and shall consist of not less than three members. A quorum shall be </w:t>
      </w:r>
      <w:r w:rsidR="008D7F87">
        <w:rPr>
          <w:rFonts w:cs="Arial"/>
        </w:rPr>
        <w:t>three</w:t>
      </w:r>
      <w:r>
        <w:rPr>
          <w:rFonts w:cs="Arial"/>
        </w:rPr>
        <w:t xml:space="preserve"> </w:t>
      </w:r>
      <w:r w:rsidRPr="00DB2A7F">
        <w:rPr>
          <w:rFonts w:cs="Arial"/>
        </w:rPr>
        <w:t>members. One of the members will be appointed Chair of the Committee by the Board</w:t>
      </w:r>
      <w:r w:rsidR="00D70364">
        <w:rPr>
          <w:rFonts w:cs="Arial"/>
        </w:rPr>
        <w:t xml:space="preserve"> of Directors</w:t>
      </w:r>
      <w:r w:rsidRPr="00DB2A7F">
        <w:rPr>
          <w:rFonts w:cs="Arial"/>
        </w:rPr>
        <w:t>. The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Chair of the </w:t>
      </w:r>
      <w:r w:rsidR="009C09A0">
        <w:rPr>
          <w:rFonts w:cs="Arial"/>
        </w:rPr>
        <w:t>Trust</w:t>
      </w:r>
      <w:r w:rsidR="009C09A0" w:rsidRPr="00DB2A7F">
        <w:rPr>
          <w:rFonts w:cs="Arial"/>
        </w:rPr>
        <w:t xml:space="preserve"> </w:t>
      </w:r>
      <w:r w:rsidRPr="00DB2A7F">
        <w:rPr>
          <w:rFonts w:cs="Arial"/>
        </w:rPr>
        <w:t>shall not be a member of the Committee.</w:t>
      </w: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Attendance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Director of Finance and appropriate Internal and External Audit representatives shall normally</w:t>
      </w:r>
      <w:r>
        <w:rPr>
          <w:rFonts w:cs="Arial"/>
        </w:rPr>
        <w:t xml:space="preserve"> </w:t>
      </w:r>
      <w:r w:rsidRPr="00DB2A7F">
        <w:rPr>
          <w:rFonts w:cs="Arial"/>
        </w:rPr>
        <w:t>attend meetings. However</w:t>
      </w:r>
      <w:r>
        <w:rPr>
          <w:rFonts w:cs="Arial"/>
        </w:rPr>
        <w:t>,</w:t>
      </w:r>
      <w:r w:rsidRPr="00DB2A7F">
        <w:rPr>
          <w:rFonts w:cs="Arial"/>
        </w:rPr>
        <w:t xml:space="preserve"> at least once a year the Committee should meet privately with the</w:t>
      </w:r>
      <w:r>
        <w:rPr>
          <w:rFonts w:cs="Arial"/>
        </w:rPr>
        <w:t xml:space="preserve"> </w:t>
      </w:r>
      <w:r w:rsidRPr="00DB2A7F">
        <w:rPr>
          <w:rFonts w:cs="Arial"/>
        </w:rPr>
        <w:t>External and Internal Auditors.</w:t>
      </w:r>
      <w:r>
        <w:rPr>
          <w:rFonts w:cs="Arial"/>
        </w:rPr>
        <w:t xml:space="preserve"> 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715656" w:rsidRDefault="00715656" w:rsidP="004463D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At least once a year, the Committee will </w:t>
      </w:r>
      <w:r w:rsidR="00EB79D1">
        <w:rPr>
          <w:rFonts w:cs="Arial"/>
        </w:rPr>
        <w:t xml:space="preserve">receive a report on the operation of the Integrated Governance Committee, to be presented by the Chair of the </w:t>
      </w:r>
      <w:r w:rsidR="00EB79D1">
        <w:rPr>
          <w:rFonts w:cs="Arial"/>
        </w:rPr>
        <w:lastRenderedPageBreak/>
        <w:t xml:space="preserve">Integrated Governance Committee, or </w:t>
      </w:r>
      <w:r w:rsidR="00B06159">
        <w:rPr>
          <w:rFonts w:cs="Arial"/>
        </w:rPr>
        <w:t xml:space="preserve">consider having a joint </w:t>
      </w:r>
      <w:r>
        <w:rPr>
          <w:rFonts w:cs="Arial"/>
        </w:rPr>
        <w:t>meet</w:t>
      </w:r>
      <w:r w:rsidR="00B06159">
        <w:rPr>
          <w:rFonts w:cs="Arial"/>
        </w:rPr>
        <w:t>ing</w:t>
      </w:r>
      <w:r>
        <w:rPr>
          <w:rFonts w:cs="Arial"/>
        </w:rPr>
        <w:t xml:space="preserve"> with the Integrated Governance Committee. </w:t>
      </w:r>
    </w:p>
    <w:p w:rsidR="00715656" w:rsidRDefault="00715656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Chief Executive and other executive directors should be invited to attend</w:t>
      </w:r>
      <w:r>
        <w:rPr>
          <w:rFonts w:cs="Arial"/>
        </w:rPr>
        <w:t>,</w:t>
      </w:r>
      <w:r w:rsidRPr="00DB2A7F">
        <w:rPr>
          <w:rFonts w:cs="Arial"/>
        </w:rPr>
        <w:t xml:space="preserve"> particularly</w:t>
      </w:r>
      <w:r>
        <w:rPr>
          <w:rFonts w:cs="Arial"/>
        </w:rPr>
        <w:t xml:space="preserve"> </w:t>
      </w:r>
      <w:r w:rsidRPr="00DB2A7F">
        <w:rPr>
          <w:rFonts w:cs="Arial"/>
        </w:rPr>
        <w:t>when the Committee is discussing areas of risk or operation that are the responsibility of that</w:t>
      </w:r>
      <w:r>
        <w:rPr>
          <w:rFonts w:cs="Arial"/>
        </w:rPr>
        <w:t xml:space="preserve"> </w:t>
      </w:r>
      <w:r w:rsidRPr="00DB2A7F">
        <w:rPr>
          <w:rFonts w:cs="Arial"/>
        </w:rPr>
        <w:t>director.</w:t>
      </w:r>
      <w:r>
        <w:rPr>
          <w:rFonts w:cs="Arial"/>
        </w:rPr>
        <w:t xml:space="preserve">  </w:t>
      </w:r>
      <w:r w:rsidRPr="00DB2A7F">
        <w:rPr>
          <w:rFonts w:cs="Arial"/>
        </w:rPr>
        <w:t>The Chief Execut</w:t>
      </w:r>
      <w:r>
        <w:rPr>
          <w:rFonts w:cs="Arial"/>
        </w:rPr>
        <w:t>ive should be invited to attend,</w:t>
      </w:r>
      <w:r w:rsidRPr="00DB2A7F">
        <w:rPr>
          <w:rFonts w:cs="Arial"/>
        </w:rPr>
        <w:t xml:space="preserve"> at least annually, to discuss with the Committee the process for assurance that supports the </w:t>
      </w:r>
      <w:r w:rsidR="003E2594">
        <w:rPr>
          <w:rFonts w:cs="Arial"/>
        </w:rPr>
        <w:t>Annual Governance Statement</w:t>
      </w:r>
      <w:r w:rsidR="006F3016">
        <w:rPr>
          <w:rFonts w:cs="Arial"/>
        </w:rPr>
        <w:t xml:space="preserve"> (formerly the Statement on Internal Control)</w:t>
      </w:r>
      <w:r w:rsidRPr="00DB2A7F">
        <w:rPr>
          <w:rFonts w:cs="Arial"/>
        </w:rPr>
        <w:t>.</w:t>
      </w:r>
      <w:r>
        <w:rPr>
          <w:rFonts w:cs="Arial"/>
        </w:rPr>
        <w:t xml:space="preserve">  </w:t>
      </w:r>
      <w:r w:rsidRPr="00DB2A7F">
        <w:rPr>
          <w:rFonts w:cs="Arial"/>
        </w:rPr>
        <w:t>The Trust Secretary, or whoever covers these duties, shall be Secretary to the Committee and shall</w:t>
      </w:r>
      <w:r>
        <w:rPr>
          <w:rFonts w:cs="Arial"/>
        </w:rPr>
        <w:t xml:space="preserve"> </w:t>
      </w:r>
      <w:r w:rsidRPr="00DB2A7F">
        <w:rPr>
          <w:rFonts w:cs="Arial"/>
        </w:rPr>
        <w:t>attend to take minutes of the meeting and provide appropriate support to the Chair and</w:t>
      </w:r>
      <w:r>
        <w:rPr>
          <w:rFonts w:cs="Arial"/>
        </w:rPr>
        <w:t xml:space="preserve"> </w:t>
      </w:r>
      <w:r w:rsidR="00715656">
        <w:rPr>
          <w:rFonts w:cs="Arial"/>
        </w:rPr>
        <w:t>C</w:t>
      </w:r>
      <w:r w:rsidRPr="00DB2A7F">
        <w:rPr>
          <w:rFonts w:cs="Arial"/>
        </w:rPr>
        <w:t>ommittee members.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Frequency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Meetings shall be held not less than three times a year. The External Auditor or Head of Internal</w:t>
      </w:r>
      <w:r>
        <w:rPr>
          <w:rFonts w:cs="Arial"/>
        </w:rPr>
        <w:t xml:space="preserve"> </w:t>
      </w:r>
      <w:r w:rsidRPr="00DB2A7F">
        <w:rPr>
          <w:rFonts w:cs="Arial"/>
        </w:rPr>
        <w:t>Audit may request a meeting if they consider that one is necessary.</w:t>
      </w: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Authority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is authorised by the Board </w:t>
      </w:r>
      <w:r w:rsidR="00D70364">
        <w:rPr>
          <w:rFonts w:cs="Arial"/>
        </w:rPr>
        <w:t xml:space="preserve">of Directors </w:t>
      </w:r>
      <w:r w:rsidRPr="00DB2A7F">
        <w:rPr>
          <w:rFonts w:cs="Arial"/>
        </w:rPr>
        <w:t xml:space="preserve">to investigate any activity within its </w:t>
      </w:r>
      <w:r w:rsidR="00BE3893">
        <w:rPr>
          <w:rFonts w:cs="Arial"/>
        </w:rPr>
        <w:t>T</w:t>
      </w:r>
      <w:r w:rsidRPr="00DB2A7F">
        <w:rPr>
          <w:rFonts w:cs="Arial"/>
        </w:rPr>
        <w:t xml:space="preserve">erms of </w:t>
      </w:r>
      <w:r w:rsidR="00BE3893">
        <w:rPr>
          <w:rFonts w:cs="Arial"/>
        </w:rPr>
        <w:t>R</w:t>
      </w:r>
      <w:r w:rsidRPr="00DB2A7F">
        <w:rPr>
          <w:rFonts w:cs="Arial"/>
        </w:rPr>
        <w:t>eference. It</w:t>
      </w:r>
      <w:r>
        <w:rPr>
          <w:rFonts w:cs="Arial"/>
        </w:rPr>
        <w:t xml:space="preserve"> </w:t>
      </w:r>
      <w:r w:rsidRPr="00DB2A7F">
        <w:rPr>
          <w:rFonts w:cs="Arial"/>
        </w:rPr>
        <w:t>is authorised to seek any information it requires from any employee and all employees are directed</w:t>
      </w:r>
      <w:r>
        <w:rPr>
          <w:rFonts w:cs="Arial"/>
        </w:rPr>
        <w:t xml:space="preserve"> </w:t>
      </w:r>
      <w:r w:rsidRPr="00DB2A7F">
        <w:rPr>
          <w:rFonts w:cs="Arial"/>
        </w:rPr>
        <w:t>to co-operate with any request made by the Committee. The Committee is authorised by the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Board </w:t>
      </w:r>
      <w:r w:rsidR="00D70364">
        <w:rPr>
          <w:rFonts w:cs="Arial"/>
        </w:rPr>
        <w:t xml:space="preserve">of Directors </w:t>
      </w:r>
      <w:r w:rsidRPr="00DB2A7F">
        <w:rPr>
          <w:rFonts w:cs="Arial"/>
        </w:rPr>
        <w:t>to obtain outside legal or other independent professional advice and to secure the</w:t>
      </w:r>
      <w:r>
        <w:rPr>
          <w:rFonts w:cs="Arial"/>
        </w:rPr>
        <w:t xml:space="preserve"> </w:t>
      </w:r>
      <w:r w:rsidRPr="00DB2A7F">
        <w:rPr>
          <w:rFonts w:cs="Arial"/>
        </w:rPr>
        <w:t>attendance of outsiders with relevant experience and expertise if it considers this necessary.</w:t>
      </w: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Duties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</w:rPr>
      </w:pPr>
      <w:r w:rsidRPr="00DB2A7F">
        <w:rPr>
          <w:rFonts w:cs="Arial"/>
        </w:rPr>
        <w:t>The duties of the Committee can be categorised as follows:</w:t>
      </w:r>
    </w:p>
    <w:p w:rsidR="004463D2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Pr="001F2D5F" w:rsidRDefault="004463D2" w:rsidP="004463D2">
      <w:pPr>
        <w:autoSpaceDE w:val="0"/>
        <w:autoSpaceDN w:val="0"/>
        <w:adjustRightInd w:val="0"/>
        <w:rPr>
          <w:rFonts w:cs="Arial"/>
        </w:rPr>
      </w:pPr>
      <w:r w:rsidRPr="00DB2A7F">
        <w:rPr>
          <w:rFonts w:cs="Arial"/>
          <w:b/>
          <w:bCs/>
        </w:rPr>
        <w:t>Governance, Risk Management and Internal Control</w:t>
      </w: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Committee shall review the establishment and maintenance of an effective system of</w:t>
      </w:r>
      <w:r>
        <w:rPr>
          <w:rFonts w:cs="Arial"/>
        </w:rPr>
        <w:t xml:space="preserve"> </w:t>
      </w:r>
      <w:r w:rsidRPr="00DB2A7F">
        <w:rPr>
          <w:rFonts w:cs="Arial"/>
        </w:rPr>
        <w:t>integrated governance, risk management and internal control, across the whole of the</w:t>
      </w:r>
      <w:r>
        <w:rPr>
          <w:rFonts w:cs="Arial"/>
        </w:rPr>
        <w:t xml:space="preserve"> </w:t>
      </w:r>
      <w:r w:rsidR="00BE3893">
        <w:rPr>
          <w:rFonts w:cs="Arial"/>
        </w:rPr>
        <w:t>Trust</w:t>
      </w:r>
      <w:r w:rsidR="00BE3893" w:rsidRPr="00DB2A7F">
        <w:rPr>
          <w:rFonts w:cs="Arial"/>
        </w:rPr>
        <w:t xml:space="preserve">’s </w:t>
      </w:r>
      <w:r w:rsidRPr="00DB2A7F">
        <w:rPr>
          <w:rFonts w:cs="Arial"/>
        </w:rPr>
        <w:t>activities (both clinical and non-clinical), that supports the achievement of the</w:t>
      </w:r>
      <w:r>
        <w:rPr>
          <w:rFonts w:cs="Arial"/>
        </w:rPr>
        <w:t xml:space="preserve"> </w:t>
      </w:r>
      <w:r w:rsidR="00BE3893">
        <w:rPr>
          <w:rFonts w:cs="Arial"/>
        </w:rPr>
        <w:t>Trust</w:t>
      </w:r>
      <w:r w:rsidR="00BE3893" w:rsidRPr="00DB2A7F">
        <w:rPr>
          <w:rFonts w:cs="Arial"/>
        </w:rPr>
        <w:t xml:space="preserve">’s </w:t>
      </w:r>
      <w:r w:rsidRPr="00DB2A7F">
        <w:rPr>
          <w:rFonts w:cs="Arial"/>
        </w:rPr>
        <w:t>objectives.</w:t>
      </w:r>
      <w:r>
        <w:rPr>
          <w:rFonts w:cs="Arial"/>
        </w:rPr>
        <w:t xml:space="preserve">  </w:t>
      </w:r>
      <w:r w:rsidRPr="00DB2A7F">
        <w:rPr>
          <w:rFonts w:cs="Arial"/>
        </w:rPr>
        <w:t xml:space="preserve">In particular, the Committee will </w:t>
      </w:r>
      <w:r w:rsidR="0098684A">
        <w:rPr>
          <w:rFonts w:cs="Arial"/>
        </w:rPr>
        <w:t>assure itself on</w:t>
      </w:r>
      <w:r w:rsidRPr="00DB2A7F">
        <w:rPr>
          <w:rFonts w:cs="Arial"/>
        </w:rPr>
        <w:t xml:space="preserve"> the adequacy of: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BE3893" w:rsidP="004463D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t</w:t>
      </w:r>
      <w:r w:rsidR="0098684A">
        <w:rPr>
          <w:rFonts w:cs="Arial"/>
        </w:rPr>
        <w:t xml:space="preserve">he process for the development and evidencing of </w:t>
      </w:r>
      <w:r w:rsidR="004463D2" w:rsidRPr="00DB2A7F">
        <w:rPr>
          <w:rFonts w:cs="Arial"/>
        </w:rPr>
        <w:t xml:space="preserve">all risk and control related disclosure statements (in particular the </w:t>
      </w:r>
      <w:r w:rsidR="00604EB1">
        <w:rPr>
          <w:rFonts w:cs="Arial"/>
        </w:rPr>
        <w:t xml:space="preserve"> Annual Governance Statement</w:t>
      </w:r>
      <w:r w:rsidR="0098684A">
        <w:rPr>
          <w:rFonts w:cs="Arial"/>
        </w:rPr>
        <w:t xml:space="preserve">), and review any </w:t>
      </w:r>
      <w:r w:rsidR="004463D2" w:rsidRPr="00DB2A7F">
        <w:rPr>
          <w:rFonts w:cs="Arial"/>
        </w:rPr>
        <w:t xml:space="preserve">Head of Internal Audit statement, </w:t>
      </w:r>
      <w:r w:rsidR="009C09A0">
        <w:rPr>
          <w:rFonts w:cs="Arial"/>
        </w:rPr>
        <w:t>E</w:t>
      </w:r>
      <w:r w:rsidR="004463D2" w:rsidRPr="00DB2A7F">
        <w:rPr>
          <w:rFonts w:cs="Arial"/>
        </w:rPr>
        <w:t xml:space="preserve">xternal </w:t>
      </w:r>
      <w:r w:rsidR="009C09A0">
        <w:rPr>
          <w:rFonts w:cs="Arial"/>
        </w:rPr>
        <w:t>A</w:t>
      </w:r>
      <w:r w:rsidR="004463D2" w:rsidRPr="00DB2A7F">
        <w:rPr>
          <w:rFonts w:cs="Arial"/>
        </w:rPr>
        <w:t>udit opinion or other</w:t>
      </w:r>
      <w:r w:rsidR="004463D2">
        <w:rPr>
          <w:rFonts w:cs="Arial"/>
        </w:rPr>
        <w:t xml:space="preserve"> </w:t>
      </w:r>
      <w:r w:rsidR="004463D2" w:rsidRPr="00DB2A7F">
        <w:rPr>
          <w:rFonts w:cs="Arial"/>
        </w:rPr>
        <w:t>appropriate independent assurances, prior to endorsement by the Board</w:t>
      </w:r>
      <w:r>
        <w:rPr>
          <w:rFonts w:cs="Arial"/>
        </w:rPr>
        <w:t>;</w:t>
      </w:r>
    </w:p>
    <w:p w:rsidR="004463D2" w:rsidRDefault="004463D2" w:rsidP="004463D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underlying assurance processes that indicate the degree of the achievement of</w:t>
      </w:r>
      <w:r>
        <w:rPr>
          <w:rFonts w:cs="Arial"/>
        </w:rPr>
        <w:t xml:space="preserve"> </w:t>
      </w:r>
      <w:r w:rsidRPr="00DB2A7F">
        <w:rPr>
          <w:rFonts w:cs="Arial"/>
        </w:rPr>
        <w:t>corporate objectives, the effectiveness of the management of principal risks and the</w:t>
      </w:r>
      <w:r>
        <w:rPr>
          <w:rFonts w:cs="Arial"/>
        </w:rPr>
        <w:t xml:space="preserve"> </w:t>
      </w:r>
      <w:r w:rsidRPr="00DB2A7F">
        <w:rPr>
          <w:rFonts w:cs="Arial"/>
        </w:rPr>
        <w:t>appropri</w:t>
      </w:r>
      <w:r>
        <w:rPr>
          <w:rFonts w:cs="Arial"/>
        </w:rPr>
        <w:t xml:space="preserve">ateness of the above disclosure </w:t>
      </w:r>
      <w:r w:rsidRPr="00DB2A7F">
        <w:rPr>
          <w:rFonts w:cs="Arial"/>
        </w:rPr>
        <w:t>statements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policies for ensuring compliance with relevant regulatory, legal and code of conduct</w:t>
      </w:r>
      <w:r>
        <w:rPr>
          <w:rFonts w:cs="Arial"/>
        </w:rPr>
        <w:t xml:space="preserve"> </w:t>
      </w:r>
      <w:r w:rsidRPr="00DB2A7F">
        <w:rPr>
          <w:rFonts w:cs="Arial"/>
        </w:rPr>
        <w:t>requirements</w:t>
      </w:r>
      <w:r w:rsidR="00604EB1">
        <w:rPr>
          <w:rFonts w:cs="Arial"/>
        </w:rPr>
        <w:t>, and related reporting and self-certification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policies and procedures for all work related to fraud and corruption as set out in</w:t>
      </w:r>
      <w:r>
        <w:rPr>
          <w:rFonts w:cs="Arial"/>
        </w:rPr>
        <w:t xml:space="preserve"> </w:t>
      </w:r>
      <w:r w:rsidRPr="00DB2A7F">
        <w:rPr>
          <w:rFonts w:cs="Arial"/>
        </w:rPr>
        <w:t>Secretary of State Directions and as required by the Counter Fraud and Security</w:t>
      </w:r>
      <w:r>
        <w:rPr>
          <w:rFonts w:cs="Arial"/>
        </w:rPr>
        <w:t xml:space="preserve"> </w:t>
      </w:r>
      <w:r w:rsidRPr="00DB2A7F">
        <w:rPr>
          <w:rFonts w:cs="Arial"/>
        </w:rPr>
        <w:t>Management Service</w:t>
      </w:r>
      <w:r w:rsidR="007672A7">
        <w:rPr>
          <w:rFonts w:cs="Arial"/>
        </w:rPr>
        <w:t>; and</w:t>
      </w:r>
    </w:p>
    <w:p w:rsidR="007672A7" w:rsidRDefault="007672A7" w:rsidP="004463D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governance and procedures relating to the Charitable Fund(s). </w:t>
      </w:r>
    </w:p>
    <w:p w:rsidR="007672A7" w:rsidRDefault="007672A7" w:rsidP="007672A7">
      <w:pPr>
        <w:autoSpaceDE w:val="0"/>
        <w:autoSpaceDN w:val="0"/>
        <w:adjustRightInd w:val="0"/>
        <w:ind w:left="72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In carrying out this work the Committee will primarily utilise the work of Internal Audit, External Audit</w:t>
      </w:r>
      <w:r>
        <w:rPr>
          <w:rFonts w:cs="Arial"/>
        </w:rPr>
        <w:t xml:space="preserve"> </w:t>
      </w:r>
      <w:r w:rsidRPr="00DB2A7F">
        <w:rPr>
          <w:rFonts w:cs="Arial"/>
        </w:rPr>
        <w:t>and other assurance functions, but will not be limited to these audit functions. It will also seek</w:t>
      </w:r>
      <w:r>
        <w:rPr>
          <w:rFonts w:cs="Arial"/>
        </w:rPr>
        <w:t xml:space="preserve"> </w:t>
      </w:r>
      <w:r w:rsidRPr="00DB2A7F">
        <w:rPr>
          <w:rFonts w:cs="Arial"/>
        </w:rPr>
        <w:t>reports and assurances from directors and managers as appropriate, concentrating on the overarching</w:t>
      </w:r>
      <w:r>
        <w:rPr>
          <w:rFonts w:cs="Arial"/>
        </w:rPr>
        <w:t xml:space="preserve"> </w:t>
      </w:r>
      <w:r w:rsidRPr="00DB2A7F">
        <w:rPr>
          <w:rFonts w:cs="Arial"/>
        </w:rPr>
        <w:t>systems of integrated governance, risk management and internal control, together with</w:t>
      </w:r>
      <w:r>
        <w:rPr>
          <w:rFonts w:cs="Arial"/>
        </w:rPr>
        <w:t xml:space="preserve"> </w:t>
      </w:r>
      <w:r w:rsidRPr="00DB2A7F">
        <w:rPr>
          <w:rFonts w:cs="Arial"/>
        </w:rPr>
        <w:t>indicators of their effectiveness.</w:t>
      </w:r>
      <w:r>
        <w:rPr>
          <w:rFonts w:cs="Arial"/>
        </w:rPr>
        <w:t xml:space="preserve">  </w:t>
      </w:r>
      <w:r w:rsidRPr="00DB2A7F">
        <w:rPr>
          <w:rFonts w:cs="Arial"/>
        </w:rPr>
        <w:t>This will be evidenced through the Committee’s use of an effective Assurance Framework to guide</w:t>
      </w:r>
      <w:r>
        <w:rPr>
          <w:rFonts w:cs="Arial"/>
        </w:rPr>
        <w:t xml:space="preserve"> </w:t>
      </w:r>
      <w:r w:rsidRPr="00DB2A7F">
        <w:rPr>
          <w:rFonts w:cs="Arial"/>
        </w:rPr>
        <w:t>its work and that of the audit and assurance functions that report to it.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Internal Audit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shall ensure that there is an effective </w:t>
      </w:r>
      <w:r w:rsidR="009C09A0">
        <w:rPr>
          <w:rFonts w:cs="Arial"/>
        </w:rPr>
        <w:t>I</w:t>
      </w:r>
      <w:r w:rsidRPr="00DB2A7F">
        <w:rPr>
          <w:rFonts w:cs="Arial"/>
        </w:rPr>
        <w:t xml:space="preserve">nternal </w:t>
      </w:r>
      <w:r w:rsidR="009C09A0">
        <w:rPr>
          <w:rFonts w:cs="Arial"/>
        </w:rPr>
        <w:t>A</w:t>
      </w:r>
      <w:r w:rsidRPr="00DB2A7F">
        <w:rPr>
          <w:rFonts w:cs="Arial"/>
        </w:rPr>
        <w:t>udit function established by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management that meets mandatory </w:t>
      </w:r>
      <w:r w:rsidR="00604EB1">
        <w:rPr>
          <w:rFonts w:cs="Arial"/>
        </w:rPr>
        <w:t>Government Internal Audit Standards</w:t>
      </w:r>
      <w:r w:rsidRPr="00DB2A7F">
        <w:rPr>
          <w:rFonts w:cs="Arial"/>
        </w:rPr>
        <w:t xml:space="preserve"> and provides appropriate</w:t>
      </w:r>
      <w:r>
        <w:rPr>
          <w:rFonts w:cs="Arial"/>
        </w:rPr>
        <w:t xml:space="preserve"> </w:t>
      </w:r>
      <w:r w:rsidRPr="00DB2A7F">
        <w:rPr>
          <w:rFonts w:cs="Arial"/>
        </w:rPr>
        <w:t>independent assurance to the Audit Committee, Chief Executive and Board</w:t>
      </w:r>
      <w:r w:rsidR="00D70364">
        <w:rPr>
          <w:rFonts w:cs="Arial"/>
        </w:rPr>
        <w:t xml:space="preserve"> of Directors</w:t>
      </w:r>
      <w:r w:rsidRPr="00DB2A7F">
        <w:rPr>
          <w:rFonts w:cs="Arial"/>
        </w:rPr>
        <w:t>. This will be achieved</w:t>
      </w:r>
      <w:r>
        <w:rPr>
          <w:rFonts w:cs="Arial"/>
        </w:rPr>
        <w:t xml:space="preserve"> </w:t>
      </w:r>
      <w:r w:rsidRPr="00DB2A7F">
        <w:rPr>
          <w:rFonts w:cs="Arial"/>
        </w:rPr>
        <w:t>by: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consideration of the provision of the Internal Audit service, the cost of the audit and any</w:t>
      </w:r>
      <w:r>
        <w:rPr>
          <w:rFonts w:cs="Arial"/>
        </w:rPr>
        <w:t xml:space="preserve"> </w:t>
      </w:r>
      <w:r w:rsidRPr="00DB2A7F">
        <w:rPr>
          <w:rFonts w:cs="Arial"/>
        </w:rPr>
        <w:t>questions of resignation and dismissal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review and approval of the Internal Audit strategy, operational plan and more detailed</w:t>
      </w:r>
      <w:r>
        <w:rPr>
          <w:rFonts w:cs="Arial"/>
        </w:rPr>
        <w:t xml:space="preserve"> </w:t>
      </w:r>
      <w:r w:rsidRPr="00DB2A7F">
        <w:rPr>
          <w:rFonts w:cs="Arial"/>
        </w:rPr>
        <w:t>programme of work, ensuring that this is consistent wit</w:t>
      </w:r>
      <w:r>
        <w:rPr>
          <w:rFonts w:cs="Arial"/>
        </w:rPr>
        <w:t xml:space="preserve">h the audit needs of the </w:t>
      </w:r>
      <w:r w:rsidR="009C09A0">
        <w:rPr>
          <w:rFonts w:cs="Arial"/>
        </w:rPr>
        <w:t xml:space="preserve">Trust </w:t>
      </w:r>
      <w:r w:rsidRPr="00DB2A7F">
        <w:rPr>
          <w:rFonts w:cs="Arial"/>
        </w:rPr>
        <w:t>as identified in the Assurance Framework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consideration of the major findings of </w:t>
      </w:r>
      <w:r w:rsidR="009C09A0">
        <w:rPr>
          <w:rFonts w:cs="Arial"/>
        </w:rPr>
        <w:t>I</w:t>
      </w:r>
      <w:r w:rsidRPr="00DB2A7F">
        <w:rPr>
          <w:rFonts w:cs="Arial"/>
        </w:rPr>
        <w:t xml:space="preserve">nternal </w:t>
      </w:r>
      <w:r w:rsidR="009C09A0">
        <w:rPr>
          <w:rFonts w:cs="Arial"/>
        </w:rPr>
        <w:t>A</w:t>
      </w:r>
      <w:r w:rsidRPr="00DB2A7F">
        <w:rPr>
          <w:rFonts w:cs="Arial"/>
        </w:rPr>
        <w:t>udit work (and management’s response),</w:t>
      </w:r>
      <w:r>
        <w:rPr>
          <w:rFonts w:cs="Arial"/>
        </w:rPr>
        <w:t xml:space="preserve"> </w:t>
      </w:r>
      <w:r w:rsidRPr="00DB2A7F">
        <w:rPr>
          <w:rFonts w:cs="Arial"/>
        </w:rPr>
        <w:t>and ensure co-ordination between the Internal and External Auditors to optimise audit</w:t>
      </w:r>
      <w:r>
        <w:rPr>
          <w:rFonts w:cs="Arial"/>
        </w:rPr>
        <w:t xml:space="preserve"> </w:t>
      </w:r>
      <w:r w:rsidRPr="00DB2A7F">
        <w:rPr>
          <w:rFonts w:cs="Arial"/>
        </w:rPr>
        <w:t>resources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lastRenderedPageBreak/>
        <w:t>ensuring that the Internal Audit function is adequately resourced and has appropriate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standing within the </w:t>
      </w:r>
      <w:r w:rsidR="009C09A0">
        <w:rPr>
          <w:rFonts w:cs="Arial"/>
        </w:rPr>
        <w:t>Trust</w:t>
      </w:r>
      <w:r w:rsidR="00BE3893">
        <w:rPr>
          <w:rFonts w:cs="Arial"/>
        </w:rPr>
        <w:t>; and</w:t>
      </w:r>
    </w:p>
    <w:p w:rsidR="004463D2" w:rsidRDefault="004463D2" w:rsidP="004463D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DB2A7F">
        <w:rPr>
          <w:rFonts w:cs="Arial"/>
        </w:rPr>
        <w:t>annual</w:t>
      </w:r>
      <w:proofErr w:type="gramEnd"/>
      <w:r w:rsidRPr="00DB2A7F">
        <w:rPr>
          <w:rFonts w:cs="Arial"/>
        </w:rPr>
        <w:t xml:space="preserve"> review of the effectiveness of </w:t>
      </w:r>
      <w:r w:rsidR="00BE3893">
        <w:rPr>
          <w:rFonts w:cs="Arial"/>
        </w:rPr>
        <w:t>I</w:t>
      </w:r>
      <w:r w:rsidRPr="00DB2A7F">
        <w:rPr>
          <w:rFonts w:cs="Arial"/>
        </w:rPr>
        <w:t xml:space="preserve">nternal </w:t>
      </w:r>
      <w:r w:rsidR="00BE3893">
        <w:rPr>
          <w:rFonts w:cs="Arial"/>
        </w:rPr>
        <w:t>A</w:t>
      </w:r>
      <w:r w:rsidRPr="00DB2A7F">
        <w:rPr>
          <w:rFonts w:cs="Arial"/>
        </w:rPr>
        <w:t>udit</w:t>
      </w:r>
      <w:r w:rsidR="00BE3893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ind w:left="36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External Audit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shall review the work and findings of the External Auditor appointed by the </w:t>
      </w:r>
      <w:r w:rsidR="00BE3893">
        <w:rPr>
          <w:rFonts w:cs="Arial"/>
        </w:rPr>
        <w:t xml:space="preserve">Trust’s </w:t>
      </w:r>
      <w:r w:rsidR="00D667B5">
        <w:rPr>
          <w:rFonts w:cs="Arial"/>
        </w:rPr>
        <w:t>Council of Governors</w:t>
      </w:r>
      <w:r w:rsidRPr="00DB2A7F">
        <w:rPr>
          <w:rFonts w:cs="Arial"/>
        </w:rPr>
        <w:t xml:space="preserve"> and consider the implications and management’s responses to their work. This will be</w:t>
      </w:r>
      <w:r>
        <w:rPr>
          <w:rFonts w:cs="Arial"/>
        </w:rPr>
        <w:t xml:space="preserve"> </w:t>
      </w:r>
      <w:r w:rsidRPr="00DB2A7F">
        <w:rPr>
          <w:rFonts w:cs="Arial"/>
        </w:rPr>
        <w:t>achieved by: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consideration of the appointment and performance of the External Auditor</w:t>
      </w:r>
      <w:r w:rsidR="00D667B5">
        <w:rPr>
          <w:rFonts w:cs="Arial"/>
        </w:rPr>
        <w:t>, as far as the rules governing the appointment permit</w:t>
      </w:r>
      <w:r w:rsidR="00BE3893">
        <w:rPr>
          <w:rFonts w:cs="Arial"/>
        </w:rPr>
        <w:t>;</w:t>
      </w:r>
    </w:p>
    <w:p w:rsidR="004463D2" w:rsidRDefault="004463D2" w:rsidP="004463D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discussion and agreement with the External Auditor, before the audit commences, of the</w:t>
      </w:r>
      <w:r>
        <w:rPr>
          <w:rFonts w:cs="Arial"/>
        </w:rPr>
        <w:t xml:space="preserve"> </w:t>
      </w:r>
      <w:r w:rsidRPr="00DB2A7F">
        <w:rPr>
          <w:rFonts w:cs="Arial"/>
        </w:rPr>
        <w:t>nature and scope of the audit as set out in the Annual Plan, and ensure coordination, as</w:t>
      </w:r>
      <w:r>
        <w:rPr>
          <w:rFonts w:cs="Arial"/>
        </w:rPr>
        <w:t xml:space="preserve"> </w:t>
      </w:r>
      <w:r w:rsidRPr="00DB2A7F">
        <w:rPr>
          <w:rFonts w:cs="Arial"/>
        </w:rPr>
        <w:t>appropriate, with other External Auditors in the local health economy</w:t>
      </w:r>
      <w:r w:rsidR="00BE3893">
        <w:rPr>
          <w:rFonts w:cs="Arial"/>
        </w:rPr>
        <w:t>;</w:t>
      </w:r>
      <w:r>
        <w:rPr>
          <w:rFonts w:cs="Arial"/>
        </w:rPr>
        <w:t xml:space="preserve"> </w:t>
      </w:r>
    </w:p>
    <w:p w:rsidR="004463D2" w:rsidRDefault="004463D2" w:rsidP="004463D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discussion with the External Auditors of their local evaluation of audit risks and assessment</w:t>
      </w:r>
      <w:r>
        <w:rPr>
          <w:rFonts w:cs="Arial"/>
        </w:rPr>
        <w:t xml:space="preserve"> of the </w:t>
      </w:r>
      <w:r w:rsidRPr="00DB2A7F">
        <w:rPr>
          <w:rFonts w:cs="Arial"/>
        </w:rPr>
        <w:t>Trust and associated impact on the audit fee</w:t>
      </w:r>
      <w:r w:rsidR="00BE3893">
        <w:rPr>
          <w:rFonts w:cs="Arial"/>
        </w:rPr>
        <w:t>; and</w:t>
      </w:r>
    </w:p>
    <w:p w:rsidR="004463D2" w:rsidRDefault="004463D2" w:rsidP="004463D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DB2A7F">
        <w:rPr>
          <w:rFonts w:cs="Arial"/>
        </w:rPr>
        <w:t>review</w:t>
      </w:r>
      <w:proofErr w:type="gramEnd"/>
      <w:r w:rsidRPr="00DB2A7F">
        <w:rPr>
          <w:rFonts w:cs="Arial"/>
        </w:rPr>
        <w:t xml:space="preserve"> all External Audit reports, including agreement of the annual audit letter before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submission to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 xml:space="preserve"> </w:t>
      </w:r>
      <w:r w:rsidR="00BE3893">
        <w:rPr>
          <w:rFonts w:cs="Arial"/>
        </w:rPr>
        <w:t xml:space="preserve">and </w:t>
      </w:r>
      <w:r w:rsidR="00D667B5">
        <w:rPr>
          <w:rFonts w:cs="Arial"/>
        </w:rPr>
        <w:t>Council of Governors</w:t>
      </w:r>
      <w:r w:rsidR="00BE3893">
        <w:rPr>
          <w:rFonts w:cs="Arial"/>
        </w:rPr>
        <w:t xml:space="preserve"> </w:t>
      </w:r>
      <w:r w:rsidRPr="00DB2A7F">
        <w:rPr>
          <w:rFonts w:cs="Arial"/>
        </w:rPr>
        <w:t xml:space="preserve">and any work carried </w:t>
      </w:r>
      <w:r w:rsidR="00BE3893">
        <w:rPr>
          <w:rFonts w:cs="Arial"/>
        </w:rPr>
        <w:t xml:space="preserve">on </w:t>
      </w:r>
      <w:r w:rsidRPr="00DB2A7F">
        <w:rPr>
          <w:rFonts w:cs="Arial"/>
        </w:rPr>
        <w:t>outside the annual audit plan, together with</w:t>
      </w:r>
      <w:r>
        <w:rPr>
          <w:rFonts w:cs="Arial"/>
        </w:rPr>
        <w:t xml:space="preserve"> </w:t>
      </w:r>
      <w:r w:rsidRPr="00DB2A7F">
        <w:rPr>
          <w:rFonts w:cs="Arial"/>
        </w:rPr>
        <w:t>the appropriateness of management responses</w:t>
      </w:r>
      <w:r w:rsidR="00BE3893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ind w:left="36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Other Assurance Functions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Audit Committee shall review the findings of other significant assurance functions, both internal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and external to the </w:t>
      </w:r>
      <w:r w:rsidR="00BE3893">
        <w:rPr>
          <w:rFonts w:cs="Arial"/>
        </w:rPr>
        <w:t>Trust</w:t>
      </w:r>
      <w:r w:rsidRPr="00DB2A7F">
        <w:rPr>
          <w:rFonts w:cs="Arial"/>
        </w:rPr>
        <w:t>, and consider the implications to the governance of the</w:t>
      </w:r>
      <w:r>
        <w:rPr>
          <w:rFonts w:cs="Arial"/>
        </w:rPr>
        <w:t xml:space="preserve"> </w:t>
      </w:r>
      <w:r w:rsidR="00BE3893">
        <w:rPr>
          <w:rFonts w:cs="Arial"/>
        </w:rPr>
        <w:t>Trust</w:t>
      </w:r>
      <w:r w:rsidRPr="00DB2A7F">
        <w:rPr>
          <w:rFonts w:cs="Arial"/>
        </w:rPr>
        <w:t>.</w:t>
      </w:r>
      <w:r>
        <w:rPr>
          <w:rFonts w:cs="Arial"/>
        </w:rPr>
        <w:t xml:space="preserve"> </w:t>
      </w:r>
      <w:r w:rsidRPr="00DB2A7F">
        <w:rPr>
          <w:rFonts w:cs="Arial"/>
        </w:rPr>
        <w:t>These will include, but will not be limited to, any reviews by Department of Health Arms Length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Bodies or Regulators/Inspectors (e.g. </w:t>
      </w:r>
      <w:r w:rsidR="00BE3893">
        <w:rPr>
          <w:rFonts w:cs="Arial"/>
        </w:rPr>
        <w:t>Monitor</w:t>
      </w:r>
      <w:r w:rsidRPr="00DB2A7F">
        <w:rPr>
          <w:rFonts w:cs="Arial"/>
        </w:rPr>
        <w:t>,</w:t>
      </w:r>
      <w:r w:rsidR="00BE3893">
        <w:rPr>
          <w:rFonts w:cs="Arial"/>
        </w:rPr>
        <w:t xml:space="preserve"> Care Quality Commission,</w:t>
      </w:r>
      <w:r w:rsidRPr="00DB2A7F">
        <w:rPr>
          <w:rFonts w:cs="Arial"/>
        </w:rPr>
        <w:t xml:space="preserve"> NHS Litigation Authority, etc.),</w:t>
      </w:r>
      <w:r>
        <w:rPr>
          <w:rFonts w:cs="Arial"/>
        </w:rPr>
        <w:t xml:space="preserve"> </w:t>
      </w:r>
      <w:r w:rsidRPr="00DB2A7F">
        <w:rPr>
          <w:rFonts w:cs="Arial"/>
        </w:rPr>
        <w:t>professional bodies with responsibility for the performance of staff or functions (e.g. Royal Colleges,</w:t>
      </w:r>
      <w:r>
        <w:rPr>
          <w:rFonts w:cs="Arial"/>
        </w:rPr>
        <w:t xml:space="preserve"> </w:t>
      </w:r>
      <w:r w:rsidRPr="00DB2A7F">
        <w:rPr>
          <w:rFonts w:cs="Arial"/>
        </w:rPr>
        <w:t>accreditation bodies, etc.)</w:t>
      </w:r>
      <w:r w:rsidR="00BE3893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In addition, the Committee will review the work of other committees within the </w:t>
      </w:r>
      <w:r w:rsidR="003E4E4E">
        <w:rPr>
          <w:rFonts w:cs="Arial"/>
        </w:rPr>
        <w:t>Trust</w:t>
      </w:r>
      <w:r w:rsidRPr="00DB2A7F">
        <w:rPr>
          <w:rFonts w:cs="Arial"/>
        </w:rPr>
        <w:t>, whose</w:t>
      </w:r>
      <w:r>
        <w:rPr>
          <w:rFonts w:cs="Arial"/>
        </w:rPr>
        <w:t xml:space="preserve"> </w:t>
      </w:r>
      <w:r w:rsidRPr="00DB2A7F">
        <w:rPr>
          <w:rFonts w:cs="Arial"/>
        </w:rPr>
        <w:t>work can provide relevant assurance to the Committee’s own scope of work. This will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particularly include the </w:t>
      </w:r>
      <w:r w:rsidR="003E4E4E">
        <w:rPr>
          <w:rFonts w:cs="Arial"/>
        </w:rPr>
        <w:t>Integrated Governance Committee</w:t>
      </w:r>
      <w:r w:rsidR="007672A7">
        <w:rPr>
          <w:rFonts w:cs="Arial"/>
        </w:rPr>
        <w:t xml:space="preserve"> and the Charitable Funds Committee</w:t>
      </w:r>
      <w:r w:rsidRPr="00DB2A7F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In reviewing the work of c</w:t>
      </w:r>
      <w:r w:rsidRPr="00DB2A7F">
        <w:rPr>
          <w:rFonts w:cs="Arial"/>
        </w:rPr>
        <w:t>ommittee</w:t>
      </w:r>
      <w:r>
        <w:rPr>
          <w:rFonts w:cs="Arial"/>
        </w:rPr>
        <w:t>s relating to</w:t>
      </w:r>
      <w:r w:rsidRPr="00DB2A7F">
        <w:rPr>
          <w:rFonts w:cs="Arial"/>
        </w:rPr>
        <w:t xml:space="preserve"> clinical risk</w:t>
      </w:r>
      <w:r>
        <w:rPr>
          <w:rFonts w:cs="Arial"/>
        </w:rPr>
        <w:t xml:space="preserve"> </w:t>
      </w:r>
      <w:r w:rsidRPr="00DB2A7F">
        <w:rPr>
          <w:rFonts w:cs="Arial"/>
        </w:rPr>
        <w:t>management, the Committee will wish to satisfy themselves on the assurance that can be</w:t>
      </w:r>
      <w:r>
        <w:rPr>
          <w:rFonts w:cs="Arial"/>
        </w:rPr>
        <w:t xml:space="preserve"> </w:t>
      </w:r>
      <w:r w:rsidRPr="00DB2A7F">
        <w:rPr>
          <w:rFonts w:cs="Arial"/>
        </w:rPr>
        <w:t>gained from the clinical audit function.</w:t>
      </w:r>
      <w:r>
        <w:rPr>
          <w:rFonts w:cs="Arial"/>
        </w:rPr>
        <w:t xml:space="preserve">  </w:t>
      </w:r>
    </w:p>
    <w:p w:rsidR="0098684A" w:rsidRDefault="0098684A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Management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Committee shall request and review reports and positive assurances from directors and</w:t>
      </w:r>
      <w:r>
        <w:rPr>
          <w:rFonts w:cs="Arial"/>
        </w:rPr>
        <w:t xml:space="preserve"> </w:t>
      </w:r>
      <w:r w:rsidRPr="00DB2A7F">
        <w:rPr>
          <w:rFonts w:cs="Arial"/>
        </w:rPr>
        <w:t>managers on the overall arrangements for governance, risk management and internal control.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They may also request specific reports from individual functions within the </w:t>
      </w:r>
      <w:r w:rsidR="009C09A0">
        <w:rPr>
          <w:rFonts w:cs="Arial"/>
        </w:rPr>
        <w:t>Trust</w:t>
      </w:r>
      <w:r w:rsidR="009C09A0" w:rsidRPr="00DB2A7F">
        <w:rPr>
          <w:rFonts w:cs="Arial"/>
        </w:rPr>
        <w:t xml:space="preserve"> </w:t>
      </w:r>
      <w:r w:rsidRPr="00DB2A7F">
        <w:rPr>
          <w:rFonts w:cs="Arial"/>
        </w:rPr>
        <w:t>(e.g. clinical</w:t>
      </w:r>
      <w:r>
        <w:rPr>
          <w:rFonts w:cs="Arial"/>
        </w:rPr>
        <w:t xml:space="preserve"> </w:t>
      </w:r>
      <w:r w:rsidRPr="00DB2A7F">
        <w:rPr>
          <w:rFonts w:cs="Arial"/>
        </w:rPr>
        <w:t>audit) as they may be appropriate to the overall arrangements.</w:t>
      </w:r>
    </w:p>
    <w:p w:rsidR="0098684A" w:rsidRDefault="0098684A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98684A" w:rsidRDefault="0098684A" w:rsidP="004463D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The Committee shall receive copies of the Integrated Governance Committee meeting minutes and consider the appropriateness and adequacy of the assurance reported.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Financial Reporting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D667B5" w:rsidRDefault="00D667B5" w:rsidP="004463D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The Committee shall monitor the integrity of the financial statements of the Trust and any formal announcements relating to the Trust’s financial performance.</w:t>
      </w:r>
    </w:p>
    <w:p w:rsidR="00D667B5" w:rsidRDefault="00D667B5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Committee shall review the Annual Report and Financial Statements before submission to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>, focusing particularly on: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wording in the </w:t>
      </w:r>
      <w:r w:rsidR="00D667B5">
        <w:rPr>
          <w:rFonts w:cs="Arial"/>
        </w:rPr>
        <w:t>Annual Governance Statement</w:t>
      </w:r>
      <w:r w:rsidRPr="00DB2A7F">
        <w:rPr>
          <w:rFonts w:cs="Arial"/>
        </w:rPr>
        <w:t xml:space="preserve"> and other disclosures relevant to the</w:t>
      </w:r>
      <w:r>
        <w:rPr>
          <w:rFonts w:cs="Arial"/>
        </w:rPr>
        <w:t xml:space="preserve"> </w:t>
      </w:r>
      <w:r w:rsidRPr="00DB2A7F">
        <w:rPr>
          <w:rFonts w:cs="Arial"/>
        </w:rPr>
        <w:t>Terms of Reference of the Committee</w:t>
      </w:r>
      <w:r w:rsidR="003E4E4E">
        <w:rPr>
          <w:rFonts w:cs="Arial"/>
        </w:rPr>
        <w:t>;</w:t>
      </w:r>
    </w:p>
    <w:p w:rsidR="004463D2" w:rsidRDefault="004463D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changes in, and compliance with, accounting policies and practices</w:t>
      </w:r>
      <w:r w:rsidR="003E4E4E">
        <w:rPr>
          <w:rFonts w:cs="Arial"/>
        </w:rPr>
        <w:t>;</w:t>
      </w:r>
    </w:p>
    <w:p w:rsidR="004463D2" w:rsidRDefault="004463D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unadjusted </w:t>
      </w:r>
      <w:proofErr w:type="spellStart"/>
      <w:r w:rsidRPr="00DB2A7F">
        <w:rPr>
          <w:rFonts w:cs="Arial"/>
        </w:rPr>
        <w:t>mis</w:t>
      </w:r>
      <w:proofErr w:type="spellEnd"/>
      <w:r w:rsidRPr="00DB2A7F">
        <w:rPr>
          <w:rFonts w:cs="Arial"/>
        </w:rPr>
        <w:t>-statements in the financial statements</w:t>
      </w:r>
      <w:r w:rsidR="003E4E4E">
        <w:rPr>
          <w:rFonts w:cs="Arial"/>
        </w:rPr>
        <w:t>;</w:t>
      </w:r>
    </w:p>
    <w:p w:rsidR="004463D2" w:rsidRDefault="00A5100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significant judgements in preparatio</w:t>
      </w:r>
      <w:r w:rsidR="00B05D65">
        <w:rPr>
          <w:rFonts w:cs="Arial"/>
        </w:rPr>
        <w:t>n</w:t>
      </w:r>
      <w:r>
        <w:rPr>
          <w:rFonts w:cs="Arial"/>
        </w:rPr>
        <w:t xml:space="preserve"> of the financial statements;</w:t>
      </w:r>
    </w:p>
    <w:p w:rsidR="00A51002" w:rsidRDefault="004463D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significant adjustments resulting from the audit</w:t>
      </w:r>
      <w:r w:rsidR="00A51002">
        <w:rPr>
          <w:rFonts w:cs="Arial"/>
        </w:rPr>
        <w:t>;</w:t>
      </w:r>
    </w:p>
    <w:p w:rsidR="00A51002" w:rsidRDefault="00A5100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letter of representation; and</w:t>
      </w:r>
    </w:p>
    <w:p w:rsidR="004463D2" w:rsidRDefault="00A51002" w:rsidP="004463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rPr>
          <w:rFonts w:cs="Arial"/>
        </w:rPr>
        <w:t>qualitative</w:t>
      </w:r>
      <w:proofErr w:type="gramEnd"/>
      <w:r>
        <w:rPr>
          <w:rFonts w:cs="Arial"/>
        </w:rPr>
        <w:t xml:space="preserve"> aspects of financial reporting.</w:t>
      </w:r>
    </w:p>
    <w:p w:rsidR="004463D2" w:rsidRPr="00DB2A7F" w:rsidRDefault="004463D2" w:rsidP="004463D2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should also ensure that the systems for financial reporting to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>, including</w:t>
      </w:r>
      <w:r>
        <w:rPr>
          <w:rFonts w:cs="Arial"/>
        </w:rPr>
        <w:t xml:space="preserve"> </w:t>
      </w:r>
      <w:r w:rsidRPr="00DB2A7F">
        <w:rPr>
          <w:rFonts w:cs="Arial"/>
        </w:rPr>
        <w:t>those of budgetary control, are subject to review as to completeness and accuracy of the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information provided to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Reporting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minutes of Committee meetings shall be formally recorded by the Trust </w:t>
      </w:r>
      <w:r>
        <w:rPr>
          <w:rFonts w:cs="Arial"/>
        </w:rPr>
        <w:t>S</w:t>
      </w:r>
      <w:r w:rsidRPr="00DB2A7F">
        <w:rPr>
          <w:rFonts w:cs="Arial"/>
        </w:rPr>
        <w:t>ecretary and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submitted to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 xml:space="preserve">. The Chair of the Committee </w:t>
      </w:r>
      <w:r w:rsidRPr="00DB2A7F">
        <w:rPr>
          <w:rFonts w:cs="Arial"/>
        </w:rPr>
        <w:lastRenderedPageBreak/>
        <w:t xml:space="preserve">shall draw to the attention of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 xml:space="preserve"> any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issues that require disclosure to the full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>, or require executive action.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 xml:space="preserve">The Committee will report to the </w:t>
      </w:r>
      <w:r w:rsidR="00D70364">
        <w:rPr>
          <w:rFonts w:cs="Arial"/>
        </w:rPr>
        <w:t>Board of Directors</w:t>
      </w:r>
      <w:r w:rsidRPr="00DB2A7F">
        <w:rPr>
          <w:rFonts w:cs="Arial"/>
        </w:rPr>
        <w:t xml:space="preserve"> annually on its work in support of the </w:t>
      </w:r>
      <w:r w:rsidR="00043001">
        <w:rPr>
          <w:rFonts w:cs="Arial"/>
        </w:rPr>
        <w:t>Annual Governance Statement</w:t>
      </w:r>
      <w:r w:rsidRPr="00DB2A7F">
        <w:rPr>
          <w:rFonts w:cs="Arial"/>
        </w:rPr>
        <w:t>, specifically commenting on the fitness for purpose of the Assurance Framework, the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completeness and </w:t>
      </w:r>
      <w:proofErr w:type="spellStart"/>
      <w:r w:rsidRPr="00DB2A7F">
        <w:rPr>
          <w:rFonts w:cs="Arial"/>
        </w:rPr>
        <w:t>embeddedness</w:t>
      </w:r>
      <w:proofErr w:type="spellEnd"/>
      <w:r w:rsidRPr="00DB2A7F">
        <w:rPr>
          <w:rFonts w:cs="Arial"/>
        </w:rPr>
        <w:t xml:space="preserve"> of risk management in the </w:t>
      </w:r>
      <w:r w:rsidR="00223898">
        <w:rPr>
          <w:rFonts w:cs="Arial"/>
        </w:rPr>
        <w:t>Trust</w:t>
      </w:r>
      <w:r w:rsidRPr="00DB2A7F">
        <w:rPr>
          <w:rFonts w:cs="Arial"/>
        </w:rPr>
        <w:t>, the integration of</w:t>
      </w:r>
      <w:r>
        <w:rPr>
          <w:rFonts w:cs="Arial"/>
        </w:rPr>
        <w:t xml:space="preserve"> </w:t>
      </w:r>
      <w:r w:rsidRPr="00DB2A7F">
        <w:rPr>
          <w:rFonts w:cs="Arial"/>
        </w:rPr>
        <w:t xml:space="preserve">governance arrangements and the appropriateness of the </w:t>
      </w:r>
      <w:r w:rsidR="003E4E4E">
        <w:rPr>
          <w:rFonts w:cs="Arial"/>
        </w:rPr>
        <w:t>Care Quality Commission registration</w:t>
      </w:r>
      <w:r w:rsidRPr="00DB2A7F">
        <w:rPr>
          <w:rFonts w:cs="Arial"/>
        </w:rPr>
        <w:t>.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</w:rPr>
      </w:pPr>
    </w:p>
    <w:p w:rsidR="004463D2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DB2A7F">
        <w:rPr>
          <w:rFonts w:cs="Arial"/>
          <w:b/>
          <w:bCs/>
          <w:u w:val="single"/>
        </w:rPr>
        <w:t>Other Matters</w:t>
      </w:r>
    </w:p>
    <w:p w:rsidR="004463D2" w:rsidRPr="00DB2A7F" w:rsidRDefault="004463D2" w:rsidP="004463D2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:rsidR="004463D2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  <w:r w:rsidRPr="00DB2A7F">
        <w:rPr>
          <w:rFonts w:cs="Arial"/>
        </w:rPr>
        <w:t>The Committee shall be supported administratively by the Trust Secretary, whose duties in this</w:t>
      </w:r>
      <w:r>
        <w:rPr>
          <w:rFonts w:cs="Arial"/>
        </w:rPr>
        <w:t xml:space="preserve"> </w:t>
      </w:r>
      <w:r w:rsidRPr="00DB2A7F">
        <w:rPr>
          <w:rFonts w:cs="Arial"/>
        </w:rPr>
        <w:t>respect will include:</w:t>
      </w:r>
    </w:p>
    <w:p w:rsidR="004463D2" w:rsidRPr="00DB2A7F" w:rsidRDefault="004463D2" w:rsidP="004463D2">
      <w:pPr>
        <w:autoSpaceDE w:val="0"/>
        <w:autoSpaceDN w:val="0"/>
        <w:adjustRightInd w:val="0"/>
        <w:jc w:val="both"/>
        <w:rPr>
          <w:rFonts w:cs="Arial"/>
        </w:rPr>
      </w:pPr>
    </w:p>
    <w:p w:rsidR="004463D2" w:rsidRDefault="003E4E4E" w:rsidP="004463D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</w:t>
      </w:r>
      <w:r w:rsidR="004463D2" w:rsidRPr="00DB2A7F">
        <w:rPr>
          <w:rFonts w:cs="Arial"/>
        </w:rPr>
        <w:t>gree</w:t>
      </w:r>
      <w:r w:rsidR="00A97EB5">
        <w:rPr>
          <w:rFonts w:cs="Arial"/>
        </w:rPr>
        <w:t>ing</w:t>
      </w:r>
      <w:r w:rsidR="004463D2" w:rsidRPr="00DB2A7F">
        <w:rPr>
          <w:rFonts w:cs="Arial"/>
        </w:rPr>
        <w:t xml:space="preserve"> agenda with </w:t>
      </w:r>
      <w:r>
        <w:rPr>
          <w:rFonts w:cs="Arial"/>
        </w:rPr>
        <w:t xml:space="preserve">the </w:t>
      </w:r>
      <w:r w:rsidR="004463D2" w:rsidRPr="00DB2A7F">
        <w:rPr>
          <w:rFonts w:cs="Arial"/>
        </w:rPr>
        <w:t>Chair and attendees and collation of papers</w:t>
      </w:r>
      <w:r>
        <w:rPr>
          <w:rFonts w:cs="Arial"/>
        </w:rPr>
        <w:t>;</w:t>
      </w:r>
    </w:p>
    <w:p w:rsidR="004463D2" w:rsidRDefault="003E4E4E" w:rsidP="004463D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t</w:t>
      </w:r>
      <w:r w:rsidR="004463D2" w:rsidRPr="00DB2A7F">
        <w:rPr>
          <w:rFonts w:cs="Arial"/>
        </w:rPr>
        <w:t>aking the minutes &amp; keeping a record of matters arising and issues to be carried forward</w:t>
      </w:r>
      <w:r>
        <w:rPr>
          <w:rFonts w:cs="Arial"/>
        </w:rPr>
        <w:t>; and</w:t>
      </w:r>
    </w:p>
    <w:p w:rsidR="004463D2" w:rsidRPr="00DB2A7F" w:rsidRDefault="003E4E4E" w:rsidP="004463D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>
        <w:rPr>
          <w:rFonts w:cs="Arial"/>
        </w:rPr>
        <w:t>a</w:t>
      </w:r>
      <w:r w:rsidR="004463D2" w:rsidRPr="00DB2A7F">
        <w:rPr>
          <w:rFonts w:cs="Arial"/>
        </w:rPr>
        <w:t>dvising</w:t>
      </w:r>
      <w:proofErr w:type="gramEnd"/>
      <w:r w:rsidR="004463D2" w:rsidRPr="00DB2A7F">
        <w:rPr>
          <w:rFonts w:cs="Arial"/>
        </w:rPr>
        <w:t xml:space="preserve"> the Committee on pertinent areas</w:t>
      </w:r>
      <w:r w:rsidR="00A51002">
        <w:rPr>
          <w:rFonts w:cs="Arial"/>
        </w:rPr>
        <w:t xml:space="preserve"> and enabling development / training</w:t>
      </w:r>
      <w:r>
        <w:rPr>
          <w:rFonts w:cs="Arial"/>
        </w:rPr>
        <w:t xml:space="preserve">. </w:t>
      </w:r>
    </w:p>
    <w:p w:rsidR="00166361" w:rsidRPr="00DF65C9" w:rsidRDefault="004463D2" w:rsidP="005C67A4">
      <w:pPr>
        <w:jc w:val="both"/>
        <w:rPr>
          <w:rFonts w:cs="Arial"/>
          <w:bCs/>
        </w:rPr>
      </w:pPr>
      <w:r>
        <w:rPr>
          <w:rFonts w:cs="Arial"/>
        </w:rPr>
        <w:br w:type="page"/>
      </w:r>
    </w:p>
    <w:sectPr w:rsidR="00166361" w:rsidRPr="00DF65C9" w:rsidSect="00D8787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B1" w:rsidRDefault="00604EB1">
      <w:r>
        <w:separator/>
      </w:r>
    </w:p>
    <w:p w:rsidR="00EC78B4" w:rsidRDefault="00EC78B4"/>
  </w:endnote>
  <w:endnote w:type="continuationSeparator" w:id="0">
    <w:p w:rsidR="00604EB1" w:rsidRDefault="00604EB1">
      <w:r>
        <w:continuationSeparator/>
      </w:r>
    </w:p>
    <w:p w:rsidR="00EC78B4" w:rsidRDefault="00EC7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63" w:rsidRDefault="00512E63">
    <w:pPr>
      <w:pStyle w:val="Footer"/>
    </w:pPr>
  </w:p>
  <w:p w:rsidR="00EC78B4" w:rsidRDefault="00EC78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B1" w:rsidRDefault="001555AA" w:rsidP="005C45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E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B0D">
      <w:rPr>
        <w:rStyle w:val="PageNumber"/>
        <w:noProof/>
      </w:rPr>
      <w:t>1</w:t>
    </w:r>
    <w:r>
      <w:rPr>
        <w:rStyle w:val="PageNumber"/>
      </w:rPr>
      <w:fldChar w:fldCharType="end"/>
    </w:r>
  </w:p>
  <w:p w:rsidR="00604EB1" w:rsidRDefault="00604EB1">
    <w:pPr>
      <w:pStyle w:val="Footer"/>
    </w:pPr>
  </w:p>
  <w:p w:rsidR="00EC78B4" w:rsidRDefault="00EC78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B1" w:rsidRDefault="00604EB1">
      <w:r>
        <w:separator/>
      </w:r>
    </w:p>
    <w:p w:rsidR="00EC78B4" w:rsidRDefault="00EC78B4"/>
  </w:footnote>
  <w:footnote w:type="continuationSeparator" w:id="0">
    <w:p w:rsidR="00604EB1" w:rsidRDefault="00604EB1">
      <w:r>
        <w:continuationSeparator/>
      </w:r>
    </w:p>
    <w:p w:rsidR="00EC78B4" w:rsidRDefault="00EC78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63" w:rsidRDefault="00512E63">
    <w:pPr>
      <w:pStyle w:val="Header"/>
    </w:pPr>
  </w:p>
  <w:p w:rsidR="00EC78B4" w:rsidRDefault="00EC78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B1" w:rsidRDefault="00604EB1">
    <w:pPr>
      <w:pStyle w:val="Header"/>
      <w:rPr>
        <w:sz w:val="16"/>
        <w:szCs w:val="16"/>
      </w:rPr>
    </w:pPr>
    <w:r>
      <w:rPr>
        <w:sz w:val="16"/>
        <w:szCs w:val="16"/>
      </w:rPr>
      <w:t>Approved by the Board of Directors: 25</w:t>
    </w:r>
    <w:r w:rsidRPr="003A5204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June 2008 (as part of the Audit Committee Annual Report 2007/08)</w:t>
    </w:r>
  </w:p>
  <w:p w:rsidR="00604EB1" w:rsidRDefault="00604EB1">
    <w:pPr>
      <w:pStyle w:val="Header"/>
      <w:rPr>
        <w:sz w:val="16"/>
        <w:szCs w:val="16"/>
      </w:rPr>
    </w:pPr>
    <w:r>
      <w:rPr>
        <w:sz w:val="16"/>
        <w:szCs w:val="16"/>
      </w:rPr>
      <w:t>Presented as part of the Audit Committee Annual Report 2008/09 and received (with no changes) by the Board of Directors on 28 October 2009</w:t>
    </w:r>
  </w:p>
  <w:p w:rsidR="00604EB1" w:rsidRDefault="00604EB1">
    <w:pPr>
      <w:pStyle w:val="Header"/>
      <w:rPr>
        <w:sz w:val="16"/>
        <w:szCs w:val="16"/>
      </w:rPr>
    </w:pPr>
    <w:r>
      <w:rPr>
        <w:sz w:val="16"/>
        <w:szCs w:val="16"/>
      </w:rPr>
      <w:t>Presented as part of the Audit Committee Annual Report 2009/10 and changes approved by the Board of Directors on 30 June 2010</w:t>
    </w:r>
  </w:p>
  <w:p w:rsidR="00604EB1" w:rsidRDefault="00604EB1">
    <w:pPr>
      <w:pStyle w:val="Header"/>
      <w:rPr>
        <w:sz w:val="16"/>
        <w:szCs w:val="16"/>
      </w:rPr>
    </w:pPr>
    <w:r>
      <w:rPr>
        <w:sz w:val="16"/>
        <w:szCs w:val="16"/>
      </w:rPr>
      <w:t>Presented as part of the Audit Committee Annual Report 2010/11 with changes for approval by the Board of Directors at the meeting on 29 June 2011</w:t>
    </w:r>
  </w:p>
  <w:p w:rsidR="00EC78B4" w:rsidRDefault="00512E63" w:rsidP="00512E63">
    <w:pPr>
      <w:pStyle w:val="Header"/>
      <w:rPr>
        <w:sz w:val="16"/>
        <w:szCs w:val="16"/>
      </w:rPr>
    </w:pPr>
    <w:r>
      <w:rPr>
        <w:sz w:val="16"/>
        <w:szCs w:val="16"/>
      </w:rPr>
      <w:t>Presented as part of the Audit Committee Annual Report 2011/12 with changes for approval by the Board of Directors at the meeting on 30 January 2013</w:t>
    </w:r>
  </w:p>
  <w:p w:rsidR="007C28A1" w:rsidRDefault="007C28A1" w:rsidP="00512E63">
    <w:pPr>
      <w:pStyle w:val="Header"/>
      <w:rPr>
        <w:sz w:val="16"/>
        <w:szCs w:val="16"/>
      </w:rPr>
    </w:pPr>
    <w:r>
      <w:rPr>
        <w:sz w:val="16"/>
        <w:szCs w:val="16"/>
      </w:rPr>
      <w:t>Presented as part of the Audit Committee Annual Report 2012/13 and received (with no changes) by the Board of Directors on 29 May 2013</w:t>
    </w:r>
  </w:p>
  <w:p w:rsidR="003C6512" w:rsidRPr="00512E63" w:rsidRDefault="003C6512" w:rsidP="00512E6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109"/>
    <w:multiLevelType w:val="hybridMultilevel"/>
    <w:tmpl w:val="A53457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A4FAF"/>
    <w:multiLevelType w:val="hybridMultilevel"/>
    <w:tmpl w:val="83FCF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A13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DED3363"/>
    <w:multiLevelType w:val="hybridMultilevel"/>
    <w:tmpl w:val="2EA00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F86F52"/>
    <w:multiLevelType w:val="hybridMultilevel"/>
    <w:tmpl w:val="B276D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D526A"/>
    <w:multiLevelType w:val="hybridMultilevel"/>
    <w:tmpl w:val="DC425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85782"/>
    <w:multiLevelType w:val="hybridMultilevel"/>
    <w:tmpl w:val="72B4F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87C0A"/>
    <w:multiLevelType w:val="hybridMultilevel"/>
    <w:tmpl w:val="D39EDA04"/>
    <w:lvl w:ilvl="0" w:tplc="E69A3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6D2E15"/>
    <w:multiLevelType w:val="hybridMultilevel"/>
    <w:tmpl w:val="21286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21623C"/>
    <w:multiLevelType w:val="hybridMultilevel"/>
    <w:tmpl w:val="A974400A"/>
    <w:lvl w:ilvl="0" w:tplc="E69A3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B6C0555"/>
    <w:multiLevelType w:val="hybridMultilevel"/>
    <w:tmpl w:val="97FC4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4767F"/>
    <w:multiLevelType w:val="hybridMultilevel"/>
    <w:tmpl w:val="718CA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05683"/>
    <w:multiLevelType w:val="hybridMultilevel"/>
    <w:tmpl w:val="6242F3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E3AD4"/>
    <w:multiLevelType w:val="hybridMultilevel"/>
    <w:tmpl w:val="103C1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2347B3"/>
    <w:multiLevelType w:val="hybridMultilevel"/>
    <w:tmpl w:val="D564D4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1534C75"/>
    <w:multiLevelType w:val="hybridMultilevel"/>
    <w:tmpl w:val="CEAEA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6B6F03"/>
    <w:multiLevelType w:val="hybridMultilevel"/>
    <w:tmpl w:val="353A6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71A6B"/>
    <w:multiLevelType w:val="hybridMultilevel"/>
    <w:tmpl w:val="5F38854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DD820D6"/>
    <w:multiLevelType w:val="hybridMultilevel"/>
    <w:tmpl w:val="E30A9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17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7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323"/>
    <w:rsid w:val="00037FD9"/>
    <w:rsid w:val="00043001"/>
    <w:rsid w:val="000A26E8"/>
    <w:rsid w:val="000A3F75"/>
    <w:rsid w:val="000B6381"/>
    <w:rsid w:val="000B747B"/>
    <w:rsid w:val="000E3EE6"/>
    <w:rsid w:val="00102B7A"/>
    <w:rsid w:val="00116B58"/>
    <w:rsid w:val="00122A9C"/>
    <w:rsid w:val="0012430D"/>
    <w:rsid w:val="001440A9"/>
    <w:rsid w:val="001555AA"/>
    <w:rsid w:val="00160659"/>
    <w:rsid w:val="00166361"/>
    <w:rsid w:val="001738E6"/>
    <w:rsid w:val="00193871"/>
    <w:rsid w:val="00203006"/>
    <w:rsid w:val="00215594"/>
    <w:rsid w:val="00216230"/>
    <w:rsid w:val="00223898"/>
    <w:rsid w:val="00253336"/>
    <w:rsid w:val="00273FA0"/>
    <w:rsid w:val="00275930"/>
    <w:rsid w:val="00277945"/>
    <w:rsid w:val="002A1F05"/>
    <w:rsid w:val="002D3B0A"/>
    <w:rsid w:val="002F2D32"/>
    <w:rsid w:val="0030106B"/>
    <w:rsid w:val="00312BD7"/>
    <w:rsid w:val="003277E0"/>
    <w:rsid w:val="00345860"/>
    <w:rsid w:val="0039560C"/>
    <w:rsid w:val="003A5204"/>
    <w:rsid w:val="003C6512"/>
    <w:rsid w:val="003C6696"/>
    <w:rsid w:val="003D3DB4"/>
    <w:rsid w:val="003E1971"/>
    <w:rsid w:val="003E2218"/>
    <w:rsid w:val="003E2594"/>
    <w:rsid w:val="003E4E4E"/>
    <w:rsid w:val="003F081F"/>
    <w:rsid w:val="003F4799"/>
    <w:rsid w:val="004463D2"/>
    <w:rsid w:val="0046700B"/>
    <w:rsid w:val="00485C3A"/>
    <w:rsid w:val="004A6EA4"/>
    <w:rsid w:val="004D4DF1"/>
    <w:rsid w:val="004E4346"/>
    <w:rsid w:val="004E71E9"/>
    <w:rsid w:val="00512E63"/>
    <w:rsid w:val="0055576C"/>
    <w:rsid w:val="005658AA"/>
    <w:rsid w:val="005A6A1F"/>
    <w:rsid w:val="005C45FC"/>
    <w:rsid w:val="005C67A4"/>
    <w:rsid w:val="005F39F0"/>
    <w:rsid w:val="0060071C"/>
    <w:rsid w:val="00604EB1"/>
    <w:rsid w:val="00623D36"/>
    <w:rsid w:val="006810F9"/>
    <w:rsid w:val="006C2CC9"/>
    <w:rsid w:val="006F0338"/>
    <w:rsid w:val="006F3016"/>
    <w:rsid w:val="00705E2E"/>
    <w:rsid w:val="00705ECE"/>
    <w:rsid w:val="00715656"/>
    <w:rsid w:val="00723FA5"/>
    <w:rsid w:val="0076597C"/>
    <w:rsid w:val="007672A7"/>
    <w:rsid w:val="00771232"/>
    <w:rsid w:val="007B61EC"/>
    <w:rsid w:val="007C28A1"/>
    <w:rsid w:val="007E1893"/>
    <w:rsid w:val="007F2534"/>
    <w:rsid w:val="008063E1"/>
    <w:rsid w:val="00810C46"/>
    <w:rsid w:val="008166B0"/>
    <w:rsid w:val="0084758A"/>
    <w:rsid w:val="0085105A"/>
    <w:rsid w:val="0086617A"/>
    <w:rsid w:val="00887C9E"/>
    <w:rsid w:val="008D0296"/>
    <w:rsid w:val="008D7F87"/>
    <w:rsid w:val="008E27D6"/>
    <w:rsid w:val="00912474"/>
    <w:rsid w:val="00924217"/>
    <w:rsid w:val="00972C81"/>
    <w:rsid w:val="0098684A"/>
    <w:rsid w:val="009C09A0"/>
    <w:rsid w:val="009C18DE"/>
    <w:rsid w:val="009E4184"/>
    <w:rsid w:val="009E6B84"/>
    <w:rsid w:val="00A45D97"/>
    <w:rsid w:val="00A51002"/>
    <w:rsid w:val="00A97EB5"/>
    <w:rsid w:val="00AC374B"/>
    <w:rsid w:val="00AC3C98"/>
    <w:rsid w:val="00AD708B"/>
    <w:rsid w:val="00AE1FDC"/>
    <w:rsid w:val="00AE6EB8"/>
    <w:rsid w:val="00B05D65"/>
    <w:rsid w:val="00B06159"/>
    <w:rsid w:val="00B10B0D"/>
    <w:rsid w:val="00B11525"/>
    <w:rsid w:val="00B31945"/>
    <w:rsid w:val="00B34036"/>
    <w:rsid w:val="00B4375B"/>
    <w:rsid w:val="00B44089"/>
    <w:rsid w:val="00B77920"/>
    <w:rsid w:val="00B808B0"/>
    <w:rsid w:val="00B81800"/>
    <w:rsid w:val="00BC3D75"/>
    <w:rsid w:val="00BE3893"/>
    <w:rsid w:val="00BE3CC9"/>
    <w:rsid w:val="00BE48ED"/>
    <w:rsid w:val="00BF6354"/>
    <w:rsid w:val="00C20F82"/>
    <w:rsid w:val="00C357B7"/>
    <w:rsid w:val="00C45323"/>
    <w:rsid w:val="00D01659"/>
    <w:rsid w:val="00D01D26"/>
    <w:rsid w:val="00D10452"/>
    <w:rsid w:val="00D22A3A"/>
    <w:rsid w:val="00D63AAD"/>
    <w:rsid w:val="00D667B5"/>
    <w:rsid w:val="00D70364"/>
    <w:rsid w:val="00D76AF2"/>
    <w:rsid w:val="00D87874"/>
    <w:rsid w:val="00DA7583"/>
    <w:rsid w:val="00DC218D"/>
    <w:rsid w:val="00DD468E"/>
    <w:rsid w:val="00DF65C9"/>
    <w:rsid w:val="00E11A8E"/>
    <w:rsid w:val="00E24CED"/>
    <w:rsid w:val="00E3212C"/>
    <w:rsid w:val="00E33AAA"/>
    <w:rsid w:val="00E7153B"/>
    <w:rsid w:val="00E8437F"/>
    <w:rsid w:val="00E943F1"/>
    <w:rsid w:val="00EA4E07"/>
    <w:rsid w:val="00EB4D5D"/>
    <w:rsid w:val="00EB79D1"/>
    <w:rsid w:val="00EC11B7"/>
    <w:rsid w:val="00EC13B6"/>
    <w:rsid w:val="00EC78B4"/>
    <w:rsid w:val="00F311EA"/>
    <w:rsid w:val="00F32362"/>
    <w:rsid w:val="00F350C8"/>
    <w:rsid w:val="00F500D7"/>
    <w:rsid w:val="00F7451C"/>
    <w:rsid w:val="00F76FD0"/>
    <w:rsid w:val="00F83C93"/>
    <w:rsid w:val="00F95719"/>
    <w:rsid w:val="00F978F4"/>
    <w:rsid w:val="00FB2E63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8B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C78B4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EC78B4"/>
    <w:pPr>
      <w:keepNext/>
      <w:jc w:val="both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EC78B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color w:val="000000"/>
      <w:szCs w:val="20"/>
    </w:rPr>
  </w:style>
  <w:style w:type="paragraph" w:styleId="Heading4">
    <w:name w:val="heading 4"/>
    <w:basedOn w:val="Normal"/>
    <w:next w:val="Normal"/>
    <w:qFormat/>
    <w:rsid w:val="00EC78B4"/>
    <w:pPr>
      <w:keepNext/>
      <w:tabs>
        <w:tab w:val="left" w:pos="30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78B4"/>
    <w:pPr>
      <w:jc w:val="both"/>
    </w:pPr>
    <w:rPr>
      <w:rFonts w:cs="Arial"/>
    </w:rPr>
  </w:style>
  <w:style w:type="paragraph" w:styleId="BodyText2">
    <w:name w:val="Body Text 2"/>
    <w:basedOn w:val="Normal"/>
    <w:rsid w:val="00EC78B4"/>
    <w:pPr>
      <w:jc w:val="both"/>
    </w:pPr>
    <w:rPr>
      <w:rFonts w:cs="Arial"/>
      <w:b/>
      <w:bCs/>
      <w:i/>
      <w:iCs/>
    </w:rPr>
  </w:style>
  <w:style w:type="paragraph" w:styleId="BodyText3">
    <w:name w:val="Body Text 3"/>
    <w:basedOn w:val="Normal"/>
    <w:rsid w:val="00EC78B4"/>
    <w:pPr>
      <w:jc w:val="both"/>
    </w:pPr>
    <w:rPr>
      <w:rFonts w:cs="Arial"/>
      <w:i/>
      <w:iCs/>
      <w:color w:val="FF0000"/>
    </w:rPr>
  </w:style>
  <w:style w:type="paragraph" w:styleId="Header">
    <w:name w:val="header"/>
    <w:basedOn w:val="Normal"/>
    <w:rsid w:val="00EC78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8B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87874"/>
  </w:style>
  <w:style w:type="paragraph" w:styleId="BalloonText">
    <w:name w:val="Balloon Text"/>
    <w:basedOn w:val="Normal"/>
    <w:link w:val="BalloonTextChar"/>
    <w:rsid w:val="009C0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9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2893-414E-49BC-9A2C-3B6E4F6E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Smith Hannah (RNU) Oxford Health</cp:lastModifiedBy>
  <cp:revision>2</cp:revision>
  <cp:lastPrinted>2010-04-06T15:31:00Z</cp:lastPrinted>
  <dcterms:created xsi:type="dcterms:W3CDTF">2014-06-17T09:39:00Z</dcterms:created>
  <dcterms:modified xsi:type="dcterms:W3CDTF">2014-06-17T09:39:00Z</dcterms:modified>
</cp:coreProperties>
</file>