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1E0F07">
      <w:pPr>
        <w:jc w:val="center"/>
        <w:rPr>
          <w:rFonts w:ascii="Frutiger" w:hAnsi="Frutiger"/>
        </w:rPr>
      </w:pPr>
      <w:r w:rsidRPr="001E0F07">
        <w:rPr>
          <w:noProof/>
          <w:sz w:val="20"/>
          <w:lang w:val="en-GB" w:eastAsia="en-GB"/>
        </w:rPr>
        <w:pict>
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<v:textbox inset="0,0,0,0">
              <w:txbxContent>
                <w:p w:rsidR="00781566" w:rsidRDefault="00781566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781566" w:rsidRDefault="00553872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BOD </w:t>
                  </w:r>
                  <w:r w:rsidR="00CA2E90">
                    <w:rPr>
                      <w:sz w:val="22"/>
                    </w:rPr>
                    <w:t>90</w:t>
                  </w:r>
                  <w:r>
                    <w:rPr>
                      <w:sz w:val="22"/>
                    </w:rPr>
                    <w:t>/2014</w:t>
                  </w:r>
                </w:p>
                <w:p w:rsidR="00781566" w:rsidRPr="00553872" w:rsidRDefault="0055387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(Agenda Item: 1</w:t>
                  </w:r>
                  <w:r w:rsidR="00CA2E9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53872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R</w:t>
      </w:r>
      <w:r w:rsidR="005D3499">
        <w:rPr>
          <w:sz w:val="28"/>
          <w:u w:val="none"/>
        </w:rPr>
        <w:t xml:space="preserve">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9973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57F7E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</w:t>
      </w:r>
      <w:r w:rsidR="00F23C27">
        <w:rPr>
          <w:rFonts w:ascii="Arial" w:hAnsi="Arial" w:cs="Arial"/>
          <w:b/>
        </w:rPr>
        <w:t>Ju</w:t>
      </w:r>
      <w:r w:rsidR="00657F7E">
        <w:rPr>
          <w:rFonts w:ascii="Arial" w:hAnsi="Arial" w:cs="Arial"/>
          <w:b/>
        </w:rPr>
        <w:t>ly</w:t>
      </w:r>
      <w:r w:rsidR="006E3C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2014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53872" w:rsidRDefault="005538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Report</w:t>
      </w:r>
    </w:p>
    <w:p w:rsidR="005D3499" w:rsidRDefault="005D3499">
      <w:pPr>
        <w:rPr>
          <w:rFonts w:ascii="Arial" w:hAnsi="Arial" w:cs="Arial"/>
          <w:b/>
        </w:rPr>
      </w:pPr>
    </w:p>
    <w:p w:rsidR="00292613" w:rsidRDefault="00292613" w:rsidP="00292613">
      <w:pPr>
        <w:rPr>
          <w:rFonts w:ascii="Arial" w:hAnsi="Arial" w:cs="Arial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Pr="00292613">
        <w:rPr>
          <w:rFonts w:ascii="Arial" w:hAnsi="Arial" w:cs="Arial"/>
          <w:b/>
          <w:u w:val="single"/>
        </w:rPr>
        <w:t xml:space="preserve"> Information</w:t>
      </w:r>
      <w:r>
        <w:rPr>
          <w:rFonts w:ascii="Arial" w:hAnsi="Arial" w:cs="Arial"/>
        </w:rPr>
        <w:t xml:space="preserve"> </w:t>
      </w:r>
    </w:p>
    <w:p w:rsidR="00267C69" w:rsidRDefault="00267C69" w:rsidP="00292613">
      <w:pPr>
        <w:rPr>
          <w:rFonts w:ascii="Arial" w:hAnsi="Arial" w:cs="Arial"/>
        </w:rPr>
      </w:pPr>
    </w:p>
    <w:p w:rsidR="00040022" w:rsidRDefault="00040022" w:rsidP="00040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the Performance report for Oxford Health NHS FT reporting on Month </w:t>
      </w:r>
      <w:r w:rsidR="00657F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of FY15. The attached report format continues to be developed through discussion with the Executive Directors and from comments from the Board as a whole.</w:t>
      </w:r>
    </w:p>
    <w:p w:rsidR="00292613" w:rsidRDefault="00292613">
      <w:pPr>
        <w:rPr>
          <w:rFonts w:ascii="Arial" w:hAnsi="Arial" w:cs="Arial"/>
          <w:b/>
        </w:rPr>
      </w:pPr>
    </w:p>
    <w:p w:rsidR="007A2CF0" w:rsidRDefault="007A2CF0" w:rsidP="007A2C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Summary</w:t>
      </w:r>
    </w:p>
    <w:p w:rsidR="001F2603" w:rsidRDefault="001F2603" w:rsidP="007A2CF0">
      <w:pPr>
        <w:jc w:val="both"/>
        <w:rPr>
          <w:rFonts w:ascii="Arial" w:hAnsi="Arial" w:cs="Arial"/>
          <w:b/>
        </w:rPr>
      </w:pPr>
    </w:p>
    <w:p w:rsidR="00040022" w:rsidRPr="00735D60" w:rsidRDefault="001F2603" w:rsidP="0073522A">
      <w:pPr>
        <w:jc w:val="both"/>
        <w:rPr>
          <w:rFonts w:ascii="Arial" w:hAnsi="Arial" w:cs="Arial"/>
          <w:b/>
        </w:rPr>
      </w:pPr>
      <w:r w:rsidRPr="00735D60">
        <w:rPr>
          <w:rFonts w:ascii="Arial" w:hAnsi="Arial" w:cs="Arial"/>
          <w:b/>
        </w:rPr>
        <w:t>Performance Highlights</w:t>
      </w:r>
    </w:p>
    <w:p w:rsidR="001F2603" w:rsidRPr="00735D60" w:rsidRDefault="001F2603" w:rsidP="0073522A">
      <w:pPr>
        <w:jc w:val="both"/>
        <w:rPr>
          <w:rFonts w:ascii="Arial" w:hAnsi="Arial" w:cs="Arial"/>
          <w:b/>
        </w:rPr>
      </w:pPr>
    </w:p>
    <w:p w:rsidR="001F2603" w:rsidRPr="00735D60" w:rsidRDefault="001F2603" w:rsidP="001F260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35D60">
        <w:rPr>
          <w:rFonts w:ascii="Arial" w:hAnsi="Arial" w:cs="Arial"/>
        </w:rPr>
        <w:t xml:space="preserve">Monitor Indicators - All Monitor indicators have been achieved in </w:t>
      </w:r>
      <w:r w:rsidR="00735D60" w:rsidRPr="00735D60">
        <w:rPr>
          <w:rFonts w:ascii="Arial" w:hAnsi="Arial" w:cs="Arial"/>
        </w:rPr>
        <w:t>June</w:t>
      </w:r>
      <w:r w:rsidRPr="00735D60">
        <w:rPr>
          <w:rFonts w:ascii="Arial" w:hAnsi="Arial" w:cs="Arial"/>
        </w:rPr>
        <w:t xml:space="preserve"> 2014</w:t>
      </w:r>
      <w:r w:rsidR="00735D60" w:rsidRPr="00735D60">
        <w:rPr>
          <w:rFonts w:ascii="Arial" w:hAnsi="Arial" w:cs="Arial"/>
        </w:rPr>
        <w:t>.</w:t>
      </w:r>
    </w:p>
    <w:p w:rsidR="00735D60" w:rsidRPr="00735D60" w:rsidRDefault="00735D60" w:rsidP="00735D60">
      <w:pPr>
        <w:pStyle w:val="ListParagraph"/>
        <w:ind w:left="360"/>
        <w:jc w:val="both"/>
        <w:rPr>
          <w:rFonts w:ascii="Arial" w:hAnsi="Arial" w:cs="Arial"/>
        </w:rPr>
      </w:pPr>
    </w:p>
    <w:p w:rsidR="00735D60" w:rsidRPr="00735D60" w:rsidRDefault="00735D60" w:rsidP="00735D6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35D60">
        <w:rPr>
          <w:rFonts w:ascii="Arial" w:hAnsi="Arial" w:cs="Arial"/>
        </w:rPr>
        <w:t>Mental Health delayed transfers of care - The percentage of bed days lost has reduced to 1% in June. This is the lowest position delays have been since January 2014.</w:t>
      </w:r>
    </w:p>
    <w:p w:rsidR="00735D60" w:rsidRPr="00735D60" w:rsidRDefault="00735D60" w:rsidP="00735D60">
      <w:pPr>
        <w:pStyle w:val="ListParagraph"/>
        <w:rPr>
          <w:rFonts w:ascii="Arial" w:hAnsi="Arial" w:cs="Arial"/>
        </w:rPr>
      </w:pPr>
    </w:p>
    <w:p w:rsidR="00735D60" w:rsidRPr="00735D60" w:rsidRDefault="00735D60" w:rsidP="00735D6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35D60">
        <w:rPr>
          <w:rFonts w:ascii="Arial" w:hAnsi="Arial" w:cs="Arial"/>
        </w:rPr>
        <w:t>Community Hospitals delayed transfers of care - Delays continue to reduce with the month end snapshot reducing to 22 from 43 and the month average 32 delays.</w:t>
      </w:r>
    </w:p>
    <w:p w:rsidR="001F2603" w:rsidRPr="00735D60" w:rsidRDefault="001F2603" w:rsidP="001F2603">
      <w:pPr>
        <w:pStyle w:val="ListParagraph"/>
        <w:ind w:left="360"/>
        <w:jc w:val="both"/>
        <w:rPr>
          <w:rFonts w:ascii="Arial" w:hAnsi="Arial" w:cs="Arial"/>
        </w:rPr>
      </w:pPr>
    </w:p>
    <w:p w:rsidR="001F2603" w:rsidRPr="00735D60" w:rsidRDefault="001F2603" w:rsidP="001F260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35D60">
        <w:rPr>
          <w:rFonts w:ascii="Arial" w:hAnsi="Arial" w:cs="Arial"/>
        </w:rPr>
        <w:t xml:space="preserve">Single Sex Breaches - There were been no single sex breaches in </w:t>
      </w:r>
      <w:r w:rsidR="00735D60" w:rsidRPr="00735D60">
        <w:rPr>
          <w:rFonts w:ascii="Arial" w:hAnsi="Arial" w:cs="Arial"/>
        </w:rPr>
        <w:t xml:space="preserve">June </w:t>
      </w:r>
      <w:r w:rsidRPr="00735D60">
        <w:rPr>
          <w:rFonts w:ascii="Arial" w:hAnsi="Arial" w:cs="Arial"/>
        </w:rPr>
        <w:t>2014.</w:t>
      </w:r>
    </w:p>
    <w:p w:rsidR="001F2603" w:rsidRPr="00735D60" w:rsidRDefault="001F2603" w:rsidP="001F2603">
      <w:pPr>
        <w:jc w:val="both"/>
        <w:rPr>
          <w:rFonts w:ascii="Arial" w:hAnsi="Arial" w:cs="Arial"/>
        </w:rPr>
      </w:pPr>
    </w:p>
    <w:p w:rsidR="001F2603" w:rsidRPr="00735D60" w:rsidRDefault="001F2603" w:rsidP="001F260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35D60">
        <w:rPr>
          <w:rFonts w:ascii="Arial" w:hAnsi="Arial" w:cs="Arial"/>
        </w:rPr>
        <w:t>Compliance with CPA Metric - Forensic achieved 100% this month.</w:t>
      </w:r>
    </w:p>
    <w:p w:rsidR="001F2603" w:rsidRPr="00657F7E" w:rsidRDefault="001F2603" w:rsidP="001F2603">
      <w:pPr>
        <w:jc w:val="both"/>
        <w:rPr>
          <w:rFonts w:ascii="Arial" w:hAnsi="Arial" w:cs="Arial"/>
          <w:highlight w:val="yellow"/>
        </w:rPr>
      </w:pPr>
    </w:p>
    <w:p w:rsidR="001F2603" w:rsidRPr="00657F7E" w:rsidRDefault="001F2603" w:rsidP="001F2603">
      <w:pPr>
        <w:jc w:val="both"/>
        <w:rPr>
          <w:rFonts w:ascii="Arial" w:hAnsi="Arial" w:cs="Arial"/>
          <w:b/>
          <w:highlight w:val="yellow"/>
        </w:rPr>
      </w:pPr>
    </w:p>
    <w:p w:rsidR="001F2603" w:rsidRDefault="001F2603" w:rsidP="001F2603">
      <w:pPr>
        <w:jc w:val="both"/>
        <w:rPr>
          <w:rFonts w:ascii="Arial" w:hAnsi="Arial" w:cs="Arial"/>
          <w:b/>
          <w:highlight w:val="yellow"/>
        </w:rPr>
      </w:pPr>
    </w:p>
    <w:p w:rsidR="00735D60" w:rsidRDefault="00735D60" w:rsidP="001F2603">
      <w:pPr>
        <w:jc w:val="both"/>
        <w:rPr>
          <w:rFonts w:ascii="Arial" w:hAnsi="Arial" w:cs="Arial"/>
          <w:b/>
          <w:highlight w:val="yellow"/>
        </w:rPr>
      </w:pPr>
    </w:p>
    <w:p w:rsidR="00735D60" w:rsidRPr="00657F7E" w:rsidRDefault="00735D60" w:rsidP="001F2603">
      <w:pPr>
        <w:jc w:val="both"/>
        <w:rPr>
          <w:rFonts w:ascii="Arial" w:hAnsi="Arial" w:cs="Arial"/>
          <w:b/>
          <w:highlight w:val="yellow"/>
        </w:rPr>
      </w:pPr>
    </w:p>
    <w:p w:rsidR="001F2603" w:rsidRPr="00657F7E" w:rsidRDefault="001F2603" w:rsidP="001F2603">
      <w:pPr>
        <w:jc w:val="both"/>
        <w:rPr>
          <w:rFonts w:ascii="Arial" w:hAnsi="Arial" w:cs="Arial"/>
          <w:b/>
          <w:highlight w:val="yellow"/>
        </w:rPr>
      </w:pPr>
    </w:p>
    <w:p w:rsidR="001F2603" w:rsidRPr="00735D60" w:rsidRDefault="001F2603" w:rsidP="001F2603">
      <w:pPr>
        <w:jc w:val="both"/>
        <w:rPr>
          <w:rFonts w:ascii="Arial" w:hAnsi="Arial" w:cs="Arial"/>
          <w:b/>
        </w:rPr>
      </w:pPr>
      <w:r w:rsidRPr="00735D60">
        <w:rPr>
          <w:rFonts w:ascii="Arial" w:hAnsi="Arial" w:cs="Arial"/>
          <w:b/>
        </w:rPr>
        <w:t>Performance Exceptions</w:t>
      </w:r>
    </w:p>
    <w:p w:rsidR="001F2603" w:rsidRPr="00735D60" w:rsidRDefault="001F2603" w:rsidP="0073522A">
      <w:pPr>
        <w:jc w:val="both"/>
        <w:rPr>
          <w:rFonts w:ascii="Arial" w:hAnsi="Arial" w:cs="Arial"/>
        </w:rPr>
      </w:pPr>
    </w:p>
    <w:p w:rsidR="00735D60" w:rsidRPr="00735D60" w:rsidRDefault="001F2603" w:rsidP="00735D6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35D60">
        <w:rPr>
          <w:rFonts w:ascii="Arial" w:hAnsi="Arial" w:cs="Arial"/>
        </w:rPr>
        <w:t xml:space="preserve">Early Intervention - </w:t>
      </w:r>
      <w:r w:rsidR="00735D60" w:rsidRPr="00735D60">
        <w:rPr>
          <w:rFonts w:ascii="Arial" w:hAnsi="Arial" w:cs="Arial"/>
        </w:rPr>
        <w:t>There is an under performance in the Oxfordshire CCG month end snapshot caseload. The caseload is 126 against a target of 134, this is an improvement of 6 on last month’s snapshot. The combined Oxfordshire and Buckinghamshire CCG performance for June is 93.9%. The average performance for quarter 1 is 94.7% against the Monitor target of 95%.</w:t>
      </w:r>
    </w:p>
    <w:p w:rsidR="001F2603" w:rsidRPr="00735D60" w:rsidRDefault="00735D60" w:rsidP="00735D60">
      <w:pPr>
        <w:pStyle w:val="ListParagraph"/>
        <w:ind w:left="360"/>
        <w:jc w:val="both"/>
        <w:rPr>
          <w:rFonts w:ascii="Arial" w:hAnsi="Arial" w:cs="Arial"/>
        </w:rPr>
      </w:pPr>
      <w:r w:rsidRPr="00735D60">
        <w:rPr>
          <w:rFonts w:ascii="Arial" w:hAnsi="Arial" w:cs="Arial"/>
        </w:rPr>
        <w:t xml:space="preserve"> </w:t>
      </w:r>
    </w:p>
    <w:p w:rsidR="00735D60" w:rsidRPr="00735D60" w:rsidRDefault="001F2603" w:rsidP="00735D6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35D60">
        <w:rPr>
          <w:rFonts w:ascii="Arial" w:hAnsi="Arial" w:cs="Arial"/>
        </w:rPr>
        <w:t xml:space="preserve">Compliance with CPA metric, Adult Mental Health - </w:t>
      </w:r>
      <w:r w:rsidR="00735D60" w:rsidRPr="00735D60">
        <w:rPr>
          <w:rFonts w:ascii="Arial" w:hAnsi="Arial" w:cs="Arial"/>
        </w:rPr>
        <w:t>Performance has decreased by 12% on last month to 78%. The Directorate accepts that they have not done as well in meeting all four elements of CPA this month.  A plan is in place for each of the teams, and this will include performance management for care coordinators who repeatedly fail to comply.</w:t>
      </w:r>
    </w:p>
    <w:p w:rsidR="00735D60" w:rsidRPr="00735D60" w:rsidRDefault="00735D60" w:rsidP="00735D60">
      <w:pPr>
        <w:pStyle w:val="ListParagraph"/>
        <w:rPr>
          <w:rFonts w:ascii="Arial" w:hAnsi="Arial" w:cs="Arial"/>
        </w:rPr>
      </w:pPr>
    </w:p>
    <w:p w:rsidR="00735D60" w:rsidRPr="00735D60" w:rsidRDefault="00735D60" w:rsidP="00735D6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35D60">
        <w:rPr>
          <w:rFonts w:ascii="Arial" w:hAnsi="Arial" w:cs="Arial"/>
        </w:rPr>
        <w:t>Compliance with CPA metric, Older Adult Mental Health - Performance has decreased by 11% on last month to 87%. In the main this is attributed to the South Oxon CMHT.  This team has a number of staffing related issues including long term sickness which is impacting on performance.  The Service Manager and interim Team Manager are working to address th</w:t>
      </w:r>
      <w:r>
        <w:rPr>
          <w:rFonts w:ascii="Arial" w:hAnsi="Arial" w:cs="Arial"/>
        </w:rPr>
        <w:t>is, have identified the care co</w:t>
      </w:r>
      <w:r w:rsidRPr="00735D60">
        <w:rPr>
          <w:rFonts w:ascii="Arial" w:hAnsi="Arial" w:cs="Arial"/>
        </w:rPr>
        <w:t>ordinators of those patients not meeting the CPA metric target and are working with these members of staff to rectify and improve performance.</w:t>
      </w:r>
    </w:p>
    <w:p w:rsidR="001F2603" w:rsidRPr="00735D60" w:rsidRDefault="00735D60" w:rsidP="00735D60">
      <w:pPr>
        <w:jc w:val="both"/>
        <w:rPr>
          <w:rFonts w:ascii="Arial" w:hAnsi="Arial" w:cs="Arial"/>
        </w:rPr>
      </w:pPr>
      <w:r w:rsidRPr="00735D60">
        <w:rPr>
          <w:rFonts w:ascii="Arial" w:hAnsi="Arial" w:cs="Arial"/>
        </w:rPr>
        <w:t xml:space="preserve"> </w:t>
      </w:r>
    </w:p>
    <w:p w:rsidR="001F2603" w:rsidRPr="00735D60" w:rsidRDefault="001F2603" w:rsidP="0073522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35D60">
        <w:rPr>
          <w:rFonts w:ascii="Arial" w:hAnsi="Arial" w:cs="Arial"/>
        </w:rPr>
        <w:t xml:space="preserve">Compliance with CPA metric, CAMHS - Performance has </w:t>
      </w:r>
      <w:r w:rsidR="00735D60" w:rsidRPr="00735D60">
        <w:rPr>
          <w:rFonts w:ascii="Arial" w:hAnsi="Arial" w:cs="Arial"/>
        </w:rPr>
        <w:t>almost been maintained this month with a 1% decrease to 73%.</w:t>
      </w:r>
    </w:p>
    <w:p w:rsidR="001F2603" w:rsidRPr="00735D60" w:rsidRDefault="001F2603" w:rsidP="001F2603">
      <w:pPr>
        <w:pStyle w:val="ListParagraph"/>
        <w:rPr>
          <w:rFonts w:ascii="Arial" w:hAnsi="Arial" w:cs="Arial"/>
        </w:rPr>
      </w:pPr>
    </w:p>
    <w:p w:rsidR="001F2603" w:rsidRDefault="001F2603" w:rsidP="00735D6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35D60">
        <w:rPr>
          <w:rFonts w:ascii="Arial" w:hAnsi="Arial" w:cs="Arial"/>
        </w:rPr>
        <w:t>Ward closures due to control of infection -</w:t>
      </w:r>
      <w:r w:rsidR="00735D60" w:rsidRPr="00735D60">
        <w:rPr>
          <w:rFonts w:ascii="Arial" w:hAnsi="Arial" w:cs="Arial"/>
        </w:rPr>
        <w:t xml:space="preserve"> In June there was a possible outbreak of D&amp;V on Cotswold House, Oxford from 27.06.14 to 30.06.14. The ward was fully occupied but would have been closed to new admissions had beds been available.</w:t>
      </w:r>
    </w:p>
    <w:p w:rsidR="00735D60" w:rsidRPr="00735D60" w:rsidRDefault="00735D60" w:rsidP="00735D60">
      <w:pPr>
        <w:pStyle w:val="ListParagraph"/>
        <w:rPr>
          <w:rFonts w:ascii="Arial" w:hAnsi="Arial" w:cs="Arial"/>
        </w:rPr>
      </w:pPr>
    </w:p>
    <w:p w:rsidR="00735D60" w:rsidRPr="00735D60" w:rsidRDefault="00735D60" w:rsidP="00735D6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35D60">
        <w:rPr>
          <w:rFonts w:ascii="Arial" w:hAnsi="Arial" w:cs="Arial"/>
        </w:rPr>
        <w:t>Older Adult Mental Health Contract Activity - There is a reported underperformance of 28.5% on inpatient activity. This is due to the contract targets being rolled over from 2013/14 and do not reflect reduced capacity.</w:t>
      </w:r>
    </w:p>
    <w:p w:rsidR="00735D60" w:rsidRDefault="00735D60" w:rsidP="00735D60">
      <w:pPr>
        <w:pStyle w:val="ListParagraph"/>
        <w:ind w:left="360"/>
        <w:jc w:val="both"/>
        <w:rPr>
          <w:rFonts w:ascii="Arial" w:hAnsi="Arial" w:cs="Arial"/>
        </w:rPr>
      </w:pPr>
    </w:p>
    <w:p w:rsidR="00735D60" w:rsidRPr="00735D60" w:rsidRDefault="00735D60" w:rsidP="00735D60">
      <w:pPr>
        <w:pStyle w:val="ListParagraph"/>
        <w:ind w:left="360"/>
        <w:jc w:val="both"/>
        <w:rPr>
          <w:rFonts w:ascii="Arial" w:hAnsi="Arial" w:cs="Arial"/>
        </w:rPr>
      </w:pPr>
      <w:r w:rsidRPr="00735D60">
        <w:rPr>
          <w:rFonts w:ascii="Arial" w:hAnsi="Arial" w:cs="Arial"/>
        </w:rPr>
        <w:t>There is a reported underperformance of 26.9% on outpatient/community activity and is due to staff capacity. Band 6 clinicians now attend fortnightly Multi-Agency Groups (MAGs). There are now 44 MAGs established across the county and are GP led case conferences held in GP surgeries. As a consequence t</w:t>
      </w:r>
      <w:r>
        <w:rPr>
          <w:rFonts w:ascii="Arial" w:hAnsi="Arial" w:cs="Arial"/>
        </w:rPr>
        <w:t xml:space="preserve">here is a capacity issue which </w:t>
      </w:r>
      <w:r w:rsidRPr="00735D60">
        <w:rPr>
          <w:rFonts w:ascii="Arial" w:hAnsi="Arial" w:cs="Arial"/>
        </w:rPr>
        <w:t>h</w:t>
      </w:r>
      <w:r>
        <w:rPr>
          <w:rFonts w:ascii="Arial" w:hAnsi="Arial" w:cs="Arial"/>
        </w:rPr>
        <w:t>a</w:t>
      </w:r>
      <w:r w:rsidRPr="00735D60">
        <w:rPr>
          <w:rFonts w:ascii="Arial" w:hAnsi="Arial" w:cs="Arial"/>
        </w:rPr>
        <w:t>s been raised with the CCGs.</w:t>
      </w:r>
    </w:p>
    <w:p w:rsidR="001F2603" w:rsidRDefault="001F2603" w:rsidP="0073522A">
      <w:pPr>
        <w:jc w:val="both"/>
        <w:rPr>
          <w:rFonts w:ascii="Arial" w:hAnsi="Arial" w:cs="Arial"/>
        </w:rPr>
      </w:pPr>
    </w:p>
    <w:p w:rsidR="001F2603" w:rsidRDefault="001F2603" w:rsidP="0073522A">
      <w:pPr>
        <w:jc w:val="both"/>
        <w:rPr>
          <w:rFonts w:ascii="Arial" w:hAnsi="Arial" w:cs="Arial"/>
        </w:rPr>
      </w:pPr>
    </w:p>
    <w:p w:rsidR="00735D60" w:rsidRDefault="00735D60" w:rsidP="0073522A">
      <w:pPr>
        <w:jc w:val="both"/>
        <w:rPr>
          <w:rFonts w:ascii="Arial" w:hAnsi="Arial" w:cs="Arial"/>
        </w:rPr>
      </w:pPr>
    </w:p>
    <w:p w:rsidR="00735D60" w:rsidRDefault="00735D60" w:rsidP="0073522A">
      <w:pPr>
        <w:jc w:val="both"/>
        <w:rPr>
          <w:rFonts w:ascii="Arial" w:hAnsi="Arial" w:cs="Arial"/>
        </w:rPr>
      </w:pPr>
    </w:p>
    <w:p w:rsidR="001F2603" w:rsidRPr="00040022" w:rsidRDefault="001F2603" w:rsidP="0073522A">
      <w:pPr>
        <w:jc w:val="both"/>
        <w:rPr>
          <w:rFonts w:ascii="Arial" w:hAnsi="Arial" w:cs="Arial"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73522A" w:rsidRDefault="0073522A" w:rsidP="0073522A">
      <w:pPr>
        <w:jc w:val="both"/>
        <w:rPr>
          <w:rFonts w:ascii="Arial" w:hAnsi="Arial" w:cs="Arial"/>
        </w:rPr>
      </w:pPr>
    </w:p>
    <w:p w:rsidR="005D3499" w:rsidRDefault="00267C69">
      <w:pPr>
        <w:jc w:val="both"/>
        <w:rPr>
          <w:rFonts w:ascii="Arial" w:hAnsi="Arial" w:cs="Arial"/>
        </w:rPr>
      </w:pPr>
      <w:r w:rsidRPr="00267C69">
        <w:rPr>
          <w:rFonts w:ascii="Arial" w:hAnsi="Arial" w:cs="Arial"/>
        </w:rPr>
        <w:t>The B</w:t>
      </w:r>
      <w:r>
        <w:rPr>
          <w:rFonts w:ascii="Arial" w:hAnsi="Arial" w:cs="Arial"/>
        </w:rPr>
        <w:t>oard is asked to note the report.</w:t>
      </w:r>
      <w:bookmarkStart w:id="0" w:name="_GoBack"/>
      <w:bookmarkEnd w:id="0"/>
    </w:p>
    <w:p w:rsidR="00267C69" w:rsidRDefault="00267C69">
      <w:pPr>
        <w:jc w:val="both"/>
        <w:rPr>
          <w:rFonts w:ascii="Arial" w:hAnsi="Arial" w:cs="Arial"/>
        </w:rPr>
      </w:pPr>
    </w:p>
    <w:p w:rsidR="00267C69" w:rsidRPr="00267C69" w:rsidRDefault="00267C69">
      <w:pPr>
        <w:jc w:val="both"/>
        <w:rPr>
          <w:rFonts w:ascii="Arial" w:hAnsi="Arial" w:cs="Arial"/>
        </w:rPr>
      </w:pPr>
    </w:p>
    <w:p w:rsidR="0073522A" w:rsidRDefault="002619EF" w:rsidP="0073522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267C69">
        <w:rPr>
          <w:rFonts w:ascii="Arial" w:hAnsi="Arial" w:cs="Arial"/>
        </w:rPr>
        <w:t>Charlotte Hunt, Performance Information Manger</w:t>
      </w:r>
    </w:p>
    <w:p w:rsidR="00267C69" w:rsidRDefault="00267C69" w:rsidP="0073522A">
      <w:pPr>
        <w:ind w:left="1440" w:hanging="1440"/>
        <w:jc w:val="both"/>
        <w:rPr>
          <w:rFonts w:ascii="Arial" w:hAnsi="Arial" w:cs="Arial"/>
        </w:rPr>
      </w:pPr>
    </w:p>
    <w:p w:rsidR="0073522A" w:rsidRPr="00267C69" w:rsidRDefault="0073522A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267C69">
        <w:rPr>
          <w:rFonts w:ascii="Arial" w:hAnsi="Arial" w:cs="Arial"/>
        </w:rPr>
        <w:t>Mike McEnaney, Finance Director</w:t>
      </w:r>
    </w:p>
    <w:p w:rsidR="0073522A" w:rsidRDefault="0073522A">
      <w:pPr>
        <w:jc w:val="both"/>
        <w:rPr>
          <w:rFonts w:ascii="Arial" w:hAnsi="Arial" w:cs="Arial"/>
          <w:b/>
        </w:rPr>
      </w:pPr>
    </w:p>
    <w:p w:rsidR="00040022" w:rsidRDefault="00040022">
      <w:pPr>
        <w:jc w:val="both"/>
        <w:rPr>
          <w:rFonts w:ascii="Arial" w:hAnsi="Arial" w:cs="Arial"/>
        </w:rPr>
      </w:pPr>
    </w:p>
    <w:p w:rsidR="00040022" w:rsidRDefault="00040022">
      <w:pPr>
        <w:jc w:val="both"/>
        <w:rPr>
          <w:rFonts w:ascii="Arial" w:hAnsi="Arial" w:cs="Arial"/>
        </w:rPr>
      </w:pPr>
    </w:p>
    <w:p w:rsidR="00040022" w:rsidRDefault="00040022">
      <w:pPr>
        <w:jc w:val="both"/>
        <w:rPr>
          <w:rFonts w:ascii="Arial" w:hAnsi="Arial" w:cs="Arial"/>
        </w:rPr>
      </w:pPr>
    </w:p>
    <w:p w:rsidR="001F2603" w:rsidRDefault="001F2603">
      <w:pPr>
        <w:jc w:val="both"/>
        <w:rPr>
          <w:rFonts w:ascii="Arial" w:hAnsi="Arial" w:cs="Arial"/>
        </w:rPr>
      </w:pPr>
    </w:p>
    <w:p w:rsidR="001F2603" w:rsidRDefault="001F2603">
      <w:pPr>
        <w:jc w:val="both"/>
        <w:rPr>
          <w:rFonts w:ascii="Arial" w:hAnsi="Arial" w:cs="Arial"/>
        </w:rPr>
      </w:pPr>
    </w:p>
    <w:p w:rsidR="00040022" w:rsidRDefault="00040022">
      <w:pPr>
        <w:jc w:val="both"/>
        <w:rPr>
          <w:rFonts w:ascii="Arial" w:hAnsi="Arial" w:cs="Arial"/>
        </w:rPr>
      </w:pPr>
    </w:p>
    <w:p w:rsidR="00040022" w:rsidRDefault="00040022">
      <w:pPr>
        <w:jc w:val="both"/>
        <w:rPr>
          <w:rFonts w:ascii="Arial" w:hAnsi="Arial" w:cs="Arial"/>
        </w:rPr>
      </w:pPr>
    </w:p>
    <w:p w:rsidR="004F4BBA" w:rsidRPr="00894B97" w:rsidRDefault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Drafting Note: The</w:t>
      </w:r>
      <w:r w:rsidR="004F4BBA" w:rsidRPr="004F4BBA">
        <w:rPr>
          <w:rFonts w:ascii="Arial" w:hAnsi="Arial" w:cs="Arial"/>
        </w:rPr>
        <w:t xml:space="preserve"> </w:t>
      </w:r>
      <w:r w:rsidR="004F4BBA">
        <w:rPr>
          <w:rFonts w:ascii="Arial" w:hAnsi="Arial" w:cs="Arial"/>
        </w:rPr>
        <w:t>following statements must be attached to every report.</w:t>
      </w:r>
      <w:r w:rsidR="002C2F97">
        <w:rPr>
          <w:rFonts w:ascii="Arial" w:hAnsi="Arial" w:cs="Arial"/>
        </w:rPr>
        <w:t xml:space="preserve"> </w:t>
      </w:r>
      <w:r w:rsidR="00B26E1A">
        <w:rPr>
          <w:rFonts w:ascii="Arial" w:hAnsi="Arial" w:cs="Arial"/>
        </w:rPr>
        <w:t>]</w:t>
      </w: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(including all appendices) has been assessed against the Freedom of Information Act and the following applies: [</w:t>
      </w:r>
      <w:r w:rsidRPr="00781566">
        <w:rPr>
          <w:rFonts w:ascii="Arial" w:hAnsi="Arial" w:cs="Arial"/>
          <w:i/>
          <w:sz w:val="20"/>
          <w:szCs w:val="20"/>
          <w:u w:val="single"/>
        </w:rPr>
        <w:t>delete as appropriate</w:t>
      </w:r>
      <w:r>
        <w:rPr>
          <w:rFonts w:ascii="Arial" w:hAnsi="Arial" w:cs="Arial"/>
          <w:i/>
          <w:sz w:val="20"/>
          <w:szCs w:val="20"/>
        </w:rPr>
        <w:t>]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781566" w:rsidRDefault="00781566" w:rsidP="00781566">
      <w:pPr>
        <w:jc w:val="both"/>
        <w:rPr>
          <w:rFonts w:ascii="Arial" w:hAnsi="Arial" w:cs="Arial"/>
          <w:i/>
          <w:sz w:val="20"/>
          <w:szCs w:val="20"/>
        </w:rPr>
      </w:pP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PAPER, IN ITS ENTIRETY, MUST NOT BE PUBLISHED UNDER FOI AND THE FOLLOWING EXEMPTION(S) APPLY:</w:t>
      </w:r>
    </w:p>
    <w:p w:rsidR="00781566" w:rsidRPr="00781566" w:rsidRDefault="001E0F07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8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accessible to public by other means</w:t>
      </w:r>
    </w:p>
    <w:p w:rsidR="00781566" w:rsidRPr="00781566" w:rsidRDefault="001E0F07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9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intended for future publication</w:t>
      </w:r>
    </w:p>
    <w:p w:rsidR="00781566" w:rsidRPr="00781566" w:rsidRDefault="001E0F07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0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Audit functions</w:t>
      </w:r>
    </w:p>
    <w:p w:rsidR="00781566" w:rsidRPr="00781566" w:rsidRDefault="001E0F07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1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36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Prejudice to effective conduct of public affairs</w:t>
      </w:r>
    </w:p>
    <w:p w:rsidR="00781566" w:rsidRPr="00781566" w:rsidRDefault="001E0F07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2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38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Health and safety</w:t>
      </w:r>
    </w:p>
    <w:p w:rsidR="00781566" w:rsidRPr="00781566" w:rsidRDefault="001E0F07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3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40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Personal information</w:t>
      </w:r>
    </w:p>
    <w:p w:rsidR="00781566" w:rsidRPr="00781566" w:rsidRDefault="001E0F07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4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provided in confidence</w:t>
      </w:r>
    </w:p>
    <w:p w:rsidR="00781566" w:rsidRPr="00781566" w:rsidRDefault="001E0F07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5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Legal professional privilege</w:t>
      </w:r>
    </w:p>
    <w:p w:rsidR="00781566" w:rsidRPr="00781566" w:rsidRDefault="001E0F07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6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Commercial interests</w:t>
      </w:r>
    </w:p>
    <w:p w:rsidR="00781566" w:rsidRDefault="00781566" w:rsidP="00781566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SECTIONS MARKED IN THIS PAPER MUST NOT BE PUBLISHED UNDER FOI AND THE FOLLOWING EXEMPTION(S) APPLY:</w:t>
      </w:r>
    </w:p>
    <w:p w:rsidR="00781566" w:rsidRPr="00781566" w:rsidRDefault="001E0F07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7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accessible to public by other means</w:t>
      </w:r>
    </w:p>
    <w:p w:rsidR="00781566" w:rsidRPr="00781566" w:rsidRDefault="001E0F07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8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22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intended for future publication</w:t>
      </w:r>
    </w:p>
    <w:p w:rsidR="00781566" w:rsidRPr="00781566" w:rsidRDefault="001E0F07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19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Audit functions</w:t>
      </w:r>
    </w:p>
    <w:p w:rsidR="00781566" w:rsidRPr="00781566" w:rsidRDefault="001E0F07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0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36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Prejudice to effective conduct of public affairs</w:t>
      </w:r>
    </w:p>
    <w:p w:rsidR="00781566" w:rsidRPr="00781566" w:rsidRDefault="001E0F07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1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38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Health and safety</w:t>
      </w:r>
    </w:p>
    <w:p w:rsidR="00781566" w:rsidRPr="00781566" w:rsidRDefault="001E0F07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2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40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Personal information</w:t>
      </w:r>
    </w:p>
    <w:p w:rsidR="00781566" w:rsidRPr="00781566" w:rsidRDefault="001E0F07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3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41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Information provided in confidence</w:t>
      </w:r>
    </w:p>
    <w:p w:rsidR="00781566" w:rsidRPr="00781566" w:rsidRDefault="001E0F07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4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42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Legal professional privilege</w:t>
      </w:r>
    </w:p>
    <w:p w:rsidR="00781566" w:rsidRPr="00781566" w:rsidRDefault="001E0F07" w:rsidP="00781566">
      <w:pPr>
        <w:numPr>
          <w:ilvl w:val="1"/>
          <w:numId w:val="3"/>
        </w:numPr>
        <w:shd w:val="clear" w:color="auto" w:fill="FFFFFF"/>
        <w:spacing w:line="288" w:lineRule="atLeast"/>
        <w:outlineLvl w:val="5"/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</w:pPr>
      <w:hyperlink r:id="rId25" w:history="1">
        <w:r w:rsidR="00781566" w:rsidRPr="00781566">
          <w:rPr>
            <w:rFonts w:ascii="Arial" w:hAnsi="Arial" w:cs="Arial"/>
            <w:i/>
            <w:color w:val="000000" w:themeColor="text1"/>
            <w:sz w:val="20"/>
            <w:szCs w:val="20"/>
            <w:lang w:eastAsia="en-GB"/>
          </w:rPr>
          <w:t>Section 43</w:t>
        </w:r>
      </w:hyperlink>
      <w:r w:rsidR="00781566" w:rsidRPr="00781566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: Commercial interests</w:t>
      </w:r>
    </w:p>
    <w:p w:rsidR="00AF0562" w:rsidRPr="0073522A" w:rsidRDefault="00AF0562" w:rsidP="00735D60">
      <w:pPr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2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66" w:rsidRDefault="00781566" w:rsidP="005B3E3C">
      <w:r>
        <w:separator/>
      </w:r>
    </w:p>
  </w:endnote>
  <w:endnote w:type="continuationSeparator" w:id="0">
    <w:p w:rsidR="00781566" w:rsidRDefault="00781566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66" w:rsidRDefault="00781566" w:rsidP="005B3E3C">
      <w:r>
        <w:separator/>
      </w:r>
    </w:p>
  </w:footnote>
  <w:footnote w:type="continuationSeparator" w:id="0">
    <w:p w:rsidR="00781566" w:rsidRDefault="00781566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66" w:rsidRPr="005B3E3C" w:rsidRDefault="00781566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[</w:t>
    </w:r>
    <w:r w:rsidR="006E3C3E" w:rsidRPr="006E3C3E">
      <w:rPr>
        <w:rFonts w:ascii="Arial" w:hAnsi="Arial" w:cs="Arial"/>
        <w:b/>
        <w:i/>
      </w:rPr>
      <w:t>PUBLIC</w:t>
    </w:r>
    <w:r>
      <w:rPr>
        <w:rFonts w:ascii="Arial" w:hAnsi="Arial" w:cs="Arial"/>
      </w:rPr>
      <w:t>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7657"/>
    <w:multiLevelType w:val="hybridMultilevel"/>
    <w:tmpl w:val="50148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B02CB"/>
    <w:multiLevelType w:val="hybridMultilevel"/>
    <w:tmpl w:val="974CC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2A73E8"/>
    <w:rsid w:val="00040022"/>
    <w:rsid w:val="001E0F07"/>
    <w:rsid w:val="001F2603"/>
    <w:rsid w:val="001F76ED"/>
    <w:rsid w:val="00227FCE"/>
    <w:rsid w:val="00232288"/>
    <w:rsid w:val="002619EF"/>
    <w:rsid w:val="00267C69"/>
    <w:rsid w:val="002821F8"/>
    <w:rsid w:val="00282CE5"/>
    <w:rsid w:val="00292613"/>
    <w:rsid w:val="002A73E8"/>
    <w:rsid w:val="002C2F97"/>
    <w:rsid w:val="002E6FC6"/>
    <w:rsid w:val="003971F6"/>
    <w:rsid w:val="004326BB"/>
    <w:rsid w:val="004F4BBA"/>
    <w:rsid w:val="005233AA"/>
    <w:rsid w:val="00551B0F"/>
    <w:rsid w:val="00553872"/>
    <w:rsid w:val="005659FB"/>
    <w:rsid w:val="005B3E3C"/>
    <w:rsid w:val="005C3FC1"/>
    <w:rsid w:val="005D3499"/>
    <w:rsid w:val="005E2583"/>
    <w:rsid w:val="0061684E"/>
    <w:rsid w:val="00657F7E"/>
    <w:rsid w:val="006E3C3E"/>
    <w:rsid w:val="0073522A"/>
    <w:rsid w:val="00735D60"/>
    <w:rsid w:val="007769CD"/>
    <w:rsid w:val="0078032B"/>
    <w:rsid w:val="00781566"/>
    <w:rsid w:val="007976E7"/>
    <w:rsid w:val="007A2CF0"/>
    <w:rsid w:val="007B6D77"/>
    <w:rsid w:val="00802701"/>
    <w:rsid w:val="008038A2"/>
    <w:rsid w:val="00811FE8"/>
    <w:rsid w:val="0086436B"/>
    <w:rsid w:val="00894B97"/>
    <w:rsid w:val="00946E6E"/>
    <w:rsid w:val="009869DE"/>
    <w:rsid w:val="00997325"/>
    <w:rsid w:val="00A674FB"/>
    <w:rsid w:val="00A85311"/>
    <w:rsid w:val="00AA0C3F"/>
    <w:rsid w:val="00AC3814"/>
    <w:rsid w:val="00AF0562"/>
    <w:rsid w:val="00B26E1A"/>
    <w:rsid w:val="00B26F2C"/>
    <w:rsid w:val="00B50D5E"/>
    <w:rsid w:val="00B874F3"/>
    <w:rsid w:val="00BA3B3E"/>
    <w:rsid w:val="00BB45F2"/>
    <w:rsid w:val="00BF5367"/>
    <w:rsid w:val="00C07817"/>
    <w:rsid w:val="00C11AA2"/>
    <w:rsid w:val="00CA2E90"/>
    <w:rsid w:val="00D07064"/>
    <w:rsid w:val="00D279FC"/>
    <w:rsid w:val="00D55ADD"/>
    <w:rsid w:val="00D8544F"/>
    <w:rsid w:val="00DA0FA6"/>
    <w:rsid w:val="00DD33DF"/>
    <w:rsid w:val="00DE1293"/>
    <w:rsid w:val="00E827C5"/>
    <w:rsid w:val="00F23C27"/>
    <w:rsid w:val="00F24EB2"/>
    <w:rsid w:val="00F50A07"/>
    <w:rsid w:val="00F57119"/>
    <w:rsid w:val="00FD2279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00/36/section/21" TargetMode="External"/><Relationship Id="rId13" Type="http://schemas.openxmlformats.org/officeDocument/2006/relationships/hyperlink" Target="http://www.legislation.gov.uk/ukpga/2000/36/section/40" TargetMode="External"/><Relationship Id="rId18" Type="http://schemas.openxmlformats.org/officeDocument/2006/relationships/hyperlink" Target="http://www.legislation.gov.uk/ukpga/2000/36/section/22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legislation.gov.uk/ukpga/2000/36/section/3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egislation.gov.uk/ukpga/2000/36/section/38" TargetMode="External"/><Relationship Id="rId17" Type="http://schemas.openxmlformats.org/officeDocument/2006/relationships/hyperlink" Target="http://www.legislation.gov.uk/ukpga/2000/36/section/21" TargetMode="External"/><Relationship Id="rId25" Type="http://schemas.openxmlformats.org/officeDocument/2006/relationships/hyperlink" Target="http://www.legislation.gov.uk/ukpga/2000/36/section/4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slation.gov.uk/ukpga/2000/36/section/43" TargetMode="External"/><Relationship Id="rId20" Type="http://schemas.openxmlformats.org/officeDocument/2006/relationships/hyperlink" Target="http://www.legislation.gov.uk/ukpga/2000/36/section/36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.uk/ukpga/2000/36/section/36" TargetMode="External"/><Relationship Id="rId24" Type="http://schemas.openxmlformats.org/officeDocument/2006/relationships/hyperlink" Target="http://www.legislation.gov.uk/ukpga/2000/36/section/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gislation.gov.uk/ukpga/2000/36/section/42" TargetMode="External"/><Relationship Id="rId23" Type="http://schemas.openxmlformats.org/officeDocument/2006/relationships/hyperlink" Target="http://www.legislation.gov.uk/ukpga/2000/36/section/4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egislation.gov.uk/ukpga/2000/36/section/33" TargetMode="External"/><Relationship Id="rId19" Type="http://schemas.openxmlformats.org/officeDocument/2006/relationships/hyperlink" Target="http://www.legislation.gov.uk/ukpga/2000/36/section/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pga/2000/36/section/22" TargetMode="External"/><Relationship Id="rId14" Type="http://schemas.openxmlformats.org/officeDocument/2006/relationships/hyperlink" Target="http://www.legislation.gov.uk/ukpga/2000/36/section/41" TargetMode="External"/><Relationship Id="rId22" Type="http://schemas.openxmlformats.org/officeDocument/2006/relationships/hyperlink" Target="http://www.legislation.gov.uk/ukpga/2000/36/section/4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justinian.habner</cp:lastModifiedBy>
  <cp:revision>2</cp:revision>
  <cp:lastPrinted>2014-03-17T14:55:00Z</cp:lastPrinted>
  <dcterms:created xsi:type="dcterms:W3CDTF">2014-07-23T09:13:00Z</dcterms:created>
  <dcterms:modified xsi:type="dcterms:W3CDTF">2014-07-23T09:13:00Z</dcterms:modified>
</cp:coreProperties>
</file>