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C3" w:rsidRPr="00E32BF3" w:rsidRDefault="00EE2451" w:rsidP="00DB31C3">
      <w:pPr>
        <w:ind w:right="-900"/>
        <w:jc w:val="right"/>
        <w:rPr>
          <w:rFonts w:ascii="Arial" w:hAnsi="Arial" w:cs="Arial"/>
        </w:rPr>
      </w:pPr>
      <w:r>
        <w:rPr>
          <w:rFonts w:ascii="Arial" w:hAnsi="Arial" w:cs="Arial"/>
          <w:noProof/>
        </w:rPr>
        <w:drawing>
          <wp:inline distT="0" distB="0" distL="0" distR="0">
            <wp:extent cx="2549525" cy="508000"/>
            <wp:effectExtent l="19050" t="0" r="317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549525" cy="508000"/>
                    </a:xfrm>
                    <a:prstGeom prst="rect">
                      <a:avLst/>
                    </a:prstGeom>
                    <a:noFill/>
                    <a:ln w="9525">
                      <a:noFill/>
                      <a:miter lim="800000"/>
                      <a:headEnd/>
                      <a:tailEnd/>
                    </a:ln>
                  </pic:spPr>
                </pic:pic>
              </a:graphicData>
            </a:graphic>
          </wp:inline>
        </w:drawing>
      </w:r>
    </w:p>
    <w:p w:rsidR="00DB31C3" w:rsidRPr="00E32BF3" w:rsidRDefault="00DB31C3" w:rsidP="00DB31C3">
      <w:pPr>
        <w:rPr>
          <w:rFonts w:ascii="Arial" w:hAnsi="Arial" w:cs="Arial"/>
        </w:rPr>
      </w:pPr>
    </w:p>
    <w:p w:rsidR="00DB31C3" w:rsidRPr="00E32BF3" w:rsidRDefault="00DB31C3" w:rsidP="00DB31C3">
      <w:pPr>
        <w:jc w:val="center"/>
        <w:rPr>
          <w:rFonts w:ascii="Arial" w:hAnsi="Arial" w:cs="Arial"/>
        </w:rPr>
      </w:pPr>
      <w:r w:rsidRPr="0093110C">
        <w:rPr>
          <w:rFonts w:ascii="Arial" w:hAnsi="Arial" w:cs="Arial"/>
          <w:noProof/>
          <w:sz w:val="20"/>
        </w:rPr>
        <w:pict>
          <v:rect id="_x0000_s1026" style="position:absolute;left:0;text-align:left;margin-left:324pt;margin-top:4.05pt;width:108pt;height:45pt;z-index:251657728">
            <v:textbox inset="0,0,0,0">
              <w:txbxContent>
                <w:p w:rsidR="004C06E0" w:rsidRDefault="004C06E0" w:rsidP="00DB31C3">
                  <w:pPr>
                    <w:pStyle w:val="Heading1"/>
                    <w:jc w:val="center"/>
                    <w:rPr>
                      <w:sz w:val="24"/>
                      <w:u w:val="none"/>
                    </w:rPr>
                  </w:pPr>
                  <w:r>
                    <w:rPr>
                      <w:sz w:val="24"/>
                      <w:u w:val="none"/>
                    </w:rPr>
                    <w:t>PAPER</w:t>
                  </w:r>
                </w:p>
                <w:p w:rsidR="004C06E0" w:rsidRDefault="004C06E0" w:rsidP="00DB31C3">
                  <w:pPr>
                    <w:pStyle w:val="BodyText"/>
                    <w:rPr>
                      <w:sz w:val="22"/>
                    </w:rPr>
                  </w:pPr>
                  <w:r>
                    <w:rPr>
                      <w:sz w:val="22"/>
                    </w:rPr>
                    <w:t xml:space="preserve">BOD </w:t>
                  </w:r>
                  <w:r w:rsidR="00EE2451">
                    <w:rPr>
                      <w:sz w:val="22"/>
                    </w:rPr>
                    <w:t>96/2014</w:t>
                  </w:r>
                </w:p>
                <w:p w:rsidR="004C06E0" w:rsidRDefault="004C06E0" w:rsidP="00DB31C3">
                  <w:pPr>
                    <w:jc w:val="center"/>
                    <w:rPr>
                      <w:b/>
                    </w:rPr>
                  </w:pPr>
                </w:p>
              </w:txbxContent>
            </v:textbox>
          </v:rect>
        </w:pict>
      </w:r>
    </w:p>
    <w:p w:rsidR="00DB31C3" w:rsidRPr="00E32BF3" w:rsidRDefault="00DB31C3" w:rsidP="00DB31C3">
      <w:pPr>
        <w:pStyle w:val="Heading1"/>
        <w:rPr>
          <w:rFonts w:cs="Arial"/>
          <w:sz w:val="24"/>
        </w:rPr>
      </w:pPr>
    </w:p>
    <w:p w:rsidR="00DB31C3" w:rsidRPr="00E32BF3" w:rsidRDefault="00DB31C3" w:rsidP="00DB31C3">
      <w:pPr>
        <w:pStyle w:val="Heading1"/>
        <w:rPr>
          <w:rFonts w:cs="Arial"/>
          <w:sz w:val="24"/>
        </w:rPr>
      </w:pPr>
    </w:p>
    <w:p w:rsidR="00DB31C3" w:rsidRPr="00E32BF3" w:rsidRDefault="00DB31C3" w:rsidP="00DB31C3">
      <w:pPr>
        <w:pStyle w:val="Heading1"/>
        <w:rPr>
          <w:rFonts w:cs="Arial"/>
          <w:sz w:val="24"/>
        </w:rPr>
      </w:pPr>
    </w:p>
    <w:p w:rsidR="00DB31C3" w:rsidRPr="00E32BF3" w:rsidRDefault="00DB31C3" w:rsidP="00DB31C3">
      <w:pPr>
        <w:pStyle w:val="Heading1"/>
        <w:jc w:val="center"/>
        <w:rPr>
          <w:rFonts w:cs="Arial"/>
          <w:sz w:val="28"/>
          <w:u w:val="none"/>
        </w:rPr>
      </w:pPr>
    </w:p>
    <w:p w:rsidR="00DB31C3" w:rsidRPr="00DB31C3" w:rsidRDefault="00DB31C3" w:rsidP="00DB31C3">
      <w:pPr>
        <w:pStyle w:val="Heading1"/>
        <w:jc w:val="center"/>
        <w:rPr>
          <w:rFonts w:ascii="Segoe UI" w:hAnsi="Segoe UI" w:cs="Segoe UI"/>
          <w:sz w:val="24"/>
          <w:szCs w:val="24"/>
          <w:u w:val="none"/>
        </w:rPr>
      </w:pPr>
      <w:r w:rsidRPr="00DB31C3">
        <w:rPr>
          <w:rFonts w:ascii="Segoe UI" w:hAnsi="Segoe UI" w:cs="Segoe UI"/>
          <w:sz w:val="24"/>
          <w:szCs w:val="24"/>
          <w:u w:val="none"/>
        </w:rPr>
        <w:t xml:space="preserve">Report to the Meeting of the </w:t>
      </w:r>
    </w:p>
    <w:p w:rsidR="00DB31C3" w:rsidRPr="00DB31C3" w:rsidRDefault="00DB31C3" w:rsidP="00DB31C3">
      <w:pPr>
        <w:pStyle w:val="Heading1"/>
        <w:jc w:val="center"/>
        <w:rPr>
          <w:rFonts w:ascii="Segoe UI" w:hAnsi="Segoe UI" w:cs="Segoe UI"/>
          <w:sz w:val="24"/>
          <w:szCs w:val="24"/>
          <w:u w:val="none"/>
        </w:rPr>
      </w:pPr>
      <w:r w:rsidRPr="00DB31C3">
        <w:rPr>
          <w:rFonts w:ascii="Segoe UI" w:hAnsi="Segoe UI" w:cs="Segoe UI"/>
          <w:sz w:val="24"/>
          <w:szCs w:val="24"/>
          <w:u w:val="none"/>
        </w:rPr>
        <w:t xml:space="preserve">Oxford Health NHS Foundation Trust </w:t>
      </w:r>
    </w:p>
    <w:p w:rsidR="00DB31C3" w:rsidRPr="00DB31C3" w:rsidRDefault="00DB31C3" w:rsidP="00DB31C3">
      <w:pPr>
        <w:pStyle w:val="Heading1"/>
        <w:jc w:val="center"/>
        <w:rPr>
          <w:rFonts w:ascii="Segoe UI" w:hAnsi="Segoe UI" w:cs="Segoe UI"/>
          <w:sz w:val="24"/>
          <w:szCs w:val="24"/>
          <w:u w:val="none"/>
        </w:rPr>
      </w:pPr>
      <w:r w:rsidRPr="00DB31C3">
        <w:rPr>
          <w:rFonts w:ascii="Segoe UI" w:hAnsi="Segoe UI" w:cs="Segoe UI"/>
          <w:sz w:val="24"/>
          <w:szCs w:val="24"/>
          <w:u w:val="none"/>
        </w:rPr>
        <w:t>Board of Directors</w:t>
      </w:r>
    </w:p>
    <w:p w:rsidR="00DB31C3" w:rsidRPr="00DB31C3" w:rsidRDefault="00DB31C3" w:rsidP="00DB31C3">
      <w:pPr>
        <w:rPr>
          <w:rFonts w:ascii="Segoe UI" w:hAnsi="Segoe UI" w:cs="Segoe UI"/>
          <w:b/>
          <w:sz w:val="24"/>
          <w:szCs w:val="24"/>
        </w:rPr>
      </w:pPr>
    </w:p>
    <w:p w:rsidR="00DB31C3" w:rsidRPr="00DB31C3" w:rsidRDefault="00EE2451" w:rsidP="00DB31C3">
      <w:pPr>
        <w:jc w:val="center"/>
        <w:rPr>
          <w:rFonts w:ascii="Segoe UI" w:hAnsi="Segoe UI" w:cs="Segoe UI"/>
          <w:b/>
          <w:sz w:val="24"/>
          <w:szCs w:val="24"/>
        </w:rPr>
      </w:pPr>
      <w:r>
        <w:rPr>
          <w:rFonts w:ascii="Segoe UI" w:hAnsi="Segoe UI" w:cs="Segoe UI"/>
          <w:b/>
          <w:sz w:val="24"/>
          <w:szCs w:val="24"/>
        </w:rPr>
        <w:t xml:space="preserve">30 </w:t>
      </w:r>
      <w:r w:rsidR="00DB31C3">
        <w:rPr>
          <w:rFonts w:ascii="Segoe UI" w:hAnsi="Segoe UI" w:cs="Segoe UI"/>
          <w:b/>
          <w:sz w:val="24"/>
          <w:szCs w:val="24"/>
        </w:rPr>
        <w:t>July 2014</w:t>
      </w:r>
    </w:p>
    <w:p w:rsidR="00DB31C3" w:rsidRPr="00DB31C3" w:rsidRDefault="00DB31C3" w:rsidP="00DB31C3">
      <w:pPr>
        <w:jc w:val="center"/>
        <w:rPr>
          <w:rFonts w:ascii="Segoe UI" w:hAnsi="Segoe UI" w:cs="Segoe UI"/>
          <w:b/>
          <w:sz w:val="24"/>
          <w:szCs w:val="24"/>
        </w:rPr>
      </w:pPr>
    </w:p>
    <w:p w:rsidR="00DB31C3" w:rsidRPr="00DB31C3" w:rsidRDefault="00DB31C3" w:rsidP="00DB31C3">
      <w:pPr>
        <w:jc w:val="center"/>
        <w:rPr>
          <w:rFonts w:ascii="Segoe UI" w:hAnsi="Segoe UI" w:cs="Segoe UI"/>
          <w:b/>
          <w:sz w:val="24"/>
          <w:szCs w:val="24"/>
        </w:rPr>
      </w:pPr>
      <w:bookmarkStart w:id="0" w:name="_GoBack"/>
      <w:bookmarkEnd w:id="0"/>
      <w:r>
        <w:rPr>
          <w:rFonts w:ascii="Segoe UI" w:hAnsi="Segoe UI" w:cs="Segoe UI"/>
          <w:b/>
          <w:sz w:val="24"/>
          <w:szCs w:val="24"/>
        </w:rPr>
        <w:t>NHS Constitution</w:t>
      </w:r>
      <w:r w:rsidR="00EE2451">
        <w:rPr>
          <w:rFonts w:ascii="Segoe UI" w:hAnsi="Segoe UI" w:cs="Segoe UI"/>
          <w:b/>
          <w:sz w:val="24"/>
          <w:szCs w:val="24"/>
        </w:rPr>
        <w:t xml:space="preserve"> Compliance Report</w:t>
      </w:r>
    </w:p>
    <w:p w:rsidR="00DB31C3" w:rsidRPr="00DB31C3" w:rsidRDefault="00DB31C3" w:rsidP="00DB31C3">
      <w:pPr>
        <w:rPr>
          <w:rFonts w:ascii="Segoe UI" w:hAnsi="Segoe UI" w:cs="Segoe UI"/>
          <w:b/>
          <w:sz w:val="24"/>
          <w:szCs w:val="24"/>
        </w:rPr>
      </w:pPr>
    </w:p>
    <w:p w:rsidR="00DB31C3" w:rsidRPr="00DB31C3" w:rsidRDefault="00DB31C3" w:rsidP="00DB31C3">
      <w:pPr>
        <w:rPr>
          <w:rFonts w:ascii="Segoe UI" w:hAnsi="Segoe UI" w:cs="Segoe UI"/>
          <w:b/>
          <w:sz w:val="24"/>
          <w:szCs w:val="24"/>
        </w:rPr>
      </w:pPr>
    </w:p>
    <w:p w:rsidR="00DB31C3" w:rsidRPr="00DB31C3" w:rsidRDefault="00DB31C3" w:rsidP="00DB31C3">
      <w:pPr>
        <w:rPr>
          <w:rFonts w:ascii="Segoe UI" w:hAnsi="Segoe UI" w:cs="Segoe UI"/>
          <w:sz w:val="24"/>
          <w:szCs w:val="24"/>
        </w:rPr>
      </w:pPr>
      <w:r w:rsidRPr="00DB31C3">
        <w:rPr>
          <w:rFonts w:ascii="Segoe UI" w:hAnsi="Segoe UI" w:cs="Segoe UI"/>
          <w:b/>
          <w:sz w:val="24"/>
          <w:szCs w:val="24"/>
        </w:rPr>
        <w:t>For information</w:t>
      </w:r>
      <w:r w:rsidRPr="00DB31C3">
        <w:rPr>
          <w:rFonts w:ascii="Segoe UI" w:hAnsi="Segoe UI" w:cs="Segoe UI"/>
          <w:sz w:val="24"/>
          <w:szCs w:val="24"/>
        </w:rPr>
        <w:t xml:space="preserve"> </w:t>
      </w:r>
    </w:p>
    <w:p w:rsidR="00DB31C3" w:rsidRPr="00DB31C3" w:rsidRDefault="00DB31C3" w:rsidP="00DB31C3">
      <w:pPr>
        <w:rPr>
          <w:rFonts w:ascii="Segoe UI" w:hAnsi="Segoe UI" w:cs="Segoe UI"/>
          <w:sz w:val="24"/>
          <w:szCs w:val="24"/>
        </w:rPr>
      </w:pPr>
    </w:p>
    <w:p w:rsidR="00DB31C3" w:rsidRPr="00DB31C3" w:rsidRDefault="00DB31C3" w:rsidP="00DB31C3">
      <w:pPr>
        <w:jc w:val="both"/>
        <w:rPr>
          <w:rFonts w:ascii="Segoe UI" w:hAnsi="Segoe UI" w:cs="Segoe UI"/>
          <w:sz w:val="24"/>
          <w:szCs w:val="24"/>
        </w:rPr>
      </w:pPr>
      <w:r w:rsidRPr="00DB31C3">
        <w:rPr>
          <w:rFonts w:ascii="Segoe UI" w:hAnsi="Segoe UI" w:cs="Segoe UI"/>
          <w:sz w:val="24"/>
          <w:szCs w:val="24"/>
        </w:rPr>
        <w:t>Following the recent Berwick report responding to the findings of the Keogh review into high mortality rates at a number of NHS Trusts the NHS Constitution has been updated. This report and appendix has been produced to enable the Board to assess how effectively we are meeting the rights and pledges include in the new NHS Constitution and any areas where we require further development.</w:t>
      </w:r>
    </w:p>
    <w:p w:rsidR="00DB31C3" w:rsidRPr="00DB31C3" w:rsidRDefault="00DB31C3" w:rsidP="00DB31C3">
      <w:pPr>
        <w:jc w:val="both"/>
        <w:rPr>
          <w:rFonts w:ascii="Segoe UI" w:hAnsi="Segoe UI" w:cs="Segoe UI"/>
          <w:sz w:val="24"/>
          <w:szCs w:val="24"/>
        </w:rPr>
      </w:pPr>
    </w:p>
    <w:p w:rsidR="00DB31C3" w:rsidRPr="00DB31C3" w:rsidRDefault="00DB31C3" w:rsidP="00DB31C3">
      <w:pPr>
        <w:jc w:val="both"/>
        <w:rPr>
          <w:rFonts w:ascii="Segoe UI" w:hAnsi="Segoe UI" w:cs="Segoe UI"/>
          <w:b/>
          <w:sz w:val="24"/>
          <w:szCs w:val="24"/>
        </w:rPr>
      </w:pPr>
      <w:r w:rsidRPr="00DB31C3">
        <w:rPr>
          <w:rFonts w:ascii="Segoe UI" w:hAnsi="Segoe UI" w:cs="Segoe UI"/>
          <w:b/>
          <w:sz w:val="24"/>
          <w:szCs w:val="24"/>
        </w:rPr>
        <w:t>Recommendation</w:t>
      </w:r>
    </w:p>
    <w:p w:rsidR="00DB31C3" w:rsidRPr="00DB31C3" w:rsidRDefault="00DB31C3" w:rsidP="00DB31C3">
      <w:pPr>
        <w:jc w:val="both"/>
        <w:rPr>
          <w:rFonts w:ascii="Segoe UI" w:hAnsi="Segoe UI" w:cs="Segoe UI"/>
          <w:sz w:val="24"/>
          <w:szCs w:val="24"/>
        </w:rPr>
      </w:pPr>
    </w:p>
    <w:p w:rsidR="00DB31C3" w:rsidRPr="00DB31C3" w:rsidRDefault="00DB31C3" w:rsidP="00DB31C3">
      <w:pPr>
        <w:jc w:val="both"/>
        <w:rPr>
          <w:rFonts w:ascii="Segoe UI" w:hAnsi="Segoe UI" w:cs="Segoe UI"/>
          <w:sz w:val="24"/>
          <w:szCs w:val="24"/>
        </w:rPr>
      </w:pPr>
      <w:r w:rsidRPr="00DB31C3">
        <w:rPr>
          <w:rFonts w:ascii="Segoe UI" w:hAnsi="Segoe UI" w:cs="Segoe UI"/>
          <w:sz w:val="24"/>
          <w:szCs w:val="24"/>
        </w:rPr>
        <w:t>The Board is asked to note the report.</w:t>
      </w:r>
    </w:p>
    <w:p w:rsidR="00DB31C3" w:rsidRPr="00DB31C3" w:rsidRDefault="00DB31C3" w:rsidP="00DB31C3">
      <w:pPr>
        <w:jc w:val="both"/>
        <w:rPr>
          <w:rFonts w:ascii="Segoe UI" w:hAnsi="Segoe UI" w:cs="Segoe UI"/>
          <w:b/>
          <w:sz w:val="24"/>
          <w:szCs w:val="24"/>
        </w:rPr>
      </w:pPr>
    </w:p>
    <w:p w:rsidR="00DB31C3" w:rsidRPr="00DB31C3" w:rsidRDefault="00DB31C3" w:rsidP="00DB31C3">
      <w:pPr>
        <w:rPr>
          <w:rFonts w:ascii="Segoe UI" w:hAnsi="Segoe UI" w:cs="Segoe UI"/>
          <w:color w:val="000000"/>
          <w:sz w:val="24"/>
          <w:szCs w:val="24"/>
        </w:rPr>
      </w:pPr>
      <w:r w:rsidRPr="00DB31C3">
        <w:rPr>
          <w:rFonts w:ascii="Segoe UI" w:hAnsi="Segoe UI" w:cs="Segoe UI"/>
          <w:b/>
          <w:sz w:val="24"/>
          <w:szCs w:val="24"/>
        </w:rPr>
        <w:t>Author and Title:</w:t>
      </w:r>
      <w:r w:rsidRPr="00DB31C3">
        <w:rPr>
          <w:rFonts w:ascii="Segoe UI" w:hAnsi="Segoe UI" w:cs="Segoe UI"/>
          <w:sz w:val="24"/>
          <w:szCs w:val="24"/>
        </w:rPr>
        <w:t xml:space="preserve"> </w:t>
      </w:r>
      <w:r w:rsidRPr="00DB31C3">
        <w:rPr>
          <w:rFonts w:ascii="Segoe UI" w:hAnsi="Segoe UI" w:cs="Segoe UI"/>
          <w:sz w:val="24"/>
          <w:szCs w:val="24"/>
        </w:rPr>
        <w:tab/>
        <w:t>Tehmeena Ajmal, Head of Quality and Safety</w:t>
      </w:r>
      <w:r w:rsidRPr="00DB31C3">
        <w:rPr>
          <w:rFonts w:ascii="Segoe UI" w:hAnsi="Segoe UI" w:cs="Segoe UI"/>
          <w:color w:val="000000"/>
          <w:sz w:val="24"/>
          <w:szCs w:val="24"/>
        </w:rPr>
        <w:t>; Anne Brierley, Service Director – Older People’s Services</w:t>
      </w:r>
      <w:r w:rsidR="00522496">
        <w:rPr>
          <w:rFonts w:ascii="Segoe UI" w:hAnsi="Segoe UI" w:cs="Segoe UI"/>
          <w:color w:val="000000"/>
          <w:sz w:val="24"/>
          <w:szCs w:val="24"/>
        </w:rPr>
        <w:t>; Jayne Halford, Deputy Director of HR</w:t>
      </w:r>
    </w:p>
    <w:p w:rsidR="00DB31C3" w:rsidRPr="00DB31C3" w:rsidRDefault="00DB31C3" w:rsidP="00DB31C3">
      <w:pPr>
        <w:ind w:hanging="1440"/>
        <w:jc w:val="both"/>
        <w:rPr>
          <w:rFonts w:ascii="Segoe UI" w:hAnsi="Segoe UI" w:cs="Segoe UI"/>
          <w:color w:val="000000"/>
          <w:sz w:val="24"/>
          <w:szCs w:val="24"/>
        </w:rPr>
      </w:pPr>
    </w:p>
    <w:p w:rsidR="00DB31C3" w:rsidRPr="00DB31C3" w:rsidRDefault="00DB31C3" w:rsidP="00DB31C3">
      <w:pPr>
        <w:jc w:val="both"/>
        <w:rPr>
          <w:rFonts w:ascii="Segoe UI" w:hAnsi="Segoe UI" w:cs="Segoe UI"/>
          <w:sz w:val="24"/>
          <w:szCs w:val="24"/>
        </w:rPr>
      </w:pPr>
      <w:r w:rsidRPr="00DB31C3">
        <w:rPr>
          <w:rFonts w:ascii="Segoe UI" w:hAnsi="Segoe UI" w:cs="Segoe UI"/>
          <w:b/>
          <w:sz w:val="24"/>
          <w:szCs w:val="24"/>
        </w:rPr>
        <w:t>Lead Executive Director:</w:t>
      </w:r>
      <w:r w:rsidRPr="00DB31C3">
        <w:rPr>
          <w:rFonts w:ascii="Segoe UI" w:hAnsi="Segoe UI" w:cs="Segoe UI"/>
          <w:b/>
          <w:sz w:val="24"/>
          <w:szCs w:val="24"/>
        </w:rPr>
        <w:tab/>
        <w:t xml:space="preserve"> </w:t>
      </w:r>
      <w:r w:rsidRPr="00DB31C3">
        <w:rPr>
          <w:rFonts w:ascii="Segoe UI" w:hAnsi="Segoe UI" w:cs="Segoe UI"/>
          <w:sz w:val="24"/>
          <w:szCs w:val="24"/>
        </w:rPr>
        <w:t>Yvonne Taylor, Chief Operating Officer</w:t>
      </w:r>
    </w:p>
    <w:p w:rsidR="00DB31C3" w:rsidRPr="00DB31C3" w:rsidRDefault="00DB31C3" w:rsidP="00DB31C3">
      <w:pPr>
        <w:jc w:val="both"/>
        <w:rPr>
          <w:rFonts w:ascii="Segoe UI" w:hAnsi="Segoe UI" w:cs="Segoe UI"/>
          <w:b/>
          <w:sz w:val="24"/>
          <w:szCs w:val="24"/>
        </w:rPr>
      </w:pPr>
    </w:p>
    <w:p w:rsidR="00DB31C3" w:rsidRPr="00DB31C3" w:rsidRDefault="00DB31C3" w:rsidP="00DB31C3">
      <w:pPr>
        <w:numPr>
          <w:ilvl w:val="0"/>
          <w:numId w:val="1"/>
        </w:numPr>
        <w:tabs>
          <w:tab w:val="clear" w:pos="720"/>
          <w:tab w:val="num" w:pos="0"/>
        </w:tabs>
        <w:ind w:left="0"/>
        <w:jc w:val="both"/>
        <w:rPr>
          <w:rFonts w:ascii="Segoe UI" w:hAnsi="Segoe UI" w:cs="Segoe UI"/>
          <w:i/>
          <w:sz w:val="24"/>
          <w:szCs w:val="24"/>
        </w:rPr>
      </w:pPr>
      <w:r w:rsidRPr="00DB31C3">
        <w:rPr>
          <w:rFonts w:ascii="Segoe UI" w:hAnsi="Segoe UI" w:cs="Segoe UI"/>
          <w:i/>
          <w:sz w:val="24"/>
          <w:szCs w:val="24"/>
        </w:rPr>
        <w:t>A risk assessment has been undertaken around the legal issues that this paper presents and there are no issues that need to be referred to the Trust Solicitors.</w:t>
      </w:r>
    </w:p>
    <w:p w:rsidR="00DB31C3" w:rsidRPr="00DB31C3" w:rsidRDefault="00DB31C3" w:rsidP="00DB31C3">
      <w:pPr>
        <w:numPr>
          <w:ilvl w:val="0"/>
          <w:numId w:val="1"/>
        </w:numPr>
        <w:tabs>
          <w:tab w:val="clear" w:pos="720"/>
          <w:tab w:val="num" w:pos="0"/>
        </w:tabs>
        <w:ind w:left="0"/>
        <w:jc w:val="both"/>
        <w:rPr>
          <w:rFonts w:ascii="Segoe UI" w:hAnsi="Segoe UI" w:cs="Segoe UI"/>
          <w:sz w:val="24"/>
          <w:szCs w:val="24"/>
        </w:rPr>
      </w:pPr>
      <w:r w:rsidRPr="00DB31C3">
        <w:rPr>
          <w:rFonts w:ascii="Segoe UI" w:hAnsi="Segoe UI" w:cs="Segoe UI"/>
          <w:i/>
          <w:sz w:val="24"/>
          <w:szCs w:val="24"/>
        </w:rPr>
        <w:t>This paper provides assurance and evidence against the Care Quality Commission Outcome:   4,7,8,9,10,13</w:t>
      </w:r>
    </w:p>
    <w:p w:rsidR="002B0FC4" w:rsidRPr="00C96279" w:rsidRDefault="00DB31C3" w:rsidP="00DB31C3">
      <w:pPr>
        <w:rPr>
          <w:rFonts w:ascii="Segoe UI" w:hAnsi="Segoe UI" w:cs="Segoe UI"/>
        </w:rPr>
      </w:pPr>
      <w:r w:rsidRPr="00DB31C3">
        <w:rPr>
          <w:rFonts w:ascii="Segoe UI" w:hAnsi="Segoe UI" w:cs="Segoe UI"/>
          <w:b/>
          <w:noProof/>
          <w:sz w:val="24"/>
          <w:szCs w:val="24"/>
        </w:rPr>
        <w:br w:type="page"/>
      </w:r>
      <w:r w:rsidR="00F9337A" w:rsidRPr="00C96279">
        <w:rPr>
          <w:rFonts w:ascii="Segoe UI" w:hAnsi="Segoe UI" w:cs="Segoe UI"/>
          <w:b/>
          <w:noProof/>
        </w:rPr>
        <w:lastRenderedPageBreak/>
        <w:t>Assessment for Oxford Health Foundation NHS Trust against the revised NHS Constitu</w:t>
      </w:r>
      <w:r w:rsidR="00C96279" w:rsidRPr="00C96279">
        <w:rPr>
          <w:rFonts w:ascii="Segoe UI" w:hAnsi="Segoe UI" w:cs="Segoe UI"/>
          <w:b/>
          <w:noProof/>
        </w:rPr>
        <w:t>t</w:t>
      </w:r>
      <w:r w:rsidR="00F9337A" w:rsidRPr="00C96279">
        <w:rPr>
          <w:rFonts w:ascii="Segoe UI" w:hAnsi="Segoe UI" w:cs="Segoe UI"/>
          <w:b/>
          <w:noProof/>
        </w:rPr>
        <w:t>ion</w:t>
      </w:r>
      <w:r w:rsidR="00906B9C" w:rsidRPr="00C96279">
        <w:rPr>
          <w:rFonts w:ascii="Segoe UI" w:hAnsi="Segoe UI" w:cs="Segoe UI"/>
          <w:b/>
        </w:rPr>
        <w:t xml:space="preserve"> </w:t>
      </w:r>
    </w:p>
    <w:p w:rsidR="00C96279" w:rsidRDefault="00C96279" w:rsidP="00DB31C3">
      <w:pPr>
        <w:rPr>
          <w:rFonts w:ascii="Segoe UI" w:hAnsi="Segoe UI" w:cs="Segoe UI"/>
        </w:rPr>
      </w:pPr>
    </w:p>
    <w:p w:rsidR="00C96279" w:rsidRPr="00C96279" w:rsidRDefault="00C96279" w:rsidP="00DB31C3">
      <w:pPr>
        <w:rPr>
          <w:rFonts w:ascii="Segoe UI" w:hAnsi="Segoe UI" w:cs="Segoe UI"/>
        </w:rPr>
      </w:pPr>
      <w:r>
        <w:rPr>
          <w:rFonts w:ascii="Segoe UI" w:hAnsi="Segoe UI" w:cs="Segoe UI"/>
        </w:rPr>
        <w:t>The NHS Constitution has been updated in response to the recent Berwick report which outlined how the NHS might best deliver safe and effective services in light of the findings from the Keogh review into high mortality rates in fourteen NHS Trusts. The purpose of this paper is to map for the Board of Directors how and where we oversee delivery of the rights and pledges set out in the NHS Constitution. This includes a description of</w:t>
      </w:r>
      <w:r w:rsidRPr="00DB31C3">
        <w:rPr>
          <w:rFonts w:ascii="Segoe UI" w:hAnsi="Segoe UI" w:cs="Segoe UI"/>
        </w:rPr>
        <w:t xml:space="preserve"> the evidence which demonstrates how we are meeting these, where we review and monitor this evidence and any </w:t>
      </w:r>
      <w:r>
        <w:rPr>
          <w:rFonts w:ascii="Segoe UI" w:hAnsi="Segoe UI" w:cs="Segoe UI"/>
        </w:rPr>
        <w:t>areas for further development</w:t>
      </w:r>
      <w:r w:rsidRPr="00DB31C3">
        <w:rPr>
          <w:rFonts w:ascii="Segoe UI" w:hAnsi="Segoe UI" w:cs="Segoe UI"/>
        </w:rPr>
        <w:t>.</w:t>
      </w:r>
    </w:p>
    <w:p w:rsidR="00DB31C3" w:rsidRPr="00DB31C3" w:rsidRDefault="00DB31C3" w:rsidP="00DB31C3">
      <w:pPr>
        <w:rPr>
          <w:rFonts w:ascii="Segoe UI" w:hAnsi="Segoe UI" w:cs="Segoe UI"/>
          <w:b/>
        </w:rPr>
      </w:pPr>
    </w:p>
    <w:p w:rsidR="00DB31C3" w:rsidRPr="00DB31C3" w:rsidRDefault="00C96279" w:rsidP="00DB31C3">
      <w:pPr>
        <w:rPr>
          <w:rFonts w:ascii="Segoe UI" w:hAnsi="Segoe UI" w:cs="Segoe UI"/>
          <w:b/>
          <w:i/>
        </w:rPr>
      </w:pPr>
      <w:r>
        <w:rPr>
          <w:rFonts w:ascii="Segoe UI" w:hAnsi="Segoe UI" w:cs="Segoe UI"/>
          <w:b/>
          <w:bCs/>
          <w:i/>
          <w:color w:val="000000"/>
        </w:rPr>
        <w:t>“</w:t>
      </w:r>
      <w:r w:rsidR="00DB31C3" w:rsidRPr="00DB31C3">
        <w:rPr>
          <w:rFonts w:ascii="Segoe UI" w:hAnsi="Segoe UI" w:cs="Segoe UI"/>
          <w:b/>
          <w:bCs/>
          <w:i/>
          <w:color w:val="000000"/>
        </w:rPr>
        <w:t xml:space="preserve">The NHS Constitution </w:t>
      </w:r>
      <w:r w:rsidR="00DB31C3" w:rsidRPr="00DB31C3">
        <w:rPr>
          <w:rFonts w:ascii="Segoe UI" w:hAnsi="Segoe UI" w:cs="Segoe UI"/>
          <w:i/>
          <w:color w:val="000000"/>
        </w:rPr>
        <w:t xml:space="preserve">establishes the </w:t>
      </w:r>
      <w:r w:rsidR="00DB31C3" w:rsidRPr="00DB31C3">
        <w:rPr>
          <w:rFonts w:ascii="Segoe UI" w:hAnsi="Segoe UI" w:cs="Segoe UI"/>
          <w:b/>
          <w:bCs/>
          <w:i/>
          <w:color w:val="000000"/>
        </w:rPr>
        <w:t xml:space="preserve">principles </w:t>
      </w:r>
      <w:r w:rsidR="00DB31C3" w:rsidRPr="00DB31C3">
        <w:rPr>
          <w:rFonts w:ascii="Segoe UI" w:hAnsi="Segoe UI" w:cs="Segoe UI"/>
          <w:i/>
          <w:color w:val="000000"/>
        </w:rPr>
        <w:t xml:space="preserve">and </w:t>
      </w:r>
      <w:r w:rsidR="00DB31C3" w:rsidRPr="00DB31C3">
        <w:rPr>
          <w:rFonts w:ascii="Segoe UI" w:hAnsi="Segoe UI" w:cs="Segoe UI"/>
          <w:b/>
          <w:bCs/>
          <w:i/>
          <w:color w:val="000000"/>
        </w:rPr>
        <w:t xml:space="preserve">values </w:t>
      </w:r>
      <w:r w:rsidR="00DB31C3" w:rsidRPr="00DB31C3">
        <w:rPr>
          <w:rFonts w:ascii="Segoe UI" w:hAnsi="Segoe UI" w:cs="Segoe UI"/>
          <w:i/>
          <w:color w:val="000000"/>
        </w:rPr>
        <w:t xml:space="preserve">of the NHS in England. It sets out </w:t>
      </w:r>
      <w:r w:rsidR="00DB31C3" w:rsidRPr="00DB31C3">
        <w:rPr>
          <w:rFonts w:ascii="Segoe UI" w:hAnsi="Segoe UI" w:cs="Segoe UI"/>
          <w:b/>
          <w:bCs/>
          <w:i/>
          <w:color w:val="000000"/>
        </w:rPr>
        <w:t xml:space="preserve">rights </w:t>
      </w:r>
      <w:r w:rsidR="00DB31C3" w:rsidRPr="00DB31C3">
        <w:rPr>
          <w:rFonts w:ascii="Segoe UI" w:hAnsi="Segoe UI" w:cs="Segoe UI"/>
          <w:i/>
          <w:color w:val="000000"/>
        </w:rPr>
        <w:t xml:space="preserve">to which patients, public and staff are entitled, and </w:t>
      </w:r>
      <w:r w:rsidR="00DB31C3" w:rsidRPr="00DB31C3">
        <w:rPr>
          <w:rFonts w:ascii="Segoe UI" w:hAnsi="Segoe UI" w:cs="Segoe UI"/>
          <w:b/>
          <w:bCs/>
          <w:i/>
          <w:color w:val="000000"/>
        </w:rPr>
        <w:t xml:space="preserve">pledges </w:t>
      </w:r>
      <w:r w:rsidR="00DB31C3" w:rsidRPr="00DB31C3">
        <w:rPr>
          <w:rFonts w:ascii="Segoe UI" w:hAnsi="Segoe UI" w:cs="Segoe UI"/>
          <w:i/>
          <w:color w:val="000000"/>
        </w:rPr>
        <w:t xml:space="preserve">which the NHS is committed to achieve, together with </w:t>
      </w:r>
      <w:r w:rsidR="00DB31C3" w:rsidRPr="00DB31C3">
        <w:rPr>
          <w:rFonts w:ascii="Segoe UI" w:hAnsi="Segoe UI" w:cs="Segoe UI"/>
          <w:b/>
          <w:bCs/>
          <w:i/>
          <w:color w:val="000000"/>
        </w:rPr>
        <w:t>responsibilities</w:t>
      </w:r>
      <w:r w:rsidR="00DB31C3" w:rsidRPr="00DB31C3">
        <w:rPr>
          <w:rFonts w:ascii="Segoe UI" w:hAnsi="Segoe UI" w:cs="Segoe UI"/>
          <w:i/>
          <w:color w:val="000000"/>
        </w:rPr>
        <w:t>, which the public, patients and staff owe to one another to ensure that the NHS operates fairly and effectively. The Secretary of State for Health, all NHS bodies, private and voluntary sector providers supplying NHS services, and local authorities in the exercise of their public health functions are required by law to take account of this Constitution in their decisions and actions.</w:t>
      </w:r>
    </w:p>
    <w:p w:rsidR="00906B9C" w:rsidRDefault="00906B9C">
      <w:pPr>
        <w:rPr>
          <w:rFonts w:ascii="Segoe UI" w:hAnsi="Segoe UI" w:cs="Segoe UI"/>
        </w:rPr>
      </w:pPr>
    </w:p>
    <w:p w:rsidR="00DB31C3" w:rsidRPr="00C96279" w:rsidRDefault="00DB31C3" w:rsidP="00DB31C3">
      <w:pPr>
        <w:pStyle w:val="CM1"/>
        <w:rPr>
          <w:rFonts w:ascii="Segoe UI" w:hAnsi="Segoe UI" w:cs="Segoe UI"/>
          <w:i/>
          <w:color w:val="000000"/>
          <w:sz w:val="22"/>
          <w:szCs w:val="22"/>
        </w:rPr>
      </w:pPr>
      <w:r w:rsidRPr="00C96279">
        <w:rPr>
          <w:rFonts w:ascii="Segoe UI" w:hAnsi="Segoe UI" w:cs="Segoe UI"/>
          <w:bCs/>
          <w:i/>
          <w:color w:val="000000"/>
          <w:sz w:val="22"/>
          <w:szCs w:val="22"/>
        </w:rPr>
        <w:t>Seve</w:t>
      </w:r>
      <w:r w:rsidR="00F9337A" w:rsidRPr="00C96279">
        <w:rPr>
          <w:rFonts w:ascii="Segoe UI" w:hAnsi="Segoe UI" w:cs="Segoe UI"/>
          <w:bCs/>
          <w:i/>
          <w:color w:val="000000"/>
          <w:sz w:val="22"/>
          <w:szCs w:val="22"/>
        </w:rPr>
        <w:t>n key principles guide the NHS</w:t>
      </w:r>
      <w:r w:rsidRPr="00C96279">
        <w:rPr>
          <w:rFonts w:ascii="Segoe UI" w:hAnsi="Segoe UI" w:cs="Segoe UI"/>
          <w:bCs/>
          <w:i/>
          <w:color w:val="000000"/>
          <w:sz w:val="22"/>
          <w:szCs w:val="22"/>
        </w:rPr>
        <w:t xml:space="preserve"> </w:t>
      </w:r>
    </w:p>
    <w:p w:rsidR="00DB31C3" w:rsidRPr="00C96279" w:rsidRDefault="00DB31C3" w:rsidP="00F9337A">
      <w:pPr>
        <w:pStyle w:val="Default"/>
        <w:numPr>
          <w:ilvl w:val="0"/>
          <w:numId w:val="3"/>
        </w:numPr>
        <w:spacing w:after="253"/>
        <w:ind w:left="360" w:hanging="360"/>
        <w:rPr>
          <w:rFonts w:ascii="Segoe UI" w:hAnsi="Segoe UI" w:cs="Segoe UI"/>
          <w:i/>
          <w:sz w:val="22"/>
          <w:szCs w:val="22"/>
        </w:rPr>
      </w:pPr>
      <w:r w:rsidRPr="00C96279">
        <w:rPr>
          <w:rFonts w:ascii="Segoe UI" w:hAnsi="Segoe UI" w:cs="Segoe UI"/>
          <w:bCs/>
          <w:i/>
          <w:sz w:val="22"/>
          <w:szCs w:val="22"/>
        </w:rPr>
        <w:t xml:space="preserve">The NHS provides a comprehensive service, available to all </w:t>
      </w:r>
    </w:p>
    <w:p w:rsidR="00DB31C3" w:rsidRPr="00C96279" w:rsidRDefault="00DB31C3" w:rsidP="00F9337A">
      <w:pPr>
        <w:pStyle w:val="Default"/>
        <w:numPr>
          <w:ilvl w:val="0"/>
          <w:numId w:val="3"/>
        </w:numPr>
        <w:spacing w:after="253"/>
        <w:ind w:left="360" w:hanging="360"/>
        <w:rPr>
          <w:rFonts w:ascii="Segoe UI" w:hAnsi="Segoe UI" w:cs="Segoe UI"/>
          <w:i/>
          <w:sz w:val="22"/>
          <w:szCs w:val="22"/>
        </w:rPr>
      </w:pPr>
      <w:r w:rsidRPr="00C96279">
        <w:rPr>
          <w:rFonts w:ascii="Segoe UI" w:hAnsi="Segoe UI" w:cs="Segoe UI"/>
          <w:bCs/>
          <w:i/>
          <w:sz w:val="22"/>
          <w:szCs w:val="22"/>
        </w:rPr>
        <w:t xml:space="preserve">Access to NHS services is based on clinical need, not an individual’s ability to pay. </w:t>
      </w:r>
    </w:p>
    <w:p w:rsidR="00DB31C3" w:rsidRPr="00C96279" w:rsidRDefault="00DB31C3" w:rsidP="00F9337A">
      <w:pPr>
        <w:pStyle w:val="Default"/>
        <w:numPr>
          <w:ilvl w:val="0"/>
          <w:numId w:val="3"/>
        </w:numPr>
        <w:ind w:left="360" w:hanging="360"/>
        <w:rPr>
          <w:rFonts w:ascii="Segoe UI" w:hAnsi="Segoe UI" w:cs="Segoe UI"/>
          <w:i/>
          <w:sz w:val="22"/>
          <w:szCs w:val="22"/>
        </w:rPr>
      </w:pPr>
      <w:r w:rsidRPr="00C96279">
        <w:rPr>
          <w:rFonts w:ascii="Segoe UI" w:hAnsi="Segoe UI" w:cs="Segoe UI"/>
          <w:bCs/>
          <w:i/>
          <w:sz w:val="22"/>
          <w:szCs w:val="22"/>
        </w:rPr>
        <w:t xml:space="preserve">The NHS aspires to the highest standards of excellence and professionalism </w:t>
      </w:r>
    </w:p>
    <w:p w:rsidR="00F9337A" w:rsidRPr="00C96279" w:rsidRDefault="00F9337A" w:rsidP="00F9337A">
      <w:pPr>
        <w:pStyle w:val="Default"/>
        <w:ind w:left="360"/>
        <w:rPr>
          <w:rFonts w:ascii="Segoe UI" w:hAnsi="Segoe UI" w:cs="Segoe UI"/>
          <w:i/>
          <w:sz w:val="22"/>
          <w:szCs w:val="22"/>
        </w:rPr>
      </w:pPr>
    </w:p>
    <w:p w:rsidR="00DB31C3" w:rsidRPr="00C96279" w:rsidRDefault="00DB31C3" w:rsidP="00F9337A">
      <w:pPr>
        <w:pStyle w:val="CM14"/>
        <w:spacing w:after="242"/>
        <w:ind w:left="426" w:right="195" w:hanging="426"/>
        <w:rPr>
          <w:rFonts w:ascii="Segoe UI" w:hAnsi="Segoe UI" w:cs="Segoe UI"/>
          <w:i/>
          <w:sz w:val="22"/>
          <w:szCs w:val="22"/>
        </w:rPr>
      </w:pPr>
      <w:r w:rsidRPr="00C96279">
        <w:rPr>
          <w:rFonts w:ascii="Segoe UI" w:hAnsi="Segoe UI" w:cs="Segoe UI"/>
          <w:bCs/>
          <w:i/>
          <w:color w:val="000000"/>
          <w:sz w:val="22"/>
          <w:szCs w:val="22"/>
        </w:rPr>
        <w:t xml:space="preserve">4. </w:t>
      </w:r>
      <w:r w:rsidR="00F9337A" w:rsidRPr="00C96279">
        <w:rPr>
          <w:rFonts w:ascii="Segoe UI" w:hAnsi="Segoe UI" w:cs="Segoe UI"/>
          <w:bCs/>
          <w:i/>
          <w:color w:val="000000"/>
          <w:sz w:val="22"/>
          <w:szCs w:val="22"/>
        </w:rPr>
        <w:t xml:space="preserve">   </w:t>
      </w:r>
      <w:r w:rsidRPr="00C96279">
        <w:rPr>
          <w:rFonts w:ascii="Segoe UI" w:hAnsi="Segoe UI" w:cs="Segoe UI"/>
          <w:bCs/>
          <w:i/>
          <w:color w:val="000000"/>
          <w:sz w:val="22"/>
          <w:szCs w:val="22"/>
        </w:rPr>
        <w:t xml:space="preserve">The NHS aspires to put patients at the heart of everything it does. </w:t>
      </w:r>
    </w:p>
    <w:p w:rsidR="00DB31C3" w:rsidRPr="00C96279" w:rsidRDefault="00DB31C3" w:rsidP="00F9337A">
      <w:pPr>
        <w:pStyle w:val="Default"/>
        <w:spacing w:after="253"/>
        <w:ind w:left="426" w:hanging="426"/>
        <w:rPr>
          <w:rFonts w:ascii="Segoe UI" w:hAnsi="Segoe UI" w:cs="Segoe UI"/>
          <w:i/>
          <w:color w:val="auto"/>
          <w:sz w:val="22"/>
          <w:szCs w:val="22"/>
        </w:rPr>
      </w:pPr>
      <w:r w:rsidRPr="00C96279">
        <w:rPr>
          <w:rFonts w:ascii="Segoe UI" w:hAnsi="Segoe UI" w:cs="Segoe UI"/>
          <w:bCs/>
          <w:i/>
          <w:color w:val="auto"/>
          <w:sz w:val="22"/>
          <w:szCs w:val="22"/>
        </w:rPr>
        <w:t>5</w:t>
      </w:r>
      <w:r w:rsidR="00F9337A" w:rsidRPr="00C96279">
        <w:rPr>
          <w:rFonts w:ascii="Segoe UI" w:hAnsi="Segoe UI" w:cs="Segoe UI"/>
          <w:bCs/>
          <w:i/>
          <w:color w:val="auto"/>
          <w:sz w:val="22"/>
          <w:szCs w:val="22"/>
        </w:rPr>
        <w:t xml:space="preserve">.    </w:t>
      </w:r>
      <w:r w:rsidRPr="00C96279">
        <w:rPr>
          <w:rFonts w:ascii="Segoe UI" w:hAnsi="Segoe UI" w:cs="Segoe UI"/>
          <w:bCs/>
          <w:i/>
          <w:color w:val="auto"/>
          <w:sz w:val="22"/>
          <w:szCs w:val="22"/>
        </w:rPr>
        <w:t xml:space="preserve">The NHS works across organisational boundaries and in partnership with other organisations in the interest of patients, local communities and the wider population. </w:t>
      </w:r>
    </w:p>
    <w:p w:rsidR="00DB31C3" w:rsidRPr="00C96279" w:rsidRDefault="00DB31C3" w:rsidP="00F9337A">
      <w:pPr>
        <w:pStyle w:val="Default"/>
        <w:ind w:left="426" w:hanging="426"/>
        <w:rPr>
          <w:rFonts w:ascii="Segoe UI" w:hAnsi="Segoe UI" w:cs="Segoe UI"/>
          <w:i/>
          <w:color w:val="auto"/>
          <w:sz w:val="22"/>
          <w:szCs w:val="22"/>
        </w:rPr>
      </w:pPr>
      <w:r w:rsidRPr="00C96279">
        <w:rPr>
          <w:rFonts w:ascii="Segoe UI" w:hAnsi="Segoe UI" w:cs="Segoe UI"/>
          <w:bCs/>
          <w:i/>
          <w:color w:val="auto"/>
          <w:sz w:val="22"/>
          <w:szCs w:val="22"/>
        </w:rPr>
        <w:t>6</w:t>
      </w:r>
      <w:r w:rsidR="00F9337A" w:rsidRPr="00C96279">
        <w:rPr>
          <w:rFonts w:ascii="Segoe UI" w:hAnsi="Segoe UI" w:cs="Segoe UI"/>
          <w:bCs/>
          <w:i/>
          <w:color w:val="auto"/>
          <w:sz w:val="22"/>
          <w:szCs w:val="22"/>
        </w:rPr>
        <w:t xml:space="preserve">.  </w:t>
      </w:r>
      <w:r w:rsidRPr="00C96279">
        <w:rPr>
          <w:rFonts w:ascii="Segoe UI" w:hAnsi="Segoe UI" w:cs="Segoe UI"/>
          <w:bCs/>
          <w:i/>
          <w:color w:val="auto"/>
          <w:sz w:val="22"/>
          <w:szCs w:val="22"/>
        </w:rPr>
        <w:t xml:space="preserve">The NHS is committed to providing best value for taxpayers’ money and the most effective, fair and sustainable use of finite resources. </w:t>
      </w:r>
    </w:p>
    <w:p w:rsidR="00DB31C3" w:rsidRPr="00C96279" w:rsidRDefault="00DB31C3" w:rsidP="00F9337A">
      <w:pPr>
        <w:pStyle w:val="Default"/>
        <w:ind w:left="426" w:hanging="426"/>
        <w:rPr>
          <w:rFonts w:ascii="Segoe UI" w:hAnsi="Segoe UI" w:cs="Segoe UI"/>
          <w:i/>
          <w:color w:val="auto"/>
          <w:sz w:val="22"/>
          <w:szCs w:val="22"/>
        </w:rPr>
      </w:pPr>
    </w:p>
    <w:p w:rsidR="00DB31C3" w:rsidRPr="00C96279" w:rsidRDefault="00DB31C3" w:rsidP="00F9337A">
      <w:pPr>
        <w:ind w:left="426" w:hanging="426"/>
        <w:rPr>
          <w:rFonts w:ascii="Segoe UI" w:hAnsi="Segoe UI" w:cs="Segoe UI"/>
          <w:i/>
        </w:rPr>
      </w:pPr>
      <w:r w:rsidRPr="00C96279">
        <w:rPr>
          <w:rFonts w:ascii="Segoe UI" w:hAnsi="Segoe UI" w:cs="Segoe UI"/>
          <w:bCs/>
          <w:i/>
        </w:rPr>
        <w:t xml:space="preserve">7. The NHS is accountable to the public, communities and patients that it serves </w:t>
      </w:r>
      <w:r w:rsidR="00C96279">
        <w:rPr>
          <w:rFonts w:ascii="Segoe UI" w:hAnsi="Segoe UI" w:cs="Segoe UI"/>
          <w:bCs/>
          <w:i/>
        </w:rPr>
        <w:t>“</w:t>
      </w:r>
    </w:p>
    <w:p w:rsidR="00F9337A" w:rsidRPr="00C96279" w:rsidRDefault="00C96279" w:rsidP="00C96279">
      <w:pPr>
        <w:jc w:val="right"/>
        <w:rPr>
          <w:rFonts w:ascii="Segoe UI" w:hAnsi="Segoe UI" w:cs="Segoe UI"/>
          <w:i/>
        </w:rPr>
      </w:pPr>
      <w:r w:rsidRPr="00C96279">
        <w:rPr>
          <w:rFonts w:ascii="Segoe UI" w:hAnsi="Segoe UI" w:cs="Segoe UI"/>
          <w:i/>
        </w:rPr>
        <w:t>NHS Constitution March 2013</w:t>
      </w:r>
    </w:p>
    <w:p w:rsidR="00F9337A" w:rsidRDefault="00F9337A" w:rsidP="00DB31C3">
      <w:pPr>
        <w:rPr>
          <w:rFonts w:ascii="Segoe UI" w:hAnsi="Segoe UI" w:cs="Segoe UI"/>
        </w:rPr>
      </w:pPr>
    </w:p>
    <w:p w:rsidR="00F9337A" w:rsidRDefault="00F9337A" w:rsidP="00DB31C3">
      <w:pPr>
        <w:rPr>
          <w:rFonts w:ascii="Segoe UI" w:hAnsi="Segoe UI" w:cs="Segoe UI"/>
        </w:rPr>
      </w:pPr>
      <w:r>
        <w:rPr>
          <w:rFonts w:ascii="Segoe UI" w:hAnsi="Segoe UI" w:cs="Segoe UI"/>
        </w:rPr>
        <w:t xml:space="preserve">The Constitution describes a set of </w:t>
      </w:r>
      <w:r w:rsidRPr="00F9337A">
        <w:rPr>
          <w:rFonts w:ascii="Segoe UI" w:hAnsi="Segoe UI" w:cs="Segoe UI"/>
          <w:i/>
        </w:rPr>
        <w:t>rights</w:t>
      </w:r>
      <w:r>
        <w:rPr>
          <w:rFonts w:ascii="Segoe UI" w:hAnsi="Segoe UI" w:cs="Segoe UI"/>
        </w:rPr>
        <w:t xml:space="preserve"> for patients and staff – that is, what they can expect </w:t>
      </w:r>
      <w:r w:rsidR="00C96279">
        <w:rPr>
          <w:rFonts w:ascii="Segoe UI" w:hAnsi="Segoe UI" w:cs="Segoe UI"/>
        </w:rPr>
        <w:t>when</w:t>
      </w:r>
      <w:r>
        <w:rPr>
          <w:rFonts w:ascii="Segoe UI" w:hAnsi="Segoe UI" w:cs="Segoe UI"/>
        </w:rPr>
        <w:t xml:space="preserve"> receiving care from or working for the NHS. These are all expressed as “ ..</w:t>
      </w:r>
      <w:r w:rsidRPr="00F9337A">
        <w:rPr>
          <w:rFonts w:ascii="Segoe UI" w:hAnsi="Segoe UI" w:cs="Segoe UI"/>
          <w:b/>
        </w:rPr>
        <w:t>have the right</w:t>
      </w:r>
      <w:r>
        <w:rPr>
          <w:rFonts w:ascii="Segoe UI" w:hAnsi="Segoe UI" w:cs="Segoe UI"/>
        </w:rPr>
        <w:t xml:space="preserve"> ...” It also describes a set of </w:t>
      </w:r>
      <w:r w:rsidRPr="00F9337A">
        <w:rPr>
          <w:rFonts w:ascii="Segoe UI" w:hAnsi="Segoe UI" w:cs="Segoe UI"/>
          <w:i/>
        </w:rPr>
        <w:t>pledges</w:t>
      </w:r>
      <w:r>
        <w:rPr>
          <w:rFonts w:ascii="Segoe UI" w:hAnsi="Segoe UI" w:cs="Segoe UI"/>
        </w:rPr>
        <w:t xml:space="preserve"> – that is, a commitment made by the NHS to work towards a standard where this is </w:t>
      </w:r>
      <w:r w:rsidR="00C96279">
        <w:rPr>
          <w:rFonts w:ascii="Segoe UI" w:hAnsi="Segoe UI" w:cs="Segoe UI"/>
        </w:rPr>
        <w:t xml:space="preserve">may </w:t>
      </w:r>
      <w:r>
        <w:rPr>
          <w:rFonts w:ascii="Segoe UI" w:hAnsi="Segoe UI" w:cs="Segoe UI"/>
        </w:rPr>
        <w:t xml:space="preserve">not currently </w:t>
      </w:r>
      <w:r w:rsidR="00C96279">
        <w:rPr>
          <w:rFonts w:ascii="Segoe UI" w:hAnsi="Segoe UI" w:cs="Segoe UI"/>
        </w:rPr>
        <w:t xml:space="preserve">be </w:t>
      </w:r>
      <w:r>
        <w:rPr>
          <w:rFonts w:ascii="Segoe UI" w:hAnsi="Segoe UI" w:cs="Segoe UI"/>
        </w:rPr>
        <w:t>achieved. These are all expressed as “ ...</w:t>
      </w:r>
      <w:r w:rsidRPr="00F9337A">
        <w:rPr>
          <w:rFonts w:ascii="Segoe UI" w:hAnsi="Segoe UI" w:cs="Segoe UI"/>
          <w:b/>
        </w:rPr>
        <w:t>the NHS co</w:t>
      </w:r>
      <w:r>
        <w:rPr>
          <w:rFonts w:ascii="Segoe UI" w:hAnsi="Segoe UI" w:cs="Segoe UI"/>
          <w:b/>
        </w:rPr>
        <w:t>m</w:t>
      </w:r>
      <w:r w:rsidRPr="00F9337A">
        <w:rPr>
          <w:rFonts w:ascii="Segoe UI" w:hAnsi="Segoe UI" w:cs="Segoe UI"/>
          <w:b/>
        </w:rPr>
        <w:t>mits to</w:t>
      </w:r>
      <w:r>
        <w:rPr>
          <w:rFonts w:ascii="Segoe UI" w:hAnsi="Segoe UI" w:cs="Segoe UI"/>
        </w:rPr>
        <w:t xml:space="preserve"> ...”.</w:t>
      </w:r>
    </w:p>
    <w:p w:rsidR="00F9337A" w:rsidRPr="00DB31C3" w:rsidRDefault="00F9337A" w:rsidP="00DB31C3">
      <w:pPr>
        <w:rPr>
          <w:rFonts w:ascii="Segoe UI" w:hAnsi="Segoe UI" w:cs="Segoe UI"/>
        </w:rPr>
      </w:pPr>
    </w:p>
    <w:p w:rsidR="00C96279" w:rsidRPr="002B5F15" w:rsidRDefault="00C96279" w:rsidP="00C96279">
      <w:pPr>
        <w:rPr>
          <w:rFonts w:ascii="Segoe UI" w:hAnsi="Segoe UI" w:cs="Segoe UI"/>
          <w:b/>
        </w:rPr>
      </w:pPr>
      <w:r w:rsidRPr="002B5F15">
        <w:rPr>
          <w:rFonts w:ascii="Segoe UI" w:hAnsi="Segoe UI" w:cs="Segoe UI"/>
          <w:b/>
        </w:rPr>
        <w:t>Summary of assessment</w:t>
      </w:r>
    </w:p>
    <w:p w:rsidR="005E79DF" w:rsidRPr="00DB31C3" w:rsidRDefault="002B5F15">
      <w:pPr>
        <w:rPr>
          <w:rFonts w:ascii="Segoe UI" w:hAnsi="Segoe UI" w:cs="Segoe UI"/>
        </w:rPr>
      </w:pPr>
      <w:r w:rsidRPr="00DB31C3">
        <w:rPr>
          <w:rFonts w:ascii="Segoe UI" w:hAnsi="Segoe UI" w:cs="Segoe UI"/>
        </w:rPr>
        <w:t>Overall</w:t>
      </w:r>
      <w:r w:rsidR="00A34560" w:rsidRPr="00DB31C3">
        <w:rPr>
          <w:rFonts w:ascii="Segoe UI" w:hAnsi="Segoe UI" w:cs="Segoe UI"/>
        </w:rPr>
        <w:t xml:space="preserve"> there is a good range of evidence available with formal mechanisms for reviewing and assessing this evidence. There are some areas for improvement </w:t>
      </w:r>
      <w:r w:rsidR="00C96279">
        <w:rPr>
          <w:rFonts w:ascii="Segoe UI" w:hAnsi="Segoe UI" w:cs="Segoe UI"/>
        </w:rPr>
        <w:t xml:space="preserve">and development </w:t>
      </w:r>
      <w:r w:rsidR="00A34560" w:rsidRPr="00DB31C3">
        <w:rPr>
          <w:rFonts w:ascii="Segoe UI" w:hAnsi="Segoe UI" w:cs="Segoe UI"/>
        </w:rPr>
        <w:t>and these are summarised below. A more detailed review of each right and pledge is appended.</w:t>
      </w:r>
    </w:p>
    <w:p w:rsidR="005E79DF" w:rsidRDefault="005E79DF">
      <w:pPr>
        <w:rPr>
          <w:rFonts w:ascii="Segoe UI" w:hAnsi="Segoe UI" w:cs="Segoe UI"/>
        </w:rPr>
      </w:pPr>
    </w:p>
    <w:p w:rsidR="005E79DF" w:rsidRPr="002B5F15" w:rsidRDefault="005E79DF">
      <w:pPr>
        <w:rPr>
          <w:rFonts w:ascii="Segoe UI" w:hAnsi="Segoe UI" w:cs="Segoe UI"/>
        </w:rPr>
      </w:pPr>
      <w:r w:rsidRPr="002B5F15">
        <w:rPr>
          <w:rFonts w:ascii="Segoe UI" w:hAnsi="Segoe UI" w:cs="Segoe UI"/>
        </w:rPr>
        <w:lastRenderedPageBreak/>
        <w:t>The Trust is implementing an equality strategy which includes activities for ensuring and improving access to services. We have formal methods for monitoring waiting times and identifying quickly if these exceed national or local agreements. And area for improvement is to work with commissioners and other providers if appropriate to agree root causes and develop a shared improvement plan to bring waiting times under control.</w:t>
      </w:r>
    </w:p>
    <w:p w:rsidR="00906B9C" w:rsidRPr="002B5F15" w:rsidRDefault="00906B9C">
      <w:pPr>
        <w:rPr>
          <w:rFonts w:ascii="Segoe UI" w:hAnsi="Segoe UI" w:cs="Segoe UI"/>
        </w:rPr>
      </w:pPr>
    </w:p>
    <w:p w:rsidR="0000005D" w:rsidRPr="002B5F15" w:rsidRDefault="005E79DF">
      <w:pPr>
        <w:rPr>
          <w:rFonts w:ascii="Segoe UI" w:hAnsi="Segoe UI" w:cs="Segoe UI"/>
        </w:rPr>
      </w:pPr>
      <w:r w:rsidRPr="002B5F15">
        <w:rPr>
          <w:rFonts w:ascii="Segoe UI" w:hAnsi="Segoe UI" w:cs="Segoe UI"/>
        </w:rPr>
        <w:t xml:space="preserve">We recognise the importance of managing effective transitions between services provided within our organisation and across services delivered by a range of different providers. There are a number of examples of how we work across local systems to </w:t>
      </w:r>
      <w:r w:rsidR="0000005D" w:rsidRPr="002B5F15">
        <w:rPr>
          <w:rFonts w:ascii="Segoe UI" w:hAnsi="Segoe UI" w:cs="Segoe UI"/>
        </w:rPr>
        <w:t>improve transition, including wok on delayed transfer of care and reduction in harm from pressure damage. The work on value and outcomes-based care/outcomes based commissioning provides an opportunity to consider how better to integrate pathways irrespective of the provider to deliver effective outcomes for and with patients.</w:t>
      </w:r>
    </w:p>
    <w:p w:rsidR="0000005D" w:rsidRPr="002B5F15" w:rsidRDefault="0000005D">
      <w:pPr>
        <w:rPr>
          <w:rFonts w:ascii="Segoe UI" w:hAnsi="Segoe UI" w:cs="Segoe UI"/>
        </w:rPr>
      </w:pPr>
    </w:p>
    <w:p w:rsidR="0000005D" w:rsidRPr="002B5F15" w:rsidRDefault="0000005D">
      <w:pPr>
        <w:rPr>
          <w:rFonts w:ascii="Segoe UI" w:hAnsi="Segoe UI" w:cs="Segoe UI"/>
        </w:rPr>
      </w:pPr>
      <w:r w:rsidRPr="002B5F15">
        <w:rPr>
          <w:rFonts w:ascii="Segoe UI" w:hAnsi="Segoe UI" w:cs="Segoe UI"/>
        </w:rPr>
        <w:t xml:space="preserve">Staffing and workforce capability is a key priority for OHFT – ensuring safe staffing levels, and competent and appropriately qualified staff delivering a professional and high standard of care. </w:t>
      </w:r>
    </w:p>
    <w:p w:rsidR="005E79DF" w:rsidRPr="002B5F15" w:rsidRDefault="0000005D">
      <w:pPr>
        <w:rPr>
          <w:rFonts w:ascii="Segoe UI" w:hAnsi="Segoe UI" w:cs="Segoe UI"/>
        </w:rPr>
      </w:pPr>
      <w:r w:rsidRPr="002B5F15">
        <w:rPr>
          <w:rFonts w:ascii="Segoe UI" w:hAnsi="Segoe UI" w:cs="Segoe UI"/>
        </w:rPr>
        <w:t xml:space="preserve"> </w:t>
      </w:r>
    </w:p>
    <w:p w:rsidR="005E79DF" w:rsidRPr="002B5F15" w:rsidRDefault="005E79DF" w:rsidP="005E79DF">
      <w:pPr>
        <w:rPr>
          <w:rFonts w:ascii="Segoe UI" w:hAnsi="Segoe UI" w:cs="Segoe UI"/>
        </w:rPr>
      </w:pPr>
      <w:r w:rsidRPr="002B5F15">
        <w:rPr>
          <w:rFonts w:ascii="Segoe UI" w:hAnsi="Segoe UI" w:cs="Segoe UI"/>
        </w:rPr>
        <w:t>In general the Trust has a range of different methods for capturing and reviewing information relating to service quality</w:t>
      </w:r>
      <w:r w:rsidR="0000005D" w:rsidRPr="002B5F15">
        <w:rPr>
          <w:rFonts w:ascii="Segoe UI" w:hAnsi="Segoe UI" w:cs="Segoe UI"/>
        </w:rPr>
        <w:t xml:space="preserve"> </w:t>
      </w:r>
      <w:r w:rsidRPr="002B5F15">
        <w:rPr>
          <w:rFonts w:ascii="Segoe UI" w:hAnsi="Segoe UI" w:cs="Segoe UI"/>
        </w:rPr>
        <w:t>and there is a substantial amount of information available. An area of improvement is to work with teams to bring together all of this information, to triangulate and test conclusions, and pull together a range of actions into a single quality improvement plan.</w:t>
      </w:r>
      <w:r w:rsidR="0000005D" w:rsidRPr="002B5F15">
        <w:rPr>
          <w:rFonts w:ascii="Segoe UI" w:hAnsi="Segoe UI" w:cs="Segoe UI"/>
        </w:rPr>
        <w:t xml:space="preserve"> We support the use of evidence based best practice through our academic work and partnerships, as well as participation in improvement programmes and networks. </w:t>
      </w:r>
    </w:p>
    <w:p w:rsidR="0000005D" w:rsidRPr="002B5F15" w:rsidRDefault="0000005D" w:rsidP="005E79DF">
      <w:pPr>
        <w:rPr>
          <w:rFonts w:ascii="Segoe UI" w:hAnsi="Segoe UI" w:cs="Segoe UI"/>
        </w:rPr>
      </w:pPr>
    </w:p>
    <w:p w:rsidR="0000005D" w:rsidRPr="002B5F15" w:rsidRDefault="0000005D" w:rsidP="005E79DF">
      <w:pPr>
        <w:rPr>
          <w:rFonts w:ascii="Segoe UI" w:hAnsi="Segoe UI" w:cs="Segoe UI"/>
        </w:rPr>
      </w:pPr>
      <w:r w:rsidRPr="002B5F15">
        <w:rPr>
          <w:rFonts w:ascii="Segoe UI" w:hAnsi="Segoe UI" w:cs="Segoe UI"/>
        </w:rPr>
        <w:t>The trust takes seriously its responsibilities in relation to information governance, confidentiality, consent and access to information. An area for improvement relates to ensuring access for and management of consent issues for patients with a learning disability.</w:t>
      </w:r>
    </w:p>
    <w:p w:rsidR="0000005D" w:rsidRPr="002B5F15" w:rsidRDefault="0000005D" w:rsidP="005E79DF">
      <w:pPr>
        <w:rPr>
          <w:rFonts w:ascii="Segoe UI" w:hAnsi="Segoe UI" w:cs="Segoe UI"/>
        </w:rPr>
      </w:pPr>
    </w:p>
    <w:p w:rsidR="0000005D" w:rsidRPr="002B5F15" w:rsidRDefault="002B5F15" w:rsidP="005E79DF">
      <w:pPr>
        <w:rPr>
          <w:rFonts w:ascii="Segoe UI" w:hAnsi="Segoe UI" w:cs="Segoe UI"/>
        </w:rPr>
      </w:pPr>
      <w:r w:rsidRPr="002B5F15">
        <w:rPr>
          <w:rFonts w:ascii="Segoe UI" w:hAnsi="Segoe UI" w:cs="Segoe UI"/>
        </w:rPr>
        <w:t>We monitor in a number of ways how effectively we communicate</w:t>
      </w:r>
      <w:r w:rsidR="0000005D" w:rsidRPr="002B5F15">
        <w:rPr>
          <w:rFonts w:ascii="Segoe UI" w:hAnsi="Segoe UI" w:cs="Segoe UI"/>
        </w:rPr>
        <w:t xml:space="preserve"> with and involv</w:t>
      </w:r>
      <w:r w:rsidRPr="002B5F15">
        <w:rPr>
          <w:rFonts w:ascii="Segoe UI" w:hAnsi="Segoe UI" w:cs="Segoe UI"/>
        </w:rPr>
        <w:t xml:space="preserve">e </w:t>
      </w:r>
      <w:r w:rsidR="0000005D" w:rsidRPr="002B5F15">
        <w:rPr>
          <w:rFonts w:ascii="Segoe UI" w:hAnsi="Segoe UI" w:cs="Segoe UI"/>
        </w:rPr>
        <w:t>patients and those close to them in their care</w:t>
      </w:r>
      <w:r w:rsidRPr="002B5F15">
        <w:rPr>
          <w:rFonts w:ascii="Segoe UI" w:hAnsi="Segoe UI" w:cs="Segoe UI"/>
        </w:rPr>
        <w:t>, and this will continue to be a priority through our remodelled services.</w:t>
      </w:r>
    </w:p>
    <w:p w:rsidR="002B5F15" w:rsidRPr="002B5F15" w:rsidRDefault="002B5F15" w:rsidP="005E79DF">
      <w:pPr>
        <w:rPr>
          <w:rFonts w:ascii="Segoe UI" w:hAnsi="Segoe UI" w:cs="Segoe UI"/>
        </w:rPr>
      </w:pPr>
    </w:p>
    <w:p w:rsidR="002B5F15" w:rsidRPr="002B5F15" w:rsidRDefault="002B5F15" w:rsidP="005E79DF">
      <w:pPr>
        <w:rPr>
          <w:rFonts w:ascii="Segoe UI" w:hAnsi="Segoe UI" w:cs="Segoe UI"/>
        </w:rPr>
      </w:pPr>
      <w:r w:rsidRPr="002B5F15">
        <w:rPr>
          <w:rFonts w:ascii="Segoe UI" w:hAnsi="Segoe UI" w:cs="Segoe UI"/>
        </w:rPr>
        <w:t>We monitor how effectively we discharge our responsibilities as an employer through our formal governance structure and use information from staff feedback, concerns raised by staff through our grievance and whistle-blowing processes and from the staff survey. An area for improvement is demonstrating to staff how we have acted upon feedback and made changes and improvements.</w:t>
      </w:r>
    </w:p>
    <w:p w:rsidR="002B5F15" w:rsidRPr="002B5F15" w:rsidRDefault="002B5F15" w:rsidP="005E79DF">
      <w:pPr>
        <w:rPr>
          <w:rFonts w:ascii="Segoe UI" w:hAnsi="Segoe UI" w:cs="Segoe UI"/>
        </w:rPr>
      </w:pPr>
    </w:p>
    <w:p w:rsidR="002B5F15" w:rsidRDefault="002B5F15" w:rsidP="005E79DF">
      <w:pPr>
        <w:rPr>
          <w:rFonts w:ascii="Segoe UI" w:hAnsi="Segoe UI" w:cs="Segoe UI"/>
        </w:rPr>
      </w:pPr>
      <w:r w:rsidRPr="002B5F15">
        <w:rPr>
          <w:rFonts w:ascii="Segoe UI" w:hAnsi="Segoe UI" w:cs="Segoe UI"/>
        </w:rPr>
        <w:t>We intend to review our progress against delivering these rights and pledges on an annual basis, alongside our regular assessment against the Monitor Quality Governance Framework</w:t>
      </w:r>
      <w:r w:rsidR="00C96279">
        <w:rPr>
          <w:rFonts w:ascii="Segoe UI" w:hAnsi="Segoe UI" w:cs="Segoe UI"/>
        </w:rPr>
        <w:t>.</w:t>
      </w:r>
    </w:p>
    <w:p w:rsidR="00C96279" w:rsidRPr="002B5F15" w:rsidRDefault="00C96279" w:rsidP="005E79DF">
      <w:pPr>
        <w:rPr>
          <w:rFonts w:ascii="Segoe UI" w:hAnsi="Segoe UI" w:cs="Segoe UI"/>
        </w:rPr>
      </w:pPr>
    </w:p>
    <w:p w:rsidR="0000005D" w:rsidRDefault="0000005D" w:rsidP="005E79DF"/>
    <w:p w:rsidR="00906B9C" w:rsidRDefault="00906B9C"/>
    <w:sectPr w:rsidR="00906B9C" w:rsidSect="002B0F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C9C6"/>
    <w:multiLevelType w:val="hybridMultilevel"/>
    <w:tmpl w:val="2984023C"/>
    <w:lvl w:ilvl="0" w:tplc="39D04CF6">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425B7D"/>
    <w:multiLevelType w:val="hybridMultilevel"/>
    <w:tmpl w:val="AB54F8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C75FAC"/>
    <w:multiLevelType w:val="multilevel"/>
    <w:tmpl w:val="1946187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B880479"/>
    <w:multiLevelType w:val="hybridMultilevel"/>
    <w:tmpl w:val="574A3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D453124"/>
    <w:multiLevelType w:val="hybridMultilevel"/>
    <w:tmpl w:val="EF8425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906B9C"/>
    <w:rsid w:val="0000005D"/>
    <w:rsid w:val="002B0FC4"/>
    <w:rsid w:val="002B5F15"/>
    <w:rsid w:val="004C06E0"/>
    <w:rsid w:val="004C561A"/>
    <w:rsid w:val="004E14DC"/>
    <w:rsid w:val="00522496"/>
    <w:rsid w:val="005E79DF"/>
    <w:rsid w:val="00752107"/>
    <w:rsid w:val="00854057"/>
    <w:rsid w:val="008C06B9"/>
    <w:rsid w:val="008E5192"/>
    <w:rsid w:val="00906B9C"/>
    <w:rsid w:val="00A34560"/>
    <w:rsid w:val="00A916CC"/>
    <w:rsid w:val="00BD4813"/>
    <w:rsid w:val="00BF129A"/>
    <w:rsid w:val="00C96279"/>
    <w:rsid w:val="00CC4BAE"/>
    <w:rsid w:val="00DB31C3"/>
    <w:rsid w:val="00E81844"/>
    <w:rsid w:val="00EE2451"/>
    <w:rsid w:val="00F933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13"/>
    <w:rPr>
      <w:rFonts w:cs="Calibri"/>
      <w:sz w:val="22"/>
      <w:szCs w:val="22"/>
    </w:rPr>
  </w:style>
  <w:style w:type="paragraph" w:styleId="Heading1">
    <w:name w:val="heading 1"/>
    <w:basedOn w:val="Normal"/>
    <w:next w:val="Normal"/>
    <w:link w:val="Heading1Char"/>
    <w:qFormat/>
    <w:rsid w:val="00DB31C3"/>
    <w:pPr>
      <w:keepNext/>
      <w:overflowPunct w:val="0"/>
      <w:autoSpaceDE w:val="0"/>
      <w:autoSpaceDN w:val="0"/>
      <w:adjustRightInd w:val="0"/>
      <w:textAlignment w:val="baseline"/>
      <w:outlineLvl w:val="0"/>
    </w:pPr>
    <w:rPr>
      <w:rFonts w:ascii="Arial" w:eastAsia="Times New Roman" w:hAnsi="Arial" w:cs="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1C3"/>
    <w:rPr>
      <w:rFonts w:ascii="Arial" w:eastAsia="Times New Roman" w:hAnsi="Arial"/>
      <w:b/>
      <w:u w:val="single"/>
      <w:lang w:eastAsia="en-US"/>
    </w:rPr>
  </w:style>
  <w:style w:type="paragraph" w:styleId="BodyText">
    <w:name w:val="Body Text"/>
    <w:basedOn w:val="Normal"/>
    <w:link w:val="BodyTextChar"/>
    <w:rsid w:val="00DB31C3"/>
    <w:pPr>
      <w:jc w:val="center"/>
    </w:pPr>
    <w:rPr>
      <w:rFonts w:ascii="Arial" w:eastAsia="Times New Roman" w:hAnsi="Arial" w:cs="Arial"/>
      <w:b/>
      <w:sz w:val="24"/>
      <w:szCs w:val="24"/>
      <w:lang w:val="en-US" w:eastAsia="en-US"/>
    </w:rPr>
  </w:style>
  <w:style w:type="character" w:customStyle="1" w:styleId="BodyTextChar">
    <w:name w:val="Body Text Char"/>
    <w:basedOn w:val="DefaultParagraphFont"/>
    <w:link w:val="BodyText"/>
    <w:rsid w:val="00DB31C3"/>
    <w:rPr>
      <w:rFonts w:ascii="Arial" w:eastAsia="Times New Roman" w:hAnsi="Arial" w:cs="Arial"/>
      <w:b/>
      <w:sz w:val="24"/>
      <w:szCs w:val="24"/>
      <w:lang w:val="en-US" w:eastAsia="en-US"/>
    </w:rPr>
  </w:style>
  <w:style w:type="paragraph" w:customStyle="1" w:styleId="Default">
    <w:name w:val="Default"/>
    <w:rsid w:val="00DB31C3"/>
    <w:pPr>
      <w:autoSpaceDE w:val="0"/>
      <w:autoSpaceDN w:val="0"/>
      <w:adjustRightInd w:val="0"/>
    </w:pPr>
    <w:rPr>
      <w:rFonts w:ascii="Frutiger 45 Light" w:hAnsi="Frutiger 45 Light" w:cs="Frutiger 45 Light"/>
      <w:color w:val="000000"/>
      <w:sz w:val="24"/>
      <w:szCs w:val="24"/>
    </w:rPr>
  </w:style>
  <w:style w:type="paragraph" w:customStyle="1" w:styleId="CM13">
    <w:name w:val="CM13"/>
    <w:basedOn w:val="Default"/>
    <w:next w:val="Default"/>
    <w:uiPriority w:val="99"/>
    <w:rsid w:val="00DB31C3"/>
    <w:rPr>
      <w:rFonts w:cs="Times New Roman"/>
      <w:color w:val="auto"/>
    </w:rPr>
  </w:style>
  <w:style w:type="paragraph" w:customStyle="1" w:styleId="CM1">
    <w:name w:val="CM1"/>
    <w:basedOn w:val="Default"/>
    <w:next w:val="Default"/>
    <w:uiPriority w:val="99"/>
    <w:rsid w:val="00DB31C3"/>
    <w:pPr>
      <w:spacing w:line="323" w:lineRule="atLeast"/>
    </w:pPr>
    <w:rPr>
      <w:rFonts w:cs="Times New Roman"/>
      <w:color w:val="auto"/>
    </w:rPr>
  </w:style>
  <w:style w:type="paragraph" w:customStyle="1" w:styleId="CM15">
    <w:name w:val="CM15"/>
    <w:basedOn w:val="Default"/>
    <w:next w:val="Default"/>
    <w:uiPriority w:val="99"/>
    <w:rsid w:val="00DB31C3"/>
    <w:rPr>
      <w:rFonts w:cs="Times New Roman"/>
      <w:color w:val="auto"/>
    </w:rPr>
  </w:style>
  <w:style w:type="paragraph" w:customStyle="1" w:styleId="CM14">
    <w:name w:val="CM14"/>
    <w:basedOn w:val="Default"/>
    <w:next w:val="Default"/>
    <w:uiPriority w:val="99"/>
    <w:rsid w:val="00DB31C3"/>
    <w:rPr>
      <w:rFonts w:cs="Times New Roman"/>
      <w:color w:val="auto"/>
    </w:rPr>
  </w:style>
  <w:style w:type="paragraph" w:styleId="ListParagraph">
    <w:name w:val="List Paragraph"/>
    <w:basedOn w:val="Normal"/>
    <w:uiPriority w:val="34"/>
    <w:qFormat/>
    <w:rsid w:val="00F9337A"/>
    <w:pPr>
      <w:ind w:left="720"/>
    </w:pPr>
  </w:style>
</w:styles>
</file>

<file path=word/webSettings.xml><?xml version="1.0" encoding="utf-8"?>
<w:webSettings xmlns:r="http://schemas.openxmlformats.org/officeDocument/2006/relationships" xmlns:w="http://schemas.openxmlformats.org/wordprocessingml/2006/main">
  <w:divs>
    <w:div w:id="12160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tehmeena.ajmal</dc:creator>
  <cp:keywords/>
  <dc:description/>
  <cp:lastModifiedBy>justinian.habner</cp:lastModifiedBy>
  <cp:revision>2</cp:revision>
  <dcterms:created xsi:type="dcterms:W3CDTF">2014-07-23T09:16:00Z</dcterms:created>
  <dcterms:modified xsi:type="dcterms:W3CDTF">2014-07-23T09:16:00Z</dcterms:modified>
</cp:coreProperties>
</file>