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5B71DA"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52D48">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E76EE" w:rsidRDefault="009E76EE">
                            <w:pPr>
                              <w:pStyle w:val="Heading1"/>
                              <w:jc w:val="center"/>
                              <w:rPr>
                                <w:sz w:val="24"/>
                                <w:u w:val="none"/>
                              </w:rPr>
                            </w:pPr>
                            <w:r>
                              <w:rPr>
                                <w:sz w:val="24"/>
                                <w:u w:val="none"/>
                              </w:rPr>
                              <w:t>PAPER</w:t>
                            </w:r>
                          </w:p>
                          <w:p w:rsidR="009E76EE" w:rsidRDefault="00B9588B">
                            <w:pPr>
                              <w:pStyle w:val="BodyText"/>
                              <w:rPr>
                                <w:sz w:val="22"/>
                              </w:rPr>
                            </w:pPr>
                            <w:r>
                              <w:rPr>
                                <w:sz w:val="22"/>
                              </w:rPr>
                              <w:t xml:space="preserve">BOD </w:t>
                            </w:r>
                            <w:r w:rsidR="004A74E9">
                              <w:rPr>
                                <w:sz w:val="22"/>
                              </w:rPr>
                              <w:t>111</w:t>
                            </w:r>
                            <w:r w:rsidR="009E76EE">
                              <w:rPr>
                                <w:sz w:val="22"/>
                              </w:rPr>
                              <w:t>/2015</w:t>
                            </w:r>
                          </w:p>
                          <w:p w:rsidR="009E76EE" w:rsidRPr="00537C23" w:rsidRDefault="00B9588B">
                            <w:pPr>
                              <w:jc w:val="center"/>
                              <w:rPr>
                                <w:rFonts w:ascii="Arial" w:hAnsi="Arial" w:cs="Arial"/>
                                <w:sz w:val="20"/>
                                <w:szCs w:val="20"/>
                              </w:rPr>
                            </w:pPr>
                            <w:r>
                              <w:rPr>
                                <w:rFonts w:ascii="Arial" w:hAnsi="Arial" w:cs="Arial"/>
                                <w:sz w:val="20"/>
                                <w:szCs w:val="20"/>
                              </w:rPr>
                              <w:t xml:space="preserve">(Agenda Item: </w:t>
                            </w:r>
                            <w:r w:rsidR="004A74E9">
                              <w:rPr>
                                <w:rFonts w:ascii="Arial" w:hAnsi="Arial" w:cs="Arial"/>
                                <w:sz w:val="20"/>
                                <w:szCs w:val="20"/>
                              </w:rPr>
                              <w:t>17</w:t>
                            </w:r>
                            <w:r w:rsidR="009E76EE">
                              <w:rPr>
                                <w:rFonts w:ascii="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g/15eGwIAADgEAAAOAAAAAAAAAAAAAAAAAC4CAABkcnMvZTJvRG9jLnhtbFBLAQIt&#10;ABQABgAIAAAAIQAEtrzh3wAAAAgBAAAPAAAAAAAAAAAAAAAAAHUEAABkcnMvZG93bnJldi54bWxQ&#10;SwUGAAAAAAQABADzAAAAgQUAAAAA&#10;">
                <v:textbox inset="0,0,0,0">
                  <w:txbxContent>
                    <w:p w:rsidR="009E76EE" w:rsidRDefault="009E76EE">
                      <w:pPr>
                        <w:pStyle w:val="Heading1"/>
                        <w:jc w:val="center"/>
                        <w:rPr>
                          <w:sz w:val="24"/>
                          <w:u w:val="none"/>
                        </w:rPr>
                      </w:pPr>
                      <w:r>
                        <w:rPr>
                          <w:sz w:val="24"/>
                          <w:u w:val="none"/>
                        </w:rPr>
                        <w:t>PAPER</w:t>
                      </w:r>
                    </w:p>
                    <w:p w:rsidR="009E76EE" w:rsidRDefault="00B9588B">
                      <w:pPr>
                        <w:pStyle w:val="BodyText"/>
                        <w:rPr>
                          <w:sz w:val="22"/>
                        </w:rPr>
                      </w:pPr>
                      <w:r>
                        <w:rPr>
                          <w:sz w:val="22"/>
                        </w:rPr>
                        <w:t xml:space="preserve">BOD </w:t>
                      </w:r>
                      <w:r w:rsidR="004A74E9">
                        <w:rPr>
                          <w:sz w:val="22"/>
                        </w:rPr>
                        <w:t>111</w:t>
                      </w:r>
                      <w:r w:rsidR="009E76EE">
                        <w:rPr>
                          <w:sz w:val="22"/>
                        </w:rPr>
                        <w:t>/2015</w:t>
                      </w:r>
                    </w:p>
                    <w:p w:rsidR="009E76EE" w:rsidRPr="00537C23" w:rsidRDefault="00B9588B">
                      <w:pPr>
                        <w:jc w:val="center"/>
                        <w:rPr>
                          <w:rFonts w:ascii="Arial" w:hAnsi="Arial" w:cs="Arial"/>
                          <w:sz w:val="20"/>
                          <w:szCs w:val="20"/>
                        </w:rPr>
                      </w:pPr>
                      <w:r>
                        <w:rPr>
                          <w:rFonts w:ascii="Arial" w:hAnsi="Arial" w:cs="Arial"/>
                          <w:sz w:val="20"/>
                          <w:szCs w:val="20"/>
                        </w:rPr>
                        <w:t xml:space="preserve">(Agenda Item: </w:t>
                      </w:r>
                      <w:r w:rsidR="004A74E9">
                        <w:rPr>
                          <w:rFonts w:ascii="Arial" w:hAnsi="Arial" w:cs="Arial"/>
                          <w:sz w:val="20"/>
                          <w:szCs w:val="20"/>
                        </w:rPr>
                        <w:t>17</w:t>
                      </w:r>
                      <w:r w:rsidR="009E76EE">
                        <w:rPr>
                          <w:rFonts w:ascii="Arial" w:hAnsi="Arial" w:cs="Arial"/>
                          <w:sz w:val="20"/>
                          <w:szCs w:val="20"/>
                        </w:rPr>
                        <w:t>)</w:t>
                      </w:r>
                    </w:p>
                  </w:txbxContent>
                </v:textbox>
              </v:rect>
            </w:pict>
          </mc:Fallback>
        </mc:AlternateContent>
      </w:r>
    </w:p>
    <w:p w:rsidR="005D3499" w:rsidRDefault="005D3499">
      <w:pPr>
        <w:pStyle w:val="Heading1"/>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37C23" w:rsidRDefault="00537C23" w:rsidP="00537C23">
      <w:pPr>
        <w:rPr>
          <w:rFonts w:ascii="Arial" w:hAnsi="Arial" w:cs="Arial"/>
          <w:b/>
        </w:rPr>
      </w:pPr>
    </w:p>
    <w:p w:rsidR="00537C23" w:rsidRDefault="00BA3719" w:rsidP="00537C23">
      <w:pPr>
        <w:jc w:val="center"/>
        <w:rPr>
          <w:rFonts w:ascii="Arial" w:hAnsi="Arial" w:cs="Arial"/>
          <w:b/>
        </w:rPr>
      </w:pPr>
      <w:r>
        <w:rPr>
          <w:rFonts w:ascii="Arial" w:hAnsi="Arial" w:cs="Arial"/>
          <w:b/>
        </w:rPr>
        <w:t>29 July</w:t>
      </w:r>
      <w:r w:rsidR="00432E50">
        <w:rPr>
          <w:rFonts w:ascii="Arial" w:hAnsi="Arial" w:cs="Arial"/>
          <w:b/>
        </w:rPr>
        <w:t xml:space="preserve"> 201</w:t>
      </w:r>
      <w:r w:rsidR="002B141A">
        <w:rPr>
          <w:rFonts w:ascii="Arial" w:hAnsi="Arial" w:cs="Arial"/>
          <w:b/>
        </w:rPr>
        <w:t>5</w:t>
      </w:r>
      <w:bookmarkStart w:id="0" w:name="_GoBack"/>
      <w:bookmarkEnd w:id="0"/>
    </w:p>
    <w:p w:rsidR="00537C23" w:rsidRDefault="00537C23" w:rsidP="00537C23">
      <w:pPr>
        <w:jc w:val="center"/>
        <w:rPr>
          <w:rFonts w:ascii="Arial" w:hAnsi="Arial" w:cs="Arial"/>
          <w:b/>
        </w:rPr>
      </w:pPr>
    </w:p>
    <w:p w:rsidR="00537C23" w:rsidRDefault="00537C23" w:rsidP="00537C23">
      <w:pPr>
        <w:jc w:val="center"/>
        <w:rPr>
          <w:rFonts w:ascii="Arial" w:hAnsi="Arial" w:cs="Arial"/>
          <w:b/>
        </w:rPr>
      </w:pPr>
      <w:r>
        <w:rPr>
          <w:rFonts w:ascii="Arial" w:hAnsi="Arial" w:cs="Arial"/>
          <w:b/>
        </w:rPr>
        <w:t xml:space="preserve">In-Year Submission to </w:t>
      </w:r>
      <w:r w:rsidRPr="00636DFE">
        <w:rPr>
          <w:rFonts w:ascii="Arial" w:hAnsi="Arial" w:cs="Arial"/>
          <w:b/>
        </w:rPr>
        <w:t xml:space="preserve">Monitor </w:t>
      </w:r>
      <w:r>
        <w:rPr>
          <w:rFonts w:ascii="Arial" w:hAnsi="Arial" w:cs="Arial"/>
          <w:b/>
        </w:rPr>
        <w:t xml:space="preserve">– </w:t>
      </w:r>
      <w:r w:rsidRPr="00636DFE">
        <w:rPr>
          <w:rFonts w:ascii="Arial" w:hAnsi="Arial" w:cs="Arial"/>
          <w:b/>
        </w:rPr>
        <w:t xml:space="preserve">Quarter </w:t>
      </w:r>
      <w:r w:rsidR="00BA3719">
        <w:rPr>
          <w:rFonts w:ascii="Arial" w:hAnsi="Arial" w:cs="Arial"/>
          <w:b/>
        </w:rPr>
        <w:t>1</w:t>
      </w:r>
      <w:r>
        <w:rPr>
          <w:rFonts w:ascii="Arial" w:hAnsi="Arial" w:cs="Arial"/>
          <w:b/>
        </w:rPr>
        <w:t xml:space="preserve"> </w:t>
      </w:r>
      <w:r w:rsidR="00BA3719">
        <w:rPr>
          <w:rFonts w:ascii="Arial" w:hAnsi="Arial" w:cs="Arial"/>
          <w:b/>
        </w:rPr>
        <w:t>2015/16</w:t>
      </w:r>
      <w:r>
        <w:rPr>
          <w:rFonts w:ascii="Arial" w:hAnsi="Arial" w:cs="Arial"/>
          <w:b/>
        </w:rPr>
        <w:t xml:space="preserve"> </w:t>
      </w:r>
      <w:r w:rsidRPr="00636DFE">
        <w:rPr>
          <w:rFonts w:ascii="Arial" w:hAnsi="Arial" w:cs="Arial"/>
          <w:b/>
        </w:rPr>
        <w:t>Report</w:t>
      </w:r>
      <w:r w:rsidR="007338A7">
        <w:rPr>
          <w:rFonts w:ascii="Arial" w:hAnsi="Arial" w:cs="Arial"/>
          <w:b/>
        </w:rPr>
        <w:t xml:space="preserve"> </w:t>
      </w:r>
    </w:p>
    <w:p w:rsidR="00537C23" w:rsidRDefault="00537C23" w:rsidP="00537C23">
      <w:pPr>
        <w:rPr>
          <w:rFonts w:ascii="Arial" w:hAnsi="Arial" w:cs="Arial"/>
          <w:b/>
        </w:rPr>
      </w:pPr>
    </w:p>
    <w:p w:rsidR="007338A7" w:rsidRDefault="007338A7" w:rsidP="00537C23">
      <w:pPr>
        <w:rPr>
          <w:rFonts w:ascii="Arial" w:hAnsi="Arial" w:cs="Arial"/>
          <w:b/>
        </w:rPr>
      </w:pPr>
    </w:p>
    <w:p w:rsidR="00537C23" w:rsidRPr="00226DFB" w:rsidRDefault="00537C23" w:rsidP="00537C23">
      <w:pPr>
        <w:rPr>
          <w:rFonts w:ascii="Arial" w:hAnsi="Arial" w:cs="Arial"/>
          <w:b/>
          <w:u w:val="single"/>
        </w:rPr>
      </w:pPr>
      <w:r w:rsidRPr="00226DFB">
        <w:rPr>
          <w:rFonts w:ascii="Arial" w:hAnsi="Arial" w:cs="Arial"/>
          <w:b/>
          <w:u w:val="single"/>
        </w:rPr>
        <w:t>For Approval</w:t>
      </w:r>
    </w:p>
    <w:p w:rsidR="000F1A75" w:rsidRDefault="000F1A75" w:rsidP="00537C23">
      <w:pPr>
        <w:rPr>
          <w:rFonts w:ascii="Arial" w:hAnsi="Arial" w:cs="Arial"/>
          <w:b/>
        </w:rPr>
      </w:pPr>
    </w:p>
    <w:p w:rsidR="00537C23" w:rsidRDefault="00537C23" w:rsidP="00537C23">
      <w:pPr>
        <w:jc w:val="both"/>
        <w:rPr>
          <w:rFonts w:ascii="Arial" w:hAnsi="Arial" w:cs="Arial"/>
          <w:b/>
        </w:rPr>
      </w:pPr>
      <w:r w:rsidRPr="00F111B9">
        <w:rPr>
          <w:rFonts w:ascii="Arial" w:hAnsi="Arial" w:cs="Arial"/>
          <w:b/>
        </w:rPr>
        <w:t>Executive Summary</w:t>
      </w:r>
    </w:p>
    <w:p w:rsidR="00537C23" w:rsidRDefault="00537C23" w:rsidP="00537C23">
      <w:pPr>
        <w:jc w:val="both"/>
        <w:rPr>
          <w:rFonts w:ascii="Arial" w:hAnsi="Arial" w:cs="Arial"/>
        </w:rPr>
      </w:pPr>
      <w:r>
        <w:rPr>
          <w:rFonts w:ascii="Arial" w:hAnsi="Arial" w:cs="Arial"/>
        </w:rPr>
        <w:t xml:space="preserve">Under the </w:t>
      </w:r>
      <w:r w:rsidR="00432E50">
        <w:rPr>
          <w:rFonts w:ascii="Arial" w:hAnsi="Arial" w:cs="Arial"/>
        </w:rPr>
        <w:t xml:space="preserve">Risk Assessment </w:t>
      </w:r>
      <w:r>
        <w:rPr>
          <w:rFonts w:ascii="Arial" w:hAnsi="Arial" w:cs="Arial"/>
        </w:rPr>
        <w:t>Framework</w:t>
      </w:r>
      <w:r w:rsidR="009E4327">
        <w:rPr>
          <w:rFonts w:ascii="Arial" w:hAnsi="Arial" w:cs="Arial"/>
        </w:rPr>
        <w:t xml:space="preserve"> </w:t>
      </w:r>
      <w:r w:rsidR="00BA3719">
        <w:rPr>
          <w:rFonts w:ascii="Arial" w:hAnsi="Arial" w:cs="Arial"/>
        </w:rPr>
        <w:t>20</w:t>
      </w:r>
      <w:r w:rsidR="00FB11B0">
        <w:rPr>
          <w:rFonts w:ascii="Arial" w:hAnsi="Arial" w:cs="Arial"/>
        </w:rPr>
        <w:t>15</w:t>
      </w:r>
      <w:r w:rsidR="00BA3719">
        <w:rPr>
          <w:rFonts w:ascii="Arial" w:hAnsi="Arial" w:cs="Arial"/>
        </w:rPr>
        <w:t>/16</w:t>
      </w:r>
      <w:r>
        <w:rPr>
          <w:rFonts w:ascii="Arial" w:hAnsi="Arial" w:cs="Arial"/>
        </w:rPr>
        <w:t>, the Trust is required to provide in-year reports on a quarterly basis.  These submissions include quarterly financials, year to date financials and self certification</w:t>
      </w:r>
      <w:r w:rsidR="00A2776E">
        <w:rPr>
          <w:rFonts w:ascii="Arial" w:hAnsi="Arial" w:cs="Arial"/>
        </w:rPr>
        <w:t xml:space="preserve"> that all targets have been met.  Exception / update reports should be provided where necessary.</w:t>
      </w:r>
      <w:r>
        <w:rPr>
          <w:rFonts w:ascii="Arial" w:hAnsi="Arial" w:cs="Arial"/>
        </w:rPr>
        <w:t xml:space="preserve"> </w:t>
      </w:r>
    </w:p>
    <w:p w:rsidR="00FB11B0" w:rsidRDefault="00FB11B0" w:rsidP="00537C23">
      <w:pPr>
        <w:jc w:val="both"/>
        <w:rPr>
          <w:rFonts w:ascii="Arial" w:hAnsi="Arial" w:cs="Arial"/>
        </w:rPr>
      </w:pPr>
    </w:p>
    <w:p w:rsidR="00FB11B0" w:rsidRDefault="00FB11B0" w:rsidP="00537C23">
      <w:pPr>
        <w:jc w:val="both"/>
        <w:rPr>
          <w:rFonts w:ascii="Arial" w:hAnsi="Arial" w:cs="Arial"/>
        </w:rPr>
      </w:pPr>
      <w:r>
        <w:rPr>
          <w:rFonts w:ascii="Arial" w:hAnsi="Arial" w:cs="Arial"/>
        </w:rPr>
        <w:t xml:space="preserve">As reported to Board in October 2013, the Risk Assessment Framework replaced the </w:t>
      </w:r>
      <w:r>
        <w:rPr>
          <w:rFonts w:ascii="Arial" w:hAnsi="Arial" w:cs="Arial"/>
          <w:i/>
        </w:rPr>
        <w:t>Compliance Framework</w:t>
      </w:r>
      <w:r w:rsidR="00BA3719">
        <w:rPr>
          <w:rFonts w:ascii="Arial" w:hAnsi="Arial" w:cs="Arial"/>
        </w:rPr>
        <w:t xml:space="preserve"> from 1 October 2013.  Following consultation i</w:t>
      </w:r>
      <w:r>
        <w:rPr>
          <w:rFonts w:ascii="Arial" w:hAnsi="Arial" w:cs="Arial"/>
        </w:rPr>
        <w:t>n</w:t>
      </w:r>
      <w:r w:rsidR="00BA3719">
        <w:rPr>
          <w:rFonts w:ascii="Arial" w:hAnsi="Arial" w:cs="Arial"/>
        </w:rPr>
        <w:t xml:space="preserve"> late 2014, Monitor introduced a number of updates to the Risk Assessment Framework</w:t>
      </w:r>
      <w:r>
        <w:rPr>
          <w:rFonts w:ascii="Arial" w:hAnsi="Arial" w:cs="Arial"/>
        </w:rPr>
        <w:t xml:space="preserve"> </w:t>
      </w:r>
      <w:r w:rsidR="00BA3719">
        <w:rPr>
          <w:rFonts w:ascii="Arial" w:hAnsi="Arial" w:cs="Arial"/>
        </w:rPr>
        <w:t>including: the introduction of new nationally mandated mental health access measures as governance proxies from April 2016 (reporting to commence from late 2015/16); an additional trigger for when financial</w:t>
      </w:r>
      <w:r>
        <w:rPr>
          <w:rFonts w:ascii="Arial" w:hAnsi="Arial" w:cs="Arial"/>
        </w:rPr>
        <w:t xml:space="preserve"> </w:t>
      </w:r>
      <w:r w:rsidR="00BA3719">
        <w:rPr>
          <w:rFonts w:ascii="Arial" w:hAnsi="Arial" w:cs="Arial"/>
        </w:rPr>
        <w:t xml:space="preserve">risk may be investigated; changing the name of quality governance indicators to organizational health indicators; including specific exception reporting requirements for providers of high secure services; and clarifying that Monitor may stress-test providers’ strategic and operational plans. </w:t>
      </w:r>
      <w:r>
        <w:rPr>
          <w:rFonts w:ascii="Arial" w:hAnsi="Arial" w:cs="Arial"/>
        </w:rPr>
        <w:t>A full copy of the current Framework may be found here:-</w:t>
      </w:r>
    </w:p>
    <w:p w:rsidR="00BA3719" w:rsidRDefault="00BA3719" w:rsidP="00537C23">
      <w:pPr>
        <w:jc w:val="both"/>
        <w:rPr>
          <w:rFonts w:ascii="Arial" w:hAnsi="Arial" w:cs="Arial"/>
        </w:rPr>
      </w:pPr>
    </w:p>
    <w:p w:rsidR="00BA3719" w:rsidRDefault="004A74E9" w:rsidP="00537C23">
      <w:pPr>
        <w:jc w:val="both"/>
        <w:rPr>
          <w:rFonts w:ascii="Arial" w:hAnsi="Arial" w:cs="Arial"/>
        </w:rPr>
      </w:pPr>
      <w:hyperlink r:id="rId10" w:history="1">
        <w:r w:rsidR="00BA3719" w:rsidRPr="005133B5">
          <w:rPr>
            <w:rStyle w:val="Hyperlink"/>
            <w:rFonts w:ascii="Arial" w:hAnsi="Arial" w:cs="Arial"/>
          </w:rPr>
          <w:t>https://www.gov.uk/government/uploads/system/uploads/attachment_data/file/421204/RAF_update_revmar15.pdf</w:t>
        </w:r>
      </w:hyperlink>
      <w:r w:rsidR="00BA3719">
        <w:rPr>
          <w:rFonts w:ascii="Arial" w:hAnsi="Arial" w:cs="Arial"/>
        </w:rPr>
        <w:t xml:space="preserve"> </w:t>
      </w:r>
    </w:p>
    <w:p w:rsidR="00537C23" w:rsidRDefault="00537C23" w:rsidP="00537C23">
      <w:pPr>
        <w:jc w:val="both"/>
        <w:rPr>
          <w:rFonts w:ascii="Arial" w:hAnsi="Arial" w:cs="Arial"/>
        </w:rPr>
      </w:pPr>
    </w:p>
    <w:p w:rsidR="000F1A75" w:rsidRDefault="000F1A75" w:rsidP="00537C23">
      <w:pPr>
        <w:jc w:val="both"/>
        <w:rPr>
          <w:rFonts w:ascii="Arial" w:hAnsi="Arial" w:cs="Arial"/>
        </w:rPr>
      </w:pPr>
      <w:r>
        <w:rPr>
          <w:rFonts w:ascii="Arial" w:hAnsi="Arial" w:cs="Arial"/>
        </w:rPr>
        <w:t>Section 1 of this report set</w:t>
      </w:r>
      <w:r w:rsidR="00983DAC">
        <w:rPr>
          <w:rFonts w:ascii="Arial" w:hAnsi="Arial" w:cs="Arial"/>
        </w:rPr>
        <w:t>s</w:t>
      </w:r>
      <w:r>
        <w:rPr>
          <w:rFonts w:ascii="Arial" w:hAnsi="Arial" w:cs="Arial"/>
        </w:rPr>
        <w:t xml:space="preserve"> out the </w:t>
      </w:r>
      <w:r w:rsidR="00BA3719">
        <w:rPr>
          <w:rFonts w:ascii="Arial" w:hAnsi="Arial" w:cs="Arial"/>
        </w:rPr>
        <w:t>2015/16</w:t>
      </w:r>
      <w:r>
        <w:rPr>
          <w:rFonts w:ascii="Arial" w:hAnsi="Arial" w:cs="Arial"/>
        </w:rPr>
        <w:t xml:space="preserve"> monitoring requirements for FTs, including information on the quarterly submissions</w:t>
      </w:r>
      <w:r w:rsidR="003145DD">
        <w:rPr>
          <w:rFonts w:ascii="Arial" w:hAnsi="Arial" w:cs="Arial"/>
        </w:rPr>
        <w:t>.</w:t>
      </w:r>
    </w:p>
    <w:p w:rsidR="000F1A75" w:rsidRDefault="000F1A75" w:rsidP="00537C23">
      <w:pPr>
        <w:jc w:val="both"/>
        <w:rPr>
          <w:rFonts w:ascii="Arial" w:hAnsi="Arial" w:cs="Arial"/>
        </w:rPr>
      </w:pPr>
    </w:p>
    <w:p w:rsidR="00537C23" w:rsidRDefault="000F1A75" w:rsidP="00537C23">
      <w:pPr>
        <w:jc w:val="both"/>
        <w:rPr>
          <w:rFonts w:ascii="Arial" w:hAnsi="Arial" w:cs="Arial"/>
        </w:rPr>
      </w:pPr>
      <w:r>
        <w:rPr>
          <w:rFonts w:ascii="Arial" w:hAnsi="Arial" w:cs="Arial"/>
        </w:rPr>
        <w:t>Section 2 of this report sets out the Trust’s proposed Q</w:t>
      </w:r>
      <w:r w:rsidR="00022B45">
        <w:rPr>
          <w:rFonts w:ascii="Arial" w:hAnsi="Arial" w:cs="Arial"/>
        </w:rPr>
        <w:t xml:space="preserve">uarter </w:t>
      </w:r>
      <w:r w:rsidR="004D6449">
        <w:rPr>
          <w:rFonts w:ascii="Arial" w:hAnsi="Arial" w:cs="Arial"/>
        </w:rPr>
        <w:t>1</w:t>
      </w:r>
      <w:r>
        <w:rPr>
          <w:rFonts w:ascii="Arial" w:hAnsi="Arial" w:cs="Arial"/>
        </w:rPr>
        <w:t xml:space="preserve"> submission to Monitor.    </w:t>
      </w:r>
      <w:r w:rsidR="00537C23">
        <w:rPr>
          <w:rFonts w:ascii="Arial" w:hAnsi="Arial" w:cs="Arial"/>
        </w:rPr>
        <w:t xml:space="preserve">The submission date is </w:t>
      </w:r>
      <w:r w:rsidR="00B02673">
        <w:rPr>
          <w:rFonts w:ascii="Arial" w:hAnsi="Arial" w:cs="Arial"/>
        </w:rPr>
        <w:t xml:space="preserve">31 July </w:t>
      </w:r>
      <w:r w:rsidR="009E76EE">
        <w:rPr>
          <w:rFonts w:ascii="Arial" w:hAnsi="Arial" w:cs="Arial"/>
        </w:rPr>
        <w:t>2015</w:t>
      </w:r>
      <w:r w:rsidR="00537C23">
        <w:rPr>
          <w:rFonts w:ascii="Arial" w:hAnsi="Arial" w:cs="Arial"/>
        </w:rPr>
        <w:t>.</w:t>
      </w:r>
    </w:p>
    <w:p w:rsidR="000F1A75" w:rsidRDefault="000F1A75" w:rsidP="007338A7">
      <w:pPr>
        <w:jc w:val="both"/>
        <w:rPr>
          <w:rFonts w:ascii="Arial" w:hAnsi="Arial" w:cs="Arial"/>
        </w:rPr>
      </w:pPr>
    </w:p>
    <w:p w:rsidR="00CD1759" w:rsidRDefault="00CD1759" w:rsidP="007338A7">
      <w:pPr>
        <w:jc w:val="both"/>
        <w:rPr>
          <w:rFonts w:ascii="Arial" w:hAnsi="Arial" w:cs="Arial"/>
        </w:rPr>
      </w:pPr>
    </w:p>
    <w:p w:rsidR="007338A7" w:rsidRDefault="007338A7" w:rsidP="007338A7">
      <w:pPr>
        <w:jc w:val="both"/>
        <w:rPr>
          <w:rFonts w:ascii="Arial" w:hAnsi="Arial" w:cs="Arial"/>
          <w:b/>
        </w:rPr>
      </w:pPr>
      <w:r>
        <w:rPr>
          <w:rFonts w:ascii="Arial" w:hAnsi="Arial" w:cs="Arial"/>
          <w:b/>
        </w:rPr>
        <w:lastRenderedPageBreak/>
        <w:t>Recommendation</w:t>
      </w:r>
    </w:p>
    <w:p w:rsidR="007338A7" w:rsidRDefault="007338A7" w:rsidP="007338A7">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7338A7" w:rsidRDefault="007338A7" w:rsidP="007338A7">
      <w:pPr>
        <w:jc w:val="both"/>
        <w:rPr>
          <w:rFonts w:ascii="Arial" w:hAnsi="Arial" w:cs="Arial"/>
        </w:rPr>
      </w:pPr>
    </w:p>
    <w:p w:rsidR="007338A7" w:rsidRDefault="007338A7" w:rsidP="007338A7">
      <w:pPr>
        <w:jc w:val="both"/>
        <w:rPr>
          <w:rFonts w:ascii="Arial" w:hAnsi="Arial" w:cs="Arial"/>
        </w:rPr>
      </w:pPr>
      <w:r>
        <w:rPr>
          <w:rFonts w:ascii="Arial" w:hAnsi="Arial" w:cs="Arial"/>
        </w:rPr>
        <w:t xml:space="preserve">The Board is asked to comment on and approve the Quarter </w:t>
      </w:r>
      <w:r w:rsidR="00B02673">
        <w:rPr>
          <w:rFonts w:ascii="Arial" w:hAnsi="Arial" w:cs="Arial"/>
        </w:rPr>
        <w:t>1</w:t>
      </w:r>
      <w:r w:rsidR="00780788">
        <w:rPr>
          <w:rFonts w:ascii="Arial" w:hAnsi="Arial" w:cs="Arial"/>
        </w:rPr>
        <w:t xml:space="preserve"> submission to Monitor.</w:t>
      </w:r>
    </w:p>
    <w:p w:rsidR="00780788" w:rsidRDefault="00780788" w:rsidP="007338A7">
      <w:pPr>
        <w:jc w:val="both"/>
        <w:rPr>
          <w:rFonts w:ascii="Arial" w:hAnsi="Arial" w:cs="Arial"/>
        </w:rPr>
      </w:pPr>
    </w:p>
    <w:p w:rsidR="00780788" w:rsidRDefault="00780788" w:rsidP="007338A7">
      <w:pPr>
        <w:jc w:val="both"/>
        <w:rPr>
          <w:rFonts w:ascii="Arial" w:hAnsi="Arial" w:cs="Arial"/>
        </w:rPr>
      </w:pPr>
      <w:r>
        <w:rPr>
          <w:rFonts w:ascii="Arial" w:hAnsi="Arial" w:cs="Arial"/>
        </w:rPr>
        <w:t xml:space="preserve">As part of the </w:t>
      </w:r>
      <w:r w:rsidR="00022B45">
        <w:rPr>
          <w:rFonts w:ascii="Arial" w:hAnsi="Arial" w:cs="Arial"/>
        </w:rPr>
        <w:t xml:space="preserve">Quarter </w:t>
      </w:r>
      <w:r w:rsidR="00B02673">
        <w:rPr>
          <w:rFonts w:ascii="Arial" w:hAnsi="Arial" w:cs="Arial"/>
        </w:rPr>
        <w:t>1</w:t>
      </w:r>
      <w:r w:rsidR="001507EF">
        <w:rPr>
          <w:rFonts w:ascii="Arial" w:hAnsi="Arial" w:cs="Arial"/>
        </w:rPr>
        <w:t xml:space="preserve"> </w:t>
      </w:r>
      <w:r>
        <w:rPr>
          <w:rFonts w:ascii="Arial" w:hAnsi="Arial" w:cs="Arial"/>
        </w:rPr>
        <w:t xml:space="preserve">submission, the Board is asked to </w:t>
      </w:r>
      <w:r w:rsidR="000F4E17">
        <w:rPr>
          <w:rFonts w:ascii="Arial" w:hAnsi="Arial" w:cs="Arial"/>
        </w:rPr>
        <w:t xml:space="preserve">consider </w:t>
      </w:r>
      <w:r w:rsidR="00196CC8">
        <w:rPr>
          <w:rFonts w:ascii="Arial" w:hAnsi="Arial" w:cs="Arial"/>
        </w:rPr>
        <w:t>the following statements:</w:t>
      </w:r>
    </w:p>
    <w:p w:rsidR="000F1A75" w:rsidRPr="000F1A75" w:rsidRDefault="00196CC8" w:rsidP="000F1A75">
      <w:pPr>
        <w:pStyle w:val="ListParagraph"/>
        <w:numPr>
          <w:ilvl w:val="0"/>
          <w:numId w:val="20"/>
        </w:numPr>
        <w:jc w:val="both"/>
        <w:rPr>
          <w:rFonts w:ascii="Arial" w:hAnsi="Arial" w:cs="Arial"/>
        </w:rPr>
      </w:pPr>
      <w:r>
        <w:rPr>
          <w:rFonts w:ascii="Arial" w:hAnsi="Arial" w:cs="Arial"/>
        </w:rPr>
        <w:t>t</w:t>
      </w:r>
      <w:r w:rsidR="000F1A75">
        <w:rPr>
          <w:rFonts w:ascii="Arial" w:hAnsi="Arial" w:cs="Arial"/>
        </w:rPr>
        <w:t>he Board anticipates that the T</w:t>
      </w:r>
      <w:r w:rsidR="000F1A75" w:rsidRPr="00593399">
        <w:rPr>
          <w:rFonts w:ascii="Arial" w:hAnsi="Arial" w:cs="Arial"/>
        </w:rPr>
        <w:t xml:space="preserve">rust will continue to maintain a </w:t>
      </w:r>
      <w:r w:rsidR="00432E50">
        <w:rPr>
          <w:rFonts w:ascii="Arial" w:hAnsi="Arial" w:cs="Arial"/>
        </w:rPr>
        <w:t>Continuity of Service risk rating</w:t>
      </w:r>
      <w:r w:rsidR="000F1A75" w:rsidRPr="00593399">
        <w:rPr>
          <w:rFonts w:ascii="Arial" w:hAnsi="Arial" w:cs="Arial"/>
        </w:rPr>
        <w:t xml:space="preserve"> of at l</w:t>
      </w:r>
      <w:r>
        <w:rPr>
          <w:rFonts w:ascii="Arial" w:hAnsi="Arial" w:cs="Arial"/>
        </w:rPr>
        <w:t>east 3 over the next 12 months;</w:t>
      </w:r>
    </w:p>
    <w:p w:rsidR="000F1A75" w:rsidRDefault="00196CC8" w:rsidP="000F1A75">
      <w:pPr>
        <w:pStyle w:val="ListParagraph"/>
        <w:numPr>
          <w:ilvl w:val="0"/>
          <w:numId w:val="20"/>
        </w:numPr>
        <w:jc w:val="both"/>
        <w:rPr>
          <w:rFonts w:ascii="Arial" w:hAnsi="Arial" w:cs="Arial"/>
        </w:rPr>
      </w:pPr>
      <w:r>
        <w:rPr>
          <w:rFonts w:ascii="Arial" w:hAnsi="Arial" w:cs="Arial"/>
        </w:rPr>
        <w:t>t</w:t>
      </w:r>
      <w:r w:rsidR="000F1A75">
        <w:rPr>
          <w:rFonts w:ascii="Arial" w:hAnsi="Arial" w:cs="Arial"/>
        </w:rPr>
        <w:t xml:space="preserve">he Board is satisfied that plans in place are sufficient to ensure ongoing compliance with all existing targets (after the application of thresholds) </w:t>
      </w:r>
      <w:r w:rsidR="00432E50">
        <w:rPr>
          <w:rFonts w:ascii="Arial" w:hAnsi="Arial" w:cs="Arial"/>
        </w:rPr>
        <w:t xml:space="preserve">as set out in Appendix A of the Risk Assessment Framework; and a commitment to comply with all known </w:t>
      </w:r>
      <w:r>
        <w:rPr>
          <w:rFonts w:ascii="Arial" w:hAnsi="Arial" w:cs="Arial"/>
        </w:rPr>
        <w:t xml:space="preserve">existing targets going forwards; </w:t>
      </w:r>
      <w:r w:rsidR="001C5B64">
        <w:rPr>
          <w:rFonts w:ascii="Arial" w:hAnsi="Arial" w:cs="Arial"/>
        </w:rPr>
        <w:t>and</w:t>
      </w:r>
    </w:p>
    <w:p w:rsidR="000F1A75" w:rsidRDefault="00196CC8" w:rsidP="001C5B64">
      <w:pPr>
        <w:pStyle w:val="ListParagraph"/>
        <w:numPr>
          <w:ilvl w:val="0"/>
          <w:numId w:val="20"/>
        </w:numPr>
        <w:jc w:val="both"/>
        <w:rPr>
          <w:rFonts w:ascii="Arial" w:hAnsi="Arial" w:cs="Arial"/>
        </w:rPr>
      </w:pPr>
      <w:proofErr w:type="gramStart"/>
      <w:r>
        <w:rPr>
          <w:rFonts w:ascii="Arial" w:hAnsi="Arial" w:cs="Arial"/>
        </w:rPr>
        <w:t>the</w:t>
      </w:r>
      <w:proofErr w:type="gramEnd"/>
      <w:r>
        <w:rPr>
          <w:rFonts w:ascii="Arial" w:hAnsi="Arial" w:cs="Arial"/>
        </w:rPr>
        <w:t xml:space="preserve"> Board confirms that there are no matters arising in Q1 requiring an exception report to Monitor which have not already been reported</w:t>
      </w:r>
      <w:r w:rsidR="001C5B64" w:rsidRPr="001C5B64">
        <w:rPr>
          <w:rFonts w:ascii="Arial" w:hAnsi="Arial" w:cs="Arial"/>
        </w:rPr>
        <w:t>.</w:t>
      </w:r>
    </w:p>
    <w:p w:rsidR="007338A7" w:rsidRDefault="007338A7" w:rsidP="007338A7">
      <w:pPr>
        <w:jc w:val="both"/>
        <w:rPr>
          <w:rFonts w:ascii="Arial" w:hAnsi="Arial" w:cs="Arial"/>
          <w:b/>
        </w:rPr>
      </w:pPr>
    </w:p>
    <w:p w:rsidR="007338A7" w:rsidRDefault="007338A7" w:rsidP="007338A7">
      <w:pPr>
        <w:jc w:val="both"/>
        <w:rPr>
          <w:rFonts w:ascii="Arial" w:hAnsi="Arial" w:cs="Arial"/>
          <w:b/>
        </w:rPr>
      </w:pPr>
    </w:p>
    <w:p w:rsidR="007338A7" w:rsidRDefault="007338A7" w:rsidP="007338A7">
      <w:pPr>
        <w:ind w:left="2835" w:hanging="2835"/>
        <w:jc w:val="both"/>
        <w:rPr>
          <w:rFonts w:ascii="Arial" w:hAnsi="Arial" w:cs="Arial"/>
        </w:rPr>
      </w:pPr>
      <w:r>
        <w:rPr>
          <w:rFonts w:ascii="Arial" w:hAnsi="Arial" w:cs="Arial"/>
          <w:b/>
        </w:rPr>
        <w:t>Author and Title:</w:t>
      </w:r>
      <w:r>
        <w:rPr>
          <w:rFonts w:ascii="Arial" w:hAnsi="Arial" w:cs="Arial"/>
        </w:rPr>
        <w:t xml:space="preserve"> </w:t>
      </w:r>
      <w:r>
        <w:rPr>
          <w:rFonts w:ascii="Arial" w:hAnsi="Arial" w:cs="Arial"/>
        </w:rPr>
        <w:tab/>
      </w:r>
      <w:r>
        <w:rPr>
          <w:rFonts w:ascii="Arial" w:hAnsi="Arial" w:cs="Arial"/>
        </w:rPr>
        <w:tab/>
      </w:r>
      <w:r w:rsidR="00B02673">
        <w:rPr>
          <w:rFonts w:ascii="Arial" w:hAnsi="Arial" w:cs="Arial"/>
        </w:rPr>
        <w:t>Hannah Smith</w:t>
      </w:r>
      <w:r>
        <w:rPr>
          <w:rFonts w:ascii="Arial" w:hAnsi="Arial" w:cs="Arial"/>
        </w:rPr>
        <w:t xml:space="preserve">, </w:t>
      </w:r>
      <w:r w:rsidR="00B02673">
        <w:rPr>
          <w:rFonts w:ascii="Arial" w:hAnsi="Arial" w:cs="Arial"/>
        </w:rPr>
        <w:t xml:space="preserve">Assistant </w:t>
      </w:r>
      <w:r>
        <w:rPr>
          <w:rFonts w:ascii="Arial" w:hAnsi="Arial" w:cs="Arial"/>
        </w:rPr>
        <w:t xml:space="preserve">Trust Secretary </w:t>
      </w:r>
    </w:p>
    <w:p w:rsidR="007338A7" w:rsidRPr="002712E4" w:rsidRDefault="007338A7" w:rsidP="007338A7">
      <w:pPr>
        <w:jc w:val="both"/>
        <w:rPr>
          <w:rFonts w:ascii="Arial" w:hAnsi="Arial" w:cs="Arial"/>
        </w:rPr>
      </w:pPr>
      <w:r>
        <w:rPr>
          <w:rFonts w:ascii="Arial" w:hAnsi="Arial" w:cs="Arial"/>
          <w:b/>
        </w:rPr>
        <w:t>Lead Executive Director:</w:t>
      </w:r>
      <w:r>
        <w:rPr>
          <w:rFonts w:ascii="Arial" w:hAnsi="Arial" w:cs="Arial"/>
          <w:b/>
        </w:rPr>
        <w:tab/>
      </w:r>
      <w:r>
        <w:rPr>
          <w:rFonts w:ascii="Arial" w:hAnsi="Arial" w:cs="Arial"/>
        </w:rPr>
        <w:t>Mike McEnaney, Director of Finance</w:t>
      </w:r>
    </w:p>
    <w:p w:rsidR="007338A7" w:rsidRDefault="007338A7" w:rsidP="007338A7">
      <w:pPr>
        <w:jc w:val="both"/>
        <w:rPr>
          <w:rFonts w:ascii="Arial" w:hAnsi="Arial" w:cs="Arial"/>
          <w:b/>
        </w:rPr>
      </w:pPr>
    </w:p>
    <w:p w:rsidR="007338A7" w:rsidRPr="0073522A" w:rsidRDefault="007338A7" w:rsidP="007338A7">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Pr>
          <w:rFonts w:ascii="Arial" w:hAnsi="Arial" w:cs="Arial"/>
          <w:i/>
          <w:sz w:val="20"/>
          <w:szCs w:val="20"/>
        </w:rPr>
        <w:t>eferred to the Trust Solicitors.</w:t>
      </w:r>
    </w:p>
    <w:p w:rsidR="000F1A75" w:rsidRDefault="000F1A75">
      <w:pPr>
        <w:rPr>
          <w:rFonts w:ascii="Arial" w:hAnsi="Arial" w:cs="Arial"/>
        </w:rPr>
      </w:pPr>
      <w:r>
        <w:rPr>
          <w:rFonts w:ascii="Arial" w:hAnsi="Arial" w:cs="Arial"/>
        </w:rPr>
        <w:br w:type="page"/>
      </w:r>
    </w:p>
    <w:p w:rsidR="007338A7" w:rsidRDefault="007338A7" w:rsidP="00537C23">
      <w:pPr>
        <w:jc w:val="both"/>
        <w:rPr>
          <w:rFonts w:ascii="Arial" w:hAnsi="Arial" w:cs="Arial"/>
        </w:rPr>
      </w:pPr>
    </w:p>
    <w:p w:rsidR="00537C23" w:rsidRDefault="00537C23" w:rsidP="00537C23">
      <w:pPr>
        <w:jc w:val="both"/>
        <w:rPr>
          <w:rFonts w:ascii="Arial" w:hAnsi="Arial" w:cs="Arial"/>
        </w:rPr>
      </w:pPr>
    </w:p>
    <w:p w:rsidR="00537C23" w:rsidRPr="006557FC" w:rsidRDefault="00196CC8" w:rsidP="007338A7">
      <w:pPr>
        <w:numPr>
          <w:ilvl w:val="0"/>
          <w:numId w:val="14"/>
        </w:numPr>
        <w:ind w:hanging="720"/>
        <w:jc w:val="both"/>
        <w:rPr>
          <w:rFonts w:ascii="Arial" w:hAnsi="Arial" w:cs="Arial"/>
          <w:b/>
        </w:rPr>
      </w:pPr>
      <w:r>
        <w:rPr>
          <w:rFonts w:ascii="Arial" w:hAnsi="Arial" w:cs="Arial"/>
          <w:b/>
        </w:rPr>
        <w:t>2015/16</w:t>
      </w:r>
      <w:r w:rsidR="00537C23">
        <w:rPr>
          <w:rFonts w:ascii="Arial" w:hAnsi="Arial" w:cs="Arial"/>
          <w:b/>
        </w:rPr>
        <w:t xml:space="preserve"> Monitoring </w:t>
      </w:r>
      <w:r w:rsidR="00593399">
        <w:rPr>
          <w:rFonts w:ascii="Arial" w:hAnsi="Arial" w:cs="Arial"/>
          <w:b/>
        </w:rPr>
        <w:t>Requirements</w:t>
      </w:r>
    </w:p>
    <w:p w:rsidR="00D437E8" w:rsidRDefault="005F2E83" w:rsidP="00D437E8">
      <w:pPr>
        <w:jc w:val="both"/>
        <w:rPr>
          <w:rFonts w:ascii="Arial" w:hAnsi="Arial" w:cs="Arial"/>
        </w:rPr>
      </w:pPr>
      <w:r>
        <w:rPr>
          <w:rFonts w:ascii="Arial" w:hAnsi="Arial" w:cs="Arial"/>
        </w:rPr>
        <w:t xml:space="preserve">Under the </w:t>
      </w:r>
      <w:r w:rsidR="00D437E8">
        <w:rPr>
          <w:rFonts w:ascii="Arial" w:hAnsi="Arial" w:cs="Arial"/>
        </w:rPr>
        <w:t>Risk Assessment Framework</w:t>
      </w:r>
      <w:r>
        <w:rPr>
          <w:rFonts w:ascii="Arial" w:hAnsi="Arial" w:cs="Arial"/>
        </w:rPr>
        <w:t xml:space="preserve"> </w:t>
      </w:r>
      <w:r w:rsidR="00196CC8">
        <w:rPr>
          <w:rFonts w:ascii="Arial" w:hAnsi="Arial" w:cs="Arial"/>
        </w:rPr>
        <w:t>2015/16</w:t>
      </w:r>
      <w:r w:rsidR="00FB11B0">
        <w:rPr>
          <w:rFonts w:ascii="Arial" w:hAnsi="Arial" w:cs="Arial"/>
        </w:rPr>
        <w:t xml:space="preserve"> </w:t>
      </w:r>
      <w:r>
        <w:rPr>
          <w:rFonts w:ascii="Arial" w:hAnsi="Arial" w:cs="Arial"/>
        </w:rPr>
        <w:t xml:space="preserve">FTs are required to make </w:t>
      </w:r>
      <w:r w:rsidR="00D437E8">
        <w:rPr>
          <w:rFonts w:ascii="Arial" w:hAnsi="Arial" w:cs="Arial"/>
        </w:rPr>
        <w:t>in-year submissions as set out below:-</w:t>
      </w:r>
    </w:p>
    <w:p w:rsidR="00D437E8" w:rsidRDefault="00196CC8" w:rsidP="00D437E8">
      <w:pPr>
        <w:jc w:val="both"/>
        <w:rPr>
          <w:rFonts w:ascii="Arial" w:hAnsi="Arial" w:cs="Arial"/>
        </w:rPr>
      </w:pPr>
      <w:r>
        <w:rPr>
          <w:rFonts w:ascii="Arial" w:hAnsi="Arial" w:cs="Arial"/>
          <w:noProof/>
          <w:lang w:val="en-GB" w:eastAsia="en-GB"/>
        </w:rPr>
        <w:drawing>
          <wp:inline distT="0" distB="0" distL="0" distR="0">
            <wp:extent cx="5486400" cy="411402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14021"/>
                    </a:xfrm>
                    <a:prstGeom prst="rect">
                      <a:avLst/>
                    </a:prstGeom>
                    <a:noFill/>
                    <a:ln>
                      <a:noFill/>
                    </a:ln>
                  </pic:spPr>
                </pic:pic>
              </a:graphicData>
            </a:graphic>
          </wp:inline>
        </w:drawing>
      </w:r>
    </w:p>
    <w:p w:rsidR="00D437E8" w:rsidRDefault="00D437E8" w:rsidP="00D437E8">
      <w:pPr>
        <w:jc w:val="both"/>
        <w:rPr>
          <w:rFonts w:ascii="Arial" w:hAnsi="Arial" w:cs="Arial"/>
        </w:rPr>
      </w:pPr>
    </w:p>
    <w:p w:rsidR="00D437E8" w:rsidRDefault="00D437E8" w:rsidP="00D437E8">
      <w:pPr>
        <w:jc w:val="both"/>
        <w:rPr>
          <w:rFonts w:ascii="Arial" w:hAnsi="Arial" w:cs="Arial"/>
        </w:rPr>
      </w:pPr>
    </w:p>
    <w:p w:rsidR="0042776F" w:rsidRDefault="0042776F" w:rsidP="00537C23">
      <w:pPr>
        <w:jc w:val="both"/>
        <w:rPr>
          <w:rFonts w:ascii="Arial" w:hAnsi="Arial" w:cs="Arial"/>
        </w:rPr>
      </w:pPr>
      <w:r>
        <w:rPr>
          <w:rFonts w:ascii="Arial" w:hAnsi="Arial" w:cs="Arial"/>
        </w:rPr>
        <w:t>On a quarterly basis, Monitor issues templates which se</w:t>
      </w:r>
      <w:r w:rsidR="00593399">
        <w:rPr>
          <w:rFonts w:ascii="Arial" w:hAnsi="Arial" w:cs="Arial"/>
        </w:rPr>
        <w:t>t out what FTs should report on, including board statements, financial information, and performance against targets and indicators.</w:t>
      </w:r>
    </w:p>
    <w:p w:rsidR="00266710" w:rsidRDefault="00266710" w:rsidP="00537C23">
      <w:pPr>
        <w:jc w:val="both"/>
        <w:rPr>
          <w:rFonts w:ascii="Arial" w:hAnsi="Arial" w:cs="Arial"/>
        </w:rPr>
      </w:pPr>
    </w:p>
    <w:p w:rsidR="00266710" w:rsidRDefault="00266710" w:rsidP="00537C23">
      <w:pPr>
        <w:jc w:val="both"/>
        <w:rPr>
          <w:rFonts w:ascii="Arial" w:hAnsi="Arial" w:cs="Arial"/>
        </w:rPr>
      </w:pPr>
      <w:r>
        <w:rPr>
          <w:rFonts w:ascii="Arial" w:hAnsi="Arial" w:cs="Arial"/>
        </w:rPr>
        <w:t xml:space="preserve">Pages </w:t>
      </w:r>
      <w:r w:rsidR="00196CC8">
        <w:rPr>
          <w:rFonts w:ascii="Arial" w:hAnsi="Arial" w:cs="Arial"/>
        </w:rPr>
        <w:t>17-24</w:t>
      </w:r>
      <w:r w:rsidR="003177C9">
        <w:rPr>
          <w:rFonts w:ascii="Arial" w:hAnsi="Arial" w:cs="Arial"/>
        </w:rPr>
        <w:t xml:space="preserve"> </w:t>
      </w:r>
      <w:r>
        <w:rPr>
          <w:rFonts w:ascii="Arial" w:hAnsi="Arial" w:cs="Arial"/>
        </w:rPr>
        <w:t xml:space="preserve">of the </w:t>
      </w:r>
      <w:r w:rsidR="003177C9">
        <w:rPr>
          <w:rFonts w:ascii="Arial" w:hAnsi="Arial" w:cs="Arial"/>
        </w:rPr>
        <w:t>Risk Assessment</w:t>
      </w:r>
      <w:r>
        <w:rPr>
          <w:rFonts w:ascii="Arial" w:hAnsi="Arial" w:cs="Arial"/>
        </w:rPr>
        <w:t xml:space="preserve"> Framework set out the elements of the in</w:t>
      </w:r>
      <w:r w:rsidR="00196CC8">
        <w:rPr>
          <w:rFonts w:ascii="Arial" w:hAnsi="Arial" w:cs="Arial"/>
        </w:rPr>
        <w:t>-year submission and what Board</w:t>
      </w:r>
      <w:r>
        <w:rPr>
          <w:rFonts w:ascii="Arial" w:hAnsi="Arial" w:cs="Arial"/>
        </w:rPr>
        <w:t>s need to take account of; further detail is set out in the Appendices.  Elem</w:t>
      </w:r>
      <w:r w:rsidR="00196CC8">
        <w:rPr>
          <w:rFonts w:ascii="Arial" w:hAnsi="Arial" w:cs="Arial"/>
        </w:rPr>
        <w:t>ents of the submission include:</w:t>
      </w:r>
    </w:p>
    <w:p w:rsidR="0042776F" w:rsidRDefault="0042776F" w:rsidP="00537C23">
      <w:pPr>
        <w:jc w:val="both"/>
        <w:rPr>
          <w:rFonts w:ascii="Arial" w:hAnsi="Arial" w:cs="Arial"/>
        </w:rPr>
      </w:pPr>
    </w:p>
    <w:p w:rsidR="00593399" w:rsidRPr="00780788" w:rsidRDefault="00593399" w:rsidP="00780788">
      <w:pPr>
        <w:pStyle w:val="ListParagraph"/>
        <w:numPr>
          <w:ilvl w:val="0"/>
          <w:numId w:val="26"/>
        </w:numPr>
        <w:jc w:val="both"/>
        <w:rPr>
          <w:rFonts w:ascii="Arial" w:hAnsi="Arial" w:cs="Arial"/>
        </w:rPr>
      </w:pPr>
      <w:r w:rsidRPr="00780788">
        <w:rPr>
          <w:rFonts w:ascii="Arial" w:hAnsi="Arial" w:cs="Arial"/>
          <w:i/>
        </w:rPr>
        <w:t>Board statements:</w:t>
      </w:r>
    </w:p>
    <w:p w:rsidR="00593399" w:rsidRDefault="00593399" w:rsidP="00537C23">
      <w:pPr>
        <w:jc w:val="both"/>
        <w:rPr>
          <w:rFonts w:ascii="Arial" w:hAnsi="Arial" w:cs="Arial"/>
        </w:rPr>
      </w:pPr>
      <w:r>
        <w:rPr>
          <w:rFonts w:ascii="Arial" w:hAnsi="Arial" w:cs="Arial"/>
        </w:rPr>
        <w:t xml:space="preserve">FTs are required to confirm the following board statements (no supporting details are required unless </w:t>
      </w:r>
      <w:r w:rsidR="00442A64">
        <w:rPr>
          <w:rFonts w:ascii="Arial" w:hAnsi="Arial" w:cs="Arial"/>
        </w:rPr>
        <w:t>compliance cannot be confirmed):</w:t>
      </w:r>
    </w:p>
    <w:p w:rsidR="00593399" w:rsidRDefault="00593399" w:rsidP="00537C23">
      <w:pPr>
        <w:jc w:val="both"/>
        <w:rPr>
          <w:rFonts w:ascii="Arial" w:hAnsi="Arial" w:cs="Arial"/>
        </w:rPr>
      </w:pPr>
    </w:p>
    <w:p w:rsidR="003177C9" w:rsidRPr="000F1A75" w:rsidRDefault="00442A64" w:rsidP="003177C9">
      <w:pPr>
        <w:pStyle w:val="ListParagraph"/>
        <w:numPr>
          <w:ilvl w:val="0"/>
          <w:numId w:val="20"/>
        </w:numPr>
        <w:jc w:val="both"/>
        <w:rPr>
          <w:rFonts w:ascii="Arial" w:hAnsi="Arial" w:cs="Arial"/>
        </w:rPr>
      </w:pPr>
      <w:r>
        <w:rPr>
          <w:rFonts w:ascii="Arial" w:hAnsi="Arial" w:cs="Arial"/>
        </w:rPr>
        <w:t>t</w:t>
      </w:r>
      <w:r w:rsidR="003177C9">
        <w:rPr>
          <w:rFonts w:ascii="Arial" w:hAnsi="Arial" w:cs="Arial"/>
        </w:rPr>
        <w:t>he Board anticipates that the T</w:t>
      </w:r>
      <w:r w:rsidR="003177C9" w:rsidRPr="00593399">
        <w:rPr>
          <w:rFonts w:ascii="Arial" w:hAnsi="Arial" w:cs="Arial"/>
        </w:rPr>
        <w:t xml:space="preserve">rust will continue to maintain a </w:t>
      </w:r>
      <w:r w:rsidR="003177C9">
        <w:rPr>
          <w:rFonts w:ascii="Arial" w:hAnsi="Arial" w:cs="Arial"/>
        </w:rPr>
        <w:t>Continuity of Service risk rating</w:t>
      </w:r>
      <w:r w:rsidR="003177C9" w:rsidRPr="00593399">
        <w:rPr>
          <w:rFonts w:ascii="Arial" w:hAnsi="Arial" w:cs="Arial"/>
        </w:rPr>
        <w:t xml:space="preserve"> of at l</w:t>
      </w:r>
      <w:r>
        <w:rPr>
          <w:rFonts w:ascii="Arial" w:hAnsi="Arial" w:cs="Arial"/>
        </w:rPr>
        <w:t>east 3 over the next 12 months;</w:t>
      </w:r>
    </w:p>
    <w:p w:rsidR="003177C9" w:rsidRDefault="00442A64" w:rsidP="003177C9">
      <w:pPr>
        <w:pStyle w:val="ListParagraph"/>
        <w:numPr>
          <w:ilvl w:val="0"/>
          <w:numId w:val="20"/>
        </w:numPr>
        <w:jc w:val="both"/>
        <w:rPr>
          <w:rFonts w:ascii="Arial" w:hAnsi="Arial" w:cs="Arial"/>
        </w:rPr>
      </w:pPr>
      <w:r>
        <w:rPr>
          <w:rFonts w:ascii="Arial" w:hAnsi="Arial" w:cs="Arial"/>
        </w:rPr>
        <w:t>t</w:t>
      </w:r>
      <w:r w:rsidR="003177C9">
        <w:rPr>
          <w:rFonts w:ascii="Arial" w:hAnsi="Arial" w:cs="Arial"/>
        </w:rPr>
        <w:t xml:space="preserve">he Board is satisfied that plans in place are sufficient to ensure ongoing compliance with all existing targets (after the application of thresholds) as </w:t>
      </w:r>
      <w:r w:rsidR="003177C9">
        <w:rPr>
          <w:rFonts w:ascii="Arial" w:hAnsi="Arial" w:cs="Arial"/>
        </w:rPr>
        <w:lastRenderedPageBreak/>
        <w:t>set out in Appendix A of the Risk Assessment Framework; and a commitment to comply with all known exi</w:t>
      </w:r>
      <w:r>
        <w:rPr>
          <w:rFonts w:ascii="Arial" w:hAnsi="Arial" w:cs="Arial"/>
        </w:rPr>
        <w:t xml:space="preserve">sting targets going forwards; and </w:t>
      </w:r>
    </w:p>
    <w:p w:rsidR="00294CD9" w:rsidRPr="00593399" w:rsidRDefault="00442A64" w:rsidP="00442A64">
      <w:pPr>
        <w:pStyle w:val="ListParagraph"/>
        <w:numPr>
          <w:ilvl w:val="0"/>
          <w:numId w:val="20"/>
        </w:numPr>
        <w:jc w:val="both"/>
        <w:rPr>
          <w:rFonts w:ascii="Arial" w:hAnsi="Arial" w:cs="Arial"/>
        </w:rPr>
      </w:pPr>
      <w:proofErr w:type="gramStart"/>
      <w:r w:rsidRPr="00442A64">
        <w:rPr>
          <w:rFonts w:ascii="Arial" w:hAnsi="Arial" w:cs="Arial"/>
        </w:rPr>
        <w:t>the</w:t>
      </w:r>
      <w:proofErr w:type="gramEnd"/>
      <w:r w:rsidRPr="00442A64">
        <w:rPr>
          <w:rFonts w:ascii="Arial" w:hAnsi="Arial" w:cs="Arial"/>
        </w:rPr>
        <w:t xml:space="preserve"> Board confirms that there are no matters arising in Q1 requiring an exception report to Monitor which have not already been reported</w:t>
      </w:r>
      <w:r w:rsidR="009414B0">
        <w:rPr>
          <w:rFonts w:ascii="Arial" w:hAnsi="Arial" w:cs="Arial"/>
        </w:rPr>
        <w:t>.</w:t>
      </w:r>
    </w:p>
    <w:p w:rsidR="00593399" w:rsidRPr="009C058B" w:rsidRDefault="00593399" w:rsidP="009C058B">
      <w:pPr>
        <w:jc w:val="both"/>
        <w:rPr>
          <w:rFonts w:ascii="Arial" w:hAnsi="Arial" w:cs="Arial"/>
        </w:rPr>
      </w:pPr>
    </w:p>
    <w:p w:rsidR="009C058B" w:rsidRPr="00266710" w:rsidRDefault="00582ACF" w:rsidP="00780788">
      <w:pPr>
        <w:pStyle w:val="Default"/>
        <w:numPr>
          <w:ilvl w:val="0"/>
          <w:numId w:val="26"/>
        </w:numPr>
        <w:jc w:val="both"/>
        <w:rPr>
          <w:i/>
        </w:rPr>
      </w:pPr>
      <w:r w:rsidRPr="009C058B">
        <w:rPr>
          <w:bCs/>
          <w:i/>
        </w:rPr>
        <w:t>Non-exhaustive list of item</w:t>
      </w:r>
      <w:r w:rsidR="00780788">
        <w:rPr>
          <w:bCs/>
          <w:i/>
        </w:rPr>
        <w:t>s requiring exception reporting:</w:t>
      </w:r>
    </w:p>
    <w:p w:rsidR="003177C9" w:rsidRDefault="003177C9" w:rsidP="00780788">
      <w:pPr>
        <w:pStyle w:val="Default"/>
        <w:jc w:val="both"/>
        <w:rPr>
          <w:iCs/>
        </w:rPr>
      </w:pPr>
    </w:p>
    <w:tbl>
      <w:tblPr>
        <w:tblStyle w:val="TableGrid"/>
        <w:tblW w:w="0" w:type="auto"/>
        <w:tblLook w:val="04A0" w:firstRow="1" w:lastRow="0" w:firstColumn="1" w:lastColumn="0" w:noHBand="0" w:noVBand="1"/>
      </w:tblPr>
      <w:tblGrid>
        <w:gridCol w:w="1809"/>
        <w:gridCol w:w="7047"/>
      </w:tblGrid>
      <w:tr w:rsidR="0012329F" w:rsidTr="0012329F">
        <w:tc>
          <w:tcPr>
            <w:tcW w:w="1809" w:type="dxa"/>
          </w:tcPr>
          <w:p w:rsidR="0012329F" w:rsidRDefault="0012329F" w:rsidP="00780788">
            <w:pPr>
              <w:pStyle w:val="Default"/>
              <w:jc w:val="both"/>
              <w:rPr>
                <w:iCs/>
              </w:rPr>
            </w:pPr>
            <w:r>
              <w:rPr>
                <w:iCs/>
              </w:rPr>
              <w:t>Continuity of Service</w:t>
            </w:r>
          </w:p>
        </w:tc>
        <w:tc>
          <w:tcPr>
            <w:tcW w:w="7047" w:type="dxa"/>
          </w:tcPr>
          <w:p w:rsidR="0012329F" w:rsidRDefault="0012329F" w:rsidP="0012329F">
            <w:pPr>
              <w:pStyle w:val="Default"/>
              <w:numPr>
                <w:ilvl w:val="0"/>
                <w:numId w:val="28"/>
              </w:numPr>
              <w:jc w:val="both"/>
              <w:rPr>
                <w:iCs/>
              </w:rPr>
            </w:pPr>
            <w:r>
              <w:rPr>
                <w:iCs/>
              </w:rPr>
              <w:t>Unplanned significant reductions in income or significant increases in costs</w:t>
            </w:r>
          </w:p>
          <w:p w:rsidR="0012329F" w:rsidRDefault="0012329F" w:rsidP="0012329F">
            <w:pPr>
              <w:pStyle w:val="Default"/>
              <w:numPr>
                <w:ilvl w:val="0"/>
                <w:numId w:val="28"/>
              </w:numPr>
              <w:jc w:val="both"/>
              <w:rPr>
                <w:iCs/>
              </w:rPr>
            </w:pPr>
            <w:r>
              <w:rPr>
                <w:iCs/>
              </w:rPr>
              <w:t>Discussions with external auditors which may lead to a qualified audit report</w:t>
            </w:r>
          </w:p>
          <w:p w:rsidR="0012329F" w:rsidRDefault="0012329F" w:rsidP="0012329F">
            <w:pPr>
              <w:pStyle w:val="Default"/>
              <w:numPr>
                <w:ilvl w:val="0"/>
                <w:numId w:val="28"/>
              </w:numPr>
              <w:jc w:val="both"/>
              <w:rPr>
                <w:iCs/>
              </w:rPr>
            </w:pPr>
            <w:r>
              <w:rPr>
                <w:iCs/>
              </w:rPr>
              <w:t>Future transactions potentially affecting the Continuity of Service risk rating</w:t>
            </w:r>
          </w:p>
          <w:p w:rsidR="0012329F" w:rsidRDefault="0012329F" w:rsidP="0012329F">
            <w:pPr>
              <w:pStyle w:val="Default"/>
              <w:numPr>
                <w:ilvl w:val="0"/>
                <w:numId w:val="28"/>
              </w:numPr>
              <w:jc w:val="both"/>
              <w:rPr>
                <w:iCs/>
              </w:rPr>
            </w:pPr>
            <w:r>
              <w:rPr>
                <w:iCs/>
              </w:rPr>
              <w:t>Risk of a failure to maintain registration with the CQC for Commissioner Requested Services (CRS)</w:t>
            </w:r>
          </w:p>
          <w:p w:rsidR="0012329F" w:rsidRDefault="0012329F" w:rsidP="0012329F">
            <w:pPr>
              <w:pStyle w:val="Default"/>
              <w:numPr>
                <w:ilvl w:val="0"/>
                <w:numId w:val="28"/>
              </w:numPr>
              <w:jc w:val="both"/>
              <w:rPr>
                <w:iCs/>
              </w:rPr>
            </w:pPr>
            <w:r>
              <w:rPr>
                <w:iCs/>
              </w:rPr>
              <w:t>Loss of accreditation of a CRS</w:t>
            </w:r>
          </w:p>
          <w:p w:rsidR="0012329F" w:rsidRDefault="0012329F" w:rsidP="0012329F">
            <w:pPr>
              <w:pStyle w:val="Default"/>
              <w:numPr>
                <w:ilvl w:val="0"/>
                <w:numId w:val="28"/>
              </w:numPr>
              <w:jc w:val="both"/>
              <w:rPr>
                <w:iCs/>
              </w:rPr>
            </w:pPr>
            <w:r>
              <w:rPr>
                <w:iCs/>
              </w:rPr>
              <w:t>Proposals to vary CRS provision or dispose of assets, including:</w:t>
            </w:r>
          </w:p>
          <w:p w:rsidR="0012329F" w:rsidRDefault="0012329F" w:rsidP="0012329F">
            <w:pPr>
              <w:pStyle w:val="Default"/>
              <w:numPr>
                <w:ilvl w:val="1"/>
                <w:numId w:val="28"/>
              </w:numPr>
              <w:jc w:val="both"/>
              <w:rPr>
                <w:iCs/>
              </w:rPr>
            </w:pPr>
            <w:r>
              <w:rPr>
                <w:iCs/>
              </w:rPr>
              <w:t>cessation or suspension of CRS</w:t>
            </w:r>
          </w:p>
          <w:p w:rsidR="0012329F" w:rsidRDefault="0012329F" w:rsidP="0012329F">
            <w:pPr>
              <w:pStyle w:val="Default"/>
              <w:numPr>
                <w:ilvl w:val="1"/>
                <w:numId w:val="28"/>
              </w:numPr>
              <w:jc w:val="both"/>
              <w:rPr>
                <w:iCs/>
              </w:rPr>
            </w:pPr>
            <w:r>
              <w:rPr>
                <w:iCs/>
              </w:rPr>
              <w:t>variation of asset protection processes</w:t>
            </w:r>
          </w:p>
          <w:p w:rsidR="0012329F" w:rsidRDefault="0012329F" w:rsidP="0012329F">
            <w:pPr>
              <w:pStyle w:val="Default"/>
              <w:numPr>
                <w:ilvl w:val="0"/>
                <w:numId w:val="28"/>
              </w:numPr>
              <w:jc w:val="both"/>
              <w:rPr>
                <w:iCs/>
              </w:rPr>
            </w:pPr>
            <w:r>
              <w:rPr>
                <w:iCs/>
              </w:rPr>
              <w:t>Proposed disposals of CRS-related assets</w:t>
            </w:r>
          </w:p>
        </w:tc>
      </w:tr>
      <w:tr w:rsidR="0012329F" w:rsidTr="0012329F">
        <w:tc>
          <w:tcPr>
            <w:tcW w:w="1809" w:type="dxa"/>
          </w:tcPr>
          <w:p w:rsidR="0012329F" w:rsidRDefault="0012329F" w:rsidP="00780788">
            <w:pPr>
              <w:pStyle w:val="Default"/>
              <w:jc w:val="both"/>
              <w:rPr>
                <w:iCs/>
              </w:rPr>
            </w:pPr>
            <w:r>
              <w:rPr>
                <w:iCs/>
              </w:rPr>
              <w:t>Financial governance</w:t>
            </w:r>
          </w:p>
        </w:tc>
        <w:tc>
          <w:tcPr>
            <w:tcW w:w="7047" w:type="dxa"/>
          </w:tcPr>
          <w:p w:rsidR="0012329F" w:rsidRDefault="0012329F" w:rsidP="0012329F">
            <w:pPr>
              <w:pStyle w:val="Default"/>
              <w:numPr>
                <w:ilvl w:val="0"/>
                <w:numId w:val="29"/>
              </w:numPr>
              <w:jc w:val="both"/>
              <w:rPr>
                <w:iCs/>
              </w:rPr>
            </w:pPr>
            <w:r>
              <w:rPr>
                <w:iCs/>
              </w:rPr>
              <w:t>Requirements for additional working capital facilities</w:t>
            </w:r>
          </w:p>
          <w:p w:rsidR="0012329F" w:rsidRDefault="0012329F" w:rsidP="0012329F">
            <w:pPr>
              <w:pStyle w:val="Default"/>
              <w:numPr>
                <w:ilvl w:val="0"/>
                <w:numId w:val="29"/>
              </w:numPr>
              <w:jc w:val="both"/>
              <w:rPr>
                <w:iCs/>
              </w:rPr>
            </w:pPr>
            <w:r>
              <w:rPr>
                <w:iCs/>
              </w:rPr>
              <w:t xml:space="preserve">Failure to comply with the statutory reporting guidance </w:t>
            </w:r>
          </w:p>
          <w:p w:rsidR="0012329F" w:rsidRDefault="0012329F" w:rsidP="0012329F">
            <w:pPr>
              <w:pStyle w:val="Default"/>
              <w:numPr>
                <w:ilvl w:val="0"/>
                <w:numId w:val="29"/>
              </w:numPr>
              <w:jc w:val="both"/>
              <w:rPr>
                <w:iCs/>
              </w:rPr>
            </w:pPr>
            <w:r>
              <w:rPr>
                <w:iCs/>
              </w:rPr>
              <w:t>Adverse report from internal auditors</w:t>
            </w:r>
          </w:p>
          <w:p w:rsidR="0012329F" w:rsidRDefault="0012329F" w:rsidP="0012329F">
            <w:pPr>
              <w:pStyle w:val="Default"/>
              <w:numPr>
                <w:ilvl w:val="0"/>
                <w:numId w:val="29"/>
              </w:numPr>
              <w:jc w:val="both"/>
              <w:rPr>
                <w:iCs/>
              </w:rPr>
            </w:pPr>
            <w:r>
              <w:rPr>
                <w:iCs/>
              </w:rPr>
              <w:t>Significant third party investigations or reports that suggest potential material issues with governance</w:t>
            </w:r>
          </w:p>
          <w:p w:rsidR="0012329F" w:rsidRDefault="0012329F" w:rsidP="0012329F">
            <w:pPr>
              <w:pStyle w:val="Default"/>
              <w:numPr>
                <w:ilvl w:val="0"/>
                <w:numId w:val="29"/>
              </w:numPr>
              <w:jc w:val="both"/>
              <w:rPr>
                <w:iCs/>
              </w:rPr>
            </w:pPr>
            <w:r>
              <w:rPr>
                <w:iCs/>
              </w:rPr>
              <w:t>Care Quality Commission inspections and their outcomes</w:t>
            </w:r>
          </w:p>
          <w:p w:rsidR="0012329F" w:rsidRDefault="0012329F" w:rsidP="0012329F">
            <w:pPr>
              <w:pStyle w:val="Default"/>
              <w:numPr>
                <w:ilvl w:val="0"/>
                <w:numId w:val="29"/>
              </w:numPr>
              <w:jc w:val="both"/>
              <w:rPr>
                <w:iCs/>
              </w:rPr>
            </w:pPr>
            <w:r>
              <w:rPr>
                <w:iCs/>
              </w:rPr>
              <w:t>Performance penalties to commissioners</w:t>
            </w:r>
          </w:p>
        </w:tc>
      </w:tr>
      <w:tr w:rsidR="0012329F" w:rsidTr="0012329F">
        <w:tc>
          <w:tcPr>
            <w:tcW w:w="1809" w:type="dxa"/>
          </w:tcPr>
          <w:p w:rsidR="0012329F" w:rsidRDefault="0012329F" w:rsidP="00780788">
            <w:pPr>
              <w:pStyle w:val="Default"/>
              <w:jc w:val="both"/>
              <w:rPr>
                <w:iCs/>
              </w:rPr>
            </w:pPr>
            <w:r>
              <w:rPr>
                <w:iCs/>
              </w:rPr>
              <w:t>Governance</w:t>
            </w:r>
          </w:p>
        </w:tc>
        <w:tc>
          <w:tcPr>
            <w:tcW w:w="7047" w:type="dxa"/>
          </w:tcPr>
          <w:p w:rsidR="0012329F" w:rsidRDefault="0012329F" w:rsidP="0012329F">
            <w:pPr>
              <w:pStyle w:val="Default"/>
              <w:numPr>
                <w:ilvl w:val="0"/>
                <w:numId w:val="30"/>
              </w:numPr>
              <w:jc w:val="both"/>
              <w:rPr>
                <w:iCs/>
              </w:rPr>
            </w:pPr>
            <w:r>
              <w:rPr>
                <w:iCs/>
              </w:rPr>
              <w:t>Third party investigations or reports that could suggest material issues with financial, operational, clinical service quality or other aspects of the trust’s activities that could indicate material issues with governance</w:t>
            </w:r>
          </w:p>
          <w:p w:rsidR="0012329F" w:rsidRDefault="0012329F" w:rsidP="0012329F">
            <w:pPr>
              <w:pStyle w:val="Default"/>
              <w:numPr>
                <w:ilvl w:val="0"/>
                <w:numId w:val="30"/>
              </w:numPr>
              <w:jc w:val="both"/>
              <w:rPr>
                <w:iCs/>
              </w:rPr>
            </w:pPr>
            <w:r>
              <w:rPr>
                <w:iCs/>
              </w:rPr>
              <w:t>CQC responsive or planned inspections and the outcomes/findings</w:t>
            </w:r>
          </w:p>
          <w:p w:rsidR="0012329F" w:rsidRDefault="0012329F" w:rsidP="0012329F">
            <w:pPr>
              <w:pStyle w:val="Default"/>
              <w:numPr>
                <w:ilvl w:val="0"/>
                <w:numId w:val="30"/>
              </w:numPr>
              <w:jc w:val="both"/>
              <w:rPr>
                <w:iCs/>
              </w:rPr>
            </w:pPr>
            <w:r>
              <w:rPr>
                <w:iCs/>
              </w:rPr>
              <w:t>Changes in Chair, Senior Independent Director or Executive Director</w:t>
            </w:r>
          </w:p>
          <w:p w:rsidR="0012329F" w:rsidRDefault="0012329F" w:rsidP="0012329F">
            <w:pPr>
              <w:pStyle w:val="Default"/>
              <w:numPr>
                <w:ilvl w:val="0"/>
                <w:numId w:val="30"/>
              </w:numPr>
              <w:jc w:val="both"/>
              <w:rPr>
                <w:iCs/>
              </w:rPr>
            </w:pPr>
            <w:r>
              <w:rPr>
                <w:iCs/>
              </w:rPr>
              <w:t>Any never events</w:t>
            </w:r>
            <w:r>
              <w:rPr>
                <w:rStyle w:val="FootnoteReference"/>
                <w:iCs/>
              </w:rPr>
              <w:footnoteReference w:id="1"/>
            </w:r>
          </w:p>
          <w:p w:rsidR="00294CD9" w:rsidRDefault="00294CD9" w:rsidP="0012329F">
            <w:pPr>
              <w:pStyle w:val="Default"/>
              <w:numPr>
                <w:ilvl w:val="0"/>
                <w:numId w:val="30"/>
              </w:numPr>
              <w:jc w:val="both"/>
              <w:rPr>
                <w:iCs/>
              </w:rPr>
            </w:pPr>
            <w:r>
              <w:rPr>
                <w:iCs/>
              </w:rPr>
              <w:t xml:space="preserve">Any patient suicide, homicide or </w:t>
            </w:r>
            <w:proofErr w:type="spellStart"/>
            <w:r>
              <w:rPr>
                <w:iCs/>
              </w:rPr>
              <w:t>absconsion</w:t>
            </w:r>
            <w:proofErr w:type="spellEnd"/>
            <w:r>
              <w:rPr>
                <w:iCs/>
              </w:rPr>
              <w:t xml:space="preserve"> (mental health trusts only)</w:t>
            </w:r>
          </w:p>
          <w:p w:rsidR="00294CD9" w:rsidRDefault="00294CD9" w:rsidP="0012329F">
            <w:pPr>
              <w:pStyle w:val="Default"/>
              <w:numPr>
                <w:ilvl w:val="0"/>
                <w:numId w:val="30"/>
              </w:numPr>
              <w:jc w:val="both"/>
              <w:rPr>
                <w:iCs/>
              </w:rPr>
            </w:pPr>
            <w:r>
              <w:rPr>
                <w:iCs/>
              </w:rPr>
              <w:t>Non-compliance with safety and security directions and outcomes of safety and security audits (providers of high secure mental health services only)</w:t>
            </w:r>
          </w:p>
          <w:p w:rsidR="00294CD9" w:rsidRDefault="00294CD9" w:rsidP="0012329F">
            <w:pPr>
              <w:pStyle w:val="Default"/>
              <w:numPr>
                <w:ilvl w:val="0"/>
                <w:numId w:val="30"/>
              </w:numPr>
              <w:jc w:val="both"/>
              <w:rPr>
                <w:iCs/>
              </w:rPr>
            </w:pPr>
            <w:r>
              <w:rPr>
                <w:iCs/>
              </w:rPr>
              <w:lastRenderedPageBreak/>
              <w:t>Other serious incidents or patient safety issues which may impact compliance with the licence (e.g. serious incidents, complaints)</w:t>
            </w:r>
          </w:p>
        </w:tc>
      </w:tr>
      <w:tr w:rsidR="0012329F" w:rsidTr="0012329F">
        <w:tc>
          <w:tcPr>
            <w:tcW w:w="1809" w:type="dxa"/>
          </w:tcPr>
          <w:p w:rsidR="0012329F" w:rsidRDefault="00294CD9" w:rsidP="00780788">
            <w:pPr>
              <w:pStyle w:val="Default"/>
              <w:jc w:val="both"/>
              <w:rPr>
                <w:iCs/>
              </w:rPr>
            </w:pPr>
            <w:r>
              <w:rPr>
                <w:iCs/>
              </w:rPr>
              <w:lastRenderedPageBreak/>
              <w:t>Other risks</w:t>
            </w:r>
          </w:p>
        </w:tc>
        <w:tc>
          <w:tcPr>
            <w:tcW w:w="7047" w:type="dxa"/>
          </w:tcPr>
          <w:p w:rsidR="0012329F" w:rsidRDefault="00294CD9" w:rsidP="00294CD9">
            <w:pPr>
              <w:pStyle w:val="Default"/>
              <w:numPr>
                <w:ilvl w:val="0"/>
                <w:numId w:val="31"/>
              </w:numPr>
              <w:jc w:val="both"/>
              <w:rPr>
                <w:iCs/>
              </w:rPr>
            </w:pPr>
            <w:r>
              <w:rPr>
                <w:iCs/>
              </w:rPr>
              <w:t>Enforcement notices or other sanctions from other bodies implying potential or actual significant breach of a licence condition</w:t>
            </w:r>
          </w:p>
          <w:p w:rsidR="00294CD9" w:rsidRDefault="00294CD9" w:rsidP="00294CD9">
            <w:pPr>
              <w:pStyle w:val="Default"/>
              <w:numPr>
                <w:ilvl w:val="0"/>
                <w:numId w:val="31"/>
              </w:numPr>
              <w:jc w:val="both"/>
              <w:rPr>
                <w:iCs/>
              </w:rPr>
            </w:pPr>
            <w:r>
              <w:rPr>
                <w:iCs/>
              </w:rPr>
              <w:t>Patient group concerns</w:t>
            </w:r>
          </w:p>
          <w:p w:rsidR="00294CD9" w:rsidRDefault="00294CD9" w:rsidP="00294CD9">
            <w:pPr>
              <w:pStyle w:val="Default"/>
              <w:numPr>
                <w:ilvl w:val="0"/>
                <w:numId w:val="31"/>
              </w:numPr>
              <w:jc w:val="both"/>
              <w:rPr>
                <w:iCs/>
              </w:rPr>
            </w:pPr>
            <w:r>
              <w:rPr>
                <w:iCs/>
              </w:rPr>
              <w:t xml:space="preserve">Concerns from </w:t>
            </w:r>
            <w:proofErr w:type="spellStart"/>
            <w:r>
              <w:rPr>
                <w:iCs/>
              </w:rPr>
              <w:t>whistleblowers</w:t>
            </w:r>
            <w:proofErr w:type="spellEnd"/>
            <w:r>
              <w:rPr>
                <w:iCs/>
              </w:rPr>
              <w:t xml:space="preserve"> or complaints</w:t>
            </w:r>
          </w:p>
          <w:p w:rsidR="00294CD9" w:rsidRDefault="00294CD9" w:rsidP="00294CD9">
            <w:pPr>
              <w:pStyle w:val="Default"/>
              <w:numPr>
                <w:ilvl w:val="0"/>
                <w:numId w:val="31"/>
              </w:numPr>
              <w:jc w:val="both"/>
              <w:rPr>
                <w:iCs/>
              </w:rPr>
            </w:pPr>
            <w:r>
              <w:rPr>
                <w:iCs/>
              </w:rPr>
              <w:t>Any significant reputational issues, for example any adverse national press attention</w:t>
            </w:r>
          </w:p>
        </w:tc>
      </w:tr>
    </w:tbl>
    <w:p w:rsidR="00851BE6" w:rsidRDefault="00851BE6" w:rsidP="00537C23">
      <w:pPr>
        <w:jc w:val="both"/>
        <w:rPr>
          <w:rFonts w:ascii="Arial" w:hAnsi="Arial" w:cs="Arial"/>
        </w:rPr>
      </w:pPr>
    </w:p>
    <w:p w:rsidR="002725A4" w:rsidRDefault="002725A4" w:rsidP="00537C23">
      <w:pPr>
        <w:jc w:val="both"/>
        <w:rPr>
          <w:rFonts w:ascii="Arial" w:hAnsi="Arial" w:cs="Arial"/>
        </w:rPr>
      </w:pPr>
      <w:r>
        <w:rPr>
          <w:rFonts w:ascii="Arial" w:hAnsi="Arial" w:cs="Arial"/>
        </w:rPr>
        <w:t xml:space="preserve">Monitor in the Risk Assessment Framework </w:t>
      </w:r>
      <w:proofErr w:type="spellStart"/>
      <w:r>
        <w:rPr>
          <w:rFonts w:ascii="Arial" w:hAnsi="Arial" w:cs="Arial"/>
        </w:rPr>
        <w:t>recognises</w:t>
      </w:r>
      <w:proofErr w:type="spellEnd"/>
      <w:r>
        <w:rPr>
          <w:rFonts w:ascii="Arial" w:hAnsi="Arial" w:cs="Arial"/>
        </w:rPr>
        <w:t xml:space="preserve"> that there are many third parties (including other regulators, auditors, medical Royal Colleges, training establishments and coroners) that comment on and review aspects of an FT’s performance.  Monitor does not require FTs to submit each and every report that includes commentary or observation on their performance but does require FTs to inform Monitor of reports where they could reasonably be regarded as raising potential concerns over a FT’s current or potential compliance with </w:t>
      </w:r>
      <w:proofErr w:type="spellStart"/>
      <w:r>
        <w:rPr>
          <w:rFonts w:ascii="Arial" w:hAnsi="Arial" w:cs="Arial"/>
        </w:rPr>
        <w:t>licence</w:t>
      </w:r>
      <w:proofErr w:type="spellEnd"/>
      <w:r>
        <w:rPr>
          <w:rFonts w:ascii="Arial" w:hAnsi="Arial" w:cs="Arial"/>
        </w:rPr>
        <w:t xml:space="preserve"> condition</w:t>
      </w:r>
      <w:r w:rsidR="009A1C27">
        <w:rPr>
          <w:rFonts w:ascii="Arial" w:hAnsi="Arial" w:cs="Arial"/>
        </w:rPr>
        <w:t>s</w:t>
      </w:r>
      <w:r>
        <w:rPr>
          <w:rFonts w:ascii="Arial" w:hAnsi="Arial" w:cs="Arial"/>
        </w:rPr>
        <w:t>, in particul</w:t>
      </w:r>
      <w:r w:rsidR="009A1C27">
        <w:rPr>
          <w:rFonts w:ascii="Arial" w:hAnsi="Arial" w:cs="Arial"/>
        </w:rPr>
        <w:t>ar the FT governance condition (please refer to Appendix F in the Risk Assessment Framework for the detail)</w:t>
      </w:r>
      <w:r>
        <w:rPr>
          <w:rFonts w:ascii="Arial" w:hAnsi="Arial" w:cs="Arial"/>
        </w:rPr>
        <w:t xml:space="preserve">.  </w:t>
      </w:r>
      <w:r w:rsidR="009A1C27">
        <w:rPr>
          <w:rFonts w:ascii="Arial" w:hAnsi="Arial" w:cs="Arial"/>
        </w:rPr>
        <w:t xml:space="preserve">The scope of the governance condition reflects Monitor’s long-standing expectations regarding effective governance, evidenced in published guidance and regulatory action.  </w:t>
      </w:r>
    </w:p>
    <w:p w:rsidR="009A1C27" w:rsidRDefault="009A1C27" w:rsidP="00537C23">
      <w:pPr>
        <w:jc w:val="both"/>
        <w:rPr>
          <w:rFonts w:ascii="Arial" w:hAnsi="Arial" w:cs="Arial"/>
        </w:rPr>
      </w:pPr>
    </w:p>
    <w:p w:rsidR="009A1C27" w:rsidRDefault="009A1C27" w:rsidP="00537C23">
      <w:pPr>
        <w:jc w:val="both"/>
        <w:rPr>
          <w:rFonts w:ascii="Arial" w:hAnsi="Arial" w:cs="Arial"/>
        </w:rPr>
      </w:pPr>
      <w:r>
        <w:rPr>
          <w:rFonts w:ascii="Arial" w:hAnsi="Arial" w:cs="Arial"/>
        </w:rPr>
        <w:t xml:space="preserve">In addition, FTs that provide high secure mental health services are required to report non-compliance with the Secretary of State safety and security directions, any significant issues relating to safety and security audits and serious incidents in line with their serious incident and reporting policy. </w:t>
      </w:r>
    </w:p>
    <w:p w:rsidR="002725A4" w:rsidRDefault="002725A4" w:rsidP="00537C23">
      <w:pPr>
        <w:jc w:val="both"/>
        <w:rPr>
          <w:rFonts w:ascii="Arial" w:hAnsi="Arial" w:cs="Arial"/>
        </w:rPr>
      </w:pPr>
    </w:p>
    <w:p w:rsidR="00780788" w:rsidRPr="00780788" w:rsidRDefault="00780788" w:rsidP="00780788">
      <w:pPr>
        <w:pStyle w:val="ListParagraph"/>
        <w:numPr>
          <w:ilvl w:val="0"/>
          <w:numId w:val="26"/>
        </w:numPr>
        <w:jc w:val="both"/>
        <w:rPr>
          <w:rFonts w:ascii="Arial" w:hAnsi="Arial" w:cs="Arial"/>
          <w:i/>
        </w:rPr>
      </w:pPr>
      <w:r w:rsidRPr="00780788">
        <w:rPr>
          <w:rFonts w:ascii="Arial" w:hAnsi="Arial" w:cs="Arial"/>
          <w:i/>
        </w:rPr>
        <w:t>Targets and Indictors</w:t>
      </w:r>
      <w:r>
        <w:rPr>
          <w:rFonts w:ascii="Arial" w:hAnsi="Arial" w:cs="Arial"/>
          <w:i/>
        </w:rPr>
        <w:t>:</w:t>
      </w:r>
    </w:p>
    <w:p w:rsidR="00537C23" w:rsidRDefault="00A80D21" w:rsidP="00537C23">
      <w:pPr>
        <w:jc w:val="both"/>
        <w:rPr>
          <w:rFonts w:ascii="Arial" w:hAnsi="Arial" w:cs="Arial"/>
        </w:rPr>
      </w:pPr>
      <w:r>
        <w:rPr>
          <w:rFonts w:ascii="Arial" w:hAnsi="Arial" w:cs="Arial"/>
        </w:rPr>
        <w:t xml:space="preserve">Appendix </w:t>
      </w:r>
      <w:r w:rsidR="003177C9">
        <w:rPr>
          <w:rFonts w:ascii="Arial" w:hAnsi="Arial" w:cs="Arial"/>
        </w:rPr>
        <w:t>A</w:t>
      </w:r>
      <w:r>
        <w:rPr>
          <w:rFonts w:ascii="Arial" w:hAnsi="Arial" w:cs="Arial"/>
        </w:rPr>
        <w:t xml:space="preserve"> of the </w:t>
      </w:r>
      <w:r w:rsidR="003177C9">
        <w:rPr>
          <w:rFonts w:ascii="Arial" w:hAnsi="Arial" w:cs="Arial"/>
        </w:rPr>
        <w:t>Risk Assessment Framework</w:t>
      </w:r>
      <w:r w:rsidR="00851BE6">
        <w:rPr>
          <w:rFonts w:ascii="Arial" w:hAnsi="Arial" w:cs="Arial"/>
        </w:rPr>
        <w:t xml:space="preserve"> sets out the targets and indi</w:t>
      </w:r>
      <w:r w:rsidR="00164664">
        <w:rPr>
          <w:rFonts w:ascii="Arial" w:hAnsi="Arial" w:cs="Arial"/>
        </w:rPr>
        <w:t>cators that FTs must report on:</w:t>
      </w:r>
    </w:p>
    <w:p w:rsidR="003145DD" w:rsidRDefault="003145DD" w:rsidP="00537C23">
      <w:pPr>
        <w:jc w:val="both"/>
        <w:rPr>
          <w:rFonts w:ascii="Arial" w:hAnsi="Arial" w:cs="Arial"/>
        </w:rPr>
      </w:pPr>
    </w:p>
    <w:tbl>
      <w:tblPr>
        <w:tblW w:w="9039" w:type="dxa"/>
        <w:tblLayout w:type="fixed"/>
        <w:tblLook w:val="0000" w:firstRow="0" w:lastRow="0" w:firstColumn="0" w:lastColumn="0" w:noHBand="0" w:noVBand="0"/>
      </w:tblPr>
      <w:tblGrid>
        <w:gridCol w:w="817"/>
        <w:gridCol w:w="3969"/>
        <w:gridCol w:w="992"/>
        <w:gridCol w:w="1134"/>
        <w:gridCol w:w="2127"/>
      </w:tblGrid>
      <w:tr w:rsidR="00851BE6" w:rsidRPr="00827289" w:rsidTr="009A1C27">
        <w:trPr>
          <w:trHeight w:val="664"/>
        </w:trPr>
        <w:tc>
          <w:tcPr>
            <w:tcW w:w="81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AREA</w:t>
            </w:r>
          </w:p>
        </w:tc>
        <w:tc>
          <w:tcPr>
            <w:tcW w:w="3969"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INDICATOR</w:t>
            </w:r>
          </w:p>
        </w:tc>
        <w:tc>
          <w:tcPr>
            <w:tcW w:w="992"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THRES-HOLD</w:t>
            </w:r>
          </w:p>
        </w:tc>
        <w:tc>
          <w:tcPr>
            <w:tcW w:w="1134"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WEIGHT-ING</w:t>
            </w:r>
          </w:p>
        </w:tc>
        <w:tc>
          <w:tcPr>
            <w:tcW w:w="2127" w:type="dxa"/>
          </w:tcPr>
          <w:p w:rsidR="00851BE6" w:rsidRPr="00827289" w:rsidRDefault="00851BE6" w:rsidP="00851BE6">
            <w:pPr>
              <w:autoSpaceDE w:val="0"/>
              <w:autoSpaceDN w:val="0"/>
              <w:adjustRightInd w:val="0"/>
              <w:rPr>
                <w:rFonts w:ascii="Arial" w:hAnsi="Arial" w:cs="Arial"/>
                <w:b/>
                <w:color w:val="000000"/>
                <w:sz w:val="20"/>
                <w:szCs w:val="20"/>
                <w:lang w:val="en-GB" w:eastAsia="en-GB"/>
              </w:rPr>
            </w:pPr>
            <w:r>
              <w:rPr>
                <w:rFonts w:ascii="Arial" w:hAnsi="Arial" w:cs="Arial"/>
                <w:b/>
                <w:color w:val="000000"/>
                <w:sz w:val="20"/>
                <w:szCs w:val="20"/>
                <w:lang w:val="en-GB" w:eastAsia="en-GB"/>
              </w:rPr>
              <w:t>MONITORING PERIOD</w:t>
            </w:r>
          </w:p>
        </w:tc>
      </w:tr>
      <w:tr w:rsidR="00851BE6" w:rsidRPr="00827289" w:rsidTr="009A1C27">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non-admitted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Maximum time of 18 weeks from point of referral to treatment in aggregate – patients on an incomplete pathway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92%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4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A&amp;E: maximum waiting time of four hours from arrival to admission/ transfer/ discharge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62-day wait for first treatment from: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lastRenderedPageBreak/>
              <w:t xml:space="preserve">  </w:t>
            </w:r>
            <w:r w:rsidRPr="00827289">
              <w:rPr>
                <w:rFonts w:ascii="Arial" w:hAnsi="Arial" w:cs="Arial"/>
                <w:color w:val="000000"/>
                <w:sz w:val="20"/>
                <w:szCs w:val="20"/>
                <w:lang w:val="en-GB" w:eastAsia="en-GB"/>
              </w:rPr>
              <w:t xml:space="preserve">urgent GP referral for suspected cancer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NHS Cancer Screening Service referral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85%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471"/>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6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for second or subsequent treatment,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surgery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anti-cancer drug treatments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radiotherapy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98%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94%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All cancers: 31-day wait from diagnosis to first treatment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96%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8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Cancer: two week wait from referral to date first seen,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all urgent referrals (cancer suspected)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for symptomatic breast patients (cancer </w:t>
            </w: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not initially suspected)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93%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350"/>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Care Programme Approach (CPA) patients,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receiving follow-up contact within seven days of discharge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having formal review within 12 months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96"/>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Admissions to inpatients services had access to Crisis Resolution/Home Treatment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11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Meeting commitment to serve new psychosis cases by early intervention teams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349"/>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12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emergency response within 8 minutes,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1 calls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Red 2 calls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13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Category A call – ambulance vehicle arrives within 19 minutes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70072A" w:rsidRPr="00827289" w:rsidTr="009A1C27">
        <w:trPr>
          <w:trHeight w:val="105"/>
        </w:trPr>
        <w:tc>
          <w:tcPr>
            <w:tcW w:w="817" w:type="dxa"/>
          </w:tcPr>
          <w:p w:rsidR="0070072A"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14</w:t>
            </w:r>
          </w:p>
        </w:tc>
        <w:tc>
          <w:tcPr>
            <w:tcW w:w="3969" w:type="dxa"/>
          </w:tcPr>
          <w:p w:rsidR="0070072A"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Early Intervention in Psychosis: people experiencing a first episode of psychosis treated with a NICE approved care package within two weeks of referral</w:t>
            </w:r>
          </w:p>
        </w:tc>
        <w:tc>
          <w:tcPr>
            <w:tcW w:w="992" w:type="dxa"/>
          </w:tcPr>
          <w:p w:rsidR="0070072A"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50%</w:t>
            </w:r>
          </w:p>
        </w:tc>
        <w:tc>
          <w:tcPr>
            <w:tcW w:w="1134" w:type="dxa"/>
          </w:tcPr>
          <w:p w:rsidR="0070072A"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1.0</w:t>
            </w:r>
          </w:p>
        </w:tc>
        <w:tc>
          <w:tcPr>
            <w:tcW w:w="2127" w:type="dxa"/>
          </w:tcPr>
          <w:p w:rsidR="0070072A"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Quarterly</w:t>
            </w:r>
          </w:p>
        </w:tc>
      </w:tr>
      <w:tr w:rsidR="0070072A" w:rsidRPr="00827289" w:rsidTr="009A1C27">
        <w:trPr>
          <w:trHeight w:val="105"/>
        </w:trPr>
        <w:tc>
          <w:tcPr>
            <w:tcW w:w="817" w:type="dxa"/>
          </w:tcPr>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15</w:t>
            </w:r>
          </w:p>
        </w:tc>
        <w:tc>
          <w:tcPr>
            <w:tcW w:w="3969" w:type="dxa"/>
          </w:tcPr>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Improving access to psychological therapies (IAPT):</w:t>
            </w:r>
          </w:p>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people with common mental health conditions referred to the IAPT programme will be treated within 6 weeks of referral</w:t>
            </w:r>
          </w:p>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people with common mental health conditions referred to the IAPT programme will be treated within 18 weeks of referral</w:t>
            </w:r>
          </w:p>
        </w:tc>
        <w:tc>
          <w:tcPr>
            <w:tcW w:w="992" w:type="dxa"/>
          </w:tcPr>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75%</w:t>
            </w: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95%</w:t>
            </w:r>
          </w:p>
        </w:tc>
        <w:tc>
          <w:tcPr>
            <w:tcW w:w="1134" w:type="dxa"/>
          </w:tcPr>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1.0</w:t>
            </w: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p>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1.0</w:t>
            </w:r>
          </w:p>
        </w:tc>
        <w:tc>
          <w:tcPr>
            <w:tcW w:w="2127" w:type="dxa"/>
          </w:tcPr>
          <w:p w:rsidR="0070072A"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Quarterly</w:t>
            </w:r>
          </w:p>
        </w:tc>
      </w:tr>
      <w:tr w:rsidR="00851BE6" w:rsidRPr="00827289" w:rsidTr="009A1C27">
        <w:trPr>
          <w:trHeight w:val="105"/>
        </w:trPr>
        <w:tc>
          <w:tcPr>
            <w:tcW w:w="817"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16</w:t>
            </w:r>
            <w:r w:rsidR="00851BE6" w:rsidRPr="00827289">
              <w:rPr>
                <w:rFonts w:ascii="Arial" w:hAnsi="Arial" w:cs="Arial"/>
                <w:color w:val="000000"/>
                <w:sz w:val="20"/>
                <w:szCs w:val="20"/>
                <w:lang w:val="en-GB" w:eastAsia="en-GB"/>
              </w:rPr>
              <w:t xml:space="preserve"> </w:t>
            </w:r>
          </w:p>
        </w:tc>
        <w:tc>
          <w:tcPr>
            <w:tcW w:w="3969" w:type="dxa"/>
          </w:tcPr>
          <w:p w:rsidR="00851BE6"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Clostridium (C.) difficile – meeting</w:t>
            </w:r>
            <w:r>
              <w:rPr>
                <w:rFonts w:ascii="Arial" w:hAnsi="Arial" w:cs="Arial"/>
                <w:color w:val="000000"/>
                <w:sz w:val="20"/>
                <w:szCs w:val="20"/>
                <w:lang w:val="en-GB" w:eastAsia="en-GB"/>
              </w:rPr>
              <w:t xml:space="preserve"> the C. difficile objective </w:t>
            </w:r>
          </w:p>
          <w:p w:rsidR="00FB11B0" w:rsidRPr="00827289" w:rsidRDefault="00FB11B0" w:rsidP="00851BE6">
            <w:pPr>
              <w:autoSpaceDE w:val="0"/>
              <w:autoSpaceDN w:val="0"/>
              <w:adjustRightInd w:val="0"/>
              <w:rPr>
                <w:rFonts w:ascii="Arial" w:hAnsi="Arial" w:cs="Arial"/>
                <w:color w:val="000000"/>
                <w:sz w:val="20"/>
                <w:szCs w:val="20"/>
                <w:lang w:val="en-GB" w:eastAsia="en-GB"/>
              </w:rPr>
            </w:pPr>
          </w:p>
        </w:tc>
        <w:tc>
          <w:tcPr>
            <w:tcW w:w="992"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de </w:t>
            </w:r>
            <w:proofErr w:type="spellStart"/>
            <w:r>
              <w:rPr>
                <w:rFonts w:ascii="Arial" w:hAnsi="Arial" w:cs="Arial"/>
                <w:color w:val="000000"/>
                <w:sz w:val="20"/>
                <w:szCs w:val="20"/>
                <w:lang w:val="en-GB" w:eastAsia="en-GB"/>
              </w:rPr>
              <w:t>minimis</w:t>
            </w:r>
            <w:proofErr w:type="spellEnd"/>
            <w:r>
              <w:rPr>
                <w:rFonts w:ascii="Arial" w:hAnsi="Arial" w:cs="Arial"/>
                <w:color w:val="000000"/>
                <w:sz w:val="20"/>
                <w:szCs w:val="20"/>
                <w:lang w:val="en-GB" w:eastAsia="en-GB"/>
              </w:rPr>
              <w:t xml:space="preserve"> applies</w:t>
            </w:r>
            <w:r w:rsidR="00851BE6" w:rsidRPr="00827289">
              <w:rPr>
                <w:rFonts w:ascii="Arial" w:hAnsi="Arial" w:cs="Arial"/>
                <w:color w:val="000000"/>
                <w:sz w:val="20"/>
                <w:szCs w:val="20"/>
                <w:lang w:val="en-GB" w:eastAsia="en-GB"/>
              </w:rPr>
              <w:t xml:space="preserve">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17</w:t>
            </w:r>
            <w:r w:rsidR="00851BE6" w:rsidRPr="00827289">
              <w:rPr>
                <w:rFonts w:ascii="Arial" w:hAnsi="Arial" w:cs="Arial"/>
                <w:color w:val="000000"/>
                <w:sz w:val="20"/>
                <w:szCs w:val="20"/>
                <w:lang w:val="en-GB" w:eastAsia="en-GB"/>
              </w:rPr>
              <w:t xml:space="preserve">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Minimising mental health del</w:t>
            </w:r>
            <w:r>
              <w:rPr>
                <w:rFonts w:ascii="Arial" w:hAnsi="Arial" w:cs="Arial"/>
                <w:color w:val="000000"/>
                <w:sz w:val="20"/>
                <w:szCs w:val="20"/>
                <w:lang w:val="en-GB" w:eastAsia="en-GB"/>
              </w:rPr>
              <w:t xml:space="preserve">ayed transfers of care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≤7.5%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18</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w:t>
            </w:r>
            <w:r>
              <w:rPr>
                <w:rFonts w:ascii="Arial" w:hAnsi="Arial" w:cs="Arial"/>
                <w:color w:val="000000"/>
                <w:sz w:val="20"/>
                <w:szCs w:val="20"/>
                <w:lang w:val="en-GB" w:eastAsia="en-GB"/>
              </w:rPr>
              <w:t xml:space="preserve">a completeness: identifiers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97%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19</w:t>
            </w:r>
            <w:r w:rsidR="00851BE6" w:rsidRPr="00827289">
              <w:rPr>
                <w:rFonts w:ascii="Arial" w:hAnsi="Arial" w:cs="Arial"/>
                <w:color w:val="000000"/>
                <w:sz w:val="20"/>
                <w:szCs w:val="20"/>
                <w:lang w:val="en-GB" w:eastAsia="en-GB"/>
              </w:rPr>
              <w:t xml:space="preserve">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Mental health data completeness: o</w:t>
            </w:r>
            <w:r>
              <w:rPr>
                <w:rFonts w:ascii="Arial" w:hAnsi="Arial" w:cs="Arial"/>
                <w:color w:val="000000"/>
                <w:sz w:val="20"/>
                <w:szCs w:val="20"/>
                <w:lang w:val="en-GB" w:eastAsia="en-GB"/>
              </w:rPr>
              <w:t xml:space="preserve">utcomes for patients on CPA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20</w:t>
            </w:r>
            <w:r w:rsidR="00851BE6" w:rsidRPr="00827289">
              <w:rPr>
                <w:rFonts w:ascii="Arial" w:hAnsi="Arial" w:cs="Arial"/>
                <w:color w:val="000000"/>
                <w:sz w:val="20"/>
                <w:szCs w:val="20"/>
                <w:lang w:val="en-GB" w:eastAsia="en-GB"/>
              </w:rPr>
              <w:t xml:space="preserve">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Certification against compliance with requirements regarding access to health </w:t>
            </w:r>
            <w:r w:rsidRPr="00827289">
              <w:rPr>
                <w:rFonts w:ascii="Arial" w:hAnsi="Arial" w:cs="Arial"/>
                <w:color w:val="000000"/>
                <w:sz w:val="20"/>
                <w:szCs w:val="20"/>
                <w:lang w:val="en-GB" w:eastAsia="en-GB"/>
              </w:rPr>
              <w:lastRenderedPageBreak/>
              <w:t>care for people</w:t>
            </w:r>
            <w:r>
              <w:rPr>
                <w:rFonts w:ascii="Arial" w:hAnsi="Arial" w:cs="Arial"/>
                <w:color w:val="000000"/>
                <w:sz w:val="20"/>
                <w:szCs w:val="20"/>
                <w:lang w:val="en-GB" w:eastAsia="en-GB"/>
              </w:rPr>
              <w:t xml:space="preserve"> with a learning disability </w:t>
            </w:r>
          </w:p>
        </w:tc>
        <w:tc>
          <w:tcPr>
            <w:tcW w:w="992"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lastRenderedPageBreak/>
              <w:t xml:space="preserve">N/A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r w:rsidR="00851BE6" w:rsidRPr="00827289" w:rsidTr="009A1C27">
        <w:trPr>
          <w:trHeight w:val="105"/>
        </w:trPr>
        <w:tc>
          <w:tcPr>
            <w:tcW w:w="817" w:type="dxa"/>
          </w:tcPr>
          <w:p w:rsidR="00851BE6" w:rsidRPr="00827289" w:rsidRDefault="0070072A"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lastRenderedPageBreak/>
              <w:t>21</w:t>
            </w:r>
            <w:r w:rsidR="00851BE6" w:rsidRPr="00827289">
              <w:rPr>
                <w:rFonts w:ascii="Arial" w:hAnsi="Arial" w:cs="Arial"/>
                <w:color w:val="000000"/>
                <w:sz w:val="20"/>
                <w:szCs w:val="20"/>
                <w:lang w:val="en-GB" w:eastAsia="en-GB"/>
              </w:rPr>
              <w:t xml:space="preserve"> </w:t>
            </w:r>
          </w:p>
        </w:tc>
        <w:tc>
          <w:tcPr>
            <w:tcW w:w="3969"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Data comp</w:t>
            </w:r>
            <w:r>
              <w:rPr>
                <w:rFonts w:ascii="Arial" w:hAnsi="Arial" w:cs="Arial"/>
                <w:color w:val="000000"/>
                <w:sz w:val="20"/>
                <w:szCs w:val="20"/>
                <w:lang w:val="en-GB" w:eastAsia="en-GB"/>
              </w:rPr>
              <w:t>leteness: community services</w:t>
            </w:r>
            <w:r w:rsidRPr="00827289">
              <w:rPr>
                <w:rFonts w:ascii="Arial" w:hAnsi="Arial" w:cs="Arial"/>
                <w:color w:val="000000"/>
                <w:sz w:val="20"/>
                <w:szCs w:val="20"/>
                <w:lang w:val="en-GB" w:eastAsia="en-GB"/>
              </w:rPr>
              <w:t xml:space="preserve">, comprising: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to treatment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referral information </w:t>
            </w:r>
          </w:p>
          <w:p w:rsidR="00851BE6" w:rsidRPr="00827289" w:rsidRDefault="00851BE6" w:rsidP="00851BE6">
            <w:p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  </w:t>
            </w:r>
            <w:r w:rsidRPr="00827289">
              <w:rPr>
                <w:rFonts w:ascii="Arial" w:hAnsi="Arial" w:cs="Arial"/>
                <w:color w:val="000000"/>
                <w:sz w:val="20"/>
                <w:szCs w:val="20"/>
                <w:lang w:val="en-GB" w:eastAsia="en-GB"/>
              </w:rPr>
              <w:t xml:space="preserve">treatment activity information </w:t>
            </w:r>
          </w:p>
        </w:tc>
        <w:tc>
          <w:tcPr>
            <w:tcW w:w="992" w:type="dxa"/>
          </w:tcPr>
          <w:p w:rsidR="00851BE6" w:rsidRDefault="00851BE6" w:rsidP="00851BE6">
            <w:pPr>
              <w:autoSpaceDE w:val="0"/>
              <w:autoSpaceDN w:val="0"/>
              <w:adjustRightInd w:val="0"/>
              <w:rPr>
                <w:rFonts w:ascii="Arial" w:hAnsi="Arial" w:cs="Arial"/>
                <w:color w:val="000000"/>
                <w:sz w:val="20"/>
                <w:szCs w:val="20"/>
                <w:lang w:val="en-GB" w:eastAsia="en-GB"/>
              </w:rPr>
            </w:pPr>
          </w:p>
          <w:p w:rsidR="00851BE6" w:rsidRDefault="00851BE6" w:rsidP="00851BE6">
            <w:pPr>
              <w:autoSpaceDE w:val="0"/>
              <w:autoSpaceDN w:val="0"/>
              <w:adjustRightInd w:val="0"/>
              <w:rPr>
                <w:rFonts w:ascii="Arial" w:hAnsi="Arial" w:cs="Arial"/>
                <w:color w:val="000000"/>
                <w:sz w:val="20"/>
                <w:szCs w:val="20"/>
                <w:lang w:val="en-GB" w:eastAsia="en-GB"/>
              </w:rPr>
            </w:pP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50% </w:t>
            </w:r>
          </w:p>
        </w:tc>
        <w:tc>
          <w:tcPr>
            <w:tcW w:w="1134"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1.0 </w:t>
            </w:r>
          </w:p>
        </w:tc>
        <w:tc>
          <w:tcPr>
            <w:tcW w:w="2127" w:type="dxa"/>
          </w:tcPr>
          <w:p w:rsidR="00851BE6" w:rsidRPr="00827289" w:rsidRDefault="00851BE6" w:rsidP="00851BE6">
            <w:pPr>
              <w:autoSpaceDE w:val="0"/>
              <w:autoSpaceDN w:val="0"/>
              <w:adjustRightInd w:val="0"/>
              <w:rPr>
                <w:rFonts w:ascii="Arial" w:hAnsi="Arial" w:cs="Arial"/>
                <w:color w:val="000000"/>
                <w:sz w:val="20"/>
                <w:szCs w:val="20"/>
                <w:lang w:val="en-GB" w:eastAsia="en-GB"/>
              </w:rPr>
            </w:pPr>
            <w:r w:rsidRPr="00827289">
              <w:rPr>
                <w:rFonts w:ascii="Arial" w:hAnsi="Arial" w:cs="Arial"/>
                <w:color w:val="000000"/>
                <w:sz w:val="20"/>
                <w:szCs w:val="20"/>
                <w:lang w:val="en-GB" w:eastAsia="en-GB"/>
              </w:rPr>
              <w:t xml:space="preserve">Quarterly </w:t>
            </w:r>
          </w:p>
        </w:tc>
      </w:tr>
    </w:tbl>
    <w:p w:rsidR="003145DD" w:rsidRDefault="003145DD" w:rsidP="00537C23">
      <w:pPr>
        <w:jc w:val="both"/>
        <w:rPr>
          <w:rFonts w:ascii="Arial" w:hAnsi="Arial" w:cs="Arial"/>
        </w:rPr>
      </w:pPr>
    </w:p>
    <w:p w:rsidR="00780788" w:rsidRDefault="00780788" w:rsidP="00780788">
      <w:pPr>
        <w:jc w:val="both"/>
        <w:rPr>
          <w:rFonts w:ascii="Arial" w:hAnsi="Arial" w:cs="Arial"/>
        </w:rPr>
      </w:pPr>
      <w:r>
        <w:rPr>
          <w:rFonts w:ascii="Arial" w:hAnsi="Arial" w:cs="Arial"/>
        </w:rPr>
        <w:t xml:space="preserve">Please consult the </w:t>
      </w:r>
      <w:r w:rsidR="003177C9">
        <w:rPr>
          <w:rFonts w:ascii="Arial" w:hAnsi="Arial" w:cs="Arial"/>
        </w:rPr>
        <w:t>Risk Assessment Framework</w:t>
      </w:r>
      <w:r>
        <w:rPr>
          <w:rFonts w:ascii="Arial" w:hAnsi="Arial" w:cs="Arial"/>
        </w:rPr>
        <w:t xml:space="preserve"> </w:t>
      </w:r>
      <w:r w:rsidR="0070072A">
        <w:rPr>
          <w:rFonts w:ascii="Arial" w:hAnsi="Arial" w:cs="Arial"/>
        </w:rPr>
        <w:t>2015/16</w:t>
      </w:r>
      <w:r w:rsidR="00FB11B0">
        <w:rPr>
          <w:rFonts w:ascii="Arial" w:hAnsi="Arial" w:cs="Arial"/>
        </w:rPr>
        <w:t xml:space="preserve"> </w:t>
      </w:r>
      <w:r>
        <w:rPr>
          <w:rFonts w:ascii="Arial" w:hAnsi="Arial" w:cs="Arial"/>
        </w:rPr>
        <w:t>for more detail on required submissions.</w:t>
      </w:r>
    </w:p>
    <w:p w:rsidR="003177C9" w:rsidRDefault="003177C9" w:rsidP="00780788">
      <w:pPr>
        <w:jc w:val="both"/>
        <w:rPr>
          <w:rFonts w:ascii="Arial" w:hAnsi="Arial" w:cs="Arial"/>
        </w:rPr>
      </w:pPr>
    </w:p>
    <w:p w:rsidR="002712E4" w:rsidRDefault="002712E4" w:rsidP="00537C23">
      <w:pPr>
        <w:jc w:val="both"/>
        <w:rPr>
          <w:rFonts w:ascii="Arial" w:hAnsi="Arial" w:cs="Arial"/>
          <w:b/>
        </w:rPr>
      </w:pPr>
    </w:p>
    <w:p w:rsidR="00537C23" w:rsidRDefault="00780788" w:rsidP="007338A7">
      <w:pPr>
        <w:numPr>
          <w:ilvl w:val="0"/>
          <w:numId w:val="14"/>
        </w:numPr>
        <w:ind w:hanging="720"/>
        <w:jc w:val="both"/>
        <w:rPr>
          <w:rFonts w:ascii="Arial" w:hAnsi="Arial" w:cs="Arial"/>
          <w:b/>
        </w:rPr>
      </w:pPr>
      <w:r>
        <w:rPr>
          <w:rFonts w:ascii="Arial" w:hAnsi="Arial" w:cs="Arial"/>
          <w:b/>
        </w:rPr>
        <w:t xml:space="preserve">Proposed </w:t>
      </w:r>
      <w:r w:rsidR="00537C23">
        <w:rPr>
          <w:rFonts w:ascii="Arial" w:hAnsi="Arial" w:cs="Arial"/>
          <w:b/>
        </w:rPr>
        <w:t xml:space="preserve">Submissions for Quarter </w:t>
      </w:r>
      <w:r w:rsidR="00D46632">
        <w:rPr>
          <w:rFonts w:ascii="Arial" w:hAnsi="Arial" w:cs="Arial"/>
          <w:b/>
        </w:rPr>
        <w:t>1</w:t>
      </w:r>
    </w:p>
    <w:p w:rsidR="000F1A75" w:rsidRDefault="00D46632" w:rsidP="0038018C">
      <w:pPr>
        <w:jc w:val="both"/>
        <w:rPr>
          <w:rFonts w:ascii="Arial" w:hAnsi="Arial" w:cs="Arial"/>
        </w:rPr>
      </w:pPr>
      <w:r>
        <w:rPr>
          <w:rFonts w:ascii="Arial" w:hAnsi="Arial" w:cs="Arial"/>
        </w:rPr>
        <w:t>At the end of June</w:t>
      </w:r>
      <w:r w:rsidR="00FB11B0">
        <w:rPr>
          <w:rFonts w:ascii="Arial" w:hAnsi="Arial" w:cs="Arial"/>
        </w:rPr>
        <w:t xml:space="preserve"> </w:t>
      </w:r>
      <w:r w:rsidR="009E76EE">
        <w:rPr>
          <w:rFonts w:ascii="Arial" w:hAnsi="Arial" w:cs="Arial"/>
        </w:rPr>
        <w:t>2015</w:t>
      </w:r>
      <w:r w:rsidR="000F1A75">
        <w:rPr>
          <w:rFonts w:ascii="Arial" w:hAnsi="Arial" w:cs="Arial"/>
        </w:rPr>
        <w:t xml:space="preserve">, </w:t>
      </w:r>
      <w:r w:rsidR="00537C23">
        <w:rPr>
          <w:rFonts w:ascii="Arial" w:hAnsi="Arial" w:cs="Arial"/>
        </w:rPr>
        <w:t xml:space="preserve">Monitor issued to the Trust the template to be completed </w:t>
      </w:r>
      <w:r w:rsidR="00022B45">
        <w:rPr>
          <w:rFonts w:ascii="Arial" w:hAnsi="Arial" w:cs="Arial"/>
        </w:rPr>
        <w:t xml:space="preserve">for the </w:t>
      </w:r>
      <w:r w:rsidR="008D3D68">
        <w:rPr>
          <w:rFonts w:ascii="Arial" w:hAnsi="Arial" w:cs="Arial"/>
        </w:rPr>
        <w:t xml:space="preserve">Quarter </w:t>
      </w:r>
      <w:r>
        <w:rPr>
          <w:rFonts w:ascii="Arial" w:hAnsi="Arial" w:cs="Arial"/>
        </w:rPr>
        <w:t>1</w:t>
      </w:r>
      <w:r w:rsidR="006C4992">
        <w:rPr>
          <w:rFonts w:ascii="Arial" w:hAnsi="Arial" w:cs="Arial"/>
        </w:rPr>
        <w:t xml:space="preserve"> in-year report</w:t>
      </w:r>
      <w:r w:rsidR="00537C23">
        <w:rPr>
          <w:rFonts w:ascii="Arial" w:hAnsi="Arial" w:cs="Arial"/>
        </w:rPr>
        <w:t>.</w:t>
      </w:r>
      <w:r w:rsidR="008663FA">
        <w:rPr>
          <w:rFonts w:ascii="Arial" w:hAnsi="Arial" w:cs="Arial"/>
        </w:rPr>
        <w:t xml:space="preserve">  </w:t>
      </w:r>
      <w:r w:rsidR="009414B0" w:rsidRPr="001B0400">
        <w:rPr>
          <w:rFonts w:ascii="Arial" w:hAnsi="Arial" w:cs="Arial"/>
        </w:rPr>
        <w:t>The Executive discussed the submission on 27 July 2015</w:t>
      </w:r>
      <w:r w:rsidR="009414B0">
        <w:rPr>
          <w:rFonts w:ascii="Arial" w:hAnsi="Arial" w:cs="Arial"/>
        </w:rPr>
        <w:t>.</w:t>
      </w:r>
    </w:p>
    <w:p w:rsidR="000F1A75" w:rsidRDefault="000F1A75" w:rsidP="0038018C">
      <w:pPr>
        <w:jc w:val="both"/>
        <w:rPr>
          <w:rFonts w:ascii="Arial" w:hAnsi="Arial" w:cs="Arial"/>
        </w:rPr>
      </w:pPr>
    </w:p>
    <w:p w:rsidR="008663FA" w:rsidRDefault="008663FA" w:rsidP="0038018C">
      <w:pPr>
        <w:jc w:val="both"/>
        <w:rPr>
          <w:rFonts w:ascii="Arial" w:hAnsi="Arial" w:cs="Arial"/>
        </w:rPr>
      </w:pPr>
      <w:r>
        <w:rPr>
          <w:rFonts w:ascii="Arial" w:hAnsi="Arial" w:cs="Arial"/>
        </w:rPr>
        <w:t>On the Board statements, it is p</w:t>
      </w:r>
      <w:r w:rsidR="00ED3297">
        <w:rPr>
          <w:rFonts w:ascii="Arial" w:hAnsi="Arial" w:cs="Arial"/>
        </w:rPr>
        <w:t xml:space="preserve">roposed that the response for </w:t>
      </w:r>
      <w:r w:rsidR="00851BE6">
        <w:rPr>
          <w:rFonts w:ascii="Arial" w:hAnsi="Arial" w:cs="Arial"/>
        </w:rPr>
        <w:t xml:space="preserve">Quarter </w:t>
      </w:r>
      <w:r w:rsidR="00D46632">
        <w:rPr>
          <w:rFonts w:ascii="Arial" w:hAnsi="Arial" w:cs="Arial"/>
        </w:rPr>
        <w:t>1 is as follows:</w:t>
      </w:r>
    </w:p>
    <w:p w:rsidR="008663FA" w:rsidRPr="00851BE6" w:rsidRDefault="00851BE6" w:rsidP="00851BE6">
      <w:pPr>
        <w:pStyle w:val="ListParagraph"/>
        <w:numPr>
          <w:ilvl w:val="0"/>
          <w:numId w:val="20"/>
        </w:numPr>
        <w:jc w:val="both"/>
        <w:rPr>
          <w:rFonts w:ascii="Arial" w:hAnsi="Arial" w:cs="Arial"/>
        </w:rPr>
      </w:pPr>
      <w:r>
        <w:rPr>
          <w:rFonts w:ascii="Arial" w:hAnsi="Arial" w:cs="Arial"/>
        </w:rPr>
        <w:t>The Board anticipates that the T</w:t>
      </w:r>
      <w:r w:rsidRPr="00593399">
        <w:rPr>
          <w:rFonts w:ascii="Arial" w:hAnsi="Arial" w:cs="Arial"/>
        </w:rPr>
        <w:t xml:space="preserve">rust will continue to maintain a </w:t>
      </w:r>
      <w:r>
        <w:rPr>
          <w:rFonts w:ascii="Arial" w:hAnsi="Arial" w:cs="Arial"/>
        </w:rPr>
        <w:t>Continuity of Service risk rating</w:t>
      </w:r>
      <w:r w:rsidRPr="00593399">
        <w:rPr>
          <w:rFonts w:ascii="Arial" w:hAnsi="Arial" w:cs="Arial"/>
        </w:rPr>
        <w:t xml:space="preserve"> of at l</w:t>
      </w:r>
      <w:r>
        <w:rPr>
          <w:rFonts w:ascii="Arial" w:hAnsi="Arial" w:cs="Arial"/>
        </w:rPr>
        <w:t xml:space="preserve">east 3 over the next 12 months </w:t>
      </w:r>
      <w:r w:rsidR="008663FA" w:rsidRPr="00851BE6">
        <w:rPr>
          <w:rFonts w:ascii="Arial" w:hAnsi="Arial" w:cs="Arial"/>
        </w:rPr>
        <w:t xml:space="preserve">– </w:t>
      </w:r>
      <w:r w:rsidR="00B9588B" w:rsidRPr="0001648D">
        <w:rPr>
          <w:rFonts w:ascii="Arial" w:hAnsi="Arial" w:cs="Arial"/>
          <w:u w:val="single"/>
        </w:rPr>
        <w:t xml:space="preserve">NOT </w:t>
      </w:r>
      <w:r w:rsidR="008663FA" w:rsidRPr="0001648D">
        <w:rPr>
          <w:rFonts w:ascii="Arial" w:hAnsi="Arial" w:cs="Arial"/>
          <w:u w:val="single"/>
        </w:rPr>
        <w:t>CONFIRMED</w:t>
      </w:r>
      <w:r w:rsidR="008663FA" w:rsidRPr="00851BE6">
        <w:rPr>
          <w:rFonts w:ascii="Arial" w:hAnsi="Arial" w:cs="Arial"/>
          <w:u w:val="single"/>
        </w:rPr>
        <w:t xml:space="preserve"> </w:t>
      </w:r>
    </w:p>
    <w:p w:rsidR="008663FA" w:rsidRPr="000F1A75" w:rsidRDefault="008663FA" w:rsidP="008663FA">
      <w:pPr>
        <w:pStyle w:val="ListParagraph"/>
        <w:jc w:val="both"/>
        <w:rPr>
          <w:rFonts w:ascii="Arial" w:hAnsi="Arial" w:cs="Arial"/>
        </w:rPr>
      </w:pPr>
    </w:p>
    <w:p w:rsidR="008663FA" w:rsidRPr="009414B0" w:rsidRDefault="00851BE6" w:rsidP="00851BE6">
      <w:pPr>
        <w:pStyle w:val="ListParagraph"/>
        <w:numPr>
          <w:ilvl w:val="0"/>
          <w:numId w:val="20"/>
        </w:numPr>
        <w:jc w:val="both"/>
        <w:rPr>
          <w:rFonts w:ascii="Arial" w:hAnsi="Arial" w:cs="Arial"/>
        </w:rPr>
      </w:pPr>
      <w:r>
        <w:rPr>
          <w:rFonts w:ascii="Arial" w:hAnsi="Arial" w:cs="Arial"/>
        </w:rPr>
        <w:t xml:space="preserve">The Board is satisfied that plans in place are sufficient to ensure ongoing compliance with all existing targets (after the application of thresholds) as set out in Appendix A of the Risk Assessment Framework; and a commitment to comply with all known existing targets going forwards </w:t>
      </w:r>
      <w:r w:rsidR="008663FA" w:rsidRPr="00851BE6">
        <w:rPr>
          <w:rFonts w:ascii="Arial" w:hAnsi="Arial" w:cs="Arial"/>
        </w:rPr>
        <w:t>–</w:t>
      </w:r>
      <w:r w:rsidRPr="00851BE6">
        <w:rPr>
          <w:rFonts w:ascii="Arial" w:hAnsi="Arial" w:cs="Arial"/>
          <w:u w:val="single"/>
        </w:rPr>
        <w:t>CONFIRMED</w:t>
      </w:r>
    </w:p>
    <w:p w:rsidR="009414B0" w:rsidRPr="009414B0" w:rsidRDefault="009414B0" w:rsidP="009414B0">
      <w:pPr>
        <w:pStyle w:val="ListParagraph"/>
        <w:rPr>
          <w:rFonts w:ascii="Arial" w:hAnsi="Arial" w:cs="Arial"/>
        </w:rPr>
      </w:pPr>
    </w:p>
    <w:p w:rsidR="009414B0" w:rsidRPr="009414B0" w:rsidRDefault="009414B0" w:rsidP="009414B0">
      <w:pPr>
        <w:pStyle w:val="ListParagraph"/>
        <w:numPr>
          <w:ilvl w:val="0"/>
          <w:numId w:val="20"/>
        </w:numPr>
        <w:rPr>
          <w:rFonts w:ascii="Arial" w:hAnsi="Arial" w:cs="Arial"/>
        </w:rPr>
      </w:pPr>
      <w:r>
        <w:rPr>
          <w:rFonts w:ascii="Arial" w:hAnsi="Arial" w:cs="Arial"/>
        </w:rPr>
        <w:t>T</w:t>
      </w:r>
      <w:r w:rsidRPr="009414B0">
        <w:rPr>
          <w:rFonts w:ascii="Arial" w:hAnsi="Arial" w:cs="Arial"/>
        </w:rPr>
        <w:t>he Board confirms that there are no matters arising in Q1 requiring an exception report to Monitor which</w:t>
      </w:r>
      <w:r>
        <w:rPr>
          <w:rFonts w:ascii="Arial" w:hAnsi="Arial" w:cs="Arial"/>
        </w:rPr>
        <w:t xml:space="preserve"> have not already been reported – </w:t>
      </w:r>
      <w:r>
        <w:rPr>
          <w:rFonts w:ascii="Arial" w:hAnsi="Arial" w:cs="Arial"/>
          <w:u w:val="single"/>
        </w:rPr>
        <w:t xml:space="preserve">CONFIRMED </w:t>
      </w:r>
    </w:p>
    <w:p w:rsidR="00190F92" w:rsidRDefault="00190F92" w:rsidP="0038018C">
      <w:pPr>
        <w:jc w:val="both"/>
        <w:rPr>
          <w:rFonts w:ascii="Arial" w:hAnsi="Arial" w:cs="Arial"/>
        </w:rPr>
      </w:pPr>
    </w:p>
    <w:p w:rsidR="006C4992" w:rsidRDefault="00851BE6" w:rsidP="0038018C">
      <w:pPr>
        <w:jc w:val="both"/>
        <w:rPr>
          <w:rFonts w:ascii="Arial" w:hAnsi="Arial" w:cs="Arial"/>
        </w:rPr>
      </w:pPr>
      <w:r>
        <w:rPr>
          <w:rFonts w:ascii="Arial" w:hAnsi="Arial" w:cs="Arial"/>
          <w:i/>
        </w:rPr>
        <w:t>Continuity of Service</w:t>
      </w:r>
      <w:r w:rsidR="006C4992">
        <w:rPr>
          <w:rFonts w:ascii="Arial" w:hAnsi="Arial" w:cs="Arial"/>
          <w:i/>
        </w:rPr>
        <w:t xml:space="preserve"> </w:t>
      </w:r>
      <w:r w:rsidR="008663FA">
        <w:rPr>
          <w:rFonts w:ascii="Arial" w:hAnsi="Arial" w:cs="Arial"/>
          <w:i/>
        </w:rPr>
        <w:t>Risk Rating</w:t>
      </w:r>
      <w:r w:rsidR="006C4992">
        <w:rPr>
          <w:rFonts w:ascii="Arial" w:hAnsi="Arial" w:cs="Arial"/>
          <w:i/>
        </w:rPr>
        <w:t>:</w:t>
      </w:r>
    </w:p>
    <w:p w:rsidR="006C4992" w:rsidRDefault="008663FA" w:rsidP="0038018C">
      <w:pPr>
        <w:jc w:val="both"/>
        <w:rPr>
          <w:rFonts w:ascii="Arial" w:hAnsi="Arial" w:cs="Arial"/>
        </w:rPr>
      </w:pPr>
      <w:r>
        <w:rPr>
          <w:rFonts w:ascii="Arial" w:hAnsi="Arial" w:cs="Arial"/>
        </w:rPr>
        <w:t>The information to support this statement is set out in the Finance Report presented to each Board meeting.  The Director of Fin</w:t>
      </w:r>
      <w:r w:rsidR="006D2B37">
        <w:rPr>
          <w:rFonts w:ascii="Arial" w:hAnsi="Arial" w:cs="Arial"/>
        </w:rPr>
        <w:t>ance will provide an overview of</w:t>
      </w:r>
      <w:r>
        <w:rPr>
          <w:rFonts w:ascii="Arial" w:hAnsi="Arial" w:cs="Arial"/>
        </w:rPr>
        <w:t xml:space="preserve"> this item at the Board meeting and will explain what financial matters w</w:t>
      </w:r>
      <w:r w:rsidR="00ED3297">
        <w:rPr>
          <w:rFonts w:ascii="Arial" w:hAnsi="Arial" w:cs="Arial"/>
        </w:rPr>
        <w:t xml:space="preserve">ill be reported to </w:t>
      </w:r>
      <w:proofErr w:type="gramStart"/>
      <w:r w:rsidR="00ED3297">
        <w:rPr>
          <w:rFonts w:ascii="Arial" w:hAnsi="Arial" w:cs="Arial"/>
        </w:rPr>
        <w:t>Monitor</w:t>
      </w:r>
      <w:proofErr w:type="gramEnd"/>
      <w:r w:rsidR="00ED3297">
        <w:rPr>
          <w:rFonts w:ascii="Arial" w:hAnsi="Arial" w:cs="Arial"/>
        </w:rPr>
        <w:t xml:space="preserve"> in </w:t>
      </w:r>
      <w:r w:rsidR="00851BE6">
        <w:rPr>
          <w:rFonts w:ascii="Arial" w:hAnsi="Arial" w:cs="Arial"/>
        </w:rPr>
        <w:t xml:space="preserve">Quarter </w:t>
      </w:r>
      <w:r w:rsidR="009414B0">
        <w:rPr>
          <w:rFonts w:ascii="Arial" w:hAnsi="Arial" w:cs="Arial"/>
        </w:rPr>
        <w:t>1</w:t>
      </w:r>
      <w:r>
        <w:rPr>
          <w:rFonts w:ascii="Arial" w:hAnsi="Arial" w:cs="Arial"/>
        </w:rPr>
        <w:t>.</w:t>
      </w:r>
    </w:p>
    <w:p w:rsidR="009E76EE" w:rsidRDefault="009E76EE" w:rsidP="0038018C">
      <w:pPr>
        <w:jc w:val="both"/>
        <w:rPr>
          <w:rFonts w:ascii="Arial" w:hAnsi="Arial" w:cs="Arial"/>
        </w:rPr>
      </w:pPr>
    </w:p>
    <w:p w:rsidR="0001648D" w:rsidRDefault="00B9588B" w:rsidP="0038018C">
      <w:pPr>
        <w:jc w:val="both"/>
        <w:rPr>
          <w:rFonts w:ascii="Arial" w:hAnsi="Arial" w:cs="Arial"/>
        </w:rPr>
      </w:pPr>
      <w:r w:rsidRPr="0001648D">
        <w:rPr>
          <w:rFonts w:ascii="Arial" w:hAnsi="Arial" w:cs="Arial"/>
        </w:rPr>
        <w:t>The Director of Finance will explain that a</w:t>
      </w:r>
      <w:r w:rsidR="00C66769" w:rsidRPr="0001648D">
        <w:rPr>
          <w:rFonts w:ascii="Arial" w:hAnsi="Arial" w:cs="Arial"/>
        </w:rPr>
        <w:t>lthough</w:t>
      </w:r>
      <w:r w:rsidR="00C10828" w:rsidRPr="0001648D">
        <w:rPr>
          <w:rFonts w:ascii="Arial" w:hAnsi="Arial" w:cs="Arial"/>
        </w:rPr>
        <w:t xml:space="preserve"> the Trust has a </w:t>
      </w:r>
      <w:proofErr w:type="spellStart"/>
      <w:r w:rsidR="00C10828" w:rsidRPr="0001648D">
        <w:rPr>
          <w:rFonts w:ascii="Arial" w:hAnsi="Arial" w:cs="Arial"/>
        </w:rPr>
        <w:t>CoSRR</w:t>
      </w:r>
      <w:proofErr w:type="spellEnd"/>
      <w:r w:rsidR="00C10828" w:rsidRPr="0001648D">
        <w:rPr>
          <w:rFonts w:ascii="Arial" w:hAnsi="Arial" w:cs="Arial"/>
        </w:rPr>
        <w:t xml:space="preserve"> of 3</w:t>
      </w:r>
      <w:r w:rsidR="00C66769" w:rsidRPr="0001648D">
        <w:rPr>
          <w:rFonts w:ascii="Arial" w:hAnsi="Arial" w:cs="Arial"/>
        </w:rPr>
        <w:t xml:space="preserve"> as at the end of Q1</w:t>
      </w:r>
      <w:r w:rsidRPr="0001648D">
        <w:rPr>
          <w:rFonts w:ascii="Arial" w:hAnsi="Arial" w:cs="Arial"/>
        </w:rPr>
        <w:t xml:space="preserve">, </w:t>
      </w:r>
      <w:r w:rsidR="0001648D" w:rsidRPr="0001648D">
        <w:rPr>
          <w:rFonts w:ascii="Arial" w:hAnsi="Arial" w:cs="Arial"/>
        </w:rPr>
        <w:t xml:space="preserve">the forecast for the end of Q4 remains a </w:t>
      </w:r>
      <w:proofErr w:type="spellStart"/>
      <w:r w:rsidR="0001648D" w:rsidRPr="0001648D">
        <w:rPr>
          <w:rFonts w:ascii="Arial" w:hAnsi="Arial" w:cs="Arial"/>
        </w:rPr>
        <w:t>CoSRR</w:t>
      </w:r>
      <w:proofErr w:type="spellEnd"/>
      <w:r w:rsidR="0001648D" w:rsidRPr="0001648D">
        <w:rPr>
          <w:rFonts w:ascii="Arial" w:hAnsi="Arial" w:cs="Arial"/>
        </w:rPr>
        <w:t xml:space="preserve"> of 2 hence </w:t>
      </w:r>
      <w:r w:rsidRPr="0001648D">
        <w:rPr>
          <w:rFonts w:ascii="Arial" w:hAnsi="Arial" w:cs="Arial"/>
        </w:rPr>
        <w:t xml:space="preserve">the first statement </w:t>
      </w:r>
      <w:r w:rsidR="0001648D" w:rsidRPr="0001648D">
        <w:rPr>
          <w:rFonts w:ascii="Arial" w:hAnsi="Arial" w:cs="Arial"/>
        </w:rPr>
        <w:t xml:space="preserve">of maintaining a 3 for the next 12 months </w:t>
      </w:r>
      <w:r w:rsidRPr="0001648D">
        <w:rPr>
          <w:rFonts w:ascii="Arial" w:hAnsi="Arial" w:cs="Arial"/>
        </w:rPr>
        <w:t>cannot be confirmed</w:t>
      </w:r>
      <w:r w:rsidR="0001648D">
        <w:rPr>
          <w:rFonts w:ascii="Arial" w:hAnsi="Arial" w:cs="Arial"/>
        </w:rPr>
        <w:t xml:space="preserve">.  Every effort is being made to improve upon the forecast but at this stage it is not anticipated that a </w:t>
      </w:r>
      <w:proofErr w:type="spellStart"/>
      <w:r w:rsidR="0001648D">
        <w:rPr>
          <w:rFonts w:ascii="Arial" w:hAnsi="Arial" w:cs="Arial"/>
        </w:rPr>
        <w:t>CoSRR</w:t>
      </w:r>
      <w:proofErr w:type="spellEnd"/>
      <w:r w:rsidR="0001648D">
        <w:rPr>
          <w:rFonts w:ascii="Arial" w:hAnsi="Arial" w:cs="Arial"/>
        </w:rPr>
        <w:t xml:space="preserve"> of 3 will be attainable.  </w:t>
      </w:r>
    </w:p>
    <w:p w:rsidR="0001648D" w:rsidRDefault="0001648D" w:rsidP="0038018C">
      <w:pPr>
        <w:jc w:val="both"/>
        <w:rPr>
          <w:rFonts w:ascii="Arial" w:hAnsi="Arial" w:cs="Arial"/>
        </w:rPr>
      </w:pPr>
    </w:p>
    <w:p w:rsidR="008663FA" w:rsidRPr="008663FA" w:rsidRDefault="008663FA" w:rsidP="0038018C">
      <w:pPr>
        <w:jc w:val="both"/>
        <w:rPr>
          <w:rFonts w:ascii="Arial" w:hAnsi="Arial" w:cs="Arial"/>
        </w:rPr>
      </w:pPr>
      <w:r>
        <w:rPr>
          <w:rFonts w:ascii="Arial" w:hAnsi="Arial" w:cs="Arial"/>
          <w:i/>
        </w:rPr>
        <w:t>Targets and Indicators:</w:t>
      </w:r>
    </w:p>
    <w:p w:rsidR="0038018C" w:rsidRPr="004602F2" w:rsidRDefault="008663FA" w:rsidP="0038018C">
      <w:pPr>
        <w:jc w:val="both"/>
        <w:rPr>
          <w:rFonts w:ascii="Arial" w:hAnsi="Arial" w:cs="Arial"/>
        </w:rPr>
      </w:pPr>
      <w:r>
        <w:rPr>
          <w:rFonts w:ascii="Arial" w:hAnsi="Arial" w:cs="Arial"/>
        </w:rPr>
        <w:t xml:space="preserve">The information to support this statement is set out in the Quality and Performance Report, and Quality and Safety Report presented to each Board </w:t>
      </w:r>
      <w:r>
        <w:rPr>
          <w:rFonts w:ascii="Arial" w:hAnsi="Arial" w:cs="Arial"/>
        </w:rPr>
        <w:lastRenderedPageBreak/>
        <w:t>me</w:t>
      </w:r>
      <w:r w:rsidR="00C10828">
        <w:rPr>
          <w:rFonts w:ascii="Arial" w:hAnsi="Arial" w:cs="Arial"/>
        </w:rPr>
        <w:t>eting.  The Director of Finance</w:t>
      </w:r>
      <w:r>
        <w:rPr>
          <w:rFonts w:ascii="Arial" w:hAnsi="Arial" w:cs="Arial"/>
        </w:rPr>
        <w:t xml:space="preserve"> and </w:t>
      </w:r>
      <w:r w:rsidR="009414B0">
        <w:rPr>
          <w:rFonts w:ascii="Arial" w:hAnsi="Arial" w:cs="Arial"/>
        </w:rPr>
        <w:t xml:space="preserve">the Acting Deputy </w:t>
      </w:r>
      <w:r>
        <w:rPr>
          <w:rFonts w:ascii="Arial" w:hAnsi="Arial" w:cs="Arial"/>
        </w:rPr>
        <w:t xml:space="preserve">Director of Nursing and Clinical Standards will provide an overview on this item at the Board meeting.  </w:t>
      </w:r>
    </w:p>
    <w:p w:rsidR="00AF3193" w:rsidRDefault="00E00DF0" w:rsidP="00537C23">
      <w:pPr>
        <w:jc w:val="both"/>
        <w:rPr>
          <w:rFonts w:ascii="Arial" w:hAnsi="Arial" w:cs="Arial"/>
          <w:color w:val="FFFFFF"/>
          <w:lang w:val="en-GB" w:eastAsia="en-GB"/>
        </w:rPr>
      </w:pPr>
      <w:r>
        <w:rPr>
          <w:rFonts w:ascii="Arial" w:hAnsi="Arial" w:cs="Arial"/>
          <w:color w:val="FFFFFF"/>
          <w:lang w:val="en-GB" w:eastAsia="en-GB"/>
        </w:rPr>
        <w:t>=</w:t>
      </w:r>
    </w:p>
    <w:p w:rsidR="000F1A75" w:rsidRPr="00AF3193" w:rsidRDefault="000F1A75" w:rsidP="00AF3193">
      <w:pPr>
        <w:pStyle w:val="ListParagraph"/>
        <w:numPr>
          <w:ilvl w:val="0"/>
          <w:numId w:val="14"/>
        </w:numPr>
        <w:ind w:hanging="720"/>
        <w:jc w:val="both"/>
        <w:rPr>
          <w:rFonts w:ascii="Arial" w:hAnsi="Arial" w:cs="Arial"/>
          <w:b/>
        </w:rPr>
      </w:pPr>
      <w:r w:rsidRPr="00AF3193">
        <w:rPr>
          <w:rFonts w:ascii="Arial" w:hAnsi="Arial" w:cs="Arial"/>
          <w:b/>
        </w:rPr>
        <w:t>Recommendation</w:t>
      </w:r>
    </w:p>
    <w:p w:rsidR="00851BE6" w:rsidRDefault="00851BE6" w:rsidP="00851BE6">
      <w:pPr>
        <w:jc w:val="both"/>
        <w:rPr>
          <w:rFonts w:ascii="Arial" w:hAnsi="Arial" w:cs="Arial"/>
        </w:rPr>
      </w:pPr>
      <w:r>
        <w:rPr>
          <w:rFonts w:ascii="Arial" w:hAnsi="Arial" w:cs="Arial"/>
        </w:rPr>
        <w:t xml:space="preserve">The Board is asked to note what the Trust should report to </w:t>
      </w:r>
      <w:proofErr w:type="gramStart"/>
      <w:r>
        <w:rPr>
          <w:rFonts w:ascii="Arial" w:hAnsi="Arial" w:cs="Arial"/>
        </w:rPr>
        <w:t>Monitor</w:t>
      </w:r>
      <w:proofErr w:type="gramEnd"/>
      <w:r>
        <w:rPr>
          <w:rFonts w:ascii="Arial" w:hAnsi="Arial" w:cs="Arial"/>
        </w:rPr>
        <w:t xml:space="preserve"> as part of the quarterly in-year submission.</w:t>
      </w:r>
    </w:p>
    <w:p w:rsidR="00851BE6" w:rsidRDefault="00851BE6" w:rsidP="00851BE6">
      <w:pPr>
        <w:jc w:val="both"/>
        <w:rPr>
          <w:rFonts w:ascii="Arial" w:hAnsi="Arial" w:cs="Arial"/>
        </w:rPr>
      </w:pPr>
    </w:p>
    <w:p w:rsidR="00851BE6" w:rsidRDefault="00851BE6" w:rsidP="00851BE6">
      <w:pPr>
        <w:jc w:val="both"/>
        <w:rPr>
          <w:rFonts w:ascii="Arial" w:hAnsi="Arial" w:cs="Arial"/>
        </w:rPr>
      </w:pPr>
      <w:r>
        <w:rPr>
          <w:rFonts w:ascii="Arial" w:hAnsi="Arial" w:cs="Arial"/>
        </w:rPr>
        <w:t>The Board is asked to comm</w:t>
      </w:r>
      <w:r w:rsidR="00B56EFA">
        <w:rPr>
          <w:rFonts w:ascii="Arial" w:hAnsi="Arial" w:cs="Arial"/>
        </w:rPr>
        <w:t xml:space="preserve">ent on and approve the Quarter </w:t>
      </w:r>
      <w:r w:rsidR="009414B0">
        <w:rPr>
          <w:rFonts w:ascii="Arial" w:hAnsi="Arial" w:cs="Arial"/>
        </w:rPr>
        <w:t>1</w:t>
      </w:r>
      <w:r>
        <w:rPr>
          <w:rFonts w:ascii="Arial" w:hAnsi="Arial" w:cs="Arial"/>
        </w:rPr>
        <w:t xml:space="preserve"> submission to Monitor.</w:t>
      </w:r>
    </w:p>
    <w:p w:rsidR="00851BE6" w:rsidRDefault="00851BE6" w:rsidP="00851BE6">
      <w:pPr>
        <w:jc w:val="both"/>
        <w:rPr>
          <w:rFonts w:ascii="Arial" w:hAnsi="Arial" w:cs="Arial"/>
        </w:rPr>
      </w:pPr>
    </w:p>
    <w:p w:rsidR="00851BE6" w:rsidRDefault="00B56EFA" w:rsidP="00851BE6">
      <w:pPr>
        <w:jc w:val="both"/>
        <w:rPr>
          <w:rFonts w:ascii="Arial" w:hAnsi="Arial" w:cs="Arial"/>
        </w:rPr>
      </w:pPr>
      <w:r>
        <w:rPr>
          <w:rFonts w:ascii="Arial" w:hAnsi="Arial" w:cs="Arial"/>
        </w:rPr>
        <w:t xml:space="preserve">As part of the Quarter </w:t>
      </w:r>
      <w:r w:rsidR="009414B0">
        <w:rPr>
          <w:rFonts w:ascii="Arial" w:hAnsi="Arial" w:cs="Arial"/>
        </w:rPr>
        <w:t>1</w:t>
      </w:r>
      <w:r w:rsidR="00851BE6">
        <w:rPr>
          <w:rFonts w:ascii="Arial" w:hAnsi="Arial" w:cs="Arial"/>
        </w:rPr>
        <w:t xml:space="preserve"> submission, the Board is asked to </w:t>
      </w:r>
      <w:r w:rsidR="000F4E17">
        <w:rPr>
          <w:rFonts w:ascii="Arial" w:hAnsi="Arial" w:cs="Arial"/>
        </w:rPr>
        <w:t>consider</w:t>
      </w:r>
      <w:r w:rsidR="009414B0">
        <w:rPr>
          <w:rFonts w:ascii="Arial" w:hAnsi="Arial" w:cs="Arial"/>
        </w:rPr>
        <w:t xml:space="preserve"> the following statements:</w:t>
      </w:r>
    </w:p>
    <w:p w:rsidR="00851BE6" w:rsidRPr="000F1A75" w:rsidRDefault="009414B0" w:rsidP="00851BE6">
      <w:pPr>
        <w:pStyle w:val="ListParagraph"/>
        <w:numPr>
          <w:ilvl w:val="0"/>
          <w:numId w:val="20"/>
        </w:numPr>
        <w:jc w:val="both"/>
        <w:rPr>
          <w:rFonts w:ascii="Arial" w:hAnsi="Arial" w:cs="Arial"/>
        </w:rPr>
      </w:pPr>
      <w:r>
        <w:rPr>
          <w:rFonts w:ascii="Arial" w:hAnsi="Arial" w:cs="Arial"/>
        </w:rPr>
        <w:t>t</w:t>
      </w:r>
      <w:r w:rsidR="00851BE6">
        <w:rPr>
          <w:rFonts w:ascii="Arial" w:hAnsi="Arial" w:cs="Arial"/>
        </w:rPr>
        <w:t>he Board anticipates that the T</w:t>
      </w:r>
      <w:r w:rsidR="00851BE6" w:rsidRPr="00593399">
        <w:rPr>
          <w:rFonts w:ascii="Arial" w:hAnsi="Arial" w:cs="Arial"/>
        </w:rPr>
        <w:t xml:space="preserve">rust will continue to maintain a </w:t>
      </w:r>
      <w:r w:rsidR="00851BE6">
        <w:rPr>
          <w:rFonts w:ascii="Arial" w:hAnsi="Arial" w:cs="Arial"/>
        </w:rPr>
        <w:t>Continuity of Service risk rating</w:t>
      </w:r>
      <w:r w:rsidR="00851BE6" w:rsidRPr="00593399">
        <w:rPr>
          <w:rFonts w:ascii="Arial" w:hAnsi="Arial" w:cs="Arial"/>
        </w:rPr>
        <w:t xml:space="preserve"> of at l</w:t>
      </w:r>
      <w:r>
        <w:rPr>
          <w:rFonts w:ascii="Arial" w:hAnsi="Arial" w:cs="Arial"/>
        </w:rPr>
        <w:t>east 3 over the next 12 months;</w:t>
      </w:r>
    </w:p>
    <w:p w:rsidR="00851BE6" w:rsidRDefault="009414B0" w:rsidP="00851BE6">
      <w:pPr>
        <w:pStyle w:val="ListParagraph"/>
        <w:numPr>
          <w:ilvl w:val="0"/>
          <w:numId w:val="20"/>
        </w:numPr>
        <w:jc w:val="both"/>
        <w:rPr>
          <w:rFonts w:ascii="Arial" w:hAnsi="Arial" w:cs="Arial"/>
        </w:rPr>
      </w:pPr>
      <w:r>
        <w:rPr>
          <w:rFonts w:ascii="Arial" w:hAnsi="Arial" w:cs="Arial"/>
        </w:rPr>
        <w:t>t</w:t>
      </w:r>
      <w:r w:rsidR="00851BE6">
        <w:rPr>
          <w:rFonts w:ascii="Arial" w:hAnsi="Arial" w:cs="Arial"/>
        </w:rPr>
        <w:t xml:space="preserve">he Board is satisfied that plans in place are sufficient to ensure ongoing compliance with all existing targets (after the application of thresholds) as set out in Appendix A of the Risk Assessment Framework; and a commitment to comply with all known </w:t>
      </w:r>
      <w:r>
        <w:rPr>
          <w:rFonts w:ascii="Arial" w:hAnsi="Arial" w:cs="Arial"/>
        </w:rPr>
        <w:t>existing targets going forwards; and</w:t>
      </w:r>
    </w:p>
    <w:p w:rsidR="009414B0" w:rsidRPr="009414B0" w:rsidRDefault="009414B0" w:rsidP="009414B0">
      <w:pPr>
        <w:pStyle w:val="ListParagraph"/>
        <w:numPr>
          <w:ilvl w:val="0"/>
          <w:numId w:val="20"/>
        </w:numPr>
        <w:rPr>
          <w:rFonts w:ascii="Arial" w:hAnsi="Arial" w:cs="Arial"/>
        </w:rPr>
      </w:pPr>
      <w:proofErr w:type="gramStart"/>
      <w:r>
        <w:rPr>
          <w:rFonts w:ascii="Arial" w:hAnsi="Arial" w:cs="Arial"/>
        </w:rPr>
        <w:t>t</w:t>
      </w:r>
      <w:r w:rsidRPr="009414B0">
        <w:rPr>
          <w:rFonts w:ascii="Arial" w:hAnsi="Arial" w:cs="Arial"/>
        </w:rPr>
        <w:t>he</w:t>
      </w:r>
      <w:proofErr w:type="gramEnd"/>
      <w:r w:rsidRPr="009414B0">
        <w:rPr>
          <w:rFonts w:ascii="Arial" w:hAnsi="Arial" w:cs="Arial"/>
        </w:rPr>
        <w:t xml:space="preserve"> Board confirms that there are no matters arising in Q1 requiring an exception report to Monitor which have not already been reported.</w:t>
      </w:r>
    </w:p>
    <w:p w:rsidR="00851BE6" w:rsidRDefault="00851BE6" w:rsidP="00851BE6">
      <w:pPr>
        <w:jc w:val="both"/>
        <w:rPr>
          <w:rFonts w:ascii="Arial" w:hAnsi="Arial" w:cs="Arial"/>
        </w:rPr>
      </w:pPr>
    </w:p>
    <w:p w:rsidR="005D3499" w:rsidRDefault="005D3499">
      <w:pPr>
        <w:jc w:val="both"/>
        <w:rPr>
          <w:rFonts w:ascii="Arial" w:hAnsi="Arial" w:cs="Arial"/>
          <w:b/>
        </w:rPr>
      </w:pPr>
    </w:p>
    <w:p w:rsidR="00AF0562" w:rsidRPr="0073522A" w:rsidRDefault="00AF0562" w:rsidP="00AF0562">
      <w:pPr>
        <w:ind w:left="720"/>
        <w:jc w:val="both"/>
        <w:rPr>
          <w:rFonts w:ascii="Arial" w:hAnsi="Arial" w:cs="Arial"/>
          <w:sz w:val="20"/>
          <w:szCs w:val="20"/>
        </w:rPr>
      </w:pPr>
    </w:p>
    <w:sectPr w:rsidR="00AF0562" w:rsidRPr="0073522A" w:rsidSect="00DE6B28">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6EE" w:rsidRDefault="009E76EE" w:rsidP="005B3E3C">
      <w:r>
        <w:separator/>
      </w:r>
    </w:p>
  </w:endnote>
  <w:endnote w:type="continuationSeparator" w:id="0">
    <w:p w:rsidR="009E76EE" w:rsidRDefault="009E76E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EE" w:rsidRDefault="00B9588B">
    <w:pPr>
      <w:pStyle w:val="Footer"/>
      <w:jc w:val="center"/>
    </w:pPr>
    <w:r>
      <w:fldChar w:fldCharType="begin"/>
    </w:r>
    <w:r>
      <w:instrText xml:space="preserve"> PAGE   \* MERGEFORMAT </w:instrText>
    </w:r>
    <w:r>
      <w:fldChar w:fldCharType="separate"/>
    </w:r>
    <w:r w:rsidR="004A74E9">
      <w:rPr>
        <w:noProof/>
      </w:rPr>
      <w:t>1</w:t>
    </w:r>
    <w:r>
      <w:rPr>
        <w:noProof/>
      </w:rPr>
      <w:fldChar w:fldCharType="end"/>
    </w:r>
  </w:p>
  <w:p w:rsidR="009E76EE" w:rsidRDefault="009E7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6EE" w:rsidRDefault="009E76EE" w:rsidP="005B3E3C">
      <w:r>
        <w:separator/>
      </w:r>
    </w:p>
  </w:footnote>
  <w:footnote w:type="continuationSeparator" w:id="0">
    <w:p w:rsidR="009E76EE" w:rsidRDefault="009E76EE" w:rsidP="005B3E3C">
      <w:r>
        <w:continuationSeparator/>
      </w:r>
    </w:p>
  </w:footnote>
  <w:footnote w:id="1">
    <w:p w:rsidR="0012329F" w:rsidRPr="0012329F" w:rsidRDefault="0012329F">
      <w:pPr>
        <w:pStyle w:val="FootnoteText"/>
        <w:rPr>
          <w:lang w:val="en-GB"/>
        </w:rPr>
      </w:pPr>
      <w:r>
        <w:rPr>
          <w:rStyle w:val="FootnoteReference"/>
        </w:rPr>
        <w:footnoteRef/>
      </w:r>
      <w:r>
        <w:t xml:space="preserve"> </w:t>
      </w:r>
      <w:r>
        <w:rPr>
          <w:lang w:val="en-GB"/>
        </w:rPr>
        <w:t>Never events should always be reported to Monitor at the same time as to commissioners – even if they will later be deemed not to be classified as never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EE" w:rsidRPr="005B3E3C" w:rsidRDefault="009E76EE" w:rsidP="005B3E3C">
    <w:pPr>
      <w:pStyle w:val="Header"/>
      <w:jc w:val="center"/>
      <w:rPr>
        <w:rFonts w:ascii="Arial" w:hAnsi="Arial" w:cs="Arial"/>
      </w:rPr>
    </w:pPr>
    <w:r>
      <w:rPr>
        <w:rFonts w:ascii="Arial" w:hAnsi="Arial" w:cs="Arial"/>
        <w:b/>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8C8"/>
    <w:multiLevelType w:val="hybridMultilevel"/>
    <w:tmpl w:val="876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40164"/>
    <w:multiLevelType w:val="hybridMultilevel"/>
    <w:tmpl w:val="2E34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50E49"/>
    <w:multiLevelType w:val="hybridMultilevel"/>
    <w:tmpl w:val="FC32A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B6305"/>
    <w:multiLevelType w:val="hybridMultilevel"/>
    <w:tmpl w:val="7D48BDCA"/>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046A7F"/>
    <w:multiLevelType w:val="hybridMultilevel"/>
    <w:tmpl w:val="B41A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0C4FDB"/>
    <w:multiLevelType w:val="hybridMultilevel"/>
    <w:tmpl w:val="9FC266E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AB41333"/>
    <w:multiLevelType w:val="hybridMultilevel"/>
    <w:tmpl w:val="9DC03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AE10EB"/>
    <w:multiLevelType w:val="hybridMultilevel"/>
    <w:tmpl w:val="4C62C552"/>
    <w:lvl w:ilvl="0" w:tplc="4DFACB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797D00"/>
    <w:multiLevelType w:val="hybridMultilevel"/>
    <w:tmpl w:val="5EE8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9E72A4"/>
    <w:multiLevelType w:val="hybridMultilevel"/>
    <w:tmpl w:val="FAC28BF4"/>
    <w:lvl w:ilvl="0" w:tplc="169480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A41950"/>
    <w:multiLevelType w:val="hybridMultilevel"/>
    <w:tmpl w:val="4BF2E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493204"/>
    <w:multiLevelType w:val="hybridMultilevel"/>
    <w:tmpl w:val="2382AE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BAB5A28"/>
    <w:multiLevelType w:val="hybridMultilevel"/>
    <w:tmpl w:val="6C7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6B1EBD"/>
    <w:multiLevelType w:val="hybridMultilevel"/>
    <w:tmpl w:val="F6A6F31C"/>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5B6DF9"/>
    <w:multiLevelType w:val="hybridMultilevel"/>
    <w:tmpl w:val="13F2A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B6079F"/>
    <w:multiLevelType w:val="hybridMultilevel"/>
    <w:tmpl w:val="3C70FF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B875CB"/>
    <w:multiLevelType w:val="hybridMultilevel"/>
    <w:tmpl w:val="A08E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E7604C"/>
    <w:multiLevelType w:val="hybridMultilevel"/>
    <w:tmpl w:val="A3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7DA2954"/>
    <w:multiLevelType w:val="hybridMultilevel"/>
    <w:tmpl w:val="D29E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A338B8"/>
    <w:multiLevelType w:val="hybridMultilevel"/>
    <w:tmpl w:val="3BC0AB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4D6884"/>
    <w:multiLevelType w:val="hybridMultilevel"/>
    <w:tmpl w:val="B00A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930A94"/>
    <w:multiLevelType w:val="hybridMultilevel"/>
    <w:tmpl w:val="09F44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BF0964"/>
    <w:multiLevelType w:val="hybridMultilevel"/>
    <w:tmpl w:val="CEFC1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AA1018"/>
    <w:multiLevelType w:val="hybridMultilevel"/>
    <w:tmpl w:val="B310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957050"/>
    <w:multiLevelType w:val="hybridMultilevel"/>
    <w:tmpl w:val="075C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6D1DCA"/>
    <w:multiLevelType w:val="hybridMultilevel"/>
    <w:tmpl w:val="1D36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D34F8B"/>
    <w:multiLevelType w:val="hybridMultilevel"/>
    <w:tmpl w:val="C104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EE3808"/>
    <w:multiLevelType w:val="hybridMultilevel"/>
    <w:tmpl w:val="0A0AA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F2A4D44"/>
    <w:multiLevelType w:val="hybridMultilevel"/>
    <w:tmpl w:val="BA4E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5"/>
  </w:num>
  <w:num w:numId="4">
    <w:abstractNumId w:val="3"/>
  </w:num>
  <w:num w:numId="5">
    <w:abstractNumId w:val="11"/>
  </w:num>
  <w:num w:numId="6">
    <w:abstractNumId w:val="5"/>
  </w:num>
  <w:num w:numId="7">
    <w:abstractNumId w:val="14"/>
  </w:num>
  <w:num w:numId="8">
    <w:abstractNumId w:val="29"/>
  </w:num>
  <w:num w:numId="9">
    <w:abstractNumId w:val="10"/>
  </w:num>
  <w:num w:numId="10">
    <w:abstractNumId w:val="13"/>
  </w:num>
  <w:num w:numId="11">
    <w:abstractNumId w:val="4"/>
  </w:num>
  <w:num w:numId="12">
    <w:abstractNumId w:val="25"/>
  </w:num>
  <w:num w:numId="13">
    <w:abstractNumId w:val="7"/>
  </w:num>
  <w:num w:numId="14">
    <w:abstractNumId w:val="6"/>
  </w:num>
  <w:num w:numId="15">
    <w:abstractNumId w:val="24"/>
  </w:num>
  <w:num w:numId="16">
    <w:abstractNumId w:val="2"/>
  </w:num>
  <w:num w:numId="17">
    <w:abstractNumId w:val="20"/>
  </w:num>
  <w:num w:numId="18">
    <w:abstractNumId w:val="21"/>
  </w:num>
  <w:num w:numId="19">
    <w:abstractNumId w:val="0"/>
  </w:num>
  <w:num w:numId="20">
    <w:abstractNumId w:val="12"/>
  </w:num>
  <w:num w:numId="21">
    <w:abstractNumId w:val="17"/>
  </w:num>
  <w:num w:numId="22">
    <w:abstractNumId w:val="19"/>
  </w:num>
  <w:num w:numId="23">
    <w:abstractNumId w:val="23"/>
  </w:num>
  <w:num w:numId="24">
    <w:abstractNumId w:val="30"/>
  </w:num>
  <w:num w:numId="25">
    <w:abstractNumId w:val="26"/>
  </w:num>
  <w:num w:numId="26">
    <w:abstractNumId w:val="9"/>
  </w:num>
  <w:num w:numId="27">
    <w:abstractNumId w:val="22"/>
  </w:num>
  <w:num w:numId="28">
    <w:abstractNumId w:val="1"/>
  </w:num>
  <w:num w:numId="29">
    <w:abstractNumId w:val="16"/>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0F37"/>
    <w:rsid w:val="00003D74"/>
    <w:rsid w:val="0001648D"/>
    <w:rsid w:val="00022B45"/>
    <w:rsid w:val="00025441"/>
    <w:rsid w:val="000541FA"/>
    <w:rsid w:val="000C32A2"/>
    <w:rsid w:val="000C58B3"/>
    <w:rsid w:val="000F1A75"/>
    <w:rsid w:val="000F4E17"/>
    <w:rsid w:val="001117E9"/>
    <w:rsid w:val="001162B7"/>
    <w:rsid w:val="0012329F"/>
    <w:rsid w:val="001329F1"/>
    <w:rsid w:val="001355EC"/>
    <w:rsid w:val="00146198"/>
    <w:rsid w:val="001507EF"/>
    <w:rsid w:val="00164664"/>
    <w:rsid w:val="00166CF1"/>
    <w:rsid w:val="00167D2F"/>
    <w:rsid w:val="00182E47"/>
    <w:rsid w:val="00190F92"/>
    <w:rsid w:val="00196CC8"/>
    <w:rsid w:val="001A5E95"/>
    <w:rsid w:val="001B0400"/>
    <w:rsid w:val="001C14A1"/>
    <w:rsid w:val="001C17B4"/>
    <w:rsid w:val="001C5B64"/>
    <w:rsid w:val="001D5B24"/>
    <w:rsid w:val="001F76ED"/>
    <w:rsid w:val="00211B1F"/>
    <w:rsid w:val="00220EAE"/>
    <w:rsid w:val="00224FA8"/>
    <w:rsid w:val="00227FCE"/>
    <w:rsid w:val="00237CB4"/>
    <w:rsid w:val="00245ED8"/>
    <w:rsid w:val="002619EF"/>
    <w:rsid w:val="00266710"/>
    <w:rsid w:val="002712E4"/>
    <w:rsid w:val="002725A4"/>
    <w:rsid w:val="00273897"/>
    <w:rsid w:val="00275246"/>
    <w:rsid w:val="002821F8"/>
    <w:rsid w:val="00292613"/>
    <w:rsid w:val="00293618"/>
    <w:rsid w:val="00294CD9"/>
    <w:rsid w:val="002A73E8"/>
    <w:rsid w:val="002B141A"/>
    <w:rsid w:val="002C2F97"/>
    <w:rsid w:val="002E59FA"/>
    <w:rsid w:val="002E6FC6"/>
    <w:rsid w:val="002F150E"/>
    <w:rsid w:val="003145DD"/>
    <w:rsid w:val="003177C9"/>
    <w:rsid w:val="0033327E"/>
    <w:rsid w:val="00376B7B"/>
    <w:rsid w:val="0038018C"/>
    <w:rsid w:val="003836C1"/>
    <w:rsid w:val="003971F6"/>
    <w:rsid w:val="0039793F"/>
    <w:rsid w:val="00416774"/>
    <w:rsid w:val="0042776F"/>
    <w:rsid w:val="004326BB"/>
    <w:rsid w:val="00432E50"/>
    <w:rsid w:val="00442A64"/>
    <w:rsid w:val="004602F2"/>
    <w:rsid w:val="004A74E9"/>
    <w:rsid w:val="004D6449"/>
    <w:rsid w:val="004F196D"/>
    <w:rsid w:val="004F4BBA"/>
    <w:rsid w:val="00513FA0"/>
    <w:rsid w:val="005233AA"/>
    <w:rsid w:val="00527D5A"/>
    <w:rsid w:val="00537C23"/>
    <w:rsid w:val="00551B0F"/>
    <w:rsid w:val="00554ECC"/>
    <w:rsid w:val="005659FB"/>
    <w:rsid w:val="00582ACF"/>
    <w:rsid w:val="00593399"/>
    <w:rsid w:val="00596556"/>
    <w:rsid w:val="005A1195"/>
    <w:rsid w:val="005B3E3C"/>
    <w:rsid w:val="005B71DA"/>
    <w:rsid w:val="005C3FC1"/>
    <w:rsid w:val="005D3499"/>
    <w:rsid w:val="005D6FBA"/>
    <w:rsid w:val="005E2583"/>
    <w:rsid w:val="005E72B7"/>
    <w:rsid w:val="005F2E83"/>
    <w:rsid w:val="00602003"/>
    <w:rsid w:val="0061684E"/>
    <w:rsid w:val="00625264"/>
    <w:rsid w:val="0063370D"/>
    <w:rsid w:val="00640E74"/>
    <w:rsid w:val="0067677F"/>
    <w:rsid w:val="00681A7C"/>
    <w:rsid w:val="006B4ABF"/>
    <w:rsid w:val="006C4992"/>
    <w:rsid w:val="006D2B37"/>
    <w:rsid w:val="0070072A"/>
    <w:rsid w:val="007338A7"/>
    <w:rsid w:val="0073522A"/>
    <w:rsid w:val="0076365B"/>
    <w:rsid w:val="007769CD"/>
    <w:rsid w:val="0078032B"/>
    <w:rsid w:val="00780788"/>
    <w:rsid w:val="007976E7"/>
    <w:rsid w:val="007A3DEA"/>
    <w:rsid w:val="007F5749"/>
    <w:rsid w:val="008038A2"/>
    <w:rsid w:val="00811FE8"/>
    <w:rsid w:val="00824214"/>
    <w:rsid w:val="00835660"/>
    <w:rsid w:val="00850DBD"/>
    <w:rsid w:val="00851BE6"/>
    <w:rsid w:val="0086436B"/>
    <w:rsid w:val="008663FA"/>
    <w:rsid w:val="0087153C"/>
    <w:rsid w:val="00894B97"/>
    <w:rsid w:val="008D3D68"/>
    <w:rsid w:val="008D72C9"/>
    <w:rsid w:val="008E7E7E"/>
    <w:rsid w:val="00907E70"/>
    <w:rsid w:val="0093062C"/>
    <w:rsid w:val="009414B0"/>
    <w:rsid w:val="00946E6E"/>
    <w:rsid w:val="00983DAC"/>
    <w:rsid w:val="009A1C27"/>
    <w:rsid w:val="009C058B"/>
    <w:rsid w:val="009C1BE0"/>
    <w:rsid w:val="009D6F5C"/>
    <w:rsid w:val="009E4327"/>
    <w:rsid w:val="009E76EE"/>
    <w:rsid w:val="00A1210D"/>
    <w:rsid w:val="00A2776E"/>
    <w:rsid w:val="00A80D21"/>
    <w:rsid w:val="00A85311"/>
    <w:rsid w:val="00AC3814"/>
    <w:rsid w:val="00AF0562"/>
    <w:rsid w:val="00AF3193"/>
    <w:rsid w:val="00B02673"/>
    <w:rsid w:val="00B26E1A"/>
    <w:rsid w:val="00B34C30"/>
    <w:rsid w:val="00B403C8"/>
    <w:rsid w:val="00B46BD5"/>
    <w:rsid w:val="00B50D5E"/>
    <w:rsid w:val="00B56EFA"/>
    <w:rsid w:val="00B6269D"/>
    <w:rsid w:val="00B928E2"/>
    <w:rsid w:val="00B9588B"/>
    <w:rsid w:val="00BA3719"/>
    <w:rsid w:val="00BA3B3E"/>
    <w:rsid w:val="00BB1E3A"/>
    <w:rsid w:val="00BB3215"/>
    <w:rsid w:val="00BF5367"/>
    <w:rsid w:val="00C07817"/>
    <w:rsid w:val="00C10828"/>
    <w:rsid w:val="00C11AA2"/>
    <w:rsid w:val="00C135CD"/>
    <w:rsid w:val="00C13B89"/>
    <w:rsid w:val="00C46E27"/>
    <w:rsid w:val="00C52D48"/>
    <w:rsid w:val="00C53495"/>
    <w:rsid w:val="00C66769"/>
    <w:rsid w:val="00C87D3A"/>
    <w:rsid w:val="00C939F5"/>
    <w:rsid w:val="00CB32C4"/>
    <w:rsid w:val="00CC7ED3"/>
    <w:rsid w:val="00CD1759"/>
    <w:rsid w:val="00CF5D31"/>
    <w:rsid w:val="00D0086B"/>
    <w:rsid w:val="00D07064"/>
    <w:rsid w:val="00D279FC"/>
    <w:rsid w:val="00D3552F"/>
    <w:rsid w:val="00D437E8"/>
    <w:rsid w:val="00D46632"/>
    <w:rsid w:val="00D55ADD"/>
    <w:rsid w:val="00D8544F"/>
    <w:rsid w:val="00DA0FA6"/>
    <w:rsid w:val="00DA59FF"/>
    <w:rsid w:val="00DB4A51"/>
    <w:rsid w:val="00DD33DF"/>
    <w:rsid w:val="00DD7856"/>
    <w:rsid w:val="00DE1293"/>
    <w:rsid w:val="00DE6B28"/>
    <w:rsid w:val="00DF590D"/>
    <w:rsid w:val="00E00DF0"/>
    <w:rsid w:val="00E07FAA"/>
    <w:rsid w:val="00E21E88"/>
    <w:rsid w:val="00E22A07"/>
    <w:rsid w:val="00E63875"/>
    <w:rsid w:val="00E71A88"/>
    <w:rsid w:val="00E827C5"/>
    <w:rsid w:val="00ED2939"/>
    <w:rsid w:val="00ED3297"/>
    <w:rsid w:val="00F4113A"/>
    <w:rsid w:val="00F42EFB"/>
    <w:rsid w:val="00F44F15"/>
    <w:rsid w:val="00F56AFB"/>
    <w:rsid w:val="00F57119"/>
    <w:rsid w:val="00F7034F"/>
    <w:rsid w:val="00F82E18"/>
    <w:rsid w:val="00F87B55"/>
    <w:rsid w:val="00FA08C6"/>
    <w:rsid w:val="00FB11B0"/>
    <w:rsid w:val="00FB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 w:type="table" w:styleId="TableGrid">
    <w:name w:val="Table Grid"/>
    <w:basedOn w:val="TableNormal"/>
    <w:rsid w:val="0012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2329F"/>
    <w:rPr>
      <w:sz w:val="20"/>
      <w:szCs w:val="20"/>
    </w:rPr>
  </w:style>
  <w:style w:type="character" w:customStyle="1" w:styleId="FootnoteTextChar">
    <w:name w:val="Footnote Text Char"/>
    <w:basedOn w:val="DefaultParagraphFont"/>
    <w:link w:val="FootnoteText"/>
    <w:rsid w:val="0012329F"/>
    <w:rPr>
      <w:lang w:val="en-US" w:eastAsia="en-US"/>
    </w:rPr>
  </w:style>
  <w:style w:type="character" w:styleId="FootnoteReference">
    <w:name w:val="footnote reference"/>
    <w:basedOn w:val="DefaultParagraphFont"/>
    <w:rsid w:val="001232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B28"/>
    <w:rPr>
      <w:sz w:val="24"/>
      <w:szCs w:val="24"/>
      <w:lang w:val="en-US" w:eastAsia="en-US"/>
    </w:rPr>
  </w:style>
  <w:style w:type="paragraph" w:styleId="Heading1">
    <w:name w:val="heading 1"/>
    <w:basedOn w:val="Normal"/>
    <w:next w:val="Normal"/>
    <w:qFormat/>
    <w:rsid w:val="00DE6B28"/>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B28"/>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customStyle="1" w:styleId="Default">
    <w:name w:val="Default"/>
    <w:rsid w:val="00237CB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F5C"/>
    <w:rPr>
      <w:rFonts w:ascii="Tahoma" w:hAnsi="Tahoma" w:cs="Tahoma"/>
      <w:sz w:val="16"/>
      <w:szCs w:val="16"/>
    </w:rPr>
  </w:style>
  <w:style w:type="character" w:customStyle="1" w:styleId="BalloonTextChar">
    <w:name w:val="Balloon Text Char"/>
    <w:basedOn w:val="DefaultParagraphFont"/>
    <w:link w:val="BalloonText"/>
    <w:rsid w:val="009D6F5C"/>
    <w:rPr>
      <w:rFonts w:ascii="Tahoma" w:hAnsi="Tahoma" w:cs="Tahoma"/>
      <w:sz w:val="16"/>
      <w:szCs w:val="16"/>
      <w:lang w:val="en-US" w:eastAsia="en-US"/>
    </w:rPr>
  </w:style>
  <w:style w:type="paragraph" w:styleId="ListParagraph">
    <w:name w:val="List Paragraph"/>
    <w:basedOn w:val="Normal"/>
    <w:uiPriority w:val="34"/>
    <w:qFormat/>
    <w:rsid w:val="001C14A1"/>
    <w:pPr>
      <w:ind w:left="720"/>
      <w:contextualSpacing/>
    </w:pPr>
  </w:style>
  <w:style w:type="character" w:styleId="Hyperlink">
    <w:name w:val="Hyperlink"/>
    <w:basedOn w:val="DefaultParagraphFont"/>
    <w:rsid w:val="00FB11B0"/>
    <w:rPr>
      <w:color w:val="0000FF" w:themeColor="hyperlink"/>
      <w:u w:val="single"/>
    </w:rPr>
  </w:style>
  <w:style w:type="table" w:styleId="TableGrid">
    <w:name w:val="Table Grid"/>
    <w:basedOn w:val="TableNormal"/>
    <w:rsid w:val="0012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2329F"/>
    <w:rPr>
      <w:sz w:val="20"/>
      <w:szCs w:val="20"/>
    </w:rPr>
  </w:style>
  <w:style w:type="character" w:customStyle="1" w:styleId="FootnoteTextChar">
    <w:name w:val="Footnote Text Char"/>
    <w:basedOn w:val="DefaultParagraphFont"/>
    <w:link w:val="FootnoteText"/>
    <w:rsid w:val="0012329F"/>
    <w:rPr>
      <w:lang w:val="en-US" w:eastAsia="en-US"/>
    </w:rPr>
  </w:style>
  <w:style w:type="character" w:styleId="FootnoteReference">
    <w:name w:val="footnote reference"/>
    <w:basedOn w:val="DefaultParagraphFont"/>
    <w:rsid w:val="00123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421204/RAF_update_revmar15.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2AFD8-95F7-45CF-9060-2B1D84E8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1997</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2012-04-18T09:26:00Z</cp:lastPrinted>
  <dcterms:created xsi:type="dcterms:W3CDTF">2015-07-20T17:41:00Z</dcterms:created>
  <dcterms:modified xsi:type="dcterms:W3CDTF">2015-07-22T09:17:00Z</dcterms:modified>
</cp:coreProperties>
</file>