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785867">
        <w:t>29 July</w:t>
      </w:r>
      <w:r w:rsidR="0082723D">
        <w:t xml:space="preserve"> 2015</w:t>
      </w:r>
      <w:r>
        <w:t xml:space="preserve"> </w:t>
      </w:r>
      <w:r w:rsidRPr="006A5F4B">
        <w:t xml:space="preserve">at </w:t>
      </w:r>
      <w:r w:rsidR="0060513A">
        <w:t>08:3</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Trust </w:t>
            </w:r>
            <w:r w:rsidR="00341A91">
              <w:rPr>
                <w:rFonts w:ascii="Arial" w:hAnsi="Arial" w:cs="Arial"/>
              </w:rPr>
              <w:t>Chair</w:t>
            </w:r>
            <w:r w:rsidR="009E5BB1">
              <w:rPr>
                <w:rFonts w:ascii="Arial" w:hAnsi="Arial" w:cs="Arial"/>
              </w:rPr>
              <w:t xml:space="preserve"> (Chair of the meeting)</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Stuart Bell</w:t>
            </w:r>
          </w:p>
        </w:tc>
        <w:tc>
          <w:tcPr>
            <w:tcW w:w="6471" w:type="dxa"/>
          </w:tcPr>
          <w:p w:rsidR="002C2785" w:rsidRDefault="002C2785" w:rsidP="000954C6">
            <w:pPr>
              <w:rPr>
                <w:rFonts w:ascii="Arial" w:hAnsi="Arial" w:cs="Arial"/>
              </w:rPr>
            </w:pPr>
            <w:r>
              <w:rPr>
                <w:rFonts w:ascii="Arial" w:hAnsi="Arial" w:cs="Arial"/>
              </w:rPr>
              <w:t>Chief Executive</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John Allison</w:t>
            </w:r>
          </w:p>
        </w:tc>
        <w:tc>
          <w:tcPr>
            <w:tcW w:w="6471" w:type="dxa"/>
          </w:tcPr>
          <w:p w:rsidR="002C2785" w:rsidRDefault="002C2785" w:rsidP="000954C6">
            <w:pPr>
              <w:rPr>
                <w:rFonts w:ascii="Arial" w:hAnsi="Arial" w:cs="Arial"/>
              </w:rPr>
            </w:pPr>
            <w:r>
              <w:rPr>
                <w:rFonts w:ascii="Arial" w:hAnsi="Arial" w:cs="Arial"/>
              </w:rPr>
              <w:t>Non-Executive Director</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60513A">
            <w:pPr>
              <w:rPr>
                <w:rFonts w:ascii="Arial" w:hAnsi="Arial" w:cs="Arial"/>
              </w:rPr>
            </w:pPr>
            <w:r>
              <w:rPr>
                <w:rFonts w:ascii="Arial" w:hAnsi="Arial" w:cs="Arial"/>
              </w:rPr>
              <w:t>Non-Executive Director</w:t>
            </w:r>
            <w:r w:rsidR="008365B7">
              <w:rPr>
                <w:rFonts w:ascii="Arial" w:hAnsi="Arial" w:cs="Arial"/>
              </w:rPr>
              <w:t xml:space="preserve"> </w:t>
            </w:r>
          </w:p>
        </w:tc>
      </w:tr>
      <w:tr w:rsidR="00341A91" w:rsidRPr="006A5F4B" w:rsidTr="000954C6">
        <w:trPr>
          <w:trHeight w:val="285"/>
        </w:trPr>
        <w:tc>
          <w:tcPr>
            <w:tcW w:w="2472" w:type="dxa"/>
          </w:tcPr>
          <w:p w:rsidR="00341A91" w:rsidRDefault="00341A91" w:rsidP="000954C6">
            <w:pPr>
              <w:rPr>
                <w:rFonts w:ascii="Arial" w:hAnsi="Arial" w:cs="Arial"/>
              </w:rPr>
            </w:pPr>
            <w:r>
              <w:rPr>
                <w:rFonts w:ascii="Arial" w:hAnsi="Arial" w:cs="Arial"/>
              </w:rPr>
              <w:t>Mike Bellamy</w:t>
            </w:r>
          </w:p>
        </w:tc>
        <w:tc>
          <w:tcPr>
            <w:tcW w:w="6471" w:type="dxa"/>
          </w:tcPr>
          <w:p w:rsidR="00341A91" w:rsidRDefault="00341A91" w:rsidP="0060513A">
            <w:pPr>
              <w:rPr>
                <w:rFonts w:ascii="Arial" w:hAnsi="Arial" w:cs="Arial"/>
              </w:rPr>
            </w:pPr>
            <w:r>
              <w:rPr>
                <w:rFonts w:ascii="Arial" w:hAnsi="Arial" w:cs="Arial"/>
              </w:rPr>
              <w:t>Non-Executive Director</w:t>
            </w:r>
          </w:p>
        </w:tc>
      </w:tr>
      <w:tr w:rsidR="00C803C6" w:rsidRPr="006A5F4B" w:rsidTr="000954C6">
        <w:trPr>
          <w:trHeight w:val="285"/>
        </w:trPr>
        <w:tc>
          <w:tcPr>
            <w:tcW w:w="2472" w:type="dxa"/>
          </w:tcPr>
          <w:p w:rsidR="00C803C6" w:rsidRDefault="00C803C6" w:rsidP="000954C6">
            <w:pPr>
              <w:rPr>
                <w:rFonts w:ascii="Arial" w:hAnsi="Arial" w:cs="Arial"/>
              </w:rPr>
            </w:pPr>
            <w:r>
              <w:rPr>
                <w:rFonts w:ascii="Arial" w:hAnsi="Arial" w:cs="Arial"/>
              </w:rPr>
              <w:t>Sue Dopson</w:t>
            </w:r>
          </w:p>
        </w:tc>
        <w:tc>
          <w:tcPr>
            <w:tcW w:w="6471" w:type="dxa"/>
          </w:tcPr>
          <w:p w:rsidR="00C803C6" w:rsidRDefault="00C803C6"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C803C6" w:rsidRPr="006A5F4B" w:rsidTr="000954C6">
        <w:trPr>
          <w:trHeight w:val="270"/>
        </w:trPr>
        <w:tc>
          <w:tcPr>
            <w:tcW w:w="2472" w:type="dxa"/>
          </w:tcPr>
          <w:p w:rsidR="00C803C6" w:rsidRDefault="00C803C6" w:rsidP="000954C6">
            <w:pPr>
              <w:rPr>
                <w:rFonts w:ascii="Arial" w:hAnsi="Arial" w:cs="Arial"/>
              </w:rPr>
            </w:pPr>
            <w:r>
              <w:rPr>
                <w:rFonts w:ascii="Arial" w:hAnsi="Arial" w:cs="Arial"/>
              </w:rPr>
              <w:t>Clive Meux</w:t>
            </w:r>
          </w:p>
        </w:tc>
        <w:tc>
          <w:tcPr>
            <w:tcW w:w="6471" w:type="dxa"/>
          </w:tcPr>
          <w:p w:rsidR="00C803C6" w:rsidRDefault="00C803C6" w:rsidP="000954C6">
            <w:pPr>
              <w:rPr>
                <w:rFonts w:ascii="Arial" w:hAnsi="Arial" w:cs="Arial"/>
              </w:rPr>
            </w:pPr>
            <w:r>
              <w:rPr>
                <w:rFonts w:ascii="Arial" w:hAnsi="Arial" w:cs="Arial"/>
              </w:rPr>
              <w:t>Medical Director</w:t>
            </w:r>
            <w:r w:rsidR="00F43C94">
              <w:rPr>
                <w:rFonts w:ascii="Arial" w:hAnsi="Arial" w:cs="Arial"/>
              </w:rPr>
              <w:t xml:space="preserve"> and Director of Strategy</w:t>
            </w:r>
          </w:p>
        </w:tc>
      </w:tr>
      <w:tr w:rsidR="00341A91" w:rsidRPr="006A5F4B" w:rsidTr="000954C6">
        <w:trPr>
          <w:trHeight w:val="270"/>
        </w:trPr>
        <w:tc>
          <w:tcPr>
            <w:tcW w:w="2472" w:type="dxa"/>
          </w:tcPr>
          <w:p w:rsidR="00341A91" w:rsidRDefault="00341A91" w:rsidP="000954C6">
            <w:pPr>
              <w:rPr>
                <w:rFonts w:ascii="Arial" w:hAnsi="Arial" w:cs="Arial"/>
              </w:rPr>
            </w:pPr>
            <w:r>
              <w:rPr>
                <w:rFonts w:ascii="Arial" w:hAnsi="Arial" w:cs="Arial"/>
              </w:rPr>
              <w:t>Yvonne Taylor</w:t>
            </w:r>
          </w:p>
        </w:tc>
        <w:tc>
          <w:tcPr>
            <w:tcW w:w="6471" w:type="dxa"/>
          </w:tcPr>
          <w:p w:rsidR="00341A91" w:rsidRDefault="00341A91" w:rsidP="000954C6">
            <w:pPr>
              <w:rPr>
                <w:rFonts w:ascii="Arial" w:hAnsi="Arial" w:cs="Arial"/>
              </w:rPr>
            </w:pPr>
            <w:r>
              <w:rPr>
                <w:rFonts w:ascii="Arial" w:hAnsi="Arial" w:cs="Arial"/>
              </w:rPr>
              <w:t>Chief Operating Officer</w:t>
            </w:r>
          </w:p>
        </w:tc>
      </w:tr>
      <w:tr w:rsidR="00F116ED" w:rsidRPr="006A5F4B" w:rsidTr="000954C6">
        <w:trPr>
          <w:trHeight w:val="270"/>
        </w:trPr>
        <w:tc>
          <w:tcPr>
            <w:tcW w:w="2472" w:type="dxa"/>
          </w:tcPr>
          <w:p w:rsidR="00F116ED" w:rsidRDefault="00F116ED" w:rsidP="000954C6">
            <w:pPr>
              <w:rPr>
                <w:rFonts w:ascii="Arial" w:hAnsi="Arial" w:cs="Arial"/>
              </w:rPr>
            </w:pPr>
            <w:r>
              <w:rPr>
                <w:rFonts w:ascii="Arial" w:hAnsi="Arial" w:cs="Arial"/>
              </w:rPr>
              <w:t>Lyn Williams</w:t>
            </w:r>
          </w:p>
        </w:tc>
        <w:tc>
          <w:tcPr>
            <w:tcW w:w="6471" w:type="dxa"/>
          </w:tcPr>
          <w:p w:rsidR="00F116ED" w:rsidRDefault="00F116ED"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44F8D" w:rsidRPr="006A5F4B" w:rsidTr="000954C6">
        <w:trPr>
          <w:trHeight w:val="349"/>
        </w:trPr>
        <w:tc>
          <w:tcPr>
            <w:tcW w:w="2472" w:type="dxa"/>
          </w:tcPr>
          <w:p w:rsidR="00344F8D" w:rsidRDefault="00344F8D" w:rsidP="006A5552">
            <w:pPr>
              <w:rPr>
                <w:rFonts w:ascii="Arial" w:hAnsi="Arial" w:cs="Arial"/>
              </w:rPr>
            </w:pPr>
            <w:r>
              <w:rPr>
                <w:rFonts w:ascii="Arial" w:hAnsi="Arial" w:cs="Arial"/>
              </w:rPr>
              <w:t>Mike Foster</w:t>
            </w:r>
          </w:p>
        </w:tc>
        <w:tc>
          <w:tcPr>
            <w:tcW w:w="6471" w:type="dxa"/>
          </w:tcPr>
          <w:p w:rsidR="00344F8D" w:rsidRDefault="00344F8D" w:rsidP="006A5552">
            <w:pPr>
              <w:rPr>
                <w:rFonts w:ascii="Arial" w:hAnsi="Arial" w:cs="Arial"/>
              </w:rPr>
            </w:pPr>
            <w:r>
              <w:rPr>
                <w:rFonts w:ascii="Arial" w:hAnsi="Arial" w:cs="Arial"/>
              </w:rPr>
              <w:t>Deputy Director of Nursing (attending for Ros Alstead, Director of Nursing and Clinical Standards)</w:t>
            </w:r>
          </w:p>
        </w:tc>
      </w:tr>
      <w:tr w:rsidR="00344F8D" w:rsidRPr="006A5F4B" w:rsidTr="000954C6">
        <w:trPr>
          <w:trHeight w:val="349"/>
        </w:trPr>
        <w:tc>
          <w:tcPr>
            <w:tcW w:w="2472" w:type="dxa"/>
          </w:tcPr>
          <w:p w:rsidR="00344F8D" w:rsidRDefault="00344F8D" w:rsidP="00537F8A">
            <w:pPr>
              <w:rPr>
                <w:rFonts w:ascii="Arial" w:hAnsi="Arial" w:cs="Arial"/>
              </w:rPr>
            </w:pPr>
            <w:r w:rsidRPr="00AB369A">
              <w:rPr>
                <w:rFonts w:ascii="Arial" w:hAnsi="Arial" w:cs="Arial"/>
              </w:rPr>
              <w:t>Donna Mackenzie</w:t>
            </w:r>
          </w:p>
        </w:tc>
        <w:tc>
          <w:tcPr>
            <w:tcW w:w="6471" w:type="dxa"/>
          </w:tcPr>
          <w:p w:rsidR="00344F8D" w:rsidRPr="008F3090" w:rsidRDefault="00344F8D" w:rsidP="00785867">
            <w:pPr>
              <w:rPr>
                <w:rFonts w:ascii="Arial" w:hAnsi="Arial" w:cs="Arial"/>
                <w:i/>
              </w:rPr>
            </w:pPr>
            <w:r>
              <w:rPr>
                <w:rFonts w:ascii="Arial" w:hAnsi="Arial" w:cs="Arial"/>
              </w:rPr>
              <w:t>Patient Exper</w:t>
            </w:r>
            <w:r w:rsidR="00E431E6">
              <w:rPr>
                <w:rFonts w:ascii="Arial" w:hAnsi="Arial" w:cs="Arial"/>
              </w:rPr>
              <w:t xml:space="preserve">ience &amp; Involvement Coordinator - </w:t>
            </w:r>
            <w:r>
              <w:rPr>
                <w:rFonts w:ascii="Arial" w:hAnsi="Arial" w:cs="Arial"/>
              </w:rPr>
              <w:t xml:space="preserve">Children and Young People’s Directorate – </w:t>
            </w:r>
            <w:r>
              <w:rPr>
                <w:rFonts w:ascii="Arial" w:hAnsi="Arial" w:cs="Arial"/>
                <w:i/>
              </w:rPr>
              <w:t>part meeting</w:t>
            </w:r>
          </w:p>
        </w:tc>
      </w:tr>
      <w:tr w:rsidR="00E431E6" w:rsidRPr="006A5F4B" w:rsidTr="000954C6">
        <w:trPr>
          <w:trHeight w:val="349"/>
        </w:trPr>
        <w:tc>
          <w:tcPr>
            <w:tcW w:w="2472" w:type="dxa"/>
          </w:tcPr>
          <w:p w:rsidR="00E431E6" w:rsidRPr="00AB369A" w:rsidRDefault="00E431E6" w:rsidP="00537F8A">
            <w:pPr>
              <w:rPr>
                <w:rFonts w:ascii="Arial" w:hAnsi="Arial" w:cs="Arial"/>
              </w:rPr>
            </w:pPr>
            <w:r>
              <w:rPr>
                <w:rFonts w:ascii="Arial" w:hAnsi="Arial" w:cs="Arial"/>
              </w:rPr>
              <w:t>Sharon Ryan</w:t>
            </w:r>
          </w:p>
        </w:tc>
        <w:tc>
          <w:tcPr>
            <w:tcW w:w="6471" w:type="dxa"/>
          </w:tcPr>
          <w:p w:rsidR="00E431E6" w:rsidRPr="00E431E6" w:rsidRDefault="00E431E6" w:rsidP="00785867">
            <w:pPr>
              <w:rPr>
                <w:rFonts w:ascii="Arial" w:hAnsi="Arial" w:cs="Arial"/>
                <w:i/>
              </w:rPr>
            </w:pPr>
            <w:r>
              <w:rPr>
                <w:rFonts w:ascii="Arial" w:hAnsi="Arial" w:cs="Arial"/>
              </w:rPr>
              <w:t>Modern Matron -</w:t>
            </w:r>
            <w:r>
              <w:t xml:space="preserve"> </w:t>
            </w:r>
            <w:r w:rsidRPr="00E431E6">
              <w:rPr>
                <w:rFonts w:ascii="Arial" w:hAnsi="Arial" w:cs="Arial"/>
              </w:rPr>
              <w:t>Children and Young People’s Directorate</w:t>
            </w:r>
            <w:r>
              <w:rPr>
                <w:rFonts w:ascii="Arial" w:hAnsi="Arial" w:cs="Arial"/>
              </w:rPr>
              <w:t xml:space="preserve"> – </w:t>
            </w:r>
            <w:r>
              <w:rPr>
                <w:rFonts w:ascii="Arial" w:hAnsi="Arial" w:cs="Arial"/>
                <w:i/>
              </w:rPr>
              <w:t>part meeting</w:t>
            </w:r>
          </w:p>
        </w:tc>
      </w:tr>
      <w:tr w:rsidR="00344F8D" w:rsidRPr="006A5F4B" w:rsidTr="000954C6">
        <w:trPr>
          <w:trHeight w:val="349"/>
        </w:trPr>
        <w:tc>
          <w:tcPr>
            <w:tcW w:w="2472" w:type="dxa"/>
          </w:tcPr>
          <w:p w:rsidR="00344F8D" w:rsidRDefault="00344F8D" w:rsidP="000954C6">
            <w:pPr>
              <w:rPr>
                <w:rFonts w:ascii="Arial" w:hAnsi="Arial" w:cs="Arial"/>
              </w:rPr>
            </w:pPr>
            <w:r>
              <w:rPr>
                <w:rFonts w:ascii="Arial" w:hAnsi="Arial" w:cs="Arial"/>
              </w:rPr>
              <w:t>Hannah Smith</w:t>
            </w:r>
          </w:p>
        </w:tc>
        <w:tc>
          <w:tcPr>
            <w:tcW w:w="6471" w:type="dxa"/>
          </w:tcPr>
          <w:p w:rsidR="00344F8D" w:rsidRDefault="00344F8D" w:rsidP="000954C6">
            <w:pPr>
              <w:rPr>
                <w:rFonts w:ascii="Arial" w:hAnsi="Arial" w:cs="Arial"/>
              </w:rPr>
            </w:pPr>
            <w:r>
              <w:rPr>
                <w:rFonts w:ascii="Arial" w:hAnsi="Arial" w:cs="Arial"/>
              </w:rPr>
              <w:t>Assistant Trust Secretary (Minutes)</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785867" w:rsidP="00A64AB4">
            <w:pPr>
              <w:keepNext/>
              <w:keepLines/>
              <w:rPr>
                <w:rFonts w:ascii="Arial" w:hAnsi="Arial" w:cs="Arial"/>
                <w:b/>
              </w:rPr>
            </w:pPr>
            <w:r>
              <w:rPr>
                <w:rFonts w:ascii="Arial" w:hAnsi="Arial" w:cs="Arial"/>
                <w:b/>
              </w:rPr>
              <w:t>119</w:t>
            </w:r>
            <w:r w:rsidR="00AF18FE">
              <w:rPr>
                <w:rFonts w:ascii="Arial" w:hAnsi="Arial" w:cs="Arial"/>
                <w:b/>
              </w:rPr>
              <w:t>/15</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2C2785" w:rsidRDefault="002C2785"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Pr="00666D1B" w:rsidRDefault="00B641DE" w:rsidP="00785867">
            <w:pPr>
              <w:keepNext/>
              <w:keepLines/>
              <w:rPr>
                <w:rFonts w:ascii="Arial" w:hAnsi="Arial" w:cs="Arial"/>
              </w:rPr>
            </w:pPr>
            <w:r>
              <w:rPr>
                <w:rFonts w:ascii="Arial" w:hAnsi="Arial" w:cs="Arial"/>
              </w:rPr>
              <w:t>c</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8F3090" w:rsidRPr="008F3090" w:rsidRDefault="008F3090" w:rsidP="008F3090">
            <w:pPr>
              <w:rPr>
                <w:rFonts w:ascii="Arial" w:hAnsi="Arial" w:cs="Arial"/>
              </w:rPr>
            </w:pPr>
            <w:r w:rsidRPr="008F3090">
              <w:rPr>
                <w:rFonts w:ascii="Arial" w:hAnsi="Arial" w:cs="Arial"/>
              </w:rPr>
              <w:t xml:space="preserve">The Chair welcomed Governors, the Head of Hospital Inspection (for Mental Health, Learning Disability and Substance Misuse – South East Region) from the Care Quality Commission and members of the public who had attended to observe the meeting. </w:t>
            </w:r>
          </w:p>
          <w:p w:rsidR="008F3090" w:rsidRPr="008F3090" w:rsidRDefault="008F3090" w:rsidP="008F3090">
            <w:pPr>
              <w:rPr>
                <w:rFonts w:ascii="Arial" w:hAnsi="Arial" w:cs="Arial"/>
              </w:rPr>
            </w:pPr>
          </w:p>
          <w:p w:rsidR="008F3090" w:rsidRPr="008F3090" w:rsidRDefault="008F3090" w:rsidP="008F3090">
            <w:pPr>
              <w:rPr>
                <w:rFonts w:ascii="Arial" w:hAnsi="Arial" w:cs="Arial"/>
              </w:rPr>
            </w:pPr>
            <w:r w:rsidRPr="008F3090">
              <w:rPr>
                <w:rFonts w:ascii="Arial" w:hAnsi="Arial" w:cs="Arial"/>
              </w:rPr>
              <w:t xml:space="preserve">Apologies were received from: Ros Alstead, Director of Nursing and Clinical Standards; and Alyson Coates, Non-Executive Director.  </w:t>
            </w:r>
          </w:p>
          <w:p w:rsidR="008F3090" w:rsidRPr="008F3090" w:rsidRDefault="008F3090" w:rsidP="008F3090">
            <w:pPr>
              <w:rPr>
                <w:rFonts w:ascii="Arial" w:hAnsi="Arial" w:cs="Arial"/>
              </w:rPr>
            </w:pPr>
          </w:p>
          <w:p w:rsidR="008F3090" w:rsidRPr="008F3090" w:rsidRDefault="008F3090" w:rsidP="008F3090">
            <w:pPr>
              <w:rPr>
                <w:rFonts w:ascii="Arial" w:hAnsi="Arial" w:cs="Arial"/>
              </w:rPr>
            </w:pPr>
            <w:r w:rsidRPr="008F3090">
              <w:rPr>
                <w:rFonts w:ascii="Arial" w:hAnsi="Arial" w:cs="Arial"/>
              </w:rPr>
              <w:t xml:space="preserve">The Chair welcomed Mike Foster, Deputy Director of Nursing, who was in attendance for Ros Alstead. </w:t>
            </w:r>
          </w:p>
          <w:p w:rsidR="006C3A0C" w:rsidRPr="00666D1B" w:rsidRDefault="006C3A0C" w:rsidP="00785867">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CD3755">
              <w:rPr>
                <w:rFonts w:ascii="Arial" w:hAnsi="Arial" w:cs="Arial"/>
                <w:b/>
              </w:rPr>
              <w:t>1</w:t>
            </w:r>
            <w:r w:rsidR="008F3090">
              <w:rPr>
                <w:rFonts w:ascii="Arial" w:hAnsi="Arial" w:cs="Arial"/>
                <w:b/>
              </w:rPr>
              <w:t>20</w:t>
            </w:r>
            <w:r w:rsidR="002E52FD">
              <w:rPr>
                <w:rFonts w:ascii="Arial" w:hAnsi="Arial" w:cs="Arial"/>
                <w:b/>
              </w:rPr>
              <w:t>/15</w:t>
            </w:r>
          </w:p>
          <w:p w:rsidR="00B641DE" w:rsidRDefault="00B641DE" w:rsidP="00A64AB4">
            <w:pPr>
              <w:keepNext/>
              <w:keepLines/>
              <w:rPr>
                <w:rFonts w:ascii="Arial" w:hAnsi="Arial" w:cs="Arial"/>
              </w:rPr>
            </w:pPr>
          </w:p>
          <w:p w:rsidR="00A64AB4" w:rsidRDefault="00A64AB4" w:rsidP="00A64AB4">
            <w:pPr>
              <w:keepNext/>
              <w:keepLines/>
              <w:rPr>
                <w:rFonts w:ascii="Arial" w:hAnsi="Arial" w:cs="Arial"/>
              </w:rPr>
            </w:pPr>
            <w:r w:rsidRPr="00666D1B">
              <w:rPr>
                <w:rFonts w:ascii="Arial" w:hAnsi="Arial" w:cs="Arial"/>
              </w:rPr>
              <w:t>a</w:t>
            </w: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r>
              <w:rPr>
                <w:rFonts w:ascii="Arial" w:hAnsi="Arial" w:cs="Arial"/>
              </w:rPr>
              <w:t>b</w:t>
            </w: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Default="00B641DE" w:rsidP="00A64AB4">
            <w:pPr>
              <w:keepNext/>
              <w:keepLines/>
              <w:rPr>
                <w:rFonts w:ascii="Arial" w:hAnsi="Arial" w:cs="Arial"/>
              </w:rPr>
            </w:pPr>
          </w:p>
          <w:p w:rsidR="00B641DE" w:rsidRPr="00666D1B" w:rsidRDefault="00B641DE" w:rsidP="00A64AB4">
            <w:pPr>
              <w:keepNext/>
              <w:keepLines/>
              <w:rPr>
                <w:rFonts w:ascii="Arial" w:hAnsi="Arial" w:cs="Arial"/>
              </w:rPr>
            </w:pPr>
            <w:r>
              <w:rPr>
                <w:rFonts w:ascii="Arial" w:hAnsi="Arial" w:cs="Arial"/>
              </w:rPr>
              <w:t>c</w:t>
            </w:r>
          </w:p>
          <w:p w:rsidR="0074230A" w:rsidRPr="00666D1B" w:rsidRDefault="0074230A" w:rsidP="00A64AB4">
            <w:pPr>
              <w:keepNext/>
              <w:keepLines/>
              <w:rPr>
                <w:rFonts w:ascii="Arial" w:hAnsi="Arial" w:cs="Arial"/>
              </w:rPr>
            </w:pPr>
          </w:p>
        </w:tc>
        <w:tc>
          <w:tcPr>
            <w:tcW w:w="7087" w:type="dxa"/>
          </w:tcPr>
          <w:p w:rsidR="00DE7DF2" w:rsidRDefault="008F3090" w:rsidP="008F3090">
            <w:pPr>
              <w:keepNext/>
              <w:keepLines/>
              <w:jc w:val="both"/>
              <w:rPr>
                <w:rFonts w:ascii="Arial" w:hAnsi="Arial" w:cs="Arial"/>
                <w:bCs/>
              </w:rPr>
            </w:pPr>
            <w:r w:rsidRPr="008F3090">
              <w:rPr>
                <w:rFonts w:ascii="Arial" w:hAnsi="Arial" w:cs="Arial"/>
                <w:b/>
                <w:bCs/>
              </w:rPr>
              <w:t>Patient Experience – Children and Young People’s Directorate</w:t>
            </w:r>
            <w:r>
              <w:rPr>
                <w:rFonts w:ascii="Arial" w:hAnsi="Arial" w:cs="Arial"/>
                <w:b/>
                <w:bCs/>
              </w:rPr>
              <w:t xml:space="preserve"> </w:t>
            </w:r>
          </w:p>
          <w:p w:rsidR="008F3090" w:rsidRDefault="008F3090" w:rsidP="008F3090">
            <w:pPr>
              <w:keepNext/>
              <w:keepLines/>
              <w:jc w:val="both"/>
              <w:rPr>
                <w:rFonts w:ascii="Arial" w:hAnsi="Arial" w:cs="Arial"/>
                <w:bCs/>
              </w:rPr>
            </w:pPr>
          </w:p>
          <w:p w:rsidR="008F3090" w:rsidRPr="008F3090" w:rsidRDefault="008F3090" w:rsidP="008F3090">
            <w:pPr>
              <w:keepNext/>
              <w:keepLines/>
              <w:jc w:val="both"/>
              <w:rPr>
                <w:rFonts w:ascii="Arial" w:hAnsi="Arial" w:cs="Arial"/>
                <w:bCs/>
              </w:rPr>
            </w:pPr>
            <w:r w:rsidRPr="008F3090">
              <w:rPr>
                <w:rFonts w:ascii="Arial" w:hAnsi="Arial" w:cs="Arial"/>
                <w:bCs/>
              </w:rPr>
              <w:t xml:space="preserve">Donna </w:t>
            </w:r>
            <w:r w:rsidR="00671D06" w:rsidRPr="00671D06">
              <w:rPr>
                <w:rFonts w:ascii="Arial" w:hAnsi="Arial" w:cs="Arial"/>
                <w:bCs/>
              </w:rPr>
              <w:t>Mackenzie</w:t>
            </w:r>
            <w:r w:rsidRPr="008F3090">
              <w:rPr>
                <w:rFonts w:ascii="Arial" w:hAnsi="Arial" w:cs="Arial"/>
                <w:bCs/>
              </w:rPr>
              <w:t xml:space="preserve"> </w:t>
            </w:r>
            <w:r w:rsidR="00E431E6">
              <w:rPr>
                <w:rFonts w:ascii="Arial" w:hAnsi="Arial" w:cs="Arial"/>
                <w:bCs/>
              </w:rPr>
              <w:t xml:space="preserve">and </w:t>
            </w:r>
            <w:r w:rsidR="00E431E6" w:rsidRPr="00E431E6">
              <w:rPr>
                <w:rFonts w:ascii="Arial" w:hAnsi="Arial" w:cs="Arial"/>
                <w:bCs/>
              </w:rPr>
              <w:t xml:space="preserve">Sharon Ryan </w:t>
            </w:r>
            <w:r w:rsidRPr="008F3090">
              <w:rPr>
                <w:rFonts w:ascii="Arial" w:hAnsi="Arial" w:cs="Arial"/>
                <w:bCs/>
              </w:rPr>
              <w:t xml:space="preserve">introduced the video which was in the process of being developed by the Patient Led Group for Eating Disorders and which would be premiered in full on 24 September 2015 at the Mindfulness Centre at the Warneford Hospital.  Patients and staff had worked together on the video which would be embedded as part of staff training. </w:t>
            </w:r>
          </w:p>
          <w:p w:rsidR="008F3090" w:rsidRPr="008F3090" w:rsidRDefault="008F3090" w:rsidP="008F3090">
            <w:pPr>
              <w:keepNext/>
              <w:keepLines/>
              <w:jc w:val="both"/>
              <w:rPr>
                <w:rFonts w:ascii="Arial" w:hAnsi="Arial" w:cs="Arial"/>
                <w:bCs/>
              </w:rPr>
            </w:pPr>
          </w:p>
          <w:p w:rsidR="008F3090" w:rsidRPr="008F3090" w:rsidRDefault="008F3090" w:rsidP="008F3090">
            <w:pPr>
              <w:keepNext/>
              <w:keepLines/>
              <w:jc w:val="both"/>
              <w:rPr>
                <w:rFonts w:ascii="Arial" w:hAnsi="Arial" w:cs="Arial"/>
                <w:bCs/>
              </w:rPr>
            </w:pPr>
            <w:r w:rsidRPr="008F3090">
              <w:rPr>
                <w:rFonts w:ascii="Arial" w:hAnsi="Arial" w:cs="Arial"/>
                <w:bCs/>
              </w:rPr>
              <w:t xml:space="preserve">The Board noted the benefit to patients’ self-esteem and confidence from their participation in the video and suggested that the video, once completed and if appropriate consent to share it more widely was obtained, be considered for the Mind Media Awards which celebrated the best examples of reporting and portrayal of mental health in print, broadcast and digital media.  </w:t>
            </w:r>
          </w:p>
          <w:p w:rsidR="008F3090" w:rsidRPr="008F3090" w:rsidRDefault="008F3090" w:rsidP="008F3090">
            <w:pPr>
              <w:keepNext/>
              <w:keepLines/>
              <w:jc w:val="both"/>
              <w:rPr>
                <w:rFonts w:ascii="Arial" w:hAnsi="Arial" w:cs="Arial"/>
                <w:bCs/>
              </w:rPr>
            </w:pPr>
          </w:p>
          <w:p w:rsidR="008F3090" w:rsidRPr="008F3090" w:rsidRDefault="008F3090" w:rsidP="008F3090">
            <w:pPr>
              <w:keepNext/>
              <w:keepLines/>
              <w:jc w:val="both"/>
              <w:rPr>
                <w:rFonts w:ascii="Arial" w:hAnsi="Arial" w:cs="Arial"/>
                <w:bCs/>
              </w:rPr>
            </w:pPr>
            <w:r w:rsidRPr="008F3090">
              <w:rPr>
                <w:rFonts w:ascii="Arial" w:hAnsi="Arial" w:cs="Arial"/>
                <w:bCs/>
              </w:rPr>
              <w:t xml:space="preserve">The Board thanked the patients and staff who had participated in the video.  </w:t>
            </w:r>
          </w:p>
          <w:p w:rsidR="008F3090" w:rsidRPr="008F3090" w:rsidRDefault="008F3090" w:rsidP="008F3090">
            <w:pPr>
              <w:keepNext/>
              <w:keepLines/>
              <w:jc w:val="both"/>
              <w:rPr>
                <w:rFonts w:ascii="Arial" w:hAnsi="Arial" w:cs="Arial"/>
                <w:bCs/>
              </w:rPr>
            </w:pPr>
          </w:p>
          <w:p w:rsidR="008F3090" w:rsidRPr="008F3090" w:rsidRDefault="008F3090" w:rsidP="008F3090">
            <w:pPr>
              <w:keepNext/>
              <w:keepLines/>
              <w:jc w:val="both"/>
              <w:rPr>
                <w:rFonts w:ascii="Arial" w:hAnsi="Arial" w:cs="Arial"/>
                <w:bCs/>
                <w:i/>
              </w:rPr>
            </w:pPr>
            <w:r w:rsidRPr="008F3090">
              <w:rPr>
                <w:rFonts w:ascii="Arial" w:hAnsi="Arial" w:cs="Arial"/>
                <w:bCs/>
                <w:i/>
              </w:rPr>
              <w:t xml:space="preserve">Donna </w:t>
            </w:r>
            <w:r w:rsidR="00671D06" w:rsidRPr="00671D06">
              <w:rPr>
                <w:rFonts w:ascii="Arial" w:hAnsi="Arial" w:cs="Arial"/>
                <w:bCs/>
                <w:i/>
              </w:rPr>
              <w:t>Mackenzie</w:t>
            </w:r>
            <w:r w:rsidRPr="008F3090">
              <w:rPr>
                <w:rFonts w:ascii="Arial" w:hAnsi="Arial" w:cs="Arial"/>
                <w:bCs/>
                <w:i/>
              </w:rPr>
              <w:t xml:space="preserve"> </w:t>
            </w:r>
            <w:r w:rsidR="00E431E6">
              <w:rPr>
                <w:rFonts w:ascii="Arial" w:hAnsi="Arial" w:cs="Arial"/>
                <w:bCs/>
                <w:i/>
              </w:rPr>
              <w:t>and</w:t>
            </w:r>
            <w:r w:rsidR="00E431E6">
              <w:t xml:space="preserve"> </w:t>
            </w:r>
            <w:r w:rsidR="00E431E6" w:rsidRPr="00E431E6">
              <w:rPr>
                <w:rFonts w:ascii="Arial" w:hAnsi="Arial" w:cs="Arial"/>
                <w:bCs/>
                <w:i/>
              </w:rPr>
              <w:t>Sharon Ryan</w:t>
            </w:r>
            <w:r w:rsidR="00E431E6">
              <w:rPr>
                <w:rFonts w:ascii="Arial" w:hAnsi="Arial" w:cs="Arial"/>
                <w:bCs/>
                <w:i/>
              </w:rPr>
              <w:t xml:space="preserve"> </w:t>
            </w:r>
            <w:r w:rsidRPr="008F3090">
              <w:rPr>
                <w:rFonts w:ascii="Arial" w:hAnsi="Arial" w:cs="Arial"/>
                <w:bCs/>
                <w:i/>
              </w:rPr>
              <w:t xml:space="preserve">left the meeting.  </w:t>
            </w:r>
          </w:p>
          <w:p w:rsidR="008F3090" w:rsidRPr="008F3090" w:rsidRDefault="008F3090" w:rsidP="008F3090">
            <w:pPr>
              <w:keepNext/>
              <w:keepLines/>
              <w:jc w:val="both"/>
              <w:rPr>
                <w:rFonts w:ascii="Arial" w:hAnsi="Arial" w:cs="Arial"/>
                <w:bCs/>
              </w:rPr>
            </w:pPr>
          </w:p>
        </w:tc>
        <w:tc>
          <w:tcPr>
            <w:tcW w:w="1054" w:type="dxa"/>
          </w:tcPr>
          <w:p w:rsidR="00A64AB4" w:rsidRDefault="00A64AB4" w:rsidP="00A64AB4">
            <w:pPr>
              <w:keepNext/>
              <w:keepLines/>
              <w:rPr>
                <w:rFonts w:ascii="Arial" w:hAnsi="Arial" w:cs="Arial"/>
              </w:rPr>
            </w:pPr>
          </w:p>
          <w:p w:rsidR="0074230A" w:rsidRPr="0074230A" w:rsidRDefault="0074230A" w:rsidP="00A64AB4">
            <w:pPr>
              <w:keepNext/>
              <w:keepLines/>
              <w:rPr>
                <w:rFonts w:ascii="Arial" w:hAnsi="Arial" w:cs="Arial"/>
                <w:b/>
              </w:rPr>
            </w:pPr>
          </w:p>
        </w:tc>
      </w:tr>
      <w:tr w:rsidR="00785867" w:rsidRPr="00666D1B">
        <w:trPr>
          <w:trHeight w:val="650"/>
        </w:trPr>
        <w:tc>
          <w:tcPr>
            <w:tcW w:w="993" w:type="dxa"/>
          </w:tcPr>
          <w:p w:rsidR="00785867" w:rsidRPr="00666D1B" w:rsidRDefault="00785867" w:rsidP="00785867">
            <w:pPr>
              <w:keepNext/>
              <w:keepLines/>
              <w:rPr>
                <w:rFonts w:ascii="Arial" w:hAnsi="Arial" w:cs="Arial"/>
                <w:b/>
              </w:rPr>
            </w:pPr>
            <w:r w:rsidRPr="00666D1B">
              <w:rPr>
                <w:rFonts w:ascii="Arial" w:hAnsi="Arial" w:cs="Arial"/>
                <w:b/>
              </w:rPr>
              <w:t xml:space="preserve">BOD </w:t>
            </w:r>
            <w:r w:rsidR="008F3090">
              <w:rPr>
                <w:rFonts w:ascii="Arial" w:hAnsi="Arial" w:cs="Arial"/>
                <w:b/>
              </w:rPr>
              <w:t>121</w:t>
            </w:r>
            <w:r>
              <w:rPr>
                <w:rFonts w:ascii="Arial" w:hAnsi="Arial" w:cs="Arial"/>
                <w:b/>
              </w:rPr>
              <w:t>/15</w:t>
            </w:r>
          </w:p>
          <w:p w:rsidR="00785867" w:rsidRPr="00666D1B" w:rsidRDefault="00785867" w:rsidP="00785867">
            <w:pPr>
              <w:keepNext/>
              <w:keepLines/>
              <w:rPr>
                <w:rFonts w:ascii="Arial" w:hAnsi="Arial" w:cs="Arial"/>
              </w:rPr>
            </w:pPr>
            <w:r w:rsidRPr="00666D1B">
              <w:rPr>
                <w:rFonts w:ascii="Arial" w:hAnsi="Arial" w:cs="Arial"/>
              </w:rPr>
              <w:t>a</w:t>
            </w:r>
          </w:p>
          <w:p w:rsidR="00785867" w:rsidRPr="00666D1B" w:rsidRDefault="00785867" w:rsidP="005F51D7">
            <w:pPr>
              <w:keepNext/>
              <w:keepLines/>
              <w:rPr>
                <w:rFonts w:ascii="Arial" w:hAnsi="Arial" w:cs="Arial"/>
                <w:b/>
              </w:rPr>
            </w:pPr>
          </w:p>
        </w:tc>
        <w:tc>
          <w:tcPr>
            <w:tcW w:w="7087" w:type="dxa"/>
          </w:tcPr>
          <w:p w:rsidR="008F3090" w:rsidRPr="00666D1B" w:rsidRDefault="008F3090" w:rsidP="008F3090">
            <w:pPr>
              <w:keepNext/>
              <w:keepLines/>
              <w:jc w:val="both"/>
              <w:rPr>
                <w:rFonts w:ascii="Arial" w:hAnsi="Arial" w:cs="Arial"/>
                <w:bCs/>
              </w:rPr>
            </w:pPr>
            <w:r w:rsidRPr="00666D1B">
              <w:rPr>
                <w:rFonts w:ascii="Arial" w:hAnsi="Arial" w:cs="Arial"/>
                <w:b/>
                <w:bCs/>
              </w:rPr>
              <w:t>Declarations of Interest</w:t>
            </w:r>
          </w:p>
          <w:p w:rsidR="008F3090" w:rsidRPr="00666D1B" w:rsidRDefault="008F3090" w:rsidP="008F3090">
            <w:pPr>
              <w:keepNext/>
              <w:keepLines/>
              <w:jc w:val="both"/>
              <w:rPr>
                <w:rFonts w:ascii="Arial" w:hAnsi="Arial" w:cs="Arial"/>
                <w:bCs/>
              </w:rPr>
            </w:pPr>
          </w:p>
          <w:p w:rsidR="008F3090" w:rsidRDefault="008F3090" w:rsidP="008F3090">
            <w:pPr>
              <w:keepNext/>
              <w:keepLines/>
              <w:jc w:val="both"/>
              <w:rPr>
                <w:rFonts w:ascii="Arial" w:hAnsi="Arial" w:cs="Arial"/>
                <w:bCs/>
              </w:rPr>
            </w:pPr>
            <w:r w:rsidRPr="00404679">
              <w:rPr>
                <w:rFonts w:ascii="Arial" w:hAnsi="Arial" w:cs="Arial"/>
                <w:bCs/>
              </w:rPr>
              <w:t>None reported.</w:t>
            </w:r>
          </w:p>
          <w:p w:rsidR="00B577DF" w:rsidRDefault="00B577DF" w:rsidP="008F3090">
            <w:pPr>
              <w:keepNext/>
              <w:keepLines/>
              <w:jc w:val="both"/>
              <w:rPr>
                <w:rFonts w:ascii="Arial" w:hAnsi="Arial" w:cs="Arial"/>
                <w:bCs/>
              </w:rPr>
            </w:pPr>
          </w:p>
          <w:p w:rsidR="00B577DF" w:rsidRPr="00404679" w:rsidRDefault="00B577DF" w:rsidP="008F3090">
            <w:pPr>
              <w:keepNext/>
              <w:keepLines/>
              <w:jc w:val="both"/>
              <w:rPr>
                <w:rFonts w:ascii="Arial" w:hAnsi="Arial" w:cs="Arial"/>
                <w:bCs/>
              </w:rPr>
            </w:pPr>
          </w:p>
          <w:p w:rsidR="00785867" w:rsidRPr="00666D1B" w:rsidRDefault="00785867" w:rsidP="00404679">
            <w:pPr>
              <w:jc w:val="both"/>
              <w:rPr>
                <w:rFonts w:ascii="Arial" w:hAnsi="Arial" w:cs="Arial"/>
                <w:b/>
                <w:bCs/>
              </w:rPr>
            </w:pPr>
          </w:p>
        </w:tc>
        <w:tc>
          <w:tcPr>
            <w:tcW w:w="1054" w:type="dxa"/>
          </w:tcPr>
          <w:p w:rsidR="00785867" w:rsidRDefault="00785867" w:rsidP="00687605">
            <w:pPr>
              <w:keepNext/>
              <w:keepLines/>
              <w:rPr>
                <w:rFonts w:ascii="Arial" w:hAnsi="Arial" w:cs="Arial"/>
                <w:b/>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lastRenderedPageBreak/>
              <w:t xml:space="preserve">BOD </w:t>
            </w:r>
            <w:r w:rsidR="008F3090">
              <w:rPr>
                <w:rFonts w:ascii="Arial" w:hAnsi="Arial" w:cs="Arial"/>
                <w:b/>
              </w:rPr>
              <w:t>122</w:t>
            </w:r>
            <w:r w:rsidR="000868E5">
              <w:rPr>
                <w:rFonts w:ascii="Arial" w:hAnsi="Arial" w:cs="Arial"/>
                <w:b/>
              </w:rPr>
              <w:t>/15</w:t>
            </w: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204856" w:rsidRDefault="00204856" w:rsidP="0060513A">
            <w:pPr>
              <w:keepNext/>
              <w:keepLines/>
              <w:rPr>
                <w:rFonts w:ascii="Arial" w:hAnsi="Arial" w:cs="Arial"/>
              </w:rPr>
            </w:pPr>
          </w:p>
          <w:p w:rsidR="006F3BDE" w:rsidRDefault="006F3BDE"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b</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c</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d</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e</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f</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r>
              <w:rPr>
                <w:rFonts w:ascii="Arial" w:hAnsi="Arial" w:cs="Arial"/>
              </w:rPr>
              <w:t>g</w:t>
            </w: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Default="00B577DF" w:rsidP="0060513A">
            <w:pPr>
              <w:keepNext/>
              <w:keepLines/>
              <w:rPr>
                <w:rFonts w:ascii="Arial" w:hAnsi="Arial" w:cs="Arial"/>
              </w:rPr>
            </w:pPr>
          </w:p>
          <w:p w:rsidR="00B577DF" w:rsidRPr="00666D1B" w:rsidRDefault="00B577DF" w:rsidP="0060513A">
            <w:pPr>
              <w:keepNext/>
              <w:keepLines/>
              <w:rPr>
                <w:rFonts w:ascii="Arial" w:hAnsi="Arial" w:cs="Arial"/>
              </w:rPr>
            </w:pPr>
            <w:r>
              <w:rPr>
                <w:rFonts w:ascii="Arial" w:hAnsi="Arial" w:cs="Arial"/>
              </w:rPr>
              <w:lastRenderedPageBreak/>
              <w:t>h</w:t>
            </w:r>
          </w:p>
        </w:tc>
        <w:tc>
          <w:tcPr>
            <w:tcW w:w="7087" w:type="dxa"/>
          </w:tcPr>
          <w:p w:rsidR="00204856" w:rsidRDefault="00631FDA" w:rsidP="00404679">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w:t>
            </w:r>
            <w:r w:rsidR="00404679" w:rsidRPr="00404679">
              <w:rPr>
                <w:rFonts w:ascii="Arial" w:hAnsi="Arial" w:cs="Arial"/>
                <w:b/>
                <w:bCs/>
              </w:rPr>
              <w:t xml:space="preserve">held on </w:t>
            </w:r>
            <w:r w:rsidR="00785867">
              <w:rPr>
                <w:rFonts w:ascii="Arial" w:hAnsi="Arial" w:cs="Arial"/>
                <w:b/>
                <w:bCs/>
              </w:rPr>
              <w:t>24 June</w:t>
            </w:r>
            <w:r w:rsidR="00404679" w:rsidRPr="00404679">
              <w:rPr>
                <w:rFonts w:ascii="Arial" w:hAnsi="Arial" w:cs="Arial"/>
                <w:b/>
                <w:bCs/>
              </w:rPr>
              <w:t xml:space="preserve"> 2015</w:t>
            </w:r>
            <w:r w:rsidR="00404679">
              <w:rPr>
                <w:rFonts w:ascii="Arial" w:hAnsi="Arial" w:cs="Arial"/>
                <w:b/>
                <w:bCs/>
              </w:rPr>
              <w:t xml:space="preserve"> </w:t>
            </w:r>
          </w:p>
          <w:p w:rsidR="00404679" w:rsidRDefault="00404679" w:rsidP="00404679">
            <w:pPr>
              <w:jc w:val="both"/>
              <w:rPr>
                <w:rFonts w:ascii="Arial" w:hAnsi="Arial" w:cs="Arial"/>
                <w:bCs/>
              </w:rPr>
            </w:pPr>
          </w:p>
          <w:p w:rsidR="00387B15" w:rsidRDefault="00404679" w:rsidP="00785867">
            <w:pPr>
              <w:jc w:val="both"/>
              <w:rPr>
                <w:rFonts w:ascii="Arial" w:hAnsi="Arial" w:cs="Arial"/>
                <w:bCs/>
              </w:rPr>
            </w:pPr>
            <w:r w:rsidRPr="00404679">
              <w:rPr>
                <w:rFonts w:ascii="Arial" w:hAnsi="Arial" w:cs="Arial"/>
                <w:bCs/>
              </w:rPr>
              <w:t>The Minutes of the meeting were approve</w:t>
            </w:r>
            <w:r w:rsidR="00387B15">
              <w:rPr>
                <w:rFonts w:ascii="Arial" w:hAnsi="Arial" w:cs="Arial"/>
                <w:bCs/>
              </w:rPr>
              <w:t xml:space="preserve">d as a true and accurate record. </w:t>
            </w:r>
          </w:p>
          <w:p w:rsidR="00387B15" w:rsidRDefault="00387B15" w:rsidP="00785867">
            <w:pPr>
              <w:jc w:val="both"/>
              <w:rPr>
                <w:rFonts w:ascii="Arial" w:hAnsi="Arial" w:cs="Arial"/>
                <w:bCs/>
              </w:rPr>
            </w:pPr>
          </w:p>
          <w:p w:rsidR="00387B15" w:rsidRPr="00387B15" w:rsidRDefault="00387B15" w:rsidP="00387B15">
            <w:pPr>
              <w:jc w:val="both"/>
              <w:rPr>
                <w:rFonts w:ascii="Arial" w:hAnsi="Arial" w:cs="Arial"/>
                <w:b/>
                <w:bCs/>
                <w:i/>
              </w:rPr>
            </w:pPr>
            <w:r w:rsidRPr="00387B15">
              <w:rPr>
                <w:rFonts w:ascii="Arial" w:hAnsi="Arial" w:cs="Arial"/>
                <w:b/>
                <w:bCs/>
                <w:i/>
              </w:rPr>
              <w:t>Matters Arising</w:t>
            </w:r>
          </w:p>
          <w:p w:rsidR="00387B15" w:rsidRPr="00387B15" w:rsidRDefault="00387B15" w:rsidP="00387B15">
            <w:pPr>
              <w:jc w:val="both"/>
              <w:rPr>
                <w:rFonts w:ascii="Arial" w:hAnsi="Arial" w:cs="Arial"/>
                <w:b/>
                <w:bCs/>
              </w:rPr>
            </w:pPr>
          </w:p>
          <w:p w:rsidR="00387B15" w:rsidRPr="00387B15" w:rsidRDefault="00387B15" w:rsidP="00387B15">
            <w:pPr>
              <w:jc w:val="both"/>
              <w:rPr>
                <w:rFonts w:ascii="Arial" w:hAnsi="Arial" w:cs="Arial"/>
                <w:b/>
                <w:bCs/>
              </w:rPr>
            </w:pPr>
            <w:r w:rsidRPr="00387B15">
              <w:rPr>
                <w:rFonts w:ascii="Arial" w:hAnsi="Arial" w:cs="Arial"/>
                <w:b/>
                <w:bCs/>
              </w:rPr>
              <w:t>BOD 104/15(d) Whiteleaf Centre project closure report</w:t>
            </w:r>
          </w:p>
          <w:p w:rsidR="00387B15" w:rsidRPr="00387B15" w:rsidRDefault="00387B15" w:rsidP="00387B15">
            <w:pPr>
              <w:jc w:val="both"/>
              <w:rPr>
                <w:rFonts w:ascii="Arial" w:hAnsi="Arial" w:cs="Arial"/>
                <w:bCs/>
              </w:rPr>
            </w:pPr>
          </w:p>
          <w:p w:rsidR="00387B15" w:rsidRDefault="00387B15" w:rsidP="00387B15">
            <w:pPr>
              <w:jc w:val="both"/>
              <w:rPr>
                <w:rFonts w:ascii="Arial" w:hAnsi="Arial" w:cs="Arial"/>
                <w:bCs/>
              </w:rPr>
            </w:pPr>
            <w:r w:rsidRPr="00387B15">
              <w:rPr>
                <w:rFonts w:ascii="Arial" w:hAnsi="Arial" w:cs="Arial"/>
                <w:bCs/>
              </w:rPr>
              <w:t xml:space="preserve">Lyn Williams confirmed that the report had been presented to the Finance and Investment Committee and noted that it would be presented to the Board when the Director of Nursing and Clinical Standards was in attendance to present it in person.  </w:t>
            </w:r>
          </w:p>
          <w:p w:rsidR="00387B15" w:rsidRDefault="00387B15" w:rsidP="00785867">
            <w:pPr>
              <w:jc w:val="both"/>
              <w:rPr>
                <w:rFonts w:ascii="Arial" w:hAnsi="Arial" w:cs="Arial"/>
                <w:bCs/>
              </w:rPr>
            </w:pPr>
          </w:p>
          <w:p w:rsidR="00387B15" w:rsidRPr="00387B15" w:rsidRDefault="00387B15" w:rsidP="00387B15">
            <w:pPr>
              <w:jc w:val="both"/>
              <w:rPr>
                <w:rFonts w:ascii="Arial" w:hAnsi="Arial" w:cs="Arial"/>
                <w:b/>
                <w:bCs/>
              </w:rPr>
            </w:pPr>
            <w:r w:rsidRPr="00387B15">
              <w:rPr>
                <w:rFonts w:ascii="Arial" w:hAnsi="Arial" w:cs="Arial"/>
                <w:b/>
                <w:bCs/>
              </w:rPr>
              <w:t xml:space="preserve">BOD 104/15(f) Ligature Risks Report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Executive noted that this should be presented to the next meeting of the Quality Committee.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
                <w:bCs/>
              </w:rPr>
            </w:pPr>
            <w:r w:rsidRPr="00387B15">
              <w:rPr>
                <w:rFonts w:ascii="Arial" w:hAnsi="Arial" w:cs="Arial"/>
                <w:b/>
                <w:bCs/>
              </w:rPr>
              <w:t>BOD 104/15(</w:t>
            </w:r>
            <w:proofErr w:type="spellStart"/>
            <w:r w:rsidRPr="00387B15">
              <w:rPr>
                <w:rFonts w:ascii="Arial" w:hAnsi="Arial" w:cs="Arial"/>
                <w:b/>
                <w:bCs/>
              </w:rPr>
              <w:t>i</w:t>
            </w:r>
            <w:proofErr w:type="spellEnd"/>
            <w:r w:rsidRPr="00387B15">
              <w:rPr>
                <w:rFonts w:ascii="Arial" w:hAnsi="Arial" w:cs="Arial"/>
                <w:b/>
                <w:bCs/>
              </w:rPr>
              <w:t>) Sleep Treatment Trial</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Operating Officer noted that an update would be provided to the Board in due course.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
                <w:bCs/>
              </w:rPr>
            </w:pPr>
            <w:r w:rsidRPr="00387B15">
              <w:rPr>
                <w:rFonts w:ascii="Arial" w:hAnsi="Arial" w:cs="Arial"/>
                <w:b/>
                <w:bCs/>
              </w:rPr>
              <w:t>BOD 109/15(f) Patient experience at an individual level</w:t>
            </w:r>
          </w:p>
          <w:p w:rsidR="00387B15" w:rsidRPr="00387B15" w:rsidRDefault="00387B15" w:rsidP="00387B15">
            <w:pPr>
              <w:jc w:val="both"/>
              <w:rPr>
                <w:rFonts w:ascii="Arial" w:hAnsi="Arial" w:cs="Arial"/>
                <w:bCs/>
              </w:rPr>
            </w:pPr>
          </w:p>
          <w:p w:rsidR="00387B15" w:rsidRPr="00387B15" w:rsidRDefault="00311524" w:rsidP="00387B15">
            <w:pPr>
              <w:jc w:val="both"/>
              <w:rPr>
                <w:rFonts w:ascii="Arial" w:hAnsi="Arial" w:cs="Arial"/>
                <w:bCs/>
              </w:rPr>
            </w:pPr>
            <w:r>
              <w:rPr>
                <w:rFonts w:ascii="Arial" w:hAnsi="Arial" w:cs="Arial"/>
                <w:bCs/>
              </w:rPr>
              <w:t>The Deputy Director of Nursing</w:t>
            </w:r>
            <w:r w:rsidR="00387B15" w:rsidRPr="00387B15">
              <w:rPr>
                <w:rFonts w:ascii="Arial" w:hAnsi="Arial" w:cs="Arial"/>
                <w:bCs/>
              </w:rPr>
              <w:t xml:space="preserve"> noted that feedback was already sought from service user groups, the membership of which remained relatively stable, and that this would also be developed further through the work of the Patient Involvement and Experience Project Lead over the next 6 months as part of the development of the Patient Engagement Strategic Framework.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
                <w:bCs/>
              </w:rPr>
            </w:pPr>
            <w:r>
              <w:rPr>
                <w:rFonts w:ascii="Arial" w:hAnsi="Arial" w:cs="Arial"/>
                <w:b/>
                <w:bCs/>
              </w:rPr>
              <w:t>BOD 115/15</w:t>
            </w:r>
            <w:r w:rsidRPr="00387B15">
              <w:rPr>
                <w:rFonts w:ascii="Arial" w:hAnsi="Arial" w:cs="Arial"/>
                <w:b/>
                <w:bCs/>
              </w:rPr>
              <w:t>(b) Collaboration in Leadership in Applied Health Research and Care (CLAHRC)</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Executive noted that the CLAHRC annual report would be presented to the Board in due course.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
                <w:bCs/>
              </w:rPr>
            </w:pPr>
            <w:r w:rsidRPr="00387B15">
              <w:rPr>
                <w:rFonts w:ascii="Arial" w:hAnsi="Arial" w:cs="Arial"/>
                <w:b/>
                <w:bCs/>
              </w:rPr>
              <w:t xml:space="preserve">BOD 115/15(c) Publicising Research and Development (R&amp;D) activity to a wider audience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Medical Director noted that this would be progressed by the new joint University and Trust R&amp;D Communications Officer. </w:t>
            </w:r>
          </w:p>
          <w:p w:rsidR="00387B15" w:rsidRDefault="00387B15" w:rsidP="00387B15">
            <w:pPr>
              <w:jc w:val="both"/>
              <w:rPr>
                <w:rFonts w:ascii="Arial" w:hAnsi="Arial" w:cs="Arial"/>
                <w:bCs/>
              </w:rPr>
            </w:pPr>
          </w:p>
          <w:p w:rsidR="00B577DF" w:rsidRPr="00387B15" w:rsidRDefault="00B577DF" w:rsidP="00387B15">
            <w:pPr>
              <w:jc w:val="both"/>
              <w:rPr>
                <w:rFonts w:ascii="Arial" w:hAnsi="Arial" w:cs="Arial"/>
                <w:bCs/>
              </w:rPr>
            </w:pPr>
          </w:p>
          <w:p w:rsidR="00387B15" w:rsidRDefault="00387B15" w:rsidP="00387B15">
            <w:pPr>
              <w:jc w:val="both"/>
              <w:rPr>
                <w:rFonts w:ascii="Arial" w:hAnsi="Arial" w:cs="Arial"/>
                <w:bCs/>
              </w:rPr>
            </w:pPr>
            <w:r w:rsidRPr="00387B15">
              <w:rPr>
                <w:rFonts w:ascii="Arial" w:hAnsi="Arial" w:cs="Arial"/>
                <w:bCs/>
              </w:rPr>
              <w:lastRenderedPageBreak/>
              <w:t xml:space="preserve">The Board confirmed that the remaining actions from the meeting on 24 June 2015 had been completed, actioned or were on the agenda for the meeting: BOD 104/15(b); BOD 104/15(c) – included as part of the Chief Executive’s Report at item </w:t>
            </w:r>
            <w:r w:rsidR="00B577DF">
              <w:rPr>
                <w:rFonts w:ascii="Arial" w:hAnsi="Arial" w:cs="Arial"/>
                <w:bCs/>
              </w:rPr>
              <w:t>BOD 123/15</w:t>
            </w:r>
            <w:r w:rsidRPr="00387B15">
              <w:rPr>
                <w:rFonts w:ascii="Arial" w:hAnsi="Arial" w:cs="Arial"/>
                <w:bCs/>
              </w:rPr>
              <w:t xml:space="preserve"> below; BOD 104/15(g); BOD 104/15(j); BOD 104/15(m); BOD 104/15(o); BOD 104/15(p); and BOD 108/15(c) – included as part of the Chief Operating Officer’s Report at item </w:t>
            </w:r>
            <w:r w:rsidR="00B577DF">
              <w:rPr>
                <w:rFonts w:ascii="Arial" w:hAnsi="Arial" w:cs="Arial"/>
                <w:bCs/>
              </w:rPr>
              <w:t>BOD 124/15</w:t>
            </w:r>
            <w:r w:rsidRPr="00387B15">
              <w:rPr>
                <w:rFonts w:ascii="Arial" w:hAnsi="Arial" w:cs="Arial"/>
                <w:bCs/>
              </w:rPr>
              <w:t xml:space="preserve"> below.</w:t>
            </w:r>
          </w:p>
          <w:p w:rsidR="00404679" w:rsidRPr="00404679" w:rsidRDefault="00404679" w:rsidP="00785867">
            <w:pPr>
              <w:jc w:val="both"/>
              <w:rPr>
                <w:rFonts w:ascii="Arial" w:hAnsi="Arial" w:cs="Arial"/>
                <w:bCs/>
              </w:rPr>
            </w:pPr>
          </w:p>
        </w:tc>
        <w:tc>
          <w:tcPr>
            <w:tcW w:w="1054" w:type="dxa"/>
          </w:tcPr>
          <w:p w:rsidR="00F2189B" w:rsidRDefault="00F2189B" w:rsidP="00687605">
            <w:pPr>
              <w:keepNext/>
              <w:keepLines/>
              <w:rPr>
                <w:rFonts w:ascii="Arial" w:hAnsi="Arial" w:cs="Arial"/>
                <w:b/>
              </w:rPr>
            </w:pPr>
          </w:p>
          <w:p w:rsidR="004303F2" w:rsidRDefault="004303F2"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r>
              <w:rPr>
                <w:rFonts w:ascii="Arial" w:hAnsi="Arial" w:cs="Arial"/>
                <w:b/>
              </w:rPr>
              <w:t>RA</w:t>
            </w: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r>
              <w:rPr>
                <w:rFonts w:ascii="Arial" w:hAnsi="Arial" w:cs="Arial"/>
                <w:b/>
              </w:rPr>
              <w:t>RA</w:t>
            </w: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r>
              <w:rPr>
                <w:rFonts w:ascii="Arial" w:hAnsi="Arial" w:cs="Arial"/>
                <w:b/>
              </w:rPr>
              <w:t>YT</w:t>
            </w:r>
          </w:p>
          <w:p w:rsidR="00187891" w:rsidRDefault="00187891" w:rsidP="00687605">
            <w:pPr>
              <w:keepNext/>
              <w:keepLines/>
              <w:rPr>
                <w:rFonts w:ascii="Arial" w:hAnsi="Arial" w:cs="Arial"/>
                <w:b/>
              </w:rPr>
            </w:pPr>
          </w:p>
          <w:p w:rsidR="008E3075" w:rsidRDefault="008E3075"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p>
          <w:p w:rsidR="00187891" w:rsidRDefault="00187891" w:rsidP="00687605">
            <w:pPr>
              <w:keepNext/>
              <w:keepLines/>
              <w:rPr>
                <w:rFonts w:ascii="Arial" w:hAnsi="Arial" w:cs="Arial"/>
                <w:b/>
              </w:rPr>
            </w:pPr>
            <w:r>
              <w:rPr>
                <w:rFonts w:ascii="Arial" w:hAnsi="Arial" w:cs="Arial"/>
                <w:b/>
              </w:rPr>
              <w:t>SB</w:t>
            </w:r>
          </w:p>
          <w:p w:rsidR="00187891" w:rsidRPr="00666D1B" w:rsidRDefault="00187891"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lastRenderedPageBreak/>
              <w:t xml:space="preserve">BOD </w:t>
            </w:r>
            <w:r w:rsidR="008F3090">
              <w:rPr>
                <w:rFonts w:ascii="Arial" w:hAnsi="Arial" w:cs="Arial"/>
                <w:b/>
              </w:rPr>
              <w:t>123</w:t>
            </w:r>
            <w:r w:rsidRPr="00AC7AAB">
              <w:rPr>
                <w:rFonts w:ascii="Arial" w:hAnsi="Arial" w:cs="Arial"/>
                <w:b/>
              </w:rPr>
              <w:t>/15</w:t>
            </w:r>
          </w:p>
          <w:p w:rsidR="00B577DF" w:rsidRDefault="00B577DF" w:rsidP="005D06CC">
            <w:pPr>
              <w:keepNext/>
              <w:keepLines/>
              <w:rPr>
                <w:rFonts w:ascii="Arial" w:hAnsi="Arial" w:cs="Arial"/>
              </w:rPr>
            </w:pPr>
            <w:r>
              <w:rPr>
                <w:rFonts w:ascii="Arial" w:hAnsi="Arial" w:cs="Arial"/>
              </w:rPr>
              <w:t>a</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b</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c</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d</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e</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f</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g</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h</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Pr="00B577DF" w:rsidRDefault="00B577DF" w:rsidP="005D06CC">
            <w:pPr>
              <w:keepNext/>
              <w:keepLines/>
              <w:rPr>
                <w:rFonts w:ascii="Arial" w:hAnsi="Arial" w:cs="Arial"/>
              </w:rPr>
            </w:pPr>
            <w:proofErr w:type="spellStart"/>
            <w:r>
              <w:rPr>
                <w:rFonts w:ascii="Arial" w:hAnsi="Arial" w:cs="Arial"/>
              </w:rPr>
              <w:t>i</w:t>
            </w:r>
            <w:proofErr w:type="spellEnd"/>
          </w:p>
        </w:tc>
        <w:tc>
          <w:tcPr>
            <w:tcW w:w="7087" w:type="dxa"/>
          </w:tcPr>
          <w:p w:rsidR="00785867" w:rsidRDefault="00387B15" w:rsidP="00404679">
            <w:pPr>
              <w:jc w:val="both"/>
              <w:rPr>
                <w:rFonts w:ascii="Arial" w:hAnsi="Arial" w:cs="Arial"/>
                <w:bCs/>
              </w:rPr>
            </w:pPr>
            <w:r w:rsidRPr="00387B15">
              <w:rPr>
                <w:rFonts w:ascii="Arial" w:hAnsi="Arial" w:cs="Arial"/>
                <w:b/>
                <w:bCs/>
              </w:rPr>
              <w:lastRenderedPageBreak/>
              <w:t>Chief Executive’s Report</w:t>
            </w:r>
            <w:r>
              <w:rPr>
                <w:rFonts w:ascii="Arial" w:hAnsi="Arial" w:cs="Arial"/>
                <w:b/>
                <w:bCs/>
              </w:rPr>
              <w:t xml:space="preserve"> </w:t>
            </w:r>
          </w:p>
          <w:p w:rsidR="00387B15" w:rsidRDefault="00387B15" w:rsidP="00404679">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Executive presented the report BOD 99/2015 which outlined recent national and local issues.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The Chief Executive highlighted the progress which had been made to implement actions recommended in the Freedom to Speak Up Report including collaboration with the Oxford Academic Health Science Network (</w:t>
            </w:r>
            <w:r w:rsidRPr="00387B15">
              <w:rPr>
                <w:rFonts w:ascii="Arial" w:hAnsi="Arial" w:cs="Arial"/>
                <w:b/>
                <w:bCs/>
              </w:rPr>
              <w:t>AHSN</w:t>
            </w:r>
            <w:r w:rsidRPr="00387B15">
              <w:rPr>
                <w:rFonts w:ascii="Arial" w:hAnsi="Arial" w:cs="Arial"/>
                <w:bCs/>
              </w:rPr>
              <w:t xml:space="preserve">) to host the Freedom to Speak Up Guardian role as this could link with the work of the Safer Care Collaborative at the AHSN.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John Allison cautioned against use of the phrase “guardian” in the Freedom to Speak Up role </w:t>
            </w:r>
            <w:r w:rsidR="003230C2">
              <w:rPr>
                <w:rFonts w:ascii="Arial" w:hAnsi="Arial" w:cs="Arial"/>
                <w:bCs/>
              </w:rPr>
              <w:t>in case this</w:t>
            </w:r>
            <w:r w:rsidRPr="00387B15">
              <w:rPr>
                <w:rFonts w:ascii="Arial" w:hAnsi="Arial" w:cs="Arial"/>
                <w:bCs/>
              </w:rPr>
              <w:t xml:space="preserve"> </w:t>
            </w:r>
            <w:r w:rsidR="003230C2">
              <w:rPr>
                <w:rFonts w:ascii="Arial" w:hAnsi="Arial" w:cs="Arial"/>
                <w:bCs/>
              </w:rPr>
              <w:t>implied</w:t>
            </w:r>
            <w:r w:rsidRPr="00387B15">
              <w:rPr>
                <w:rFonts w:ascii="Arial" w:hAnsi="Arial" w:cs="Arial"/>
                <w:bCs/>
              </w:rPr>
              <w:t xml:space="preserve"> that whistle-blowers would need protection from a guardian in order to come forward, which should not be the case.  The Chief Executive agreed and said that with the assistance of the AHSN the role could become a more independent one which focused on engendering a wider culture of trust.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The Chief Executive reported on the publication of the Oxfordshire Safeguarding Children Board Response to Government Departments following the publication of Serious Case Review A to F.  Recommendations relevant for the Trust and Oxfordshire Clinical Commissioning Group (</w:t>
            </w:r>
            <w:r w:rsidRPr="00387B15">
              <w:rPr>
                <w:rFonts w:ascii="Arial" w:hAnsi="Arial" w:cs="Arial"/>
                <w:b/>
                <w:bCs/>
              </w:rPr>
              <w:t>Oxfordshire CCG</w:t>
            </w:r>
            <w:r w:rsidRPr="00387B15">
              <w:rPr>
                <w:rFonts w:ascii="Arial" w:hAnsi="Arial" w:cs="Arial"/>
                <w:bCs/>
              </w:rPr>
              <w:t xml:space="preserve">) included to: review the sexual abuse pathway and access to therapeutic support for victims of abuse; review the effectiveness of the transition to adult services at age 18; and be mindful in use of language to refer to </w:t>
            </w:r>
            <w:proofErr w:type="gramStart"/>
            <w:r w:rsidRPr="00387B15">
              <w:rPr>
                <w:rFonts w:ascii="Arial" w:hAnsi="Arial" w:cs="Arial"/>
                <w:bCs/>
              </w:rPr>
              <w:t>under</w:t>
            </w:r>
            <w:proofErr w:type="gramEnd"/>
            <w:r w:rsidRPr="00387B15">
              <w:rPr>
                <w:rFonts w:ascii="Arial" w:hAnsi="Arial" w:cs="Arial"/>
                <w:bCs/>
              </w:rPr>
              <w:t xml:space="preserve"> 18s as children in professional meetings.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The Chief Executive noted that Monitor would conduct an investigation into the Trust’s financial position, following the submission of the Annual Plan with a Continuity of Service Risk Rating (</w:t>
            </w:r>
            <w:proofErr w:type="spellStart"/>
            <w:r w:rsidRPr="00387B15">
              <w:rPr>
                <w:rFonts w:ascii="Arial" w:hAnsi="Arial" w:cs="Arial"/>
                <w:b/>
                <w:bCs/>
              </w:rPr>
              <w:t>CoSRR</w:t>
            </w:r>
            <w:proofErr w:type="spellEnd"/>
            <w:r w:rsidRPr="00387B15">
              <w:rPr>
                <w:rFonts w:ascii="Arial" w:hAnsi="Arial" w:cs="Arial"/>
                <w:bCs/>
              </w:rPr>
              <w:t xml:space="preserve">) of 2 and the lower Cost Improvement target.  Monitor had indicated that it recognised the significance of the high levels of efficiency achieved by the Trust, as set out in the </w:t>
            </w:r>
            <w:r w:rsidRPr="00387B15">
              <w:rPr>
                <w:rFonts w:ascii="Arial" w:hAnsi="Arial" w:cs="Arial"/>
                <w:bCs/>
              </w:rPr>
              <w:lastRenderedPageBreak/>
              <w:t xml:space="preserve">Reference Costs Index, and the implications of insufficient funding received to provide services.  Monitor had also proposed to hold a round table discussion with commissioners in recognition of the funding issues and the implications for NHS providers more generally.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Executive reported on the formal communication from Oxfordshire CCG asking whether the Trust was open, in principle, to the mainstreaming of services for adults with learning disability which were currently not provided by the Trust.  The Trust was open in principle to the move but had been clear that this would constitute more than a straightforward shift of contracts and would require fundamental service transformation and significant in-depth consultation with service users and their families.  For the provision of any inpatient services, the Trust would seek to work in partnership with a highly specialist provider with expertise in mental health and learning disability services.  Once the service model had been determined and appropriately resourced by commissioners, as the significance of the transformation required could not be absorbed by the Trust as part of business as usual, then the transition process could take 18 months to 2 years to undertake.  Oxfordshire CCG is not the current commissioner for this service.  The lead commissioner is Oxfordshire County Council, with close interdependence with commissioners in Buckinghamshire and with NHS England.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Mike Bellamy noted the implications for management and leadership time for the Trust to become involved in transformation of learning disability services and emphasised the importance of commissioning support and funding to enable this, potentially across county boundaries and across commissioners.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Executive provided an update on the Care Centre run by the Orders of St John at Chipping Norton as an intermediate care unit and for which the Trust provided nursing staff.   The Trust was willing to contract to provide services into the unit, subject to </w:t>
            </w:r>
            <w:r w:rsidR="00905CA4">
              <w:rPr>
                <w:rFonts w:ascii="Arial" w:hAnsi="Arial" w:cs="Arial"/>
                <w:bCs/>
              </w:rPr>
              <w:t xml:space="preserve">the </w:t>
            </w:r>
            <w:r w:rsidRPr="00387B15">
              <w:rPr>
                <w:rFonts w:ascii="Arial" w:hAnsi="Arial" w:cs="Arial"/>
                <w:bCs/>
              </w:rPr>
              <w:t xml:space="preserve">conclusion of the County Council’s consultation on the model of care and the resolution of funding and contractual discussions.  </w:t>
            </w:r>
          </w:p>
          <w:p w:rsidR="00387B15" w:rsidRPr="00387B15" w:rsidRDefault="00387B15" w:rsidP="00387B15">
            <w:pPr>
              <w:jc w:val="both"/>
              <w:rPr>
                <w:rFonts w:ascii="Arial" w:hAnsi="Arial" w:cs="Arial"/>
                <w:bCs/>
              </w:rPr>
            </w:pPr>
          </w:p>
          <w:p w:rsidR="00387B15" w:rsidRDefault="00387B15" w:rsidP="00404679">
            <w:pPr>
              <w:jc w:val="both"/>
              <w:rPr>
                <w:rFonts w:ascii="Arial" w:hAnsi="Arial" w:cs="Arial"/>
                <w:b/>
                <w:bCs/>
              </w:rPr>
            </w:pPr>
            <w:r w:rsidRPr="00387B15">
              <w:rPr>
                <w:rFonts w:ascii="Arial" w:hAnsi="Arial" w:cs="Arial"/>
                <w:b/>
                <w:bCs/>
              </w:rPr>
              <w:t xml:space="preserve">The Board noted the report. </w:t>
            </w:r>
          </w:p>
          <w:p w:rsidR="00B577DF" w:rsidRPr="00387B15" w:rsidRDefault="00B577DF" w:rsidP="00404679">
            <w:pPr>
              <w:jc w:val="both"/>
              <w:rPr>
                <w:rFonts w:ascii="Arial" w:hAnsi="Arial" w:cs="Arial"/>
                <w:b/>
                <w:bCs/>
              </w:rPr>
            </w:pPr>
          </w:p>
          <w:p w:rsidR="00387B15" w:rsidRPr="00387B15" w:rsidRDefault="00387B15" w:rsidP="00404679">
            <w:pPr>
              <w:jc w:val="both"/>
              <w:rPr>
                <w:rFonts w:ascii="Arial" w:hAnsi="Arial" w:cs="Arial"/>
                <w:bCs/>
              </w:rPr>
            </w:pPr>
          </w:p>
        </w:tc>
        <w:tc>
          <w:tcPr>
            <w:tcW w:w="1054" w:type="dxa"/>
          </w:tcPr>
          <w:p w:rsidR="00785867" w:rsidRDefault="00785867"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lastRenderedPageBreak/>
              <w:t xml:space="preserve">BOD </w:t>
            </w:r>
            <w:r w:rsidR="008F3090">
              <w:rPr>
                <w:rFonts w:ascii="Arial" w:hAnsi="Arial" w:cs="Arial"/>
                <w:b/>
              </w:rPr>
              <w:t>124</w:t>
            </w:r>
            <w:r w:rsidRPr="00AC7AAB">
              <w:rPr>
                <w:rFonts w:ascii="Arial" w:hAnsi="Arial" w:cs="Arial"/>
                <w:b/>
              </w:rPr>
              <w:t>/15</w:t>
            </w:r>
          </w:p>
          <w:p w:rsidR="00B577DF" w:rsidRDefault="00B577DF" w:rsidP="005D06CC">
            <w:pPr>
              <w:keepNext/>
              <w:keepLines/>
              <w:rPr>
                <w:rFonts w:ascii="Arial" w:hAnsi="Arial" w:cs="Arial"/>
              </w:rPr>
            </w:pPr>
            <w:r>
              <w:rPr>
                <w:rFonts w:ascii="Arial" w:hAnsi="Arial" w:cs="Arial"/>
              </w:rPr>
              <w:t>a</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b</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c</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d</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e</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f</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Pr="00B577DF" w:rsidRDefault="00B577DF" w:rsidP="005D06CC">
            <w:pPr>
              <w:keepNext/>
              <w:keepLines/>
              <w:rPr>
                <w:rFonts w:ascii="Arial" w:hAnsi="Arial" w:cs="Arial"/>
              </w:rPr>
            </w:pPr>
            <w:r>
              <w:rPr>
                <w:rFonts w:ascii="Arial" w:hAnsi="Arial" w:cs="Arial"/>
              </w:rPr>
              <w:t>g</w:t>
            </w:r>
          </w:p>
        </w:tc>
        <w:tc>
          <w:tcPr>
            <w:tcW w:w="7087" w:type="dxa"/>
          </w:tcPr>
          <w:p w:rsidR="00387B15" w:rsidRPr="00387B15" w:rsidRDefault="00387B15" w:rsidP="00387B15">
            <w:pPr>
              <w:jc w:val="both"/>
              <w:rPr>
                <w:rFonts w:ascii="Arial" w:hAnsi="Arial" w:cs="Arial"/>
                <w:b/>
                <w:bCs/>
              </w:rPr>
            </w:pPr>
            <w:r w:rsidRPr="00387B15">
              <w:rPr>
                <w:rFonts w:ascii="Arial" w:hAnsi="Arial" w:cs="Arial"/>
                <w:b/>
                <w:bCs/>
              </w:rPr>
              <w:lastRenderedPageBreak/>
              <w:t>Chief Operating Officer’s Report</w:t>
            </w:r>
          </w:p>
          <w:p w:rsidR="00387B15" w:rsidRPr="00387B15" w:rsidRDefault="00387B15" w:rsidP="00387B15">
            <w:pPr>
              <w:jc w:val="both"/>
              <w:rPr>
                <w:rFonts w:ascii="Arial" w:hAnsi="Arial" w:cs="Arial"/>
                <w:b/>
                <w:bCs/>
              </w:rPr>
            </w:pPr>
          </w:p>
          <w:p w:rsidR="00387B15" w:rsidRPr="00387B15" w:rsidRDefault="00387B15" w:rsidP="00387B15">
            <w:pPr>
              <w:jc w:val="both"/>
              <w:rPr>
                <w:rFonts w:ascii="Arial" w:hAnsi="Arial" w:cs="Arial"/>
                <w:bCs/>
              </w:rPr>
            </w:pPr>
            <w:r w:rsidRPr="00387B15">
              <w:rPr>
                <w:rFonts w:ascii="Arial" w:hAnsi="Arial" w:cs="Arial"/>
                <w:bCs/>
              </w:rPr>
              <w:t xml:space="preserve">The Chief Operating Officer presented the report BOD 100/2015 which provided an update on a range of operational matters including: changes to the commissioning and provision of the Oxfordshire health visiting service; Accreditation for </w:t>
            </w:r>
            <w:r w:rsidR="00BB5473">
              <w:rPr>
                <w:rFonts w:ascii="Arial" w:hAnsi="Arial" w:cs="Arial"/>
                <w:bCs/>
              </w:rPr>
              <w:t>AIMs (</w:t>
            </w:r>
            <w:r w:rsidRPr="00387B15">
              <w:rPr>
                <w:rFonts w:ascii="Arial" w:hAnsi="Arial" w:cs="Arial"/>
                <w:bCs/>
              </w:rPr>
              <w:t>Acute Inpatient Services</w:t>
            </w:r>
            <w:r w:rsidR="00BB5473">
              <w:rPr>
                <w:rFonts w:ascii="Arial" w:hAnsi="Arial" w:cs="Arial"/>
                <w:bCs/>
              </w:rPr>
              <w:t>)</w:t>
            </w:r>
            <w:r w:rsidRPr="00387B15">
              <w:rPr>
                <w:rFonts w:ascii="Arial" w:hAnsi="Arial" w:cs="Arial"/>
                <w:bCs/>
              </w:rPr>
              <w:t>; the Oxfordshire Mental Health Partnership and the design, development and implementation of proposals from the Oxfordshire Mental Health Outcomes Based Commissioning (</w:t>
            </w:r>
            <w:r w:rsidRPr="00387B15">
              <w:rPr>
                <w:rFonts w:ascii="Arial" w:hAnsi="Arial" w:cs="Arial"/>
                <w:b/>
                <w:bCs/>
              </w:rPr>
              <w:t>OBC</w:t>
            </w:r>
            <w:r w:rsidRPr="00387B15">
              <w:rPr>
                <w:rFonts w:ascii="Arial" w:hAnsi="Arial" w:cs="Arial"/>
                <w:bCs/>
              </w:rPr>
              <w:t>) contract; and evaluation of the Witney Emergency Multidisciplinary Unit (</w:t>
            </w:r>
            <w:r w:rsidRPr="00387B15">
              <w:rPr>
                <w:rFonts w:ascii="Arial" w:hAnsi="Arial" w:cs="Arial"/>
                <w:b/>
                <w:bCs/>
              </w:rPr>
              <w:t>EMU</w:t>
            </w:r>
            <w:r w:rsidRPr="00387B15">
              <w:rPr>
                <w:rFonts w:ascii="Arial" w:hAnsi="Arial" w:cs="Arial"/>
                <w:bCs/>
              </w:rPr>
              <w:t xml:space="preserve">).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Chief Operating Officer highlighted the implications of the transition to Oxfordshire County Council of commissioning responsibility for the Oxfordshire health visiting service.  A detailed transition plan had been signed-off by NHS England and the Trust was working to complete the transition process </w:t>
            </w:r>
            <w:r w:rsidR="009E2883">
              <w:rPr>
                <w:rFonts w:ascii="Arial" w:hAnsi="Arial" w:cs="Arial"/>
                <w:bCs/>
              </w:rPr>
              <w:t xml:space="preserve">fully </w:t>
            </w:r>
            <w:r w:rsidRPr="00387B15">
              <w:rPr>
                <w:rFonts w:ascii="Arial" w:hAnsi="Arial" w:cs="Arial"/>
                <w:bCs/>
              </w:rPr>
              <w:t>by 31 March 2016.  This was a nationally mandated change and the Chief Operating Officer would discuss further with NHS England what resource would be available to support implementation.  The risks of the change should not be born solely by the Trust but, given the severity, would be escalated to the Trust Risk Register which set out operational risks which could cause the Trust to fail to meet its objectives.  The Board would be kept informed of progress in future reports and updates from the Chief Operating Officer.  The Board Seminar in September 2015 would receive a presentation on t</w:t>
            </w:r>
            <w:r w:rsidR="007F7454">
              <w:rPr>
                <w:rFonts w:ascii="Arial" w:hAnsi="Arial" w:cs="Arial"/>
                <w:bCs/>
              </w:rPr>
              <w:t>he implications of the change in</w:t>
            </w:r>
            <w:r w:rsidRPr="00387B15">
              <w:rPr>
                <w:rFonts w:ascii="Arial" w:hAnsi="Arial" w:cs="Arial"/>
                <w:bCs/>
              </w:rPr>
              <w:t xml:space="preserve"> health visiting commissioning.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Mike Bellamy added that although it was important to reflect the risks on the Trust Risk Register, the risks should also be communicated to, and shared with, Oxfordshire County Council at each appropriate level as the transition could generate significant but avoidable risks.  The Board noted that although the transition had been nationally mandated, plans for local implementation appeared to vary significantly across county councils.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Board noted that future reports should include details of the transition plans for the Oxfordshire health visiting service to transition from delivering services to children registered at Oxfordshire CCG GP practices to </w:t>
            </w:r>
            <w:r w:rsidR="006C7F09">
              <w:rPr>
                <w:rFonts w:ascii="Arial" w:hAnsi="Arial" w:cs="Arial"/>
                <w:bCs/>
              </w:rPr>
              <w:t xml:space="preserve">delivering services to </w:t>
            </w:r>
            <w:r w:rsidRPr="00387B15">
              <w:rPr>
                <w:rFonts w:ascii="Arial" w:hAnsi="Arial" w:cs="Arial"/>
                <w:bCs/>
              </w:rPr>
              <w:t xml:space="preserve">children resident in Oxfordshire only.  Jonathan </w:t>
            </w:r>
            <w:proofErr w:type="spellStart"/>
            <w:r w:rsidRPr="00387B15">
              <w:rPr>
                <w:rFonts w:ascii="Arial" w:hAnsi="Arial" w:cs="Arial"/>
                <w:bCs/>
              </w:rPr>
              <w:t>Asbridge</w:t>
            </w:r>
            <w:proofErr w:type="spellEnd"/>
            <w:r w:rsidRPr="00387B15">
              <w:rPr>
                <w:rFonts w:ascii="Arial" w:hAnsi="Arial" w:cs="Arial"/>
                <w:bCs/>
              </w:rPr>
              <w:t xml:space="preserve"> emphasised the importance of getting this right for children, staff and as part of the Trust’s wider corporate social responsibility to the local community.  There were potential risks which could manifest or </w:t>
            </w:r>
            <w:r w:rsidRPr="00387B15">
              <w:rPr>
                <w:rFonts w:ascii="Arial" w:hAnsi="Arial" w:cs="Arial"/>
                <w:bCs/>
              </w:rPr>
              <w:lastRenderedPageBreak/>
              <w:t>continue to have an impact for years to come including for child safeguarding, vulnerable families and managing immunisations.  He noted the importance of monitoring the change control processes and the relevant risk registers.  The Chief Operating Officer agreed and added that the Trust was: contacting all families currently receiving health visiting services under the existing arrangements; identifying and working with vulnerable families to ensure that they received and would continue to receive health visiting services; and engaging with commissioners and public health bodies.</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Board considered the evaluation of the Witney EMU.  Mike Bellamy asked about </w:t>
            </w:r>
            <w:r w:rsidR="001A197B">
              <w:rPr>
                <w:rFonts w:ascii="Arial" w:hAnsi="Arial" w:cs="Arial"/>
                <w:bCs/>
              </w:rPr>
              <w:t>the capacity of the EMU and how</w:t>
            </w:r>
            <w:r w:rsidRPr="00387B15">
              <w:rPr>
                <w:rFonts w:ascii="Arial" w:hAnsi="Arial" w:cs="Arial"/>
                <w:bCs/>
              </w:rPr>
              <w:t xml:space="preserve"> the service could develop.  The Chief Operating Officer replied that the EMU operated 7 days a week and with extended hours so it already offered significant capacity.  The various EMUs and minor injuries units which the Trust provided would also develop with the implementation of the Oxfordshire Mental Health OBC contract.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The Board noted that it was very positive that Response Housing were developing a pilot of 10 units of stepdown housing exclusively for mental health patients who no longer needed acute inpatient beds but who would benefit from a comprehensive support package before they returned to wider community provision.  Anne Grocock asked where the pilot housing was based.  The Chief Operating Officer confirmed that the pilot was in Oxford.  Mike Bellamy asked what other work the Trust was planning or doing with third parties on alternative supported housing arrangements.  The Chief Operating Officer replied that this was part of the wider work of the Oxfordshire Mental Health Partnership between the Trust, Oxfordshire Mind, Response, Restore, Connection FS and Elmore Community Services. </w:t>
            </w:r>
          </w:p>
          <w:p w:rsidR="00387B15" w:rsidRPr="00387B15" w:rsidRDefault="00387B15" w:rsidP="00387B15">
            <w:pPr>
              <w:jc w:val="both"/>
              <w:rPr>
                <w:rFonts w:ascii="Arial" w:hAnsi="Arial" w:cs="Arial"/>
                <w:b/>
                <w:bCs/>
              </w:rPr>
            </w:pPr>
          </w:p>
          <w:p w:rsidR="00785867" w:rsidRDefault="00387B15" w:rsidP="00387B15">
            <w:pPr>
              <w:jc w:val="both"/>
              <w:rPr>
                <w:rFonts w:ascii="Arial" w:hAnsi="Arial" w:cs="Arial"/>
                <w:b/>
                <w:bCs/>
              </w:rPr>
            </w:pPr>
            <w:r w:rsidRPr="00387B15">
              <w:rPr>
                <w:rFonts w:ascii="Arial" w:hAnsi="Arial" w:cs="Arial"/>
                <w:b/>
                <w:bCs/>
              </w:rPr>
              <w:t>The Board noted the report.</w:t>
            </w:r>
          </w:p>
          <w:p w:rsidR="00387B15" w:rsidRPr="00666D1B" w:rsidRDefault="00387B15" w:rsidP="00387B15">
            <w:pPr>
              <w:jc w:val="both"/>
              <w:rPr>
                <w:rFonts w:ascii="Arial" w:hAnsi="Arial" w:cs="Arial"/>
                <w:b/>
                <w:bCs/>
              </w:rPr>
            </w:pPr>
          </w:p>
        </w:tc>
        <w:tc>
          <w:tcPr>
            <w:tcW w:w="1054" w:type="dxa"/>
          </w:tcPr>
          <w:p w:rsidR="00785867" w:rsidRDefault="00785867"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p>
          <w:p w:rsidR="009E2883" w:rsidRDefault="009E2883" w:rsidP="00687605">
            <w:pPr>
              <w:keepNext/>
              <w:keepLines/>
              <w:rPr>
                <w:rFonts w:ascii="Arial" w:hAnsi="Arial" w:cs="Arial"/>
                <w:b/>
              </w:rPr>
            </w:pPr>
            <w:r>
              <w:rPr>
                <w:rFonts w:ascii="Arial" w:hAnsi="Arial" w:cs="Arial"/>
                <w:b/>
              </w:rPr>
              <w:t>YT</w:t>
            </w: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lastRenderedPageBreak/>
              <w:t xml:space="preserve">BOD </w:t>
            </w:r>
            <w:r w:rsidR="008F3090">
              <w:rPr>
                <w:rFonts w:ascii="Arial" w:hAnsi="Arial" w:cs="Arial"/>
                <w:b/>
              </w:rPr>
              <w:t>125</w:t>
            </w:r>
            <w:r w:rsidRPr="00AC7AAB">
              <w:rPr>
                <w:rFonts w:ascii="Arial" w:hAnsi="Arial" w:cs="Arial"/>
                <w:b/>
              </w:rPr>
              <w:t>/15</w:t>
            </w:r>
          </w:p>
          <w:p w:rsidR="00B577DF" w:rsidRDefault="00B577DF" w:rsidP="005D06CC">
            <w:pPr>
              <w:keepNext/>
              <w:keepLines/>
              <w:rPr>
                <w:rFonts w:ascii="Arial" w:hAnsi="Arial" w:cs="Arial"/>
              </w:rPr>
            </w:pPr>
            <w:r>
              <w:rPr>
                <w:rFonts w:ascii="Arial" w:hAnsi="Arial" w:cs="Arial"/>
              </w:rPr>
              <w:t>a</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b</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c</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r>
              <w:rPr>
                <w:rFonts w:ascii="Arial" w:hAnsi="Arial" w:cs="Arial"/>
              </w:rPr>
              <w:t>d</w:t>
            </w: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Default="00B577DF" w:rsidP="005D06CC">
            <w:pPr>
              <w:keepNext/>
              <w:keepLines/>
              <w:rPr>
                <w:rFonts w:ascii="Arial" w:hAnsi="Arial" w:cs="Arial"/>
              </w:rPr>
            </w:pPr>
          </w:p>
          <w:p w:rsidR="00B577DF" w:rsidRPr="00B577DF" w:rsidRDefault="00B577DF" w:rsidP="005D06CC">
            <w:pPr>
              <w:keepNext/>
              <w:keepLines/>
              <w:rPr>
                <w:rFonts w:ascii="Arial" w:hAnsi="Arial" w:cs="Arial"/>
              </w:rPr>
            </w:pPr>
            <w:r>
              <w:rPr>
                <w:rFonts w:ascii="Arial" w:hAnsi="Arial" w:cs="Arial"/>
              </w:rPr>
              <w:t>e</w:t>
            </w:r>
          </w:p>
        </w:tc>
        <w:tc>
          <w:tcPr>
            <w:tcW w:w="7087" w:type="dxa"/>
          </w:tcPr>
          <w:p w:rsidR="00785867" w:rsidRDefault="00387B15" w:rsidP="00404679">
            <w:pPr>
              <w:jc w:val="both"/>
              <w:rPr>
                <w:rFonts w:ascii="Arial" w:hAnsi="Arial" w:cs="Arial"/>
                <w:bCs/>
              </w:rPr>
            </w:pPr>
            <w:r w:rsidRPr="00387B15">
              <w:rPr>
                <w:rFonts w:ascii="Arial" w:hAnsi="Arial" w:cs="Arial"/>
                <w:b/>
                <w:bCs/>
              </w:rPr>
              <w:lastRenderedPageBreak/>
              <w:t>Quality and Safety Report – Safety</w:t>
            </w:r>
            <w:r>
              <w:rPr>
                <w:rFonts w:ascii="Arial" w:hAnsi="Arial" w:cs="Arial"/>
                <w:b/>
                <w:bCs/>
              </w:rPr>
              <w:t xml:space="preserve"> </w:t>
            </w:r>
          </w:p>
          <w:p w:rsidR="00387B15" w:rsidRDefault="00387B15" w:rsidP="00404679">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The Deputy Director of Nursing presented paper BOD 101/2015 which provided an overview of key quality and safety metrics with a particular focus on patient safety for Quarter 1</w:t>
            </w:r>
            <w:r w:rsidR="009E2883">
              <w:rPr>
                <w:rFonts w:ascii="Arial" w:hAnsi="Arial" w:cs="Arial"/>
                <w:bCs/>
              </w:rPr>
              <w:t xml:space="preserve"> (</w:t>
            </w:r>
            <w:r w:rsidR="009E2883" w:rsidRPr="009E2883">
              <w:rPr>
                <w:rFonts w:ascii="Arial" w:hAnsi="Arial" w:cs="Arial"/>
                <w:b/>
                <w:bCs/>
              </w:rPr>
              <w:t>Q1</w:t>
            </w:r>
            <w:r w:rsidR="009E2883">
              <w:rPr>
                <w:rFonts w:ascii="Arial" w:hAnsi="Arial" w:cs="Arial"/>
                <w:bCs/>
              </w:rPr>
              <w:t>)</w:t>
            </w:r>
            <w:r w:rsidRPr="00387B15">
              <w:rPr>
                <w:rFonts w:ascii="Arial" w:hAnsi="Arial" w:cs="Arial"/>
                <w:bCs/>
              </w:rPr>
              <w:t xml:space="preserve"> 2015/16.   He highlighted:</w:t>
            </w:r>
          </w:p>
          <w:p w:rsidR="00387B15" w:rsidRDefault="00387B15" w:rsidP="00387B15">
            <w:pPr>
              <w:pStyle w:val="ListParagraph"/>
              <w:numPr>
                <w:ilvl w:val="0"/>
                <w:numId w:val="8"/>
              </w:numPr>
              <w:jc w:val="both"/>
              <w:rPr>
                <w:rFonts w:ascii="Arial" w:hAnsi="Arial" w:cs="Arial"/>
                <w:bCs/>
                <w:sz w:val="24"/>
                <w:szCs w:val="24"/>
              </w:rPr>
            </w:pPr>
            <w:proofErr w:type="gramStart"/>
            <w:r w:rsidRPr="00387B15">
              <w:rPr>
                <w:rFonts w:ascii="Arial" w:hAnsi="Arial" w:cs="Arial"/>
                <w:bCs/>
                <w:sz w:val="24"/>
                <w:szCs w:val="24"/>
              </w:rPr>
              <w:t>the</w:t>
            </w:r>
            <w:proofErr w:type="gramEnd"/>
            <w:r w:rsidRPr="00387B15">
              <w:rPr>
                <w:rFonts w:ascii="Arial" w:hAnsi="Arial" w:cs="Arial"/>
                <w:bCs/>
                <w:sz w:val="24"/>
                <w:szCs w:val="24"/>
              </w:rPr>
              <w:t xml:space="preserve"> increase in the number of reported incidents.  This supported the Trust’s aim to report any and every patient safety incident;</w:t>
            </w:r>
          </w:p>
          <w:p w:rsidR="00387B15" w:rsidRPr="00387B15" w:rsidRDefault="00387B15" w:rsidP="00387B15">
            <w:pPr>
              <w:pStyle w:val="ListParagraph"/>
              <w:numPr>
                <w:ilvl w:val="0"/>
                <w:numId w:val="8"/>
              </w:numPr>
              <w:jc w:val="both"/>
              <w:rPr>
                <w:rFonts w:ascii="Arial" w:hAnsi="Arial" w:cs="Arial"/>
                <w:bCs/>
                <w:sz w:val="24"/>
                <w:szCs w:val="24"/>
              </w:rPr>
            </w:pPr>
            <w:proofErr w:type="gramStart"/>
            <w:r w:rsidRPr="00387B15">
              <w:rPr>
                <w:rFonts w:ascii="Arial" w:hAnsi="Arial" w:cs="Arial"/>
                <w:bCs/>
                <w:sz w:val="24"/>
                <w:szCs w:val="24"/>
              </w:rPr>
              <w:lastRenderedPageBreak/>
              <w:t>the</w:t>
            </w:r>
            <w:proofErr w:type="gramEnd"/>
            <w:r w:rsidRPr="00387B15">
              <w:rPr>
                <w:rFonts w:ascii="Arial" w:hAnsi="Arial" w:cs="Arial"/>
                <w:bCs/>
                <w:sz w:val="24"/>
                <w:szCs w:val="24"/>
              </w:rPr>
              <w:t xml:space="preserve"> decrease in the number of deaths.  The report set out how deaths were reviewed and categorised; </w:t>
            </w:r>
          </w:p>
          <w:p w:rsidR="00387B15" w:rsidRPr="00387B15" w:rsidRDefault="00387B15" w:rsidP="00387B15">
            <w:pPr>
              <w:pStyle w:val="ListParagraph"/>
              <w:numPr>
                <w:ilvl w:val="0"/>
                <w:numId w:val="8"/>
              </w:numPr>
              <w:jc w:val="both"/>
              <w:rPr>
                <w:rFonts w:ascii="Arial" w:hAnsi="Arial" w:cs="Arial"/>
                <w:bCs/>
                <w:sz w:val="24"/>
                <w:szCs w:val="24"/>
              </w:rPr>
            </w:pPr>
            <w:r w:rsidRPr="00387B15">
              <w:rPr>
                <w:rFonts w:ascii="Arial" w:hAnsi="Arial" w:cs="Arial"/>
                <w:bCs/>
                <w:sz w:val="24"/>
                <w:szCs w:val="24"/>
              </w:rPr>
              <w:t>the top seven categories of incidents: communication/</w:t>
            </w:r>
            <w:r w:rsidR="00B577DF">
              <w:rPr>
                <w:rFonts w:ascii="Arial" w:hAnsi="Arial" w:cs="Arial"/>
                <w:bCs/>
                <w:sz w:val="24"/>
                <w:szCs w:val="24"/>
              </w:rPr>
              <w:t xml:space="preserve"> </w:t>
            </w:r>
            <w:r w:rsidRPr="00387B15">
              <w:rPr>
                <w:rFonts w:ascii="Arial" w:hAnsi="Arial" w:cs="Arial"/>
                <w:bCs/>
                <w:sz w:val="24"/>
                <w:szCs w:val="24"/>
              </w:rPr>
              <w:t>confidentiality, fall related, health (pressure ulcers), medication, security, self-harm and violence/aggression;</w:t>
            </w:r>
          </w:p>
          <w:p w:rsidR="00387B15" w:rsidRPr="00387B15" w:rsidRDefault="00387B15" w:rsidP="00387B15">
            <w:pPr>
              <w:pStyle w:val="ListParagraph"/>
              <w:numPr>
                <w:ilvl w:val="0"/>
                <w:numId w:val="8"/>
              </w:numPr>
              <w:jc w:val="both"/>
              <w:rPr>
                <w:rFonts w:ascii="Arial" w:hAnsi="Arial" w:cs="Arial"/>
                <w:bCs/>
                <w:sz w:val="24"/>
                <w:szCs w:val="24"/>
              </w:rPr>
            </w:pPr>
            <w:r w:rsidRPr="00387B15">
              <w:rPr>
                <w:rFonts w:ascii="Arial" w:hAnsi="Arial" w:cs="Arial"/>
                <w:bCs/>
                <w:sz w:val="24"/>
                <w:szCs w:val="24"/>
              </w:rPr>
              <w:t xml:space="preserve">the increase in reported incidents of physical restraint, and the impact of individual patients accounting for a large proportion of these incidents, but also the reduction in the use of prone restraint.  The Medical Director added that the aim was to reduce instances of prone restraint further and the Trust was considering not only the number of instances but how long any prone restraint was for and the purpose e.g. whether it related to medication; </w:t>
            </w:r>
          </w:p>
          <w:p w:rsidR="00387B15" w:rsidRPr="00387B15" w:rsidRDefault="00387B15" w:rsidP="00387B15">
            <w:pPr>
              <w:pStyle w:val="ListParagraph"/>
              <w:numPr>
                <w:ilvl w:val="0"/>
                <w:numId w:val="8"/>
              </w:numPr>
              <w:jc w:val="both"/>
              <w:rPr>
                <w:rFonts w:ascii="Arial" w:hAnsi="Arial" w:cs="Arial"/>
                <w:bCs/>
                <w:sz w:val="24"/>
                <w:szCs w:val="24"/>
              </w:rPr>
            </w:pPr>
            <w:r w:rsidRPr="00387B15">
              <w:rPr>
                <w:rFonts w:ascii="Arial" w:hAnsi="Arial" w:cs="Arial"/>
                <w:bCs/>
                <w:sz w:val="24"/>
                <w:szCs w:val="24"/>
              </w:rPr>
              <w:t xml:space="preserve">progress to implement the new national serious incidents framework; </w:t>
            </w:r>
          </w:p>
          <w:p w:rsidR="00387B15" w:rsidRPr="00387B15" w:rsidRDefault="00387B15" w:rsidP="00387B15">
            <w:pPr>
              <w:pStyle w:val="ListParagraph"/>
              <w:numPr>
                <w:ilvl w:val="0"/>
                <w:numId w:val="8"/>
              </w:numPr>
              <w:jc w:val="both"/>
              <w:rPr>
                <w:rFonts w:ascii="Arial" w:hAnsi="Arial" w:cs="Arial"/>
                <w:bCs/>
                <w:sz w:val="24"/>
                <w:szCs w:val="24"/>
              </w:rPr>
            </w:pPr>
            <w:r w:rsidRPr="00387B15">
              <w:rPr>
                <w:rFonts w:ascii="Arial" w:hAnsi="Arial" w:cs="Arial"/>
                <w:bCs/>
                <w:sz w:val="24"/>
                <w:szCs w:val="24"/>
              </w:rPr>
              <w:t>the Trust-wide learning event on medication management in June 2015; and</w:t>
            </w:r>
          </w:p>
          <w:p w:rsidR="00387B15" w:rsidRPr="00387B15" w:rsidRDefault="00387B15" w:rsidP="00387B15">
            <w:pPr>
              <w:pStyle w:val="ListParagraph"/>
              <w:numPr>
                <w:ilvl w:val="0"/>
                <w:numId w:val="8"/>
              </w:numPr>
              <w:jc w:val="both"/>
              <w:rPr>
                <w:rFonts w:ascii="Arial" w:hAnsi="Arial" w:cs="Arial"/>
                <w:bCs/>
                <w:sz w:val="24"/>
                <w:szCs w:val="24"/>
              </w:rPr>
            </w:pPr>
            <w:proofErr w:type="gramStart"/>
            <w:r w:rsidRPr="00387B15">
              <w:rPr>
                <w:rFonts w:ascii="Arial" w:hAnsi="Arial" w:cs="Arial"/>
                <w:bCs/>
                <w:sz w:val="24"/>
                <w:szCs w:val="24"/>
              </w:rPr>
              <w:t>work</w:t>
            </w:r>
            <w:proofErr w:type="gramEnd"/>
            <w:r w:rsidRPr="00387B15">
              <w:rPr>
                <w:rFonts w:ascii="Arial" w:hAnsi="Arial" w:cs="Arial"/>
                <w:bCs/>
                <w:sz w:val="24"/>
                <w:szCs w:val="24"/>
              </w:rPr>
              <w:t xml:space="preserve">, including training and a video, which was taking place to raise the profile of the Duty of Candour.  </w:t>
            </w:r>
          </w:p>
          <w:p w:rsidR="00387B15" w:rsidRPr="00387B15" w:rsidRDefault="00387B15" w:rsidP="00387B15">
            <w:pPr>
              <w:jc w:val="both"/>
              <w:rPr>
                <w:rFonts w:ascii="Arial" w:hAnsi="Arial" w:cs="Arial"/>
                <w:bCs/>
              </w:rPr>
            </w:pPr>
            <w:r w:rsidRPr="00387B15">
              <w:rPr>
                <w:rFonts w:ascii="Arial" w:hAnsi="Arial" w:cs="Arial"/>
                <w:bCs/>
              </w:rPr>
              <w:t xml:space="preserve">Lyn Williams referred to the increase in the incidents </w:t>
            </w:r>
            <w:r w:rsidR="00B577DF">
              <w:rPr>
                <w:rFonts w:ascii="Arial" w:hAnsi="Arial" w:cs="Arial"/>
                <w:bCs/>
              </w:rPr>
              <w:t>of</w:t>
            </w:r>
            <w:r w:rsidRPr="00387B15">
              <w:rPr>
                <w:rFonts w:ascii="Arial" w:hAnsi="Arial" w:cs="Arial"/>
                <w:bCs/>
              </w:rPr>
              <w:t xml:space="preserve"> reported fires and asked </w:t>
            </w:r>
            <w:r w:rsidR="00B577DF">
              <w:rPr>
                <w:rFonts w:ascii="Arial" w:hAnsi="Arial" w:cs="Arial"/>
                <w:bCs/>
              </w:rPr>
              <w:t>whether there had been</w:t>
            </w:r>
            <w:r w:rsidRPr="00387B15">
              <w:rPr>
                <w:rFonts w:ascii="Arial" w:hAnsi="Arial" w:cs="Arial"/>
                <w:bCs/>
              </w:rPr>
              <w:t xml:space="preserve"> harm to people or property.  The Deputy Director of Nursing replied that </w:t>
            </w:r>
            <w:r w:rsidR="00FB5197">
              <w:rPr>
                <w:rFonts w:ascii="Arial" w:hAnsi="Arial" w:cs="Arial"/>
                <w:bCs/>
              </w:rPr>
              <w:t xml:space="preserve">there had been an increase in incidents </w:t>
            </w:r>
            <w:r w:rsidRPr="00387B15">
              <w:rPr>
                <w:rFonts w:ascii="Arial" w:hAnsi="Arial" w:cs="Arial"/>
                <w:bCs/>
              </w:rPr>
              <w:t>following the introduction of the Trust’s smoke free polic</w:t>
            </w:r>
            <w:r w:rsidR="00FB5197">
              <w:rPr>
                <w:rFonts w:ascii="Arial" w:hAnsi="Arial" w:cs="Arial"/>
                <w:bCs/>
              </w:rPr>
              <w:t xml:space="preserve">y.  The </w:t>
            </w:r>
            <w:r w:rsidRPr="00387B15">
              <w:rPr>
                <w:rFonts w:ascii="Arial" w:hAnsi="Arial" w:cs="Arial"/>
                <w:bCs/>
              </w:rPr>
              <w:t xml:space="preserve">incidents related mainly to smoking but none </w:t>
            </w:r>
            <w:r w:rsidR="00B577DF">
              <w:rPr>
                <w:rFonts w:ascii="Arial" w:hAnsi="Arial" w:cs="Arial"/>
                <w:bCs/>
              </w:rPr>
              <w:t>had</w:t>
            </w:r>
            <w:r w:rsidRPr="00387B15">
              <w:rPr>
                <w:rFonts w:ascii="Arial" w:hAnsi="Arial" w:cs="Arial"/>
                <w:bCs/>
              </w:rPr>
              <w:t xml:space="preserve"> resulted in significant harm.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Lyn Williams referred to page 7 of the report and asked why two unexpected deaths had not been reported as serious incidents.  The Deputy Director of Nursing replied that these were cases which the Trust had been aware of through school health nursing services rather than directly through Child and Adolescent Mental Health services.  </w:t>
            </w:r>
          </w:p>
          <w:p w:rsidR="00387B15" w:rsidRPr="00387B15" w:rsidRDefault="00387B15" w:rsidP="00387B15">
            <w:pPr>
              <w:jc w:val="both"/>
              <w:rPr>
                <w:rFonts w:ascii="Arial" w:hAnsi="Arial" w:cs="Arial"/>
                <w:bCs/>
              </w:rPr>
            </w:pPr>
          </w:p>
          <w:p w:rsidR="00387B15" w:rsidRPr="00387B15" w:rsidRDefault="00387B15" w:rsidP="00387B15">
            <w:pPr>
              <w:jc w:val="both"/>
              <w:rPr>
                <w:rFonts w:ascii="Arial" w:hAnsi="Arial" w:cs="Arial"/>
                <w:bCs/>
              </w:rPr>
            </w:pPr>
            <w:r w:rsidRPr="00387B15">
              <w:rPr>
                <w:rFonts w:ascii="Arial" w:hAnsi="Arial" w:cs="Arial"/>
                <w:bCs/>
              </w:rPr>
              <w:t xml:space="preserve">Jonathan </w:t>
            </w:r>
            <w:proofErr w:type="spellStart"/>
            <w:r w:rsidRPr="00387B15">
              <w:rPr>
                <w:rFonts w:ascii="Arial" w:hAnsi="Arial" w:cs="Arial"/>
                <w:bCs/>
              </w:rPr>
              <w:t>Asbridge</w:t>
            </w:r>
            <w:proofErr w:type="spellEnd"/>
            <w:r w:rsidRPr="00387B15">
              <w:rPr>
                <w:rFonts w:ascii="Arial" w:hAnsi="Arial" w:cs="Arial"/>
                <w:bCs/>
              </w:rPr>
              <w:t xml:space="preserve"> noted the increase in the number of incidents relating to health (pressure ulcers) and added that it should be clear whether an incident also related to a sub-contractor or was solely related to the Trust.   The Deputy Director of Nursing noted that the more recent increase may be following reporting delays whilst teams investigated whether the pressure ulcers were to be categorised as avoidable or unavoidable.  </w:t>
            </w:r>
          </w:p>
          <w:p w:rsidR="00387B15" w:rsidRPr="00387B15" w:rsidRDefault="00387B15" w:rsidP="00387B15">
            <w:pPr>
              <w:jc w:val="both"/>
              <w:rPr>
                <w:rFonts w:ascii="Arial" w:hAnsi="Arial" w:cs="Arial"/>
                <w:bCs/>
              </w:rPr>
            </w:pPr>
          </w:p>
          <w:p w:rsidR="00387B15" w:rsidRPr="00B577DF" w:rsidRDefault="00387B15" w:rsidP="00404679">
            <w:pPr>
              <w:jc w:val="both"/>
              <w:rPr>
                <w:rFonts w:ascii="Arial" w:hAnsi="Arial" w:cs="Arial"/>
                <w:b/>
                <w:bCs/>
              </w:rPr>
            </w:pPr>
            <w:r w:rsidRPr="00387B15">
              <w:rPr>
                <w:rFonts w:ascii="Arial" w:hAnsi="Arial" w:cs="Arial"/>
                <w:b/>
                <w:bCs/>
              </w:rPr>
              <w:t>The Board noted the report.</w:t>
            </w:r>
          </w:p>
        </w:tc>
        <w:tc>
          <w:tcPr>
            <w:tcW w:w="1054" w:type="dxa"/>
          </w:tcPr>
          <w:p w:rsidR="00785867" w:rsidRDefault="00785867"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lastRenderedPageBreak/>
              <w:t xml:space="preserve">BOD </w:t>
            </w:r>
            <w:r w:rsidR="008F3090">
              <w:rPr>
                <w:rFonts w:ascii="Arial" w:hAnsi="Arial" w:cs="Arial"/>
                <w:b/>
              </w:rPr>
              <w:t>126</w:t>
            </w:r>
            <w:r w:rsidRPr="00AC7AAB">
              <w:rPr>
                <w:rFonts w:ascii="Arial" w:hAnsi="Arial" w:cs="Arial"/>
                <w:b/>
              </w:rPr>
              <w:t>/15</w:t>
            </w:r>
          </w:p>
          <w:p w:rsidR="00B74723" w:rsidRDefault="00B74723" w:rsidP="005D06CC">
            <w:pPr>
              <w:keepNext/>
              <w:keepLines/>
              <w:rPr>
                <w:rFonts w:ascii="Arial" w:hAnsi="Arial" w:cs="Arial"/>
              </w:rPr>
            </w:pPr>
            <w:r>
              <w:rPr>
                <w:rFonts w:ascii="Arial" w:hAnsi="Arial" w:cs="Arial"/>
              </w:rPr>
              <w:t>a</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b</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Pr="00B74723" w:rsidRDefault="00B74723" w:rsidP="005D06CC">
            <w:pPr>
              <w:keepNext/>
              <w:keepLines/>
              <w:rPr>
                <w:rFonts w:ascii="Arial" w:hAnsi="Arial" w:cs="Arial"/>
              </w:rPr>
            </w:pPr>
            <w:r>
              <w:rPr>
                <w:rFonts w:ascii="Arial" w:hAnsi="Arial" w:cs="Arial"/>
              </w:rPr>
              <w:t>c</w:t>
            </w:r>
          </w:p>
        </w:tc>
        <w:tc>
          <w:tcPr>
            <w:tcW w:w="7087" w:type="dxa"/>
          </w:tcPr>
          <w:p w:rsidR="00785867" w:rsidRDefault="00201739" w:rsidP="00404679">
            <w:pPr>
              <w:jc w:val="both"/>
              <w:rPr>
                <w:rFonts w:ascii="Arial" w:hAnsi="Arial" w:cs="Arial"/>
                <w:bCs/>
              </w:rPr>
            </w:pPr>
            <w:r w:rsidRPr="00201739">
              <w:rPr>
                <w:rFonts w:ascii="Arial" w:hAnsi="Arial" w:cs="Arial"/>
                <w:b/>
                <w:bCs/>
              </w:rPr>
              <w:t>Quality Account Q1 Highlight Report</w:t>
            </w:r>
            <w:r>
              <w:rPr>
                <w:rFonts w:ascii="Arial" w:hAnsi="Arial" w:cs="Arial"/>
                <w:b/>
                <w:bCs/>
              </w:rPr>
              <w:t xml:space="preserve"> </w:t>
            </w:r>
          </w:p>
          <w:p w:rsidR="00201739" w:rsidRDefault="00201739" w:rsidP="00404679">
            <w:pPr>
              <w:jc w:val="both"/>
              <w:rPr>
                <w:rFonts w:ascii="Arial" w:hAnsi="Arial" w:cs="Arial"/>
                <w:bCs/>
              </w:rPr>
            </w:pPr>
          </w:p>
          <w:p w:rsidR="00201739" w:rsidRPr="00201739" w:rsidRDefault="00201739" w:rsidP="00201739">
            <w:pPr>
              <w:jc w:val="both"/>
              <w:rPr>
                <w:rFonts w:ascii="Arial" w:hAnsi="Arial" w:cs="Arial"/>
                <w:bCs/>
              </w:rPr>
            </w:pPr>
            <w:r w:rsidRPr="00201739">
              <w:rPr>
                <w:rFonts w:ascii="Arial" w:hAnsi="Arial" w:cs="Arial"/>
                <w:bCs/>
              </w:rPr>
              <w:t xml:space="preserve">The Deputy Director of Nursing presented Paper BOD 102/2015 which outlined progress to deliver the priorities and objectives from the </w:t>
            </w:r>
            <w:r>
              <w:rPr>
                <w:rFonts w:ascii="Arial" w:hAnsi="Arial" w:cs="Arial"/>
                <w:bCs/>
              </w:rPr>
              <w:t>2015/16 Quality A</w:t>
            </w:r>
            <w:r w:rsidRPr="00201739">
              <w:rPr>
                <w:rFonts w:ascii="Arial" w:hAnsi="Arial" w:cs="Arial"/>
                <w:bCs/>
              </w:rPr>
              <w:t xml:space="preserve">ccount and included available Q1 data. </w:t>
            </w:r>
          </w:p>
          <w:p w:rsidR="00201739" w:rsidRPr="00201739" w:rsidRDefault="00201739" w:rsidP="00201739">
            <w:pPr>
              <w:jc w:val="both"/>
              <w:rPr>
                <w:rFonts w:ascii="Arial" w:hAnsi="Arial" w:cs="Arial"/>
                <w:bCs/>
              </w:rPr>
            </w:pPr>
          </w:p>
          <w:p w:rsidR="00201739" w:rsidRPr="00201739" w:rsidRDefault="00201739" w:rsidP="00201739">
            <w:pPr>
              <w:jc w:val="both"/>
              <w:rPr>
                <w:rFonts w:ascii="Arial" w:hAnsi="Arial" w:cs="Arial"/>
                <w:bCs/>
              </w:rPr>
            </w:pPr>
            <w:r w:rsidRPr="00201739">
              <w:rPr>
                <w:rFonts w:ascii="Arial" w:hAnsi="Arial" w:cs="Arial"/>
                <w:bCs/>
              </w:rPr>
              <w:t xml:space="preserve">Anne Grocock referred to page 4 of the report on the feedback from District Nursing teams on the pressures on the service and asked what was being done.  The Chief Operating Officer replied that the Trust had been working with Oxfordshire CCG to find an interim solution to reduce the pressure on District Nursing teams as the operation of the service from 16:30-18:30 had not been funded by Oxfordshire CCG.  In the interim it had been agreed, and additional resource put in place, for support to be provided through the Out of Hours and Hospital at Home teams. </w:t>
            </w:r>
          </w:p>
          <w:p w:rsidR="00201739" w:rsidRPr="00201739" w:rsidRDefault="00201739" w:rsidP="00201739">
            <w:pPr>
              <w:jc w:val="both"/>
              <w:rPr>
                <w:rFonts w:ascii="Arial" w:hAnsi="Arial" w:cs="Arial"/>
                <w:bCs/>
              </w:rPr>
            </w:pPr>
          </w:p>
          <w:p w:rsidR="00201739" w:rsidRPr="00201739" w:rsidRDefault="00201739" w:rsidP="00201739">
            <w:pPr>
              <w:jc w:val="both"/>
              <w:rPr>
                <w:rFonts w:ascii="Arial" w:hAnsi="Arial" w:cs="Arial"/>
                <w:b/>
                <w:bCs/>
              </w:rPr>
            </w:pPr>
            <w:r w:rsidRPr="00201739">
              <w:rPr>
                <w:rFonts w:ascii="Arial" w:hAnsi="Arial" w:cs="Arial"/>
                <w:b/>
                <w:bCs/>
              </w:rPr>
              <w:t>The Board noted the report.</w:t>
            </w:r>
          </w:p>
          <w:p w:rsidR="00201739" w:rsidRPr="00201739" w:rsidRDefault="00201739" w:rsidP="00404679">
            <w:pPr>
              <w:jc w:val="both"/>
              <w:rPr>
                <w:rFonts w:ascii="Arial" w:hAnsi="Arial" w:cs="Arial"/>
                <w:bCs/>
              </w:rPr>
            </w:pPr>
          </w:p>
        </w:tc>
        <w:tc>
          <w:tcPr>
            <w:tcW w:w="1054" w:type="dxa"/>
          </w:tcPr>
          <w:p w:rsidR="00785867" w:rsidRDefault="00785867"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t xml:space="preserve">BOD </w:t>
            </w:r>
            <w:r w:rsidR="008F3090">
              <w:rPr>
                <w:rFonts w:ascii="Arial" w:hAnsi="Arial" w:cs="Arial"/>
                <w:b/>
              </w:rPr>
              <w:t>127</w:t>
            </w:r>
            <w:r w:rsidRPr="00AC7AAB">
              <w:rPr>
                <w:rFonts w:ascii="Arial" w:hAnsi="Arial" w:cs="Arial"/>
                <w:b/>
              </w:rPr>
              <w:t>/15</w:t>
            </w:r>
          </w:p>
          <w:p w:rsidR="00B74723" w:rsidRDefault="00B74723" w:rsidP="005D06CC">
            <w:pPr>
              <w:keepNext/>
              <w:keepLines/>
              <w:rPr>
                <w:rFonts w:ascii="Arial" w:hAnsi="Arial" w:cs="Arial"/>
              </w:rPr>
            </w:pPr>
            <w:r>
              <w:rPr>
                <w:rFonts w:ascii="Arial" w:hAnsi="Arial" w:cs="Arial"/>
              </w:rPr>
              <w:t>a</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b</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Pr="00B74723" w:rsidRDefault="00B74723" w:rsidP="005D06CC">
            <w:pPr>
              <w:keepNext/>
              <w:keepLines/>
              <w:rPr>
                <w:rFonts w:ascii="Arial" w:hAnsi="Arial" w:cs="Arial"/>
              </w:rPr>
            </w:pPr>
            <w:r>
              <w:rPr>
                <w:rFonts w:ascii="Arial" w:hAnsi="Arial" w:cs="Arial"/>
              </w:rPr>
              <w:t>c</w:t>
            </w:r>
          </w:p>
        </w:tc>
        <w:tc>
          <w:tcPr>
            <w:tcW w:w="7087" w:type="dxa"/>
          </w:tcPr>
          <w:p w:rsidR="001B5A34" w:rsidRPr="001B5A34" w:rsidRDefault="001B5A34" w:rsidP="001B5A34">
            <w:pPr>
              <w:jc w:val="both"/>
              <w:rPr>
                <w:rFonts w:ascii="Arial" w:hAnsi="Arial" w:cs="Arial"/>
                <w:b/>
                <w:bCs/>
              </w:rPr>
            </w:pPr>
            <w:r w:rsidRPr="001B5A34">
              <w:rPr>
                <w:rFonts w:ascii="Arial" w:hAnsi="Arial" w:cs="Arial"/>
                <w:b/>
                <w:bCs/>
              </w:rPr>
              <w:t>Inpatient Safer Staffing (Nursing)</w:t>
            </w:r>
          </w:p>
          <w:p w:rsidR="001B5A34" w:rsidRPr="001B5A34" w:rsidRDefault="001B5A34" w:rsidP="001B5A34">
            <w:pPr>
              <w:jc w:val="both"/>
              <w:rPr>
                <w:rFonts w:ascii="Arial" w:hAnsi="Arial" w:cs="Arial"/>
                <w:b/>
                <w:bCs/>
              </w:rPr>
            </w:pPr>
          </w:p>
          <w:p w:rsidR="001B5A34" w:rsidRPr="001B5A34" w:rsidRDefault="001B5A34" w:rsidP="001B5A34">
            <w:pPr>
              <w:jc w:val="both"/>
              <w:rPr>
                <w:rFonts w:ascii="Arial" w:hAnsi="Arial" w:cs="Arial"/>
                <w:bCs/>
              </w:rPr>
            </w:pPr>
            <w:r w:rsidRPr="001B5A34">
              <w:rPr>
                <w:rFonts w:ascii="Arial" w:hAnsi="Arial" w:cs="Arial"/>
                <w:bCs/>
              </w:rPr>
              <w:t xml:space="preserve">The Deputy Director of Nursing presented paper BOD 103/2015 which set out actual nurse staffing levels on each ward against expected levels for June 2015.  </w:t>
            </w:r>
          </w:p>
          <w:p w:rsidR="001B5A34" w:rsidRPr="001B5A34" w:rsidRDefault="001B5A34" w:rsidP="001B5A34">
            <w:pPr>
              <w:jc w:val="both"/>
              <w:rPr>
                <w:rFonts w:ascii="Arial" w:hAnsi="Arial" w:cs="Arial"/>
                <w:bCs/>
              </w:rPr>
            </w:pPr>
          </w:p>
          <w:p w:rsidR="001B5A34" w:rsidRPr="001B5A34" w:rsidRDefault="001B5A34" w:rsidP="001B5A34">
            <w:pPr>
              <w:jc w:val="both"/>
              <w:rPr>
                <w:rFonts w:ascii="Arial" w:hAnsi="Arial" w:cs="Arial"/>
                <w:bCs/>
              </w:rPr>
            </w:pPr>
            <w:r w:rsidRPr="001B5A34">
              <w:rPr>
                <w:rFonts w:ascii="Arial" w:hAnsi="Arial" w:cs="Arial"/>
                <w:bCs/>
              </w:rPr>
              <w:t xml:space="preserve">Lyn Williams noted the two wards which had become a concern and asked whether this could have been anticipated and addressed.  The Chief Operating Officer replied that notice periods were often shorter than time to recruit and this was a particular challenge when staffing smaller units. </w:t>
            </w:r>
          </w:p>
          <w:p w:rsidR="001B5A34" w:rsidRPr="001B5A34" w:rsidRDefault="001B5A34" w:rsidP="001B5A34">
            <w:pPr>
              <w:jc w:val="both"/>
              <w:rPr>
                <w:rFonts w:ascii="Arial" w:hAnsi="Arial" w:cs="Arial"/>
                <w:b/>
                <w:bCs/>
              </w:rPr>
            </w:pPr>
          </w:p>
          <w:p w:rsidR="00785867" w:rsidRDefault="001B5A34" w:rsidP="001B5A34">
            <w:pPr>
              <w:jc w:val="both"/>
              <w:rPr>
                <w:rFonts w:ascii="Arial" w:hAnsi="Arial" w:cs="Arial"/>
                <w:b/>
                <w:bCs/>
              </w:rPr>
            </w:pPr>
            <w:r w:rsidRPr="001B5A34">
              <w:rPr>
                <w:rFonts w:ascii="Arial" w:hAnsi="Arial" w:cs="Arial"/>
                <w:b/>
                <w:bCs/>
              </w:rPr>
              <w:t>The Board noted the report.</w:t>
            </w:r>
          </w:p>
          <w:p w:rsidR="001B5A34" w:rsidRPr="00666D1B" w:rsidRDefault="001B5A34" w:rsidP="001B5A34">
            <w:pPr>
              <w:jc w:val="both"/>
              <w:rPr>
                <w:rFonts w:ascii="Arial" w:hAnsi="Arial" w:cs="Arial"/>
                <w:b/>
                <w:bCs/>
              </w:rPr>
            </w:pPr>
          </w:p>
        </w:tc>
        <w:tc>
          <w:tcPr>
            <w:tcW w:w="1054" w:type="dxa"/>
          </w:tcPr>
          <w:p w:rsidR="00785867" w:rsidRDefault="00785867"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t xml:space="preserve">BOD </w:t>
            </w:r>
            <w:r w:rsidR="008F3090">
              <w:rPr>
                <w:rFonts w:ascii="Arial" w:hAnsi="Arial" w:cs="Arial"/>
                <w:b/>
              </w:rPr>
              <w:t>128</w:t>
            </w:r>
            <w:r w:rsidRPr="00AC7AAB">
              <w:rPr>
                <w:rFonts w:ascii="Arial" w:hAnsi="Arial" w:cs="Arial"/>
                <w:b/>
              </w:rPr>
              <w:t>/15</w:t>
            </w:r>
          </w:p>
          <w:p w:rsidR="00B74723" w:rsidRDefault="00B74723" w:rsidP="005D06CC">
            <w:pPr>
              <w:keepNext/>
              <w:keepLines/>
              <w:rPr>
                <w:rFonts w:ascii="Arial" w:hAnsi="Arial" w:cs="Arial"/>
              </w:rPr>
            </w:pPr>
            <w:r>
              <w:rPr>
                <w:rFonts w:ascii="Arial" w:hAnsi="Arial" w:cs="Arial"/>
              </w:rPr>
              <w:t>a</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b</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Pr="00B74723" w:rsidRDefault="00B74723" w:rsidP="005D06CC">
            <w:pPr>
              <w:keepNext/>
              <w:keepLines/>
              <w:rPr>
                <w:rFonts w:ascii="Arial" w:hAnsi="Arial" w:cs="Arial"/>
              </w:rPr>
            </w:pPr>
            <w:r>
              <w:rPr>
                <w:rFonts w:ascii="Arial" w:hAnsi="Arial" w:cs="Arial"/>
              </w:rPr>
              <w:t>c</w:t>
            </w:r>
          </w:p>
        </w:tc>
        <w:tc>
          <w:tcPr>
            <w:tcW w:w="7087" w:type="dxa"/>
          </w:tcPr>
          <w:p w:rsidR="00785867" w:rsidRDefault="004C0226" w:rsidP="00404679">
            <w:pPr>
              <w:jc w:val="both"/>
              <w:rPr>
                <w:rFonts w:ascii="Arial" w:hAnsi="Arial" w:cs="Arial"/>
                <w:bCs/>
              </w:rPr>
            </w:pPr>
            <w:r w:rsidRPr="004C0226">
              <w:rPr>
                <w:rFonts w:ascii="Arial" w:hAnsi="Arial" w:cs="Arial"/>
                <w:b/>
                <w:bCs/>
              </w:rPr>
              <w:lastRenderedPageBreak/>
              <w:t>Finance Report</w:t>
            </w:r>
            <w:r>
              <w:rPr>
                <w:rFonts w:ascii="Arial" w:hAnsi="Arial" w:cs="Arial"/>
                <w:b/>
                <w:bCs/>
              </w:rPr>
              <w:t xml:space="preserve"> </w:t>
            </w:r>
          </w:p>
          <w:p w:rsidR="004C0226" w:rsidRDefault="004C0226" w:rsidP="00404679">
            <w:pPr>
              <w:jc w:val="both"/>
              <w:rPr>
                <w:rFonts w:ascii="Arial" w:hAnsi="Arial" w:cs="Arial"/>
                <w:bCs/>
              </w:rPr>
            </w:pPr>
          </w:p>
          <w:p w:rsidR="004C0226" w:rsidRPr="004C0226" w:rsidRDefault="004C0226" w:rsidP="004C0226">
            <w:pPr>
              <w:jc w:val="both"/>
              <w:rPr>
                <w:rFonts w:ascii="Arial" w:hAnsi="Arial" w:cs="Arial"/>
                <w:bCs/>
              </w:rPr>
            </w:pPr>
            <w:r w:rsidRPr="004C0226">
              <w:rPr>
                <w:rFonts w:ascii="Arial" w:hAnsi="Arial" w:cs="Arial"/>
                <w:bCs/>
              </w:rPr>
              <w:t>The Director of Finance presented the report BOD 104/2015 which set out the Trust’s financial position at month 3.  The Trust had Earnings Before Interest, Taxation and Amortisation (</w:t>
            </w:r>
            <w:r w:rsidRPr="004C0226">
              <w:rPr>
                <w:rFonts w:ascii="Arial" w:hAnsi="Arial" w:cs="Arial"/>
                <w:b/>
                <w:bCs/>
              </w:rPr>
              <w:t>EBITDA</w:t>
            </w:r>
            <w:r w:rsidRPr="004C0226">
              <w:rPr>
                <w:rFonts w:ascii="Arial" w:hAnsi="Arial" w:cs="Arial"/>
                <w:bCs/>
              </w:rPr>
              <w:t>) of £2.4 million, £0.2</w:t>
            </w:r>
            <w:r w:rsidR="00373EEE">
              <w:rPr>
                <w:rFonts w:ascii="Arial" w:hAnsi="Arial" w:cs="Arial"/>
                <w:bCs/>
              </w:rPr>
              <w:t xml:space="preserve"> million ahead of plan, and an Income and E</w:t>
            </w:r>
            <w:r w:rsidRPr="004C0226">
              <w:rPr>
                <w:rFonts w:ascii="Arial" w:hAnsi="Arial" w:cs="Arial"/>
                <w:bCs/>
              </w:rPr>
              <w:t>xpenditure</w:t>
            </w:r>
            <w:r w:rsidR="00373EEE">
              <w:rPr>
                <w:rFonts w:ascii="Arial" w:hAnsi="Arial" w:cs="Arial"/>
                <w:bCs/>
              </w:rPr>
              <w:t xml:space="preserve"> (</w:t>
            </w:r>
            <w:r w:rsidR="00373EEE">
              <w:rPr>
                <w:rFonts w:ascii="Arial" w:hAnsi="Arial" w:cs="Arial"/>
                <w:b/>
                <w:bCs/>
              </w:rPr>
              <w:t>I&amp;E</w:t>
            </w:r>
            <w:r w:rsidR="00373EEE">
              <w:rPr>
                <w:rFonts w:ascii="Arial" w:hAnsi="Arial" w:cs="Arial"/>
                <w:bCs/>
              </w:rPr>
              <w:t>)</w:t>
            </w:r>
            <w:r w:rsidRPr="004C0226">
              <w:rPr>
                <w:rFonts w:ascii="Arial" w:hAnsi="Arial" w:cs="Arial"/>
                <w:bCs/>
              </w:rPr>
              <w:t xml:space="preserve"> deficit of £0.2 million which was £0.3 million ahead of plan.  The Trust plan was for </w:t>
            </w:r>
            <w:proofErr w:type="gramStart"/>
            <w:r w:rsidRPr="004C0226">
              <w:rPr>
                <w:rFonts w:ascii="Arial" w:hAnsi="Arial" w:cs="Arial"/>
                <w:bCs/>
              </w:rPr>
              <w:t xml:space="preserve">an </w:t>
            </w:r>
            <w:r w:rsidR="00373EEE">
              <w:rPr>
                <w:rFonts w:ascii="Arial" w:hAnsi="Arial" w:cs="Arial"/>
                <w:bCs/>
              </w:rPr>
              <w:t>I</w:t>
            </w:r>
            <w:proofErr w:type="gramEnd"/>
            <w:r w:rsidR="00373EEE">
              <w:rPr>
                <w:rFonts w:ascii="Arial" w:hAnsi="Arial" w:cs="Arial"/>
                <w:bCs/>
              </w:rPr>
              <w:t>&amp;E</w:t>
            </w:r>
            <w:r w:rsidRPr="004C0226">
              <w:rPr>
                <w:rFonts w:ascii="Arial" w:hAnsi="Arial" w:cs="Arial"/>
                <w:bCs/>
              </w:rPr>
              <w:t xml:space="preserve"> deficit of £5.4 million.  The position was driven by better than planned EBITDA and profit on disposal of an asset.  At month 3, the Trust had achieved a </w:t>
            </w:r>
            <w:proofErr w:type="spellStart"/>
            <w:r w:rsidRPr="004C0226">
              <w:rPr>
                <w:rFonts w:ascii="Arial" w:hAnsi="Arial" w:cs="Arial"/>
                <w:bCs/>
              </w:rPr>
              <w:t>CoSRR</w:t>
            </w:r>
            <w:proofErr w:type="spellEnd"/>
            <w:r w:rsidRPr="004C0226">
              <w:rPr>
                <w:rFonts w:ascii="Arial" w:hAnsi="Arial" w:cs="Arial"/>
                <w:bCs/>
              </w:rPr>
              <w:t xml:space="preserve"> of 3 which was better than the rating of 2 planned at this stage.   As referred to in the Chief </w:t>
            </w:r>
            <w:r w:rsidRPr="004C0226">
              <w:rPr>
                <w:rFonts w:ascii="Arial" w:hAnsi="Arial" w:cs="Arial"/>
                <w:bCs/>
              </w:rPr>
              <w:lastRenderedPageBreak/>
              <w:t xml:space="preserve">Executive’s Report at item </w:t>
            </w:r>
            <w:r w:rsidR="00F83FD4" w:rsidRPr="00F83FD4">
              <w:rPr>
                <w:rFonts w:ascii="Arial" w:hAnsi="Arial" w:cs="Arial"/>
                <w:bCs/>
              </w:rPr>
              <w:t>BOD 123/15</w:t>
            </w:r>
            <w:r w:rsidRPr="004C0226">
              <w:rPr>
                <w:rFonts w:ascii="Arial" w:hAnsi="Arial" w:cs="Arial"/>
                <w:bCs/>
              </w:rPr>
              <w:t xml:space="preserve">, Monitor would conduct an investigation into the Trust’s financial position, following the submission of the Trust’s deficit plan and anticipated </w:t>
            </w:r>
            <w:proofErr w:type="spellStart"/>
            <w:r w:rsidRPr="004C0226">
              <w:rPr>
                <w:rFonts w:ascii="Arial" w:hAnsi="Arial" w:cs="Arial"/>
                <w:bCs/>
              </w:rPr>
              <w:t>CoSRR</w:t>
            </w:r>
            <w:proofErr w:type="spellEnd"/>
            <w:r w:rsidRPr="004C0226">
              <w:rPr>
                <w:rFonts w:ascii="Arial" w:hAnsi="Arial" w:cs="Arial"/>
                <w:bCs/>
              </w:rPr>
              <w:t xml:space="preserve"> of 2. </w:t>
            </w:r>
          </w:p>
          <w:p w:rsidR="004C0226" w:rsidRPr="004C0226" w:rsidRDefault="004C0226" w:rsidP="004C0226">
            <w:pPr>
              <w:jc w:val="both"/>
              <w:rPr>
                <w:rFonts w:ascii="Arial" w:hAnsi="Arial" w:cs="Arial"/>
                <w:bCs/>
              </w:rPr>
            </w:pPr>
          </w:p>
          <w:p w:rsidR="004C0226" w:rsidRPr="004C0226" w:rsidRDefault="004C0226" w:rsidP="004C0226">
            <w:pPr>
              <w:jc w:val="both"/>
              <w:rPr>
                <w:rFonts w:ascii="Arial" w:hAnsi="Arial" w:cs="Arial"/>
                <w:bCs/>
              </w:rPr>
            </w:pPr>
            <w:r w:rsidRPr="004C0226">
              <w:rPr>
                <w:rFonts w:ascii="Arial" w:hAnsi="Arial" w:cs="Arial"/>
                <w:bCs/>
              </w:rPr>
              <w:t>The Director of Finance emphasised the importance of achieving improved commissioned income and the Cost Improvement Programme (</w:t>
            </w:r>
            <w:r w:rsidRPr="004C0226">
              <w:rPr>
                <w:rFonts w:ascii="Arial" w:hAnsi="Arial" w:cs="Arial"/>
                <w:b/>
                <w:bCs/>
              </w:rPr>
              <w:t>CIP</w:t>
            </w:r>
            <w:r w:rsidRPr="004C0226">
              <w:rPr>
                <w:rFonts w:ascii="Arial" w:hAnsi="Arial" w:cs="Arial"/>
                <w:bCs/>
              </w:rPr>
              <w:t xml:space="preserve">) target of £5.1 million.  In relation to income and revenue, heads of terms had now been signed with Oxfordshire CCG; although revenue was £93,000 less than anticipated this was following negotiation from the original position and could be offset against available reserves.  The forecast outturn for CIP delivery was still to meet or exceed target and the cash position was on target.  Cost pressures, however, continued to include agency and drugs spend.  </w:t>
            </w:r>
          </w:p>
          <w:p w:rsidR="004C0226" w:rsidRPr="004C0226" w:rsidRDefault="004C0226" w:rsidP="004C0226">
            <w:pPr>
              <w:jc w:val="both"/>
              <w:rPr>
                <w:rFonts w:ascii="Arial" w:hAnsi="Arial" w:cs="Arial"/>
                <w:bCs/>
              </w:rPr>
            </w:pPr>
          </w:p>
          <w:p w:rsidR="004C0226" w:rsidRDefault="004C0226" w:rsidP="004C0226">
            <w:pPr>
              <w:jc w:val="both"/>
              <w:rPr>
                <w:rFonts w:ascii="Arial" w:hAnsi="Arial" w:cs="Arial"/>
                <w:bCs/>
              </w:rPr>
            </w:pPr>
            <w:r w:rsidRPr="004C0226">
              <w:rPr>
                <w:rFonts w:ascii="Arial" w:hAnsi="Arial" w:cs="Arial"/>
                <w:b/>
                <w:bCs/>
              </w:rPr>
              <w:t>The Board noted the report</w:t>
            </w:r>
            <w:r w:rsidRPr="004C0226">
              <w:rPr>
                <w:rFonts w:ascii="Arial" w:hAnsi="Arial" w:cs="Arial"/>
                <w:bCs/>
              </w:rPr>
              <w:t xml:space="preserve">.  </w:t>
            </w:r>
          </w:p>
          <w:p w:rsidR="004C0226" w:rsidRPr="004C0226" w:rsidRDefault="004C0226" w:rsidP="00404679">
            <w:pPr>
              <w:jc w:val="both"/>
              <w:rPr>
                <w:rFonts w:ascii="Arial" w:hAnsi="Arial" w:cs="Arial"/>
                <w:bCs/>
              </w:rPr>
            </w:pPr>
          </w:p>
        </w:tc>
        <w:tc>
          <w:tcPr>
            <w:tcW w:w="1054" w:type="dxa"/>
          </w:tcPr>
          <w:p w:rsidR="00785867" w:rsidRDefault="00785867" w:rsidP="00687605">
            <w:pPr>
              <w:keepNext/>
              <w:keepLines/>
              <w:rPr>
                <w:rFonts w:ascii="Arial" w:hAnsi="Arial" w:cs="Arial"/>
                <w:b/>
              </w:rPr>
            </w:pPr>
          </w:p>
        </w:tc>
      </w:tr>
      <w:tr w:rsidR="00785867" w:rsidRPr="00666D1B">
        <w:trPr>
          <w:trHeight w:val="650"/>
        </w:trPr>
        <w:tc>
          <w:tcPr>
            <w:tcW w:w="993" w:type="dxa"/>
          </w:tcPr>
          <w:p w:rsidR="00785867" w:rsidRDefault="00785867" w:rsidP="005D06CC">
            <w:pPr>
              <w:keepNext/>
              <w:keepLines/>
              <w:rPr>
                <w:rFonts w:ascii="Arial" w:hAnsi="Arial" w:cs="Arial"/>
              </w:rPr>
            </w:pPr>
            <w:r w:rsidRPr="00AC7AAB">
              <w:rPr>
                <w:rFonts w:ascii="Arial" w:hAnsi="Arial" w:cs="Arial"/>
                <w:b/>
              </w:rPr>
              <w:lastRenderedPageBreak/>
              <w:t xml:space="preserve">BOD </w:t>
            </w:r>
            <w:r w:rsidR="008F3090">
              <w:rPr>
                <w:rFonts w:ascii="Arial" w:hAnsi="Arial" w:cs="Arial"/>
                <w:b/>
              </w:rPr>
              <w:t>129</w:t>
            </w:r>
            <w:r w:rsidRPr="00AC7AAB">
              <w:rPr>
                <w:rFonts w:ascii="Arial" w:hAnsi="Arial" w:cs="Arial"/>
                <w:b/>
              </w:rPr>
              <w:t>/15</w:t>
            </w:r>
          </w:p>
          <w:p w:rsidR="00B74723" w:rsidRDefault="00B74723" w:rsidP="005D06CC">
            <w:pPr>
              <w:keepNext/>
              <w:keepLines/>
              <w:rPr>
                <w:rFonts w:ascii="Arial" w:hAnsi="Arial" w:cs="Arial"/>
              </w:rPr>
            </w:pPr>
            <w:r>
              <w:rPr>
                <w:rFonts w:ascii="Arial" w:hAnsi="Arial" w:cs="Arial"/>
              </w:rPr>
              <w:t>a</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b</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c</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d</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r>
              <w:rPr>
                <w:rFonts w:ascii="Arial" w:hAnsi="Arial" w:cs="Arial"/>
              </w:rPr>
              <w:t>e</w:t>
            </w: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Default="00B74723" w:rsidP="005D06CC">
            <w:pPr>
              <w:keepNext/>
              <w:keepLines/>
              <w:rPr>
                <w:rFonts w:ascii="Arial" w:hAnsi="Arial" w:cs="Arial"/>
              </w:rPr>
            </w:pPr>
          </w:p>
          <w:p w:rsidR="00B74723" w:rsidRPr="00B74723" w:rsidRDefault="00B74723" w:rsidP="005D06CC">
            <w:pPr>
              <w:keepNext/>
              <w:keepLines/>
              <w:rPr>
                <w:rFonts w:ascii="Arial" w:hAnsi="Arial" w:cs="Arial"/>
              </w:rPr>
            </w:pPr>
            <w:r>
              <w:rPr>
                <w:rFonts w:ascii="Arial" w:hAnsi="Arial" w:cs="Arial"/>
              </w:rPr>
              <w:t>f</w:t>
            </w:r>
          </w:p>
        </w:tc>
        <w:tc>
          <w:tcPr>
            <w:tcW w:w="7087" w:type="dxa"/>
          </w:tcPr>
          <w:p w:rsidR="00785867" w:rsidRDefault="00E92B19" w:rsidP="00404679">
            <w:pPr>
              <w:jc w:val="both"/>
              <w:rPr>
                <w:rFonts w:ascii="Arial" w:hAnsi="Arial" w:cs="Arial"/>
                <w:bCs/>
              </w:rPr>
            </w:pPr>
            <w:r w:rsidRPr="00E92B19">
              <w:rPr>
                <w:rFonts w:ascii="Arial" w:hAnsi="Arial" w:cs="Arial"/>
                <w:b/>
                <w:bCs/>
              </w:rPr>
              <w:lastRenderedPageBreak/>
              <w:t>Performance Report</w:t>
            </w:r>
            <w:r>
              <w:rPr>
                <w:rFonts w:ascii="Arial" w:hAnsi="Arial" w:cs="Arial"/>
                <w:b/>
                <w:bCs/>
              </w:rPr>
              <w:t xml:space="preserve"> </w:t>
            </w:r>
          </w:p>
          <w:p w:rsidR="00E92B19" w:rsidRDefault="00E92B19" w:rsidP="00404679">
            <w:pPr>
              <w:jc w:val="both"/>
              <w:rPr>
                <w:rFonts w:ascii="Arial" w:hAnsi="Arial" w:cs="Arial"/>
                <w:bCs/>
              </w:rPr>
            </w:pPr>
          </w:p>
          <w:p w:rsidR="00E92B19" w:rsidRPr="00E92B19" w:rsidRDefault="00E92B19" w:rsidP="00E92B19">
            <w:pPr>
              <w:jc w:val="both"/>
              <w:rPr>
                <w:rFonts w:ascii="Arial" w:hAnsi="Arial" w:cs="Arial"/>
                <w:bCs/>
              </w:rPr>
            </w:pPr>
            <w:r w:rsidRPr="00E92B19">
              <w:rPr>
                <w:rFonts w:ascii="Arial" w:hAnsi="Arial" w:cs="Arial"/>
                <w:bCs/>
              </w:rPr>
              <w:t>The Director of Finance presented the report BOD 105/2015 which set out the Trust’s performance against a range of indicators including key performance indicators from Monitor and those related to Commissioning for Quality and Innovation (</w:t>
            </w:r>
            <w:r w:rsidRPr="00E92B19">
              <w:rPr>
                <w:rFonts w:ascii="Arial" w:hAnsi="Arial" w:cs="Arial"/>
                <w:b/>
                <w:bCs/>
              </w:rPr>
              <w:t>CQUIN</w:t>
            </w:r>
            <w:r w:rsidRPr="00E92B19">
              <w:rPr>
                <w:rFonts w:ascii="Arial" w:hAnsi="Arial" w:cs="Arial"/>
                <w:bCs/>
              </w:rPr>
              <w:t xml:space="preserve">) payments.  </w:t>
            </w:r>
          </w:p>
          <w:p w:rsidR="00E92B19" w:rsidRPr="00E92B19" w:rsidRDefault="00E92B19" w:rsidP="00E92B19">
            <w:pPr>
              <w:jc w:val="both"/>
              <w:rPr>
                <w:rFonts w:ascii="Arial" w:hAnsi="Arial" w:cs="Arial"/>
                <w:bCs/>
              </w:rPr>
            </w:pPr>
          </w:p>
          <w:p w:rsidR="00E92B19" w:rsidRPr="00E92B19" w:rsidRDefault="00E92B19" w:rsidP="00E92B19">
            <w:pPr>
              <w:jc w:val="both"/>
              <w:rPr>
                <w:rFonts w:ascii="Arial" w:hAnsi="Arial" w:cs="Arial"/>
                <w:bCs/>
              </w:rPr>
            </w:pPr>
            <w:r w:rsidRPr="00E92B19">
              <w:rPr>
                <w:rFonts w:ascii="Arial" w:hAnsi="Arial" w:cs="Arial"/>
                <w:bCs/>
              </w:rPr>
              <w:t>All Monitor targets had been achieved in Q1 2015/16 with the exception of Care Programme Approach (</w:t>
            </w:r>
            <w:r w:rsidRPr="00E92B19">
              <w:rPr>
                <w:rFonts w:ascii="Arial" w:hAnsi="Arial" w:cs="Arial"/>
                <w:b/>
                <w:bCs/>
              </w:rPr>
              <w:t>CPA</w:t>
            </w:r>
            <w:r w:rsidRPr="00E92B19">
              <w:rPr>
                <w:rFonts w:ascii="Arial" w:hAnsi="Arial" w:cs="Arial"/>
                <w:bCs/>
              </w:rPr>
              <w:t>) patients being followed-up within 7 days of discharge</w:t>
            </w:r>
            <w:r w:rsidR="001F2A02">
              <w:rPr>
                <w:rFonts w:ascii="Arial" w:hAnsi="Arial" w:cs="Arial"/>
                <w:bCs/>
              </w:rPr>
              <w:t>.  T</w:t>
            </w:r>
            <w:r w:rsidRPr="00E92B19">
              <w:rPr>
                <w:rFonts w:ascii="Arial" w:hAnsi="Arial" w:cs="Arial"/>
                <w:bCs/>
              </w:rPr>
              <w:t xml:space="preserve">he Trust had achieved 94.5 per cent against a required target of 95 per cent.  This was the first quarter in which the Trust had not met this target and performance otherwise continued to be good.  Jonathan </w:t>
            </w:r>
            <w:proofErr w:type="spellStart"/>
            <w:r w:rsidRPr="00E92B19">
              <w:rPr>
                <w:rFonts w:ascii="Arial" w:hAnsi="Arial" w:cs="Arial"/>
                <w:bCs/>
              </w:rPr>
              <w:t>Asbridge</w:t>
            </w:r>
            <w:proofErr w:type="spellEnd"/>
            <w:r w:rsidRPr="00E92B19">
              <w:rPr>
                <w:rFonts w:ascii="Arial" w:hAnsi="Arial" w:cs="Arial"/>
                <w:bCs/>
              </w:rPr>
              <w:t xml:space="preserve"> asked whether the failure to achieve the CPA target would be reported as an incident and tracked through quality and performance systems.  The Director of Finance replied that the target would be tracked and reviewed daily/weekly, not just quarterly. </w:t>
            </w:r>
          </w:p>
          <w:p w:rsidR="00E92B19" w:rsidRPr="00E92B19" w:rsidRDefault="00E92B19" w:rsidP="00E92B19">
            <w:pPr>
              <w:jc w:val="both"/>
              <w:rPr>
                <w:rFonts w:ascii="Arial" w:hAnsi="Arial" w:cs="Arial"/>
                <w:bCs/>
              </w:rPr>
            </w:pPr>
          </w:p>
          <w:p w:rsidR="00E92B19" w:rsidRPr="00E92B19" w:rsidRDefault="00E92B19" w:rsidP="00E92B19">
            <w:pPr>
              <w:jc w:val="both"/>
              <w:rPr>
                <w:rFonts w:ascii="Arial" w:hAnsi="Arial" w:cs="Arial"/>
                <w:bCs/>
              </w:rPr>
            </w:pPr>
            <w:r w:rsidRPr="00E92B19">
              <w:rPr>
                <w:rFonts w:ascii="Arial" w:hAnsi="Arial" w:cs="Arial"/>
                <w:bCs/>
              </w:rPr>
              <w:t xml:space="preserve">The Director of Finance confirmed that the data completeness targets which were still being evaluated at the time of writing of the report had been achieved.  </w:t>
            </w:r>
          </w:p>
          <w:p w:rsidR="00E92B19" w:rsidRPr="00E92B19" w:rsidRDefault="00E92B19" w:rsidP="00E92B19">
            <w:pPr>
              <w:jc w:val="both"/>
              <w:rPr>
                <w:rFonts w:ascii="Arial" w:hAnsi="Arial" w:cs="Arial"/>
                <w:bCs/>
              </w:rPr>
            </w:pPr>
          </w:p>
          <w:p w:rsidR="00E92B19" w:rsidRPr="00E92B19" w:rsidRDefault="00E92B19" w:rsidP="00E92B19">
            <w:pPr>
              <w:jc w:val="both"/>
              <w:rPr>
                <w:rFonts w:ascii="Arial" w:hAnsi="Arial" w:cs="Arial"/>
                <w:bCs/>
              </w:rPr>
            </w:pPr>
            <w:r w:rsidRPr="00E92B19">
              <w:rPr>
                <w:rFonts w:ascii="Arial" w:hAnsi="Arial" w:cs="Arial"/>
                <w:bCs/>
              </w:rPr>
              <w:t xml:space="preserve">Mike Bellamy noted that only 10 CQUINs had been agreed and that the main Buckinghamshire CCG and Oxfordshire CCG CQUINs, which made up the majority, were reported as still being negotiated.  He asked what progress was being made.  </w:t>
            </w:r>
            <w:r w:rsidRPr="00E92B19">
              <w:rPr>
                <w:rFonts w:ascii="Arial" w:hAnsi="Arial" w:cs="Arial"/>
                <w:bCs/>
              </w:rPr>
              <w:lastRenderedPageBreak/>
              <w:t xml:space="preserve">The Director of Finance replied that the detailed CQUINs had been developed but had not been reported until they were signed-off; the Oxfordshire contract also provided for penalties to be reinvested in services.  </w:t>
            </w:r>
          </w:p>
          <w:p w:rsidR="00E92B19" w:rsidRPr="00E92B19" w:rsidRDefault="00E92B19" w:rsidP="00E92B19">
            <w:pPr>
              <w:jc w:val="both"/>
              <w:rPr>
                <w:rFonts w:ascii="Arial" w:hAnsi="Arial" w:cs="Arial"/>
                <w:bCs/>
              </w:rPr>
            </w:pPr>
          </w:p>
          <w:p w:rsidR="00E92B19" w:rsidRPr="00E92B19" w:rsidRDefault="00E92B19" w:rsidP="00E92B19">
            <w:pPr>
              <w:jc w:val="both"/>
              <w:rPr>
                <w:rFonts w:ascii="Arial" w:hAnsi="Arial" w:cs="Arial"/>
                <w:bCs/>
              </w:rPr>
            </w:pPr>
            <w:r w:rsidRPr="00E92B19">
              <w:rPr>
                <w:rFonts w:ascii="Arial" w:hAnsi="Arial" w:cs="Arial"/>
                <w:bCs/>
              </w:rPr>
              <w:t>Mike Bellamy noted the challenges in reporting performance data during the transition to the new electronic-Patient Care Support System</w:t>
            </w:r>
            <w:r w:rsidR="00C33FD2">
              <w:rPr>
                <w:rFonts w:ascii="Arial" w:hAnsi="Arial" w:cs="Arial"/>
                <w:bCs/>
              </w:rPr>
              <w:t xml:space="preserve"> (Care Notes)</w:t>
            </w:r>
            <w:r w:rsidRPr="00E92B19">
              <w:rPr>
                <w:rFonts w:ascii="Arial" w:hAnsi="Arial" w:cs="Arial"/>
                <w:bCs/>
              </w:rPr>
              <w:t xml:space="preserve"> and asked how many other organisations the software supplier also needed to support and provide resources to during this period.  The Chief Executive replied that the Trust was the first implementer of the system across both mental health and community services and only a few other organisations were in the pipeline to follow.  The Trust was therefore the first to access supplier capacity but </w:t>
            </w:r>
            <w:r w:rsidR="00C33FD2">
              <w:rPr>
                <w:rFonts w:ascii="Arial" w:hAnsi="Arial" w:cs="Arial"/>
                <w:bCs/>
              </w:rPr>
              <w:t>also needed to contend with more</w:t>
            </w:r>
            <w:r w:rsidRPr="00E92B19">
              <w:rPr>
                <w:rFonts w:ascii="Arial" w:hAnsi="Arial" w:cs="Arial"/>
                <w:bCs/>
              </w:rPr>
              <w:t xml:space="preserve"> of the development work.  The Trust had already decided to delay implementation of the system in community services to allow more development time.  </w:t>
            </w:r>
          </w:p>
          <w:p w:rsidR="00E92B19" w:rsidRPr="00E92B19" w:rsidRDefault="00E92B19" w:rsidP="00E92B19">
            <w:pPr>
              <w:jc w:val="both"/>
              <w:rPr>
                <w:rFonts w:ascii="Arial" w:hAnsi="Arial" w:cs="Arial"/>
                <w:bCs/>
              </w:rPr>
            </w:pPr>
          </w:p>
          <w:p w:rsidR="00E92B19" w:rsidRPr="00E92B19" w:rsidRDefault="00E92B19" w:rsidP="00E92B19">
            <w:pPr>
              <w:jc w:val="both"/>
              <w:rPr>
                <w:rFonts w:ascii="Arial" w:hAnsi="Arial" w:cs="Arial"/>
                <w:b/>
                <w:bCs/>
              </w:rPr>
            </w:pPr>
            <w:r w:rsidRPr="00E92B19">
              <w:rPr>
                <w:rFonts w:ascii="Arial" w:hAnsi="Arial" w:cs="Arial"/>
                <w:b/>
                <w:bCs/>
              </w:rPr>
              <w:t>The Board noted the report.</w:t>
            </w:r>
          </w:p>
          <w:p w:rsidR="00E92B19" w:rsidRPr="00E92B19" w:rsidRDefault="00E92B19" w:rsidP="00404679">
            <w:pPr>
              <w:jc w:val="both"/>
              <w:rPr>
                <w:rFonts w:ascii="Arial" w:hAnsi="Arial" w:cs="Arial"/>
                <w:bCs/>
              </w:rPr>
            </w:pPr>
          </w:p>
        </w:tc>
        <w:tc>
          <w:tcPr>
            <w:tcW w:w="1054" w:type="dxa"/>
          </w:tcPr>
          <w:p w:rsidR="00785867" w:rsidRDefault="00785867" w:rsidP="00687605">
            <w:pPr>
              <w:keepNext/>
              <w:keepLines/>
              <w:rPr>
                <w:rFonts w:ascii="Arial" w:hAnsi="Arial" w:cs="Arial"/>
                <w:b/>
              </w:rPr>
            </w:pP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lastRenderedPageBreak/>
              <w:t xml:space="preserve">BOD </w:t>
            </w:r>
            <w:r>
              <w:rPr>
                <w:rFonts w:ascii="Arial" w:hAnsi="Arial" w:cs="Arial"/>
                <w:b/>
              </w:rPr>
              <w:t>130</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c</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lastRenderedPageBreak/>
              <w:t>d</w:t>
            </w:r>
          </w:p>
        </w:tc>
        <w:tc>
          <w:tcPr>
            <w:tcW w:w="7087" w:type="dxa"/>
          </w:tcPr>
          <w:p w:rsidR="004C0226" w:rsidRDefault="00601452" w:rsidP="00404679">
            <w:pPr>
              <w:jc w:val="both"/>
              <w:rPr>
                <w:rFonts w:ascii="Arial" w:hAnsi="Arial" w:cs="Arial"/>
                <w:bCs/>
              </w:rPr>
            </w:pPr>
            <w:r w:rsidRPr="00601452">
              <w:rPr>
                <w:rFonts w:ascii="Arial" w:hAnsi="Arial" w:cs="Arial"/>
                <w:b/>
                <w:bCs/>
              </w:rPr>
              <w:lastRenderedPageBreak/>
              <w:t>Workforce Performance Report</w:t>
            </w:r>
            <w:r>
              <w:rPr>
                <w:rFonts w:ascii="Arial" w:hAnsi="Arial" w:cs="Arial"/>
                <w:b/>
                <w:bCs/>
              </w:rPr>
              <w:t xml:space="preserve"> </w:t>
            </w:r>
          </w:p>
          <w:p w:rsidR="00601452" w:rsidRDefault="00601452" w:rsidP="00404679">
            <w:pPr>
              <w:jc w:val="both"/>
              <w:rPr>
                <w:rFonts w:ascii="Arial" w:hAnsi="Arial" w:cs="Arial"/>
                <w:bCs/>
              </w:rPr>
            </w:pPr>
          </w:p>
          <w:p w:rsidR="00601452" w:rsidRPr="00601452" w:rsidRDefault="00601452" w:rsidP="00601452">
            <w:pPr>
              <w:jc w:val="both"/>
              <w:rPr>
                <w:rFonts w:ascii="Arial" w:hAnsi="Arial" w:cs="Arial"/>
                <w:bCs/>
              </w:rPr>
            </w:pPr>
            <w:r w:rsidRPr="00601452">
              <w:rPr>
                <w:rFonts w:ascii="Arial" w:hAnsi="Arial" w:cs="Arial"/>
                <w:bCs/>
              </w:rPr>
              <w:t xml:space="preserve">The Director of Finance presented the report BOD 106/2015 which set out performance against a range of workforce indicators.   The Director of Finance outlined the headline key performance indicators against: turnover; sickness; bank and agency usage; and vacancies.  Staff turnover, excluding internal transfers, continued to be high across directorates.  Bank and agency usage also continued to be high, in line with vacancy rates.  Sickness absence however had decreased significantly and was at the lowest reported rate since June 2011.  Whistleblowing cases were down over this period last year.  </w:t>
            </w:r>
          </w:p>
          <w:p w:rsidR="00601452" w:rsidRPr="00601452" w:rsidRDefault="00601452" w:rsidP="00601452">
            <w:pPr>
              <w:jc w:val="both"/>
              <w:rPr>
                <w:rFonts w:ascii="Arial" w:hAnsi="Arial" w:cs="Arial"/>
                <w:bCs/>
              </w:rPr>
            </w:pPr>
          </w:p>
          <w:p w:rsidR="00601452" w:rsidRPr="00601452" w:rsidRDefault="00601452" w:rsidP="00601452">
            <w:pPr>
              <w:jc w:val="both"/>
              <w:rPr>
                <w:rFonts w:ascii="Arial" w:hAnsi="Arial" w:cs="Arial"/>
                <w:bCs/>
              </w:rPr>
            </w:pPr>
            <w:r w:rsidRPr="00601452">
              <w:rPr>
                <w:rFonts w:ascii="Arial" w:hAnsi="Arial" w:cs="Arial"/>
                <w:bCs/>
              </w:rPr>
              <w:t xml:space="preserve">Anne Grocock and the Chief Operating Officer noted that the reference on page 19 to the end of the pilot offering rapid access to musculoskeletal physiotherapy for staff may not be accurate given the support being provided through the Trust’s charitable funds.  </w:t>
            </w:r>
            <w:r w:rsidR="00C25240">
              <w:rPr>
                <w:rFonts w:ascii="Arial" w:hAnsi="Arial" w:cs="Arial"/>
                <w:bCs/>
              </w:rPr>
              <w:t xml:space="preserve">To check and, if appropriate, amend. </w:t>
            </w:r>
          </w:p>
          <w:p w:rsidR="00601452" w:rsidRPr="00601452" w:rsidRDefault="00601452" w:rsidP="00601452">
            <w:pPr>
              <w:jc w:val="both"/>
              <w:rPr>
                <w:rFonts w:ascii="Arial" w:hAnsi="Arial" w:cs="Arial"/>
                <w:bCs/>
              </w:rPr>
            </w:pPr>
          </w:p>
          <w:p w:rsidR="00601452" w:rsidRPr="00601452" w:rsidRDefault="00601452" w:rsidP="00601452">
            <w:pPr>
              <w:jc w:val="both"/>
              <w:rPr>
                <w:rFonts w:ascii="Arial" w:hAnsi="Arial" w:cs="Arial"/>
                <w:bCs/>
              </w:rPr>
            </w:pPr>
            <w:r w:rsidRPr="00601452">
              <w:rPr>
                <w:rFonts w:ascii="Arial" w:hAnsi="Arial" w:cs="Arial"/>
                <w:bCs/>
              </w:rPr>
              <w:t xml:space="preserve">Mike Bellamy </w:t>
            </w:r>
            <w:r w:rsidR="00C33FD2">
              <w:rPr>
                <w:rFonts w:ascii="Arial" w:hAnsi="Arial" w:cs="Arial"/>
                <w:bCs/>
              </w:rPr>
              <w:t xml:space="preserve">referred to the discussion at item BOD </w:t>
            </w:r>
            <w:r w:rsidR="00C33FD2" w:rsidRPr="00C33FD2">
              <w:rPr>
                <w:rFonts w:ascii="Arial" w:hAnsi="Arial" w:cs="Arial"/>
                <w:bCs/>
              </w:rPr>
              <w:t>127/15</w:t>
            </w:r>
            <w:r w:rsidR="00C33FD2">
              <w:rPr>
                <w:rFonts w:ascii="Arial" w:hAnsi="Arial" w:cs="Arial"/>
                <w:bCs/>
              </w:rPr>
              <w:t xml:space="preserve">(b) above and </w:t>
            </w:r>
            <w:r w:rsidRPr="00601452">
              <w:rPr>
                <w:rFonts w:ascii="Arial" w:hAnsi="Arial" w:cs="Arial"/>
                <w:bCs/>
              </w:rPr>
              <w:t xml:space="preserve">asked whether extending notice periods would reduce the gap between staff leaving and new staff joining and thereby reduce the amount of time which bank or agency staff were required for.  The Director of Finance replied that this was subject to discussion which was ongoing with unions and the Staff Partnership, Negotiation and Consultative Committee.  </w:t>
            </w:r>
          </w:p>
          <w:p w:rsidR="00601452" w:rsidRPr="00601452" w:rsidRDefault="00601452" w:rsidP="00601452">
            <w:pPr>
              <w:jc w:val="both"/>
              <w:rPr>
                <w:rFonts w:ascii="Arial" w:hAnsi="Arial" w:cs="Arial"/>
                <w:b/>
                <w:bCs/>
              </w:rPr>
            </w:pPr>
            <w:r w:rsidRPr="00601452">
              <w:rPr>
                <w:rFonts w:ascii="Arial" w:hAnsi="Arial" w:cs="Arial"/>
                <w:b/>
                <w:bCs/>
              </w:rPr>
              <w:lastRenderedPageBreak/>
              <w:t>The Board noted the report.</w:t>
            </w:r>
          </w:p>
          <w:p w:rsidR="00601452" w:rsidRPr="00601452" w:rsidRDefault="00601452" w:rsidP="00404679">
            <w:pPr>
              <w:jc w:val="both"/>
              <w:rPr>
                <w:rFonts w:ascii="Arial" w:hAnsi="Arial" w:cs="Arial"/>
                <w:bCs/>
              </w:rPr>
            </w:pPr>
          </w:p>
        </w:tc>
        <w:tc>
          <w:tcPr>
            <w:tcW w:w="1054" w:type="dxa"/>
          </w:tcPr>
          <w:p w:rsidR="004C0226" w:rsidRDefault="004C0226"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p>
          <w:p w:rsidR="00432C48" w:rsidRDefault="00432C48" w:rsidP="00687605">
            <w:pPr>
              <w:keepNext/>
              <w:keepLines/>
              <w:rPr>
                <w:rFonts w:ascii="Arial" w:hAnsi="Arial" w:cs="Arial"/>
                <w:b/>
              </w:rPr>
            </w:pPr>
            <w:r>
              <w:rPr>
                <w:rFonts w:ascii="Arial" w:hAnsi="Arial" w:cs="Arial"/>
                <w:b/>
              </w:rPr>
              <w:t>MME</w:t>
            </w: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lastRenderedPageBreak/>
              <w:t xml:space="preserve">BOD </w:t>
            </w:r>
            <w:r>
              <w:rPr>
                <w:rFonts w:ascii="Arial" w:hAnsi="Arial" w:cs="Arial"/>
                <w:b/>
              </w:rPr>
              <w:t>131</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b</w:t>
            </w:r>
          </w:p>
        </w:tc>
        <w:tc>
          <w:tcPr>
            <w:tcW w:w="7087" w:type="dxa"/>
          </w:tcPr>
          <w:p w:rsidR="004C0226" w:rsidRDefault="00601452" w:rsidP="00404679">
            <w:pPr>
              <w:jc w:val="both"/>
              <w:rPr>
                <w:rFonts w:ascii="Arial" w:hAnsi="Arial" w:cs="Arial"/>
                <w:bCs/>
              </w:rPr>
            </w:pPr>
            <w:r w:rsidRPr="00601452">
              <w:rPr>
                <w:rFonts w:ascii="Arial" w:hAnsi="Arial" w:cs="Arial"/>
                <w:b/>
                <w:bCs/>
              </w:rPr>
              <w:t>Fit and Proper Persons Test (FPPT) Update Report</w:t>
            </w:r>
            <w:r>
              <w:rPr>
                <w:rFonts w:ascii="Arial" w:hAnsi="Arial" w:cs="Arial"/>
                <w:b/>
                <w:bCs/>
              </w:rPr>
              <w:t xml:space="preserve"> </w:t>
            </w:r>
          </w:p>
          <w:p w:rsidR="00601452" w:rsidRDefault="00601452" w:rsidP="00404679">
            <w:pPr>
              <w:jc w:val="both"/>
              <w:rPr>
                <w:rFonts w:ascii="Arial" w:hAnsi="Arial" w:cs="Arial"/>
                <w:bCs/>
              </w:rPr>
            </w:pPr>
          </w:p>
          <w:p w:rsidR="00601452" w:rsidRPr="00601452" w:rsidRDefault="00601452" w:rsidP="00601452">
            <w:pPr>
              <w:jc w:val="both"/>
              <w:rPr>
                <w:rFonts w:ascii="Arial" w:hAnsi="Arial" w:cs="Arial"/>
                <w:bCs/>
              </w:rPr>
            </w:pPr>
            <w:r w:rsidRPr="00601452">
              <w:rPr>
                <w:rFonts w:ascii="Arial" w:hAnsi="Arial" w:cs="Arial"/>
                <w:bCs/>
              </w:rPr>
              <w:t xml:space="preserve">The Director of Finance presented paper BOD 107/2015 which provided an update on the current status of the FPPT checks. </w:t>
            </w:r>
          </w:p>
          <w:p w:rsidR="00601452" w:rsidRPr="00601452" w:rsidRDefault="00601452" w:rsidP="00601452">
            <w:pPr>
              <w:jc w:val="both"/>
              <w:rPr>
                <w:rFonts w:ascii="Arial" w:hAnsi="Arial" w:cs="Arial"/>
                <w:bCs/>
              </w:rPr>
            </w:pPr>
          </w:p>
          <w:p w:rsidR="00601452" w:rsidRPr="00601452" w:rsidRDefault="00601452" w:rsidP="00601452">
            <w:pPr>
              <w:jc w:val="both"/>
              <w:rPr>
                <w:rFonts w:ascii="Arial" w:hAnsi="Arial" w:cs="Arial"/>
                <w:b/>
                <w:bCs/>
              </w:rPr>
            </w:pPr>
            <w:r w:rsidRPr="00601452">
              <w:rPr>
                <w:rFonts w:ascii="Arial" w:hAnsi="Arial" w:cs="Arial"/>
                <w:b/>
                <w:bCs/>
              </w:rPr>
              <w:t xml:space="preserve">The Board noted the report.  </w:t>
            </w:r>
          </w:p>
          <w:p w:rsidR="00601452" w:rsidRPr="00601452" w:rsidRDefault="00601452" w:rsidP="00404679">
            <w:pPr>
              <w:jc w:val="both"/>
              <w:rPr>
                <w:rFonts w:ascii="Arial" w:hAnsi="Arial" w:cs="Arial"/>
                <w:bCs/>
              </w:rPr>
            </w:pPr>
          </w:p>
        </w:tc>
        <w:tc>
          <w:tcPr>
            <w:tcW w:w="1054" w:type="dxa"/>
          </w:tcPr>
          <w:p w:rsidR="004C0226" w:rsidRDefault="004C0226" w:rsidP="00687605">
            <w:pPr>
              <w:keepNext/>
              <w:keepLines/>
              <w:rPr>
                <w:rFonts w:ascii="Arial" w:hAnsi="Arial" w:cs="Arial"/>
                <w:b/>
              </w:rPr>
            </w:pP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t xml:space="preserve">BOD </w:t>
            </w:r>
            <w:r>
              <w:rPr>
                <w:rFonts w:ascii="Arial" w:hAnsi="Arial" w:cs="Arial"/>
                <w:b/>
              </w:rPr>
              <w:t>132</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b</w:t>
            </w:r>
          </w:p>
        </w:tc>
        <w:tc>
          <w:tcPr>
            <w:tcW w:w="7087" w:type="dxa"/>
          </w:tcPr>
          <w:p w:rsidR="004C0226" w:rsidRDefault="007F3B48" w:rsidP="00404679">
            <w:pPr>
              <w:jc w:val="both"/>
              <w:rPr>
                <w:rFonts w:ascii="Arial" w:hAnsi="Arial" w:cs="Arial"/>
                <w:bCs/>
              </w:rPr>
            </w:pPr>
            <w:r w:rsidRPr="007F3B48">
              <w:rPr>
                <w:rFonts w:ascii="Arial" w:hAnsi="Arial" w:cs="Arial"/>
                <w:b/>
                <w:bCs/>
              </w:rPr>
              <w:t>Trust Constitution – Board of Directors</w:t>
            </w:r>
            <w:r>
              <w:rPr>
                <w:rFonts w:ascii="Arial" w:hAnsi="Arial" w:cs="Arial"/>
                <w:b/>
                <w:bCs/>
              </w:rPr>
              <w:t xml:space="preserve"> </w:t>
            </w:r>
          </w:p>
          <w:p w:rsidR="007F3B48" w:rsidRDefault="007F3B48" w:rsidP="00404679">
            <w:pPr>
              <w:jc w:val="both"/>
              <w:rPr>
                <w:rFonts w:ascii="Arial" w:hAnsi="Arial" w:cs="Arial"/>
                <w:bCs/>
              </w:rPr>
            </w:pPr>
          </w:p>
          <w:p w:rsidR="007F3B48" w:rsidRPr="007F3B48" w:rsidRDefault="007F3B48" w:rsidP="007F3B48">
            <w:pPr>
              <w:jc w:val="both"/>
              <w:rPr>
                <w:rFonts w:ascii="Arial" w:hAnsi="Arial" w:cs="Arial"/>
                <w:bCs/>
              </w:rPr>
            </w:pPr>
            <w:r w:rsidRPr="007F3B48">
              <w:rPr>
                <w:rFonts w:ascii="Arial" w:hAnsi="Arial" w:cs="Arial"/>
                <w:bCs/>
              </w:rPr>
              <w:t xml:space="preserve">The </w:t>
            </w:r>
            <w:r w:rsidR="009E5BB1">
              <w:rPr>
                <w:rFonts w:ascii="Arial" w:hAnsi="Arial" w:cs="Arial"/>
                <w:bCs/>
              </w:rPr>
              <w:t>Chair</w:t>
            </w:r>
            <w:r w:rsidRPr="007F3B48">
              <w:rPr>
                <w:rFonts w:ascii="Arial" w:hAnsi="Arial" w:cs="Arial"/>
                <w:bCs/>
              </w:rPr>
              <w:t xml:space="preserve"> presented paper BOD 108/2015 and the proposed amendment to the Constitution.  As the Trust entered into more partnership and joint working arrangements within the wider health service economy, it may become expedient for members of the Board to take on formal roles such as that of a governor in another NHS foundation trust.  It was proposed to amend the Constitution to facilitate this, subject to review and, if appropriate, approval by the Council of Governors.  </w:t>
            </w:r>
          </w:p>
          <w:p w:rsidR="007F3B48" w:rsidRPr="007F3B48" w:rsidRDefault="007F3B48" w:rsidP="007F3B48">
            <w:pPr>
              <w:jc w:val="both"/>
              <w:rPr>
                <w:rFonts w:ascii="Arial" w:hAnsi="Arial" w:cs="Arial"/>
                <w:bCs/>
              </w:rPr>
            </w:pPr>
          </w:p>
          <w:p w:rsidR="007F3B48" w:rsidRPr="007F3B48" w:rsidRDefault="007F3B48" w:rsidP="007F3B48">
            <w:pPr>
              <w:jc w:val="both"/>
              <w:rPr>
                <w:rFonts w:ascii="Arial" w:hAnsi="Arial" w:cs="Arial"/>
                <w:b/>
                <w:bCs/>
              </w:rPr>
            </w:pPr>
            <w:r w:rsidRPr="007F3B48">
              <w:rPr>
                <w:rFonts w:ascii="Arial" w:hAnsi="Arial" w:cs="Arial"/>
                <w:b/>
                <w:bCs/>
              </w:rPr>
              <w:t xml:space="preserve">The Board APPROVED the proposed amendment and RECOMMENDED the proposal for presentation to the Council of Governors for final approval.  </w:t>
            </w:r>
          </w:p>
          <w:p w:rsidR="007F3B48" w:rsidRPr="007F3B48" w:rsidRDefault="007F3B48" w:rsidP="007F3B48">
            <w:pPr>
              <w:jc w:val="both"/>
              <w:rPr>
                <w:rFonts w:ascii="Arial" w:hAnsi="Arial" w:cs="Arial"/>
                <w:bCs/>
              </w:rPr>
            </w:pPr>
          </w:p>
        </w:tc>
        <w:tc>
          <w:tcPr>
            <w:tcW w:w="1054" w:type="dxa"/>
          </w:tcPr>
          <w:p w:rsidR="004C0226" w:rsidRDefault="004C0226" w:rsidP="00687605">
            <w:pPr>
              <w:keepNext/>
              <w:keepLines/>
              <w:rPr>
                <w:rFonts w:ascii="Arial" w:hAnsi="Arial" w:cs="Arial"/>
                <w:b/>
              </w:rPr>
            </w:pP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t xml:space="preserve">BOD </w:t>
            </w:r>
            <w:r>
              <w:rPr>
                <w:rFonts w:ascii="Arial" w:hAnsi="Arial" w:cs="Arial"/>
                <w:b/>
              </w:rPr>
              <w:t>133</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c</w:t>
            </w:r>
          </w:p>
        </w:tc>
        <w:tc>
          <w:tcPr>
            <w:tcW w:w="7087" w:type="dxa"/>
          </w:tcPr>
          <w:p w:rsidR="004C0226" w:rsidRDefault="006962EE" w:rsidP="00404679">
            <w:pPr>
              <w:jc w:val="both"/>
              <w:rPr>
                <w:rFonts w:ascii="Arial" w:hAnsi="Arial" w:cs="Arial"/>
                <w:bCs/>
              </w:rPr>
            </w:pPr>
            <w:r w:rsidRPr="006962EE">
              <w:rPr>
                <w:rFonts w:ascii="Arial" w:hAnsi="Arial" w:cs="Arial"/>
                <w:b/>
                <w:bCs/>
              </w:rPr>
              <w:t>Business Plan Q1 2015/16 Report</w:t>
            </w:r>
            <w:r>
              <w:rPr>
                <w:rFonts w:ascii="Arial" w:hAnsi="Arial" w:cs="Arial"/>
                <w:b/>
                <w:bCs/>
              </w:rPr>
              <w:t xml:space="preserve"> </w:t>
            </w:r>
          </w:p>
          <w:p w:rsidR="006962EE" w:rsidRDefault="006962EE" w:rsidP="00404679">
            <w:pPr>
              <w:jc w:val="both"/>
              <w:rPr>
                <w:rFonts w:ascii="Arial" w:hAnsi="Arial" w:cs="Arial"/>
                <w:bCs/>
              </w:rPr>
            </w:pPr>
          </w:p>
          <w:p w:rsidR="006962EE" w:rsidRPr="006962EE" w:rsidRDefault="006962EE" w:rsidP="006962EE">
            <w:pPr>
              <w:jc w:val="both"/>
              <w:rPr>
                <w:rFonts w:ascii="Arial" w:hAnsi="Arial" w:cs="Arial"/>
                <w:bCs/>
              </w:rPr>
            </w:pPr>
            <w:r w:rsidRPr="006962EE">
              <w:rPr>
                <w:rFonts w:ascii="Arial" w:hAnsi="Arial" w:cs="Arial"/>
                <w:bCs/>
              </w:rPr>
              <w:t xml:space="preserve">The Director of Finance presented paper BOD 109/2015 which summarised progress against the Business Plan.  </w:t>
            </w:r>
          </w:p>
          <w:p w:rsidR="006962EE" w:rsidRPr="006962EE" w:rsidRDefault="006962EE" w:rsidP="006962EE">
            <w:pPr>
              <w:jc w:val="both"/>
              <w:rPr>
                <w:rFonts w:ascii="Arial" w:hAnsi="Arial" w:cs="Arial"/>
                <w:bCs/>
              </w:rPr>
            </w:pPr>
          </w:p>
          <w:p w:rsidR="006962EE" w:rsidRPr="006962EE" w:rsidRDefault="006962EE" w:rsidP="006962EE">
            <w:pPr>
              <w:jc w:val="both"/>
              <w:rPr>
                <w:rFonts w:ascii="Arial" w:hAnsi="Arial" w:cs="Arial"/>
                <w:bCs/>
              </w:rPr>
            </w:pPr>
            <w:r w:rsidRPr="006962EE">
              <w:rPr>
                <w:rFonts w:ascii="Arial" w:hAnsi="Arial" w:cs="Arial"/>
                <w:bCs/>
              </w:rPr>
              <w:t xml:space="preserve">The </w:t>
            </w:r>
            <w:r w:rsidR="009E5BB1">
              <w:rPr>
                <w:rFonts w:ascii="Arial" w:hAnsi="Arial" w:cs="Arial"/>
                <w:bCs/>
              </w:rPr>
              <w:t>Chair</w:t>
            </w:r>
            <w:r w:rsidRPr="006962EE">
              <w:rPr>
                <w:rFonts w:ascii="Arial" w:hAnsi="Arial" w:cs="Arial"/>
                <w:bCs/>
              </w:rPr>
              <w:t xml:space="preserve"> referred to the Estates and Facilities plans and asked about progress on implementing car parking policies.  The Director of Finance replied that implementation would take place </w:t>
            </w:r>
            <w:r w:rsidR="00370E1D">
              <w:rPr>
                <w:rFonts w:ascii="Arial" w:hAnsi="Arial" w:cs="Arial"/>
                <w:bCs/>
              </w:rPr>
              <w:t>during 2015/16</w:t>
            </w:r>
            <w:r w:rsidRPr="006962EE">
              <w:rPr>
                <w:rFonts w:ascii="Arial" w:hAnsi="Arial" w:cs="Arial"/>
                <w:bCs/>
              </w:rPr>
              <w:t xml:space="preserve">. </w:t>
            </w:r>
          </w:p>
          <w:p w:rsidR="006962EE" w:rsidRPr="006962EE" w:rsidRDefault="006962EE" w:rsidP="006962EE">
            <w:pPr>
              <w:jc w:val="both"/>
              <w:rPr>
                <w:rFonts w:ascii="Arial" w:hAnsi="Arial" w:cs="Arial"/>
                <w:bCs/>
              </w:rPr>
            </w:pPr>
          </w:p>
          <w:p w:rsidR="006962EE" w:rsidRPr="006962EE" w:rsidRDefault="006962EE" w:rsidP="006962EE">
            <w:pPr>
              <w:jc w:val="both"/>
              <w:rPr>
                <w:rFonts w:ascii="Arial" w:hAnsi="Arial" w:cs="Arial"/>
                <w:b/>
                <w:bCs/>
              </w:rPr>
            </w:pPr>
            <w:r w:rsidRPr="006962EE">
              <w:rPr>
                <w:rFonts w:ascii="Arial" w:hAnsi="Arial" w:cs="Arial"/>
                <w:b/>
                <w:bCs/>
              </w:rPr>
              <w:t>The Board noted the report.</w:t>
            </w:r>
          </w:p>
          <w:p w:rsidR="006962EE" w:rsidRPr="006962EE" w:rsidRDefault="006962EE" w:rsidP="00404679">
            <w:pPr>
              <w:jc w:val="both"/>
              <w:rPr>
                <w:rFonts w:ascii="Arial" w:hAnsi="Arial" w:cs="Arial"/>
                <w:bCs/>
              </w:rPr>
            </w:pPr>
          </w:p>
        </w:tc>
        <w:tc>
          <w:tcPr>
            <w:tcW w:w="1054" w:type="dxa"/>
          </w:tcPr>
          <w:p w:rsidR="004C0226" w:rsidRDefault="004C0226" w:rsidP="00687605">
            <w:pPr>
              <w:keepNext/>
              <w:keepLines/>
              <w:rPr>
                <w:rFonts w:ascii="Arial" w:hAnsi="Arial" w:cs="Arial"/>
                <w:b/>
              </w:rPr>
            </w:pP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t xml:space="preserve">BOD </w:t>
            </w:r>
            <w:r>
              <w:rPr>
                <w:rFonts w:ascii="Arial" w:hAnsi="Arial" w:cs="Arial"/>
                <w:b/>
              </w:rPr>
              <w:t>134</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lastRenderedPageBreak/>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c</w:t>
            </w:r>
          </w:p>
        </w:tc>
        <w:tc>
          <w:tcPr>
            <w:tcW w:w="7087" w:type="dxa"/>
          </w:tcPr>
          <w:p w:rsidR="004C0226" w:rsidRDefault="006962EE" w:rsidP="00404679">
            <w:pPr>
              <w:jc w:val="both"/>
              <w:rPr>
                <w:rFonts w:ascii="Arial" w:hAnsi="Arial" w:cs="Arial"/>
                <w:bCs/>
              </w:rPr>
            </w:pPr>
            <w:r w:rsidRPr="006962EE">
              <w:rPr>
                <w:rFonts w:ascii="Arial" w:hAnsi="Arial" w:cs="Arial"/>
                <w:b/>
                <w:bCs/>
              </w:rPr>
              <w:lastRenderedPageBreak/>
              <w:t>Board Assurance Framework (BAF) Q1 2015/16 Report</w:t>
            </w:r>
            <w:r>
              <w:rPr>
                <w:rFonts w:ascii="Arial" w:hAnsi="Arial" w:cs="Arial"/>
                <w:b/>
                <w:bCs/>
              </w:rPr>
              <w:t xml:space="preserve"> </w:t>
            </w:r>
          </w:p>
          <w:p w:rsidR="006962EE" w:rsidRDefault="006962EE" w:rsidP="00404679">
            <w:pPr>
              <w:jc w:val="both"/>
              <w:rPr>
                <w:rFonts w:ascii="Arial" w:hAnsi="Arial" w:cs="Arial"/>
                <w:bCs/>
              </w:rPr>
            </w:pPr>
          </w:p>
          <w:p w:rsidR="006962EE" w:rsidRPr="006962EE" w:rsidRDefault="006962EE" w:rsidP="006962EE">
            <w:pPr>
              <w:jc w:val="both"/>
              <w:rPr>
                <w:rFonts w:ascii="Arial" w:hAnsi="Arial" w:cs="Arial"/>
                <w:bCs/>
              </w:rPr>
            </w:pPr>
            <w:r w:rsidRPr="006962EE">
              <w:rPr>
                <w:rFonts w:ascii="Arial" w:hAnsi="Arial" w:cs="Arial"/>
                <w:bCs/>
              </w:rPr>
              <w:t xml:space="preserve">The Chief Executive presented paper BOD 110/2015 on the position of the BAF and highlighted the discussion at the Executive and Finance and Investment Committee meetings on the reporting against extreme and high BAF risk areas to the Board or </w:t>
            </w:r>
            <w:r w:rsidR="00556725">
              <w:rPr>
                <w:rFonts w:ascii="Arial" w:hAnsi="Arial" w:cs="Arial"/>
                <w:bCs/>
              </w:rPr>
              <w:t xml:space="preserve">to </w:t>
            </w:r>
            <w:r w:rsidRPr="006962EE">
              <w:rPr>
                <w:rFonts w:ascii="Arial" w:hAnsi="Arial" w:cs="Arial"/>
                <w:bCs/>
              </w:rPr>
              <w:t xml:space="preserve">Board sub-committees.  Lyn Williams added that the Finance and Investment Committee was willing to receive reporting against BAF risk area SO 2.2 in relation to business planning arrangements, subject to agreement by the Board.  </w:t>
            </w:r>
          </w:p>
          <w:p w:rsidR="006962EE" w:rsidRPr="006962EE" w:rsidRDefault="006962EE" w:rsidP="006962EE">
            <w:pPr>
              <w:jc w:val="both"/>
              <w:rPr>
                <w:rFonts w:ascii="Arial" w:hAnsi="Arial" w:cs="Arial"/>
                <w:bCs/>
              </w:rPr>
            </w:pPr>
            <w:r w:rsidRPr="006962EE">
              <w:rPr>
                <w:rFonts w:ascii="Arial" w:hAnsi="Arial" w:cs="Arial"/>
                <w:bCs/>
              </w:rPr>
              <w:lastRenderedPageBreak/>
              <w:t xml:space="preserve">The Board discussed BAF risk SO 4.2 in relation to external partners and noted that this was regularly discussed at the Board and the Board had oversight of this.  </w:t>
            </w:r>
          </w:p>
          <w:p w:rsidR="006962EE" w:rsidRPr="006962EE" w:rsidRDefault="006962EE" w:rsidP="006962EE">
            <w:pPr>
              <w:jc w:val="both"/>
              <w:rPr>
                <w:rFonts w:ascii="Arial" w:hAnsi="Arial" w:cs="Arial"/>
                <w:bCs/>
              </w:rPr>
            </w:pPr>
          </w:p>
          <w:p w:rsidR="006962EE" w:rsidRPr="006962EE" w:rsidRDefault="006962EE" w:rsidP="006962EE">
            <w:pPr>
              <w:jc w:val="both"/>
              <w:rPr>
                <w:rFonts w:ascii="Arial" w:hAnsi="Arial" w:cs="Arial"/>
                <w:b/>
                <w:bCs/>
              </w:rPr>
            </w:pPr>
            <w:r w:rsidRPr="006962EE">
              <w:rPr>
                <w:rFonts w:ascii="Arial" w:hAnsi="Arial" w:cs="Arial"/>
                <w:b/>
                <w:bCs/>
              </w:rPr>
              <w:t xml:space="preserve">The Board noted the report and AGREED that the Finance and Investment Committee should </w:t>
            </w:r>
            <w:r w:rsidR="00D64A68">
              <w:rPr>
                <w:rFonts w:ascii="Arial" w:hAnsi="Arial" w:cs="Arial"/>
                <w:b/>
                <w:bCs/>
              </w:rPr>
              <w:t xml:space="preserve">receive reporting in relation to </w:t>
            </w:r>
            <w:r w:rsidRPr="006962EE">
              <w:rPr>
                <w:rFonts w:ascii="Arial" w:hAnsi="Arial" w:cs="Arial"/>
                <w:b/>
                <w:bCs/>
              </w:rPr>
              <w:t xml:space="preserve">BAF risk SO 2.2 </w:t>
            </w:r>
            <w:r w:rsidR="00D64A68">
              <w:rPr>
                <w:rFonts w:ascii="Arial" w:hAnsi="Arial" w:cs="Arial"/>
                <w:b/>
                <w:bCs/>
              </w:rPr>
              <w:t xml:space="preserve">around </w:t>
            </w:r>
            <w:r w:rsidRPr="006962EE">
              <w:rPr>
                <w:rFonts w:ascii="Arial" w:hAnsi="Arial" w:cs="Arial"/>
                <w:b/>
                <w:bCs/>
              </w:rPr>
              <w:t xml:space="preserve">business planning arrangements.  </w:t>
            </w:r>
          </w:p>
          <w:p w:rsidR="006962EE" w:rsidRPr="006962EE" w:rsidRDefault="006962EE" w:rsidP="00404679">
            <w:pPr>
              <w:jc w:val="both"/>
              <w:rPr>
                <w:rFonts w:ascii="Arial" w:hAnsi="Arial" w:cs="Arial"/>
                <w:bCs/>
              </w:rPr>
            </w:pPr>
          </w:p>
        </w:tc>
        <w:tc>
          <w:tcPr>
            <w:tcW w:w="1054" w:type="dxa"/>
          </w:tcPr>
          <w:p w:rsidR="004C0226" w:rsidRDefault="004C0226"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p>
          <w:p w:rsidR="00D64A68" w:rsidRDefault="00D64A68" w:rsidP="00687605">
            <w:pPr>
              <w:keepNext/>
              <w:keepLines/>
              <w:rPr>
                <w:rFonts w:ascii="Arial" w:hAnsi="Arial" w:cs="Arial"/>
                <w:b/>
              </w:rPr>
            </w:pPr>
            <w:r>
              <w:rPr>
                <w:rFonts w:ascii="Arial" w:hAnsi="Arial" w:cs="Arial"/>
                <w:b/>
              </w:rPr>
              <w:t>HS</w:t>
            </w: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lastRenderedPageBreak/>
              <w:t xml:space="preserve">BOD </w:t>
            </w:r>
            <w:r>
              <w:rPr>
                <w:rFonts w:ascii="Arial" w:hAnsi="Arial" w:cs="Arial"/>
                <w:b/>
              </w:rPr>
              <w:t>135</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Default="007C72FC">
            <w:pPr>
              <w:rPr>
                <w:rFonts w:ascii="Arial" w:hAnsi="Arial" w:cs="Arial"/>
              </w:rPr>
            </w:pPr>
          </w:p>
          <w:p w:rsidR="007C72FC" w:rsidRPr="00B74723" w:rsidRDefault="007C72FC">
            <w:r>
              <w:rPr>
                <w:rFonts w:ascii="Arial" w:hAnsi="Arial" w:cs="Arial"/>
              </w:rPr>
              <w:t>c</w:t>
            </w:r>
          </w:p>
        </w:tc>
        <w:tc>
          <w:tcPr>
            <w:tcW w:w="7087" w:type="dxa"/>
          </w:tcPr>
          <w:p w:rsidR="004C0226" w:rsidRDefault="00674939" w:rsidP="00404679">
            <w:pPr>
              <w:jc w:val="both"/>
              <w:rPr>
                <w:rFonts w:ascii="Arial" w:hAnsi="Arial" w:cs="Arial"/>
                <w:bCs/>
              </w:rPr>
            </w:pPr>
            <w:r w:rsidRPr="00674939">
              <w:rPr>
                <w:rFonts w:ascii="Arial" w:hAnsi="Arial" w:cs="Arial"/>
                <w:b/>
                <w:bCs/>
              </w:rPr>
              <w:t>In-year submission to Monitor – Q1 2015/16 Report</w:t>
            </w:r>
            <w:r>
              <w:rPr>
                <w:rFonts w:ascii="Arial" w:hAnsi="Arial" w:cs="Arial"/>
                <w:b/>
                <w:bCs/>
              </w:rPr>
              <w:t xml:space="preserve"> </w:t>
            </w:r>
          </w:p>
          <w:p w:rsidR="00674939" w:rsidRDefault="00674939" w:rsidP="00404679">
            <w:pPr>
              <w:jc w:val="both"/>
              <w:rPr>
                <w:rFonts w:ascii="Arial" w:hAnsi="Arial" w:cs="Arial"/>
                <w:bCs/>
              </w:rPr>
            </w:pPr>
          </w:p>
          <w:p w:rsidR="007C72FC" w:rsidRDefault="00674939" w:rsidP="00674939">
            <w:pPr>
              <w:jc w:val="both"/>
              <w:rPr>
                <w:rFonts w:ascii="Arial" w:hAnsi="Arial" w:cs="Arial"/>
                <w:bCs/>
              </w:rPr>
            </w:pPr>
            <w:r w:rsidRPr="00674939">
              <w:rPr>
                <w:rFonts w:ascii="Arial" w:hAnsi="Arial" w:cs="Arial"/>
                <w:bCs/>
              </w:rPr>
              <w:t>The Director of Finance presented paper BOD 111/2015 which set out the reporting requirements to Monitor and the proposed Q1 submission.   He noted that other reports presented to the Board, including the Finance Report and the Performance Report</w:t>
            </w:r>
            <w:r w:rsidR="00D64A68">
              <w:rPr>
                <w:rFonts w:ascii="Arial" w:hAnsi="Arial" w:cs="Arial"/>
                <w:bCs/>
              </w:rPr>
              <w:t xml:space="preserve"> discussed at items BOD </w:t>
            </w:r>
            <w:r w:rsidR="00D64A68" w:rsidRPr="00D64A68">
              <w:rPr>
                <w:rFonts w:ascii="Arial" w:hAnsi="Arial" w:cs="Arial"/>
                <w:bCs/>
              </w:rPr>
              <w:t>128/15</w:t>
            </w:r>
            <w:r w:rsidR="00D64A68">
              <w:rPr>
                <w:rFonts w:ascii="Arial" w:hAnsi="Arial" w:cs="Arial"/>
                <w:bCs/>
              </w:rPr>
              <w:t xml:space="preserve"> and BOD 129/15 </w:t>
            </w:r>
            <w:proofErr w:type="gramStart"/>
            <w:r w:rsidR="00D64A68">
              <w:rPr>
                <w:rFonts w:ascii="Arial" w:hAnsi="Arial" w:cs="Arial"/>
                <w:bCs/>
              </w:rPr>
              <w:t>above</w:t>
            </w:r>
            <w:r w:rsidRPr="00674939">
              <w:rPr>
                <w:rFonts w:ascii="Arial" w:hAnsi="Arial" w:cs="Arial"/>
                <w:bCs/>
              </w:rPr>
              <w:t>,</w:t>
            </w:r>
            <w:proofErr w:type="gramEnd"/>
            <w:r w:rsidRPr="00674939">
              <w:rPr>
                <w:rFonts w:ascii="Arial" w:hAnsi="Arial" w:cs="Arial"/>
                <w:bCs/>
              </w:rPr>
              <w:t xml:space="preserve"> had provided the data to support the proposed submission.  </w:t>
            </w:r>
          </w:p>
          <w:p w:rsidR="007C72FC" w:rsidRDefault="007C72FC" w:rsidP="00674939">
            <w:pPr>
              <w:jc w:val="both"/>
              <w:rPr>
                <w:rFonts w:ascii="Arial" w:hAnsi="Arial" w:cs="Arial"/>
                <w:bCs/>
              </w:rPr>
            </w:pPr>
          </w:p>
          <w:p w:rsidR="00674939" w:rsidRPr="00674939" w:rsidRDefault="00674939" w:rsidP="00674939">
            <w:pPr>
              <w:jc w:val="both"/>
              <w:rPr>
                <w:rFonts w:ascii="Arial" w:hAnsi="Arial" w:cs="Arial"/>
                <w:bCs/>
              </w:rPr>
            </w:pPr>
            <w:r w:rsidRPr="00674939">
              <w:rPr>
                <w:rFonts w:ascii="Arial" w:hAnsi="Arial" w:cs="Arial"/>
                <w:bCs/>
              </w:rPr>
              <w:t xml:space="preserve">The CPA target had been discussed at item </w:t>
            </w:r>
            <w:r w:rsidR="00B74723">
              <w:rPr>
                <w:rFonts w:ascii="Arial" w:hAnsi="Arial" w:cs="Arial"/>
                <w:bCs/>
              </w:rPr>
              <w:t xml:space="preserve">BOD </w:t>
            </w:r>
            <w:r w:rsidR="00B74723" w:rsidRPr="00B74723">
              <w:rPr>
                <w:rFonts w:ascii="Arial" w:hAnsi="Arial" w:cs="Arial"/>
                <w:bCs/>
              </w:rPr>
              <w:t>129/15</w:t>
            </w:r>
            <w:r w:rsidRPr="00674939">
              <w:rPr>
                <w:rFonts w:ascii="Arial" w:hAnsi="Arial" w:cs="Arial"/>
                <w:bCs/>
              </w:rPr>
              <w:t xml:space="preserve"> above and as this was the first quarter in which the Trust had not met this target, the Trust could confirm that it would commit to comply with all known targets going forwards.   The Chief Executive added that he would also cover the CPA target in his quarterly letter to Monitor and, in response to the exception reporting requirements of the new Monitor Risk Assessment Framework, would provide a copy of the Quality and Safety Report on Safety (paper BOD 101/2015) to provide information on suicides, homicides and </w:t>
            </w:r>
            <w:proofErr w:type="spellStart"/>
            <w:r w:rsidRPr="00674939">
              <w:rPr>
                <w:rFonts w:ascii="Arial" w:hAnsi="Arial" w:cs="Arial"/>
                <w:bCs/>
              </w:rPr>
              <w:t>absconsions</w:t>
            </w:r>
            <w:proofErr w:type="spellEnd"/>
            <w:r w:rsidRPr="00674939">
              <w:rPr>
                <w:rFonts w:ascii="Arial" w:hAnsi="Arial" w:cs="Arial"/>
                <w:bCs/>
              </w:rPr>
              <w:t xml:space="preserve"> in mental health services. </w:t>
            </w:r>
          </w:p>
          <w:p w:rsidR="00674939" w:rsidRPr="00674939" w:rsidRDefault="00674939" w:rsidP="00674939">
            <w:pPr>
              <w:jc w:val="both"/>
              <w:rPr>
                <w:rFonts w:ascii="Arial" w:hAnsi="Arial" w:cs="Arial"/>
                <w:bCs/>
              </w:rPr>
            </w:pPr>
          </w:p>
          <w:p w:rsidR="00674939" w:rsidRPr="00674939" w:rsidRDefault="00674939" w:rsidP="00674939">
            <w:pPr>
              <w:jc w:val="both"/>
              <w:rPr>
                <w:rFonts w:ascii="Arial" w:hAnsi="Arial" w:cs="Arial"/>
                <w:b/>
                <w:bCs/>
              </w:rPr>
            </w:pPr>
            <w:r w:rsidRPr="00674939">
              <w:rPr>
                <w:rFonts w:ascii="Arial" w:hAnsi="Arial" w:cs="Arial"/>
                <w:b/>
                <w:bCs/>
              </w:rPr>
              <w:t xml:space="preserve">The Board APPROVED the report.  </w:t>
            </w:r>
          </w:p>
          <w:p w:rsidR="00674939" w:rsidRPr="00674939" w:rsidRDefault="00674939" w:rsidP="00404679">
            <w:pPr>
              <w:jc w:val="both"/>
              <w:rPr>
                <w:rFonts w:ascii="Arial" w:hAnsi="Arial" w:cs="Arial"/>
                <w:bCs/>
              </w:rPr>
            </w:pPr>
          </w:p>
        </w:tc>
        <w:tc>
          <w:tcPr>
            <w:tcW w:w="1054" w:type="dxa"/>
          </w:tcPr>
          <w:p w:rsidR="004C0226" w:rsidRDefault="004C0226" w:rsidP="00687605">
            <w:pPr>
              <w:keepNext/>
              <w:keepLines/>
              <w:rPr>
                <w:rFonts w:ascii="Arial" w:hAnsi="Arial" w:cs="Arial"/>
                <w:b/>
              </w:rPr>
            </w:pPr>
          </w:p>
        </w:tc>
      </w:tr>
      <w:tr w:rsidR="004C0226" w:rsidRPr="00666D1B">
        <w:trPr>
          <w:trHeight w:val="650"/>
        </w:trPr>
        <w:tc>
          <w:tcPr>
            <w:tcW w:w="993" w:type="dxa"/>
          </w:tcPr>
          <w:p w:rsidR="004C0226" w:rsidRDefault="004C0226">
            <w:pPr>
              <w:rPr>
                <w:rFonts w:ascii="Arial" w:hAnsi="Arial" w:cs="Arial"/>
              </w:rPr>
            </w:pPr>
            <w:r w:rsidRPr="00BB14D0">
              <w:rPr>
                <w:rFonts w:ascii="Arial" w:hAnsi="Arial" w:cs="Arial"/>
                <w:b/>
              </w:rPr>
              <w:t xml:space="preserve">BOD </w:t>
            </w:r>
            <w:r>
              <w:rPr>
                <w:rFonts w:ascii="Arial" w:hAnsi="Arial" w:cs="Arial"/>
                <w:b/>
              </w:rPr>
              <w:t>136</w:t>
            </w:r>
            <w:r w:rsidRPr="00BB14D0">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c</w:t>
            </w:r>
          </w:p>
        </w:tc>
        <w:tc>
          <w:tcPr>
            <w:tcW w:w="7087" w:type="dxa"/>
          </w:tcPr>
          <w:p w:rsidR="00674939" w:rsidRPr="00674939" w:rsidRDefault="00674939" w:rsidP="00674939">
            <w:pPr>
              <w:jc w:val="both"/>
              <w:rPr>
                <w:rFonts w:ascii="Arial" w:hAnsi="Arial" w:cs="Arial"/>
                <w:b/>
                <w:bCs/>
              </w:rPr>
            </w:pPr>
            <w:r w:rsidRPr="00674939">
              <w:rPr>
                <w:rFonts w:ascii="Arial" w:hAnsi="Arial" w:cs="Arial"/>
                <w:b/>
                <w:bCs/>
              </w:rPr>
              <w:t>Standing Financial Instructions (SFIs)</w:t>
            </w:r>
          </w:p>
          <w:p w:rsidR="00674939" w:rsidRPr="00674939" w:rsidRDefault="00674939" w:rsidP="00674939">
            <w:pPr>
              <w:jc w:val="both"/>
              <w:rPr>
                <w:rFonts w:ascii="Arial" w:hAnsi="Arial" w:cs="Arial"/>
                <w:b/>
                <w:bCs/>
              </w:rPr>
            </w:pPr>
          </w:p>
          <w:p w:rsidR="00674939" w:rsidRPr="00674939" w:rsidRDefault="00674939" w:rsidP="00674939">
            <w:pPr>
              <w:jc w:val="both"/>
              <w:rPr>
                <w:rFonts w:ascii="Arial" w:hAnsi="Arial" w:cs="Arial"/>
                <w:bCs/>
              </w:rPr>
            </w:pPr>
            <w:r w:rsidRPr="00674939">
              <w:rPr>
                <w:rFonts w:ascii="Arial" w:hAnsi="Arial" w:cs="Arial"/>
                <w:bCs/>
              </w:rPr>
              <w:t>The Director of Finance presented paper BOD 112/2015 which set out the process to review the SFIs and the key changes proposed.  Alyson Coates confirmed that the Audit Committee had reviewed, commented</w:t>
            </w:r>
            <w:r w:rsidR="004E20EC">
              <w:rPr>
                <w:rFonts w:ascii="Arial" w:hAnsi="Arial" w:cs="Arial"/>
                <w:bCs/>
              </w:rPr>
              <w:t xml:space="preserve"> upon</w:t>
            </w:r>
            <w:r w:rsidRPr="00674939">
              <w:rPr>
                <w:rFonts w:ascii="Arial" w:hAnsi="Arial" w:cs="Arial"/>
                <w:bCs/>
              </w:rPr>
              <w:t xml:space="preserve"> and recommended approval of the proposed changes to the SFIs out-of-session.  </w:t>
            </w:r>
          </w:p>
          <w:p w:rsidR="00674939" w:rsidRPr="00674939" w:rsidRDefault="00674939" w:rsidP="00674939">
            <w:pPr>
              <w:jc w:val="both"/>
              <w:rPr>
                <w:rFonts w:ascii="Arial" w:hAnsi="Arial" w:cs="Arial"/>
                <w:bCs/>
              </w:rPr>
            </w:pPr>
          </w:p>
          <w:p w:rsidR="00674939" w:rsidRPr="00674939" w:rsidRDefault="00674939" w:rsidP="00674939">
            <w:pPr>
              <w:jc w:val="both"/>
              <w:rPr>
                <w:rFonts w:ascii="Arial" w:hAnsi="Arial" w:cs="Arial"/>
                <w:bCs/>
              </w:rPr>
            </w:pPr>
            <w:r w:rsidRPr="00674939">
              <w:rPr>
                <w:rFonts w:ascii="Arial" w:hAnsi="Arial" w:cs="Arial"/>
                <w:bCs/>
              </w:rPr>
              <w:t xml:space="preserve">The Board noted that the Scheme of Delegation would also be updated in lined with the revised SFIs, as set out in the report. </w:t>
            </w:r>
          </w:p>
          <w:p w:rsidR="00674939" w:rsidRPr="00674939" w:rsidRDefault="00674939" w:rsidP="00674939">
            <w:pPr>
              <w:jc w:val="both"/>
              <w:rPr>
                <w:rFonts w:ascii="Arial" w:hAnsi="Arial" w:cs="Arial"/>
                <w:b/>
                <w:bCs/>
              </w:rPr>
            </w:pPr>
          </w:p>
          <w:p w:rsidR="004C0226" w:rsidRDefault="00674939" w:rsidP="00674939">
            <w:pPr>
              <w:jc w:val="both"/>
              <w:rPr>
                <w:rFonts w:ascii="Arial" w:hAnsi="Arial" w:cs="Arial"/>
                <w:b/>
                <w:bCs/>
              </w:rPr>
            </w:pPr>
            <w:r w:rsidRPr="00674939">
              <w:rPr>
                <w:rFonts w:ascii="Arial" w:hAnsi="Arial" w:cs="Arial"/>
                <w:b/>
                <w:bCs/>
              </w:rPr>
              <w:t xml:space="preserve">The Board APPROVED the revised SFIs.  </w:t>
            </w:r>
          </w:p>
          <w:p w:rsidR="00B74723" w:rsidRDefault="00B74723" w:rsidP="00674939">
            <w:pPr>
              <w:jc w:val="both"/>
              <w:rPr>
                <w:rFonts w:ascii="Arial" w:hAnsi="Arial" w:cs="Arial"/>
                <w:b/>
                <w:bCs/>
              </w:rPr>
            </w:pPr>
          </w:p>
          <w:p w:rsidR="00674939" w:rsidRPr="00666D1B" w:rsidRDefault="00674939" w:rsidP="00674939">
            <w:pPr>
              <w:jc w:val="both"/>
              <w:rPr>
                <w:rFonts w:ascii="Arial" w:hAnsi="Arial" w:cs="Arial"/>
                <w:b/>
                <w:bCs/>
              </w:rPr>
            </w:pPr>
          </w:p>
        </w:tc>
        <w:tc>
          <w:tcPr>
            <w:tcW w:w="1054" w:type="dxa"/>
          </w:tcPr>
          <w:p w:rsidR="004C0226" w:rsidRDefault="004C0226" w:rsidP="00687605">
            <w:pPr>
              <w:keepNext/>
              <w:keepLines/>
              <w:rPr>
                <w:rFonts w:ascii="Arial" w:hAnsi="Arial" w:cs="Arial"/>
                <w:b/>
              </w:rPr>
            </w:pPr>
          </w:p>
        </w:tc>
      </w:tr>
      <w:tr w:rsidR="00674939" w:rsidRPr="00666D1B">
        <w:trPr>
          <w:trHeight w:val="650"/>
        </w:trPr>
        <w:tc>
          <w:tcPr>
            <w:tcW w:w="993" w:type="dxa"/>
          </w:tcPr>
          <w:p w:rsidR="00674939" w:rsidRDefault="00674939">
            <w:pPr>
              <w:rPr>
                <w:rFonts w:ascii="Arial" w:hAnsi="Arial" w:cs="Arial"/>
              </w:rPr>
            </w:pPr>
            <w:r w:rsidRPr="00B620D7">
              <w:rPr>
                <w:rFonts w:ascii="Arial" w:hAnsi="Arial" w:cs="Arial"/>
                <w:b/>
              </w:rPr>
              <w:lastRenderedPageBreak/>
              <w:t xml:space="preserve">BOD </w:t>
            </w:r>
            <w:r>
              <w:rPr>
                <w:rFonts w:ascii="Arial" w:hAnsi="Arial" w:cs="Arial"/>
                <w:b/>
              </w:rPr>
              <w:t>137</w:t>
            </w:r>
            <w:r w:rsidRPr="00B620D7">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b</w:t>
            </w:r>
          </w:p>
        </w:tc>
        <w:tc>
          <w:tcPr>
            <w:tcW w:w="7087" w:type="dxa"/>
          </w:tcPr>
          <w:p w:rsidR="00D5597A" w:rsidRPr="00D5597A" w:rsidRDefault="00D5597A" w:rsidP="00D5597A">
            <w:pPr>
              <w:jc w:val="both"/>
              <w:rPr>
                <w:rFonts w:ascii="Arial" w:hAnsi="Arial" w:cs="Arial"/>
                <w:b/>
                <w:bCs/>
              </w:rPr>
            </w:pPr>
            <w:r w:rsidRPr="00D5597A">
              <w:rPr>
                <w:rFonts w:ascii="Arial" w:hAnsi="Arial" w:cs="Arial"/>
                <w:b/>
                <w:bCs/>
              </w:rPr>
              <w:t>Investment Policy</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The Director of Finance presented the Investment Policy which had been updated to reflect the new Monitor Risk Assessment Framework and recommended for approval by the Finance and Investment Committee.  </w:t>
            </w:r>
          </w:p>
          <w:p w:rsidR="00D5597A" w:rsidRPr="00D5597A" w:rsidRDefault="00D5597A" w:rsidP="00D5597A">
            <w:pPr>
              <w:jc w:val="both"/>
              <w:rPr>
                <w:rFonts w:ascii="Arial" w:hAnsi="Arial" w:cs="Arial"/>
                <w:b/>
                <w:bCs/>
              </w:rPr>
            </w:pPr>
          </w:p>
          <w:p w:rsidR="00674939" w:rsidRDefault="00D5597A" w:rsidP="00D5597A">
            <w:pPr>
              <w:jc w:val="both"/>
              <w:rPr>
                <w:rFonts w:ascii="Arial" w:hAnsi="Arial" w:cs="Arial"/>
                <w:b/>
                <w:bCs/>
              </w:rPr>
            </w:pPr>
            <w:r w:rsidRPr="00D5597A">
              <w:rPr>
                <w:rFonts w:ascii="Arial" w:hAnsi="Arial" w:cs="Arial"/>
                <w:b/>
                <w:bCs/>
              </w:rPr>
              <w:t>The Board APPROVED the Investment Policy.</w:t>
            </w:r>
          </w:p>
          <w:p w:rsidR="00D5597A" w:rsidRPr="00674939" w:rsidRDefault="00D5597A" w:rsidP="00D5597A">
            <w:pPr>
              <w:jc w:val="both"/>
              <w:rPr>
                <w:rFonts w:ascii="Arial" w:hAnsi="Arial" w:cs="Arial"/>
                <w:b/>
                <w:bCs/>
              </w:rPr>
            </w:pPr>
          </w:p>
        </w:tc>
        <w:tc>
          <w:tcPr>
            <w:tcW w:w="1054" w:type="dxa"/>
          </w:tcPr>
          <w:p w:rsidR="00674939" w:rsidRDefault="00674939" w:rsidP="00687605">
            <w:pPr>
              <w:keepNext/>
              <w:keepLines/>
              <w:rPr>
                <w:rFonts w:ascii="Arial" w:hAnsi="Arial" w:cs="Arial"/>
                <w:b/>
              </w:rPr>
            </w:pPr>
          </w:p>
        </w:tc>
      </w:tr>
      <w:tr w:rsidR="00674939" w:rsidRPr="00666D1B">
        <w:trPr>
          <w:trHeight w:val="650"/>
        </w:trPr>
        <w:tc>
          <w:tcPr>
            <w:tcW w:w="993" w:type="dxa"/>
          </w:tcPr>
          <w:p w:rsidR="00674939" w:rsidRDefault="00674939">
            <w:pPr>
              <w:rPr>
                <w:rFonts w:ascii="Arial" w:hAnsi="Arial" w:cs="Arial"/>
              </w:rPr>
            </w:pPr>
            <w:r w:rsidRPr="00B620D7">
              <w:rPr>
                <w:rFonts w:ascii="Arial" w:hAnsi="Arial" w:cs="Arial"/>
                <w:b/>
              </w:rPr>
              <w:t xml:space="preserve">BOD </w:t>
            </w:r>
            <w:r>
              <w:rPr>
                <w:rFonts w:ascii="Arial" w:hAnsi="Arial" w:cs="Arial"/>
                <w:b/>
              </w:rPr>
              <w:t>138</w:t>
            </w:r>
            <w:r w:rsidRPr="00B620D7">
              <w:rPr>
                <w:rFonts w:ascii="Arial" w:hAnsi="Arial" w:cs="Arial"/>
                <w:b/>
              </w:rPr>
              <w:t>/15</w:t>
            </w:r>
          </w:p>
          <w:p w:rsidR="00B74723" w:rsidRDefault="00B74723">
            <w:pPr>
              <w:rPr>
                <w:rFonts w:ascii="Arial" w:hAnsi="Arial" w:cs="Arial"/>
              </w:rPr>
            </w:pP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c</w:t>
            </w:r>
          </w:p>
        </w:tc>
        <w:tc>
          <w:tcPr>
            <w:tcW w:w="7087" w:type="dxa"/>
          </w:tcPr>
          <w:p w:rsidR="00D5597A" w:rsidRPr="00D5597A" w:rsidRDefault="00D5597A" w:rsidP="00D5597A">
            <w:pPr>
              <w:jc w:val="both"/>
              <w:rPr>
                <w:rFonts w:ascii="Arial" w:hAnsi="Arial" w:cs="Arial"/>
                <w:b/>
                <w:bCs/>
              </w:rPr>
            </w:pPr>
            <w:r w:rsidRPr="00D5597A">
              <w:rPr>
                <w:rFonts w:ascii="Arial" w:hAnsi="Arial" w:cs="Arial"/>
                <w:b/>
                <w:bCs/>
              </w:rPr>
              <w:t>Organisational and Leadership Development Strategy Framework – Update Report</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The Chief Executive presented paper BOD 114/2015 which provided: an update on progress in translating the framework into action; a summary of the main challenges for leadership and organisational development; an assessment of progress in aligning activities; and a list of priorities for the next six months.  </w:t>
            </w:r>
          </w:p>
          <w:p w:rsidR="00D5597A" w:rsidRPr="00D5597A" w:rsidRDefault="00D5597A" w:rsidP="00D5597A">
            <w:pPr>
              <w:jc w:val="both"/>
              <w:rPr>
                <w:rFonts w:ascii="Arial" w:hAnsi="Arial" w:cs="Arial"/>
                <w:bCs/>
              </w:rPr>
            </w:pPr>
          </w:p>
          <w:p w:rsidR="00D5597A" w:rsidRPr="00D5597A" w:rsidRDefault="00D5597A" w:rsidP="00D5597A">
            <w:pPr>
              <w:jc w:val="both"/>
              <w:rPr>
                <w:rFonts w:ascii="Arial" w:hAnsi="Arial" w:cs="Arial"/>
                <w:bCs/>
              </w:rPr>
            </w:pPr>
            <w:r w:rsidRPr="00D5597A">
              <w:rPr>
                <w:rFonts w:ascii="Arial" w:hAnsi="Arial" w:cs="Arial"/>
                <w:bCs/>
              </w:rPr>
              <w:t xml:space="preserve">The Board discussed the importance of developing leadership within the Trust and noted that it may be helpful if the kind of meetings which the Medical Director was holding with consultants across the Trust were replicated by </w:t>
            </w:r>
            <w:r w:rsidR="00E14E97">
              <w:rPr>
                <w:rFonts w:ascii="Arial" w:hAnsi="Arial" w:cs="Arial"/>
                <w:bCs/>
              </w:rPr>
              <w:t xml:space="preserve">other </w:t>
            </w:r>
            <w:bookmarkStart w:id="0" w:name="_GoBack"/>
            <w:bookmarkEnd w:id="0"/>
            <w:r w:rsidRPr="00D5597A">
              <w:rPr>
                <w:rFonts w:ascii="Arial" w:hAnsi="Arial" w:cs="Arial"/>
                <w:bCs/>
              </w:rPr>
              <w:t xml:space="preserve">Executive Directors.  </w:t>
            </w:r>
          </w:p>
          <w:p w:rsidR="00D5597A" w:rsidRPr="00D5597A" w:rsidRDefault="00D5597A" w:rsidP="00D5597A">
            <w:pPr>
              <w:jc w:val="both"/>
              <w:rPr>
                <w:rFonts w:ascii="Arial" w:hAnsi="Arial" w:cs="Arial"/>
                <w:b/>
                <w:bCs/>
              </w:rPr>
            </w:pPr>
          </w:p>
          <w:p w:rsidR="00674939" w:rsidRDefault="00D5597A" w:rsidP="00D5597A">
            <w:pPr>
              <w:jc w:val="both"/>
              <w:rPr>
                <w:rFonts w:ascii="Arial" w:hAnsi="Arial" w:cs="Arial"/>
                <w:b/>
                <w:bCs/>
              </w:rPr>
            </w:pPr>
            <w:r w:rsidRPr="00D5597A">
              <w:rPr>
                <w:rFonts w:ascii="Arial" w:hAnsi="Arial" w:cs="Arial"/>
                <w:b/>
                <w:bCs/>
              </w:rPr>
              <w:t xml:space="preserve">The Board noted the report.  </w:t>
            </w:r>
          </w:p>
          <w:p w:rsidR="00D5597A" w:rsidRPr="00674939" w:rsidRDefault="00D5597A" w:rsidP="00D5597A">
            <w:pPr>
              <w:jc w:val="both"/>
              <w:rPr>
                <w:rFonts w:ascii="Arial" w:hAnsi="Arial" w:cs="Arial"/>
                <w:b/>
                <w:bCs/>
              </w:rPr>
            </w:pPr>
          </w:p>
        </w:tc>
        <w:tc>
          <w:tcPr>
            <w:tcW w:w="1054" w:type="dxa"/>
          </w:tcPr>
          <w:p w:rsidR="00674939" w:rsidRDefault="00674939" w:rsidP="00687605">
            <w:pPr>
              <w:keepNext/>
              <w:keepLines/>
              <w:rPr>
                <w:rFonts w:ascii="Arial" w:hAnsi="Arial" w:cs="Arial"/>
                <w:b/>
              </w:rPr>
            </w:pPr>
          </w:p>
        </w:tc>
      </w:tr>
      <w:tr w:rsidR="00674939" w:rsidRPr="00666D1B">
        <w:trPr>
          <w:trHeight w:val="650"/>
        </w:trPr>
        <w:tc>
          <w:tcPr>
            <w:tcW w:w="993" w:type="dxa"/>
          </w:tcPr>
          <w:p w:rsidR="00674939" w:rsidRDefault="00674939">
            <w:pPr>
              <w:rPr>
                <w:rFonts w:ascii="Arial" w:hAnsi="Arial" w:cs="Arial"/>
              </w:rPr>
            </w:pPr>
            <w:r w:rsidRPr="00B620D7">
              <w:rPr>
                <w:rFonts w:ascii="Arial" w:hAnsi="Arial" w:cs="Arial"/>
                <w:b/>
              </w:rPr>
              <w:t xml:space="preserve">BOD </w:t>
            </w:r>
            <w:r>
              <w:rPr>
                <w:rFonts w:ascii="Arial" w:hAnsi="Arial" w:cs="Arial"/>
                <w:b/>
              </w:rPr>
              <w:t>139</w:t>
            </w:r>
            <w:r w:rsidRPr="00B620D7">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c</w:t>
            </w:r>
          </w:p>
        </w:tc>
        <w:tc>
          <w:tcPr>
            <w:tcW w:w="7087" w:type="dxa"/>
          </w:tcPr>
          <w:p w:rsidR="00D5597A" w:rsidRPr="00D5597A" w:rsidRDefault="00D5597A" w:rsidP="00D5597A">
            <w:pPr>
              <w:jc w:val="both"/>
              <w:rPr>
                <w:rFonts w:ascii="Arial" w:hAnsi="Arial" w:cs="Arial"/>
                <w:b/>
                <w:bCs/>
              </w:rPr>
            </w:pPr>
            <w:r w:rsidRPr="00D5597A">
              <w:rPr>
                <w:rFonts w:ascii="Arial" w:hAnsi="Arial" w:cs="Arial"/>
                <w:b/>
                <w:bCs/>
              </w:rPr>
              <w:t>Nursing Strategy</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The Deputy Director of Nursing presented paper BOD 115/2015 which set out the Nursing Strategy which had been developed to set out clear ambitions towards achieving excellence in nursing and care.   The Board noted that the development of the Nursing Strategy had also been discussed at the Board Seminar in July 2015. </w:t>
            </w:r>
          </w:p>
          <w:p w:rsidR="00D5597A" w:rsidRPr="00D5597A" w:rsidRDefault="00D5597A" w:rsidP="00D5597A">
            <w:pPr>
              <w:jc w:val="both"/>
              <w:rPr>
                <w:rFonts w:ascii="Arial" w:hAnsi="Arial" w:cs="Arial"/>
                <w:bCs/>
              </w:rPr>
            </w:pPr>
          </w:p>
          <w:p w:rsidR="00D5597A" w:rsidRPr="00D5597A" w:rsidRDefault="00D5597A" w:rsidP="00D5597A">
            <w:pPr>
              <w:jc w:val="both"/>
              <w:rPr>
                <w:rFonts w:ascii="Arial" w:hAnsi="Arial" w:cs="Arial"/>
                <w:b/>
                <w:bCs/>
              </w:rPr>
            </w:pPr>
            <w:r w:rsidRPr="00D5597A">
              <w:rPr>
                <w:rFonts w:ascii="Arial" w:hAnsi="Arial" w:cs="Arial"/>
                <w:bCs/>
              </w:rPr>
              <w:t xml:space="preserve">Jonathan </w:t>
            </w:r>
            <w:proofErr w:type="spellStart"/>
            <w:r w:rsidRPr="00D5597A">
              <w:rPr>
                <w:rFonts w:ascii="Arial" w:hAnsi="Arial" w:cs="Arial"/>
                <w:bCs/>
              </w:rPr>
              <w:t>Asbridge</w:t>
            </w:r>
            <w:proofErr w:type="spellEnd"/>
            <w:r w:rsidRPr="00D5597A">
              <w:rPr>
                <w:rFonts w:ascii="Arial" w:hAnsi="Arial" w:cs="Arial"/>
                <w:bCs/>
              </w:rPr>
              <w:t xml:space="preserve"> noted that this was a challenging and ambitious strategy and emphasised the importance of: providing resource to support revalidation processes; championing apprenticeships to support local recruitment and career development; and supporting other professionals, such as physiotherapists and occupational therapists, within wider multi-disciplinary teams</w:t>
            </w:r>
            <w:r w:rsidRPr="00D5597A">
              <w:rPr>
                <w:rFonts w:ascii="Arial" w:hAnsi="Arial" w:cs="Arial"/>
                <w:b/>
                <w:bCs/>
              </w:rPr>
              <w:t>.</w:t>
            </w:r>
          </w:p>
          <w:p w:rsidR="00D5597A" w:rsidRPr="00D5597A" w:rsidRDefault="00D5597A" w:rsidP="00D5597A">
            <w:pPr>
              <w:jc w:val="both"/>
              <w:rPr>
                <w:rFonts w:ascii="Arial" w:hAnsi="Arial" w:cs="Arial"/>
                <w:b/>
                <w:bCs/>
              </w:rPr>
            </w:pPr>
          </w:p>
          <w:p w:rsidR="00674939" w:rsidRDefault="00D5597A" w:rsidP="00D5597A">
            <w:pPr>
              <w:jc w:val="both"/>
              <w:rPr>
                <w:rFonts w:ascii="Arial" w:hAnsi="Arial" w:cs="Arial"/>
                <w:b/>
                <w:bCs/>
              </w:rPr>
            </w:pPr>
            <w:r w:rsidRPr="00D5597A">
              <w:rPr>
                <w:rFonts w:ascii="Arial" w:hAnsi="Arial" w:cs="Arial"/>
                <w:b/>
                <w:bCs/>
              </w:rPr>
              <w:t xml:space="preserve">The Board APPROVED the Nursing Strategy.   </w:t>
            </w:r>
          </w:p>
          <w:p w:rsidR="00D5597A" w:rsidRPr="00674939" w:rsidRDefault="00D5597A" w:rsidP="00D5597A">
            <w:pPr>
              <w:jc w:val="both"/>
              <w:rPr>
                <w:rFonts w:ascii="Arial" w:hAnsi="Arial" w:cs="Arial"/>
                <w:b/>
                <w:bCs/>
              </w:rPr>
            </w:pPr>
          </w:p>
        </w:tc>
        <w:tc>
          <w:tcPr>
            <w:tcW w:w="1054" w:type="dxa"/>
          </w:tcPr>
          <w:p w:rsidR="00674939" w:rsidRDefault="00674939" w:rsidP="00687605">
            <w:pPr>
              <w:keepNext/>
              <w:keepLines/>
              <w:rPr>
                <w:rFonts w:ascii="Arial" w:hAnsi="Arial" w:cs="Arial"/>
                <w:b/>
              </w:rPr>
            </w:pPr>
          </w:p>
        </w:tc>
      </w:tr>
      <w:tr w:rsidR="00674939" w:rsidRPr="00666D1B">
        <w:trPr>
          <w:trHeight w:val="650"/>
        </w:trPr>
        <w:tc>
          <w:tcPr>
            <w:tcW w:w="993" w:type="dxa"/>
          </w:tcPr>
          <w:p w:rsidR="00674939" w:rsidRDefault="00674939">
            <w:pPr>
              <w:rPr>
                <w:rFonts w:ascii="Arial" w:hAnsi="Arial" w:cs="Arial"/>
              </w:rPr>
            </w:pPr>
            <w:r w:rsidRPr="00B620D7">
              <w:rPr>
                <w:rFonts w:ascii="Arial" w:hAnsi="Arial" w:cs="Arial"/>
                <w:b/>
              </w:rPr>
              <w:lastRenderedPageBreak/>
              <w:t xml:space="preserve">BOD </w:t>
            </w:r>
            <w:r>
              <w:rPr>
                <w:rFonts w:ascii="Arial" w:hAnsi="Arial" w:cs="Arial"/>
                <w:b/>
              </w:rPr>
              <w:t>140</w:t>
            </w:r>
            <w:r w:rsidRPr="00B620D7">
              <w:rPr>
                <w:rFonts w:ascii="Arial" w:hAnsi="Arial" w:cs="Arial"/>
                <w:b/>
              </w:rPr>
              <w:t>/15</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b</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c</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d</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r>
              <w:rPr>
                <w:rFonts w:ascii="Arial" w:hAnsi="Arial" w:cs="Arial"/>
              </w:rPr>
              <w:t>e</w:t>
            </w: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t>f</w:t>
            </w:r>
          </w:p>
        </w:tc>
        <w:tc>
          <w:tcPr>
            <w:tcW w:w="7087" w:type="dxa"/>
          </w:tcPr>
          <w:p w:rsidR="00674939" w:rsidRDefault="00D5597A" w:rsidP="00674939">
            <w:pPr>
              <w:jc w:val="both"/>
              <w:rPr>
                <w:rFonts w:ascii="Arial" w:hAnsi="Arial" w:cs="Arial"/>
                <w:b/>
                <w:bCs/>
              </w:rPr>
            </w:pPr>
            <w:r w:rsidRPr="00D5597A">
              <w:rPr>
                <w:rFonts w:ascii="Arial" w:hAnsi="Arial" w:cs="Arial"/>
                <w:b/>
                <w:bCs/>
              </w:rPr>
              <w:t>Minutes from Committees</w:t>
            </w:r>
            <w:r>
              <w:rPr>
                <w:rFonts w:ascii="Arial" w:hAnsi="Arial" w:cs="Arial"/>
                <w:b/>
                <w:bCs/>
              </w:rPr>
              <w:t xml:space="preserve"> </w:t>
            </w:r>
          </w:p>
          <w:p w:rsidR="00D5597A" w:rsidRDefault="00D5597A" w:rsidP="00674939">
            <w:pPr>
              <w:jc w:val="both"/>
              <w:rPr>
                <w:rFonts w:ascii="Arial" w:hAnsi="Arial" w:cs="Arial"/>
                <w:b/>
                <w:bCs/>
              </w:rPr>
            </w:pPr>
          </w:p>
          <w:p w:rsidR="00D5597A" w:rsidRPr="00D5597A" w:rsidRDefault="00D5597A" w:rsidP="00D5597A">
            <w:pPr>
              <w:jc w:val="both"/>
              <w:rPr>
                <w:rFonts w:ascii="Arial" w:hAnsi="Arial" w:cs="Arial"/>
                <w:b/>
                <w:bCs/>
                <w:i/>
              </w:rPr>
            </w:pPr>
            <w:r w:rsidRPr="00D5597A">
              <w:rPr>
                <w:rFonts w:ascii="Arial" w:hAnsi="Arial" w:cs="Arial"/>
                <w:b/>
                <w:bCs/>
                <w:i/>
              </w:rPr>
              <w:t>Charity Committee – 07 May 2015 and 21 July 2015</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Anne Grocock presented the draft Minutes of the meeting on 07 May 2015, the main items considered and noted that in the final version the location of the meeting had been corrected as this had taken place at the Warneford, not at Chancellor Court.  </w:t>
            </w:r>
          </w:p>
          <w:p w:rsidR="00D5597A" w:rsidRPr="00D5597A" w:rsidRDefault="00D5597A" w:rsidP="00D5597A">
            <w:pPr>
              <w:jc w:val="both"/>
              <w:rPr>
                <w:rFonts w:ascii="Arial" w:hAnsi="Arial" w:cs="Arial"/>
                <w:bCs/>
              </w:rPr>
            </w:pPr>
          </w:p>
          <w:p w:rsidR="00D5597A" w:rsidRPr="00D5597A" w:rsidRDefault="00D5597A" w:rsidP="00D5597A">
            <w:pPr>
              <w:jc w:val="both"/>
              <w:rPr>
                <w:rFonts w:ascii="Arial" w:hAnsi="Arial" w:cs="Arial"/>
                <w:bCs/>
              </w:rPr>
            </w:pPr>
            <w:r w:rsidRPr="00D5597A">
              <w:rPr>
                <w:rFonts w:ascii="Arial" w:hAnsi="Arial" w:cs="Arial"/>
                <w:bCs/>
              </w:rPr>
              <w:t xml:space="preserve">Anne Grocock provided an oral update of the meeting on 21 July 2015 and highlighted the update which had been provided on the Age UK Circles of Support pilot project and the change in the timeframe for the pilot from the end of March 2016 to the end of April 2016.  The Trust’s contribution to total funding would remain as previously agreed.  </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
                <w:bCs/>
                <w:i/>
              </w:rPr>
            </w:pPr>
            <w:r w:rsidRPr="00D5597A">
              <w:rPr>
                <w:rFonts w:ascii="Arial" w:hAnsi="Arial" w:cs="Arial"/>
                <w:b/>
                <w:bCs/>
                <w:i/>
              </w:rPr>
              <w:t>Finance and Investment Committee – 12 May 2015 and 14 July 2015</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Lyn Williams presented the draft Minutes of the meeting on 12 May 2015 and noted the main items considered.   </w:t>
            </w:r>
          </w:p>
          <w:p w:rsidR="00D5597A" w:rsidRPr="00D5597A" w:rsidRDefault="00D5597A" w:rsidP="00D5597A">
            <w:pPr>
              <w:jc w:val="both"/>
              <w:rPr>
                <w:rFonts w:ascii="Arial" w:hAnsi="Arial" w:cs="Arial"/>
                <w:bCs/>
              </w:rPr>
            </w:pPr>
          </w:p>
          <w:p w:rsidR="00D5597A" w:rsidRPr="00D5597A" w:rsidRDefault="00D5597A" w:rsidP="00D5597A">
            <w:pPr>
              <w:jc w:val="both"/>
              <w:rPr>
                <w:rFonts w:ascii="Arial" w:hAnsi="Arial" w:cs="Arial"/>
                <w:bCs/>
              </w:rPr>
            </w:pPr>
            <w:r w:rsidRPr="00D5597A">
              <w:rPr>
                <w:rFonts w:ascii="Arial" w:hAnsi="Arial" w:cs="Arial"/>
                <w:bCs/>
              </w:rPr>
              <w:t xml:space="preserve">Lyn Williams provided an oral update of the meeting on 14 July 2015 and noted the committee’s concerns about the high level of unidentified savings in CIP projects.  Further information about CIP would be presented to the Board meeting in private session.  </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
                <w:bCs/>
                <w:i/>
              </w:rPr>
            </w:pPr>
            <w:r w:rsidRPr="00D5597A">
              <w:rPr>
                <w:rFonts w:ascii="Arial" w:hAnsi="Arial" w:cs="Arial"/>
                <w:b/>
                <w:bCs/>
                <w:i/>
              </w:rPr>
              <w:t xml:space="preserve">Quality Committee – 13 May 2015 and 17 July 2015 </w:t>
            </w:r>
          </w:p>
          <w:p w:rsidR="00D5597A" w:rsidRPr="00D5597A" w:rsidRDefault="00D5597A" w:rsidP="00D5597A">
            <w:pPr>
              <w:jc w:val="both"/>
              <w:rPr>
                <w:rFonts w:ascii="Arial" w:hAnsi="Arial" w:cs="Arial"/>
                <w:b/>
                <w:bCs/>
              </w:rPr>
            </w:pPr>
          </w:p>
          <w:p w:rsidR="00D5597A" w:rsidRPr="00D5597A" w:rsidRDefault="00D5597A" w:rsidP="00D5597A">
            <w:pPr>
              <w:jc w:val="both"/>
              <w:rPr>
                <w:rFonts w:ascii="Arial" w:hAnsi="Arial" w:cs="Arial"/>
                <w:bCs/>
              </w:rPr>
            </w:pPr>
            <w:r w:rsidRPr="00D5597A">
              <w:rPr>
                <w:rFonts w:ascii="Arial" w:hAnsi="Arial" w:cs="Arial"/>
                <w:bCs/>
              </w:rPr>
              <w:t xml:space="preserve">The </w:t>
            </w:r>
            <w:r w:rsidR="009E5BB1">
              <w:rPr>
                <w:rFonts w:ascii="Arial" w:hAnsi="Arial" w:cs="Arial"/>
                <w:bCs/>
              </w:rPr>
              <w:t>Chair</w:t>
            </w:r>
            <w:r w:rsidRPr="00D5597A">
              <w:rPr>
                <w:rFonts w:ascii="Arial" w:hAnsi="Arial" w:cs="Arial"/>
                <w:bCs/>
              </w:rPr>
              <w:t xml:space="preserve"> presented the draft Minutes of the meeting and noted the main items considered.  </w:t>
            </w:r>
          </w:p>
          <w:p w:rsidR="00D5597A" w:rsidRPr="00D5597A" w:rsidRDefault="00D5597A" w:rsidP="00D5597A">
            <w:pPr>
              <w:jc w:val="both"/>
              <w:rPr>
                <w:rFonts w:ascii="Arial" w:hAnsi="Arial" w:cs="Arial"/>
                <w:bCs/>
              </w:rPr>
            </w:pPr>
          </w:p>
          <w:p w:rsidR="00D5597A" w:rsidRPr="00D5597A" w:rsidRDefault="00D5597A" w:rsidP="00674939">
            <w:pPr>
              <w:jc w:val="both"/>
              <w:rPr>
                <w:rFonts w:ascii="Arial" w:hAnsi="Arial" w:cs="Arial"/>
                <w:bCs/>
              </w:rPr>
            </w:pPr>
            <w:r w:rsidRPr="00D5597A">
              <w:rPr>
                <w:rFonts w:ascii="Arial" w:hAnsi="Arial" w:cs="Arial"/>
                <w:bCs/>
              </w:rPr>
              <w:t xml:space="preserve">The </w:t>
            </w:r>
            <w:r w:rsidR="009E5BB1">
              <w:rPr>
                <w:rFonts w:ascii="Arial" w:hAnsi="Arial" w:cs="Arial"/>
                <w:bCs/>
              </w:rPr>
              <w:t>Chair</w:t>
            </w:r>
            <w:r w:rsidRPr="00D5597A">
              <w:rPr>
                <w:rFonts w:ascii="Arial" w:hAnsi="Arial" w:cs="Arial"/>
                <w:bCs/>
              </w:rPr>
              <w:t xml:space="preserve"> provided an oral update of the meeting on 17 July 2015 and highlighted the progress made with receiving escalation reports from quality sub-committees and on reviewing and updating policies.  </w:t>
            </w:r>
          </w:p>
          <w:p w:rsidR="00D5597A" w:rsidRPr="00674939" w:rsidRDefault="00D5597A" w:rsidP="00674939">
            <w:pPr>
              <w:jc w:val="both"/>
              <w:rPr>
                <w:rFonts w:ascii="Arial" w:hAnsi="Arial" w:cs="Arial"/>
                <w:b/>
                <w:bCs/>
              </w:rPr>
            </w:pPr>
          </w:p>
        </w:tc>
        <w:tc>
          <w:tcPr>
            <w:tcW w:w="1054" w:type="dxa"/>
          </w:tcPr>
          <w:p w:rsidR="00674939" w:rsidRDefault="00674939" w:rsidP="00687605">
            <w:pPr>
              <w:keepNext/>
              <w:keepLines/>
              <w:rPr>
                <w:rFonts w:ascii="Arial" w:hAnsi="Arial" w:cs="Arial"/>
                <w:b/>
              </w:rPr>
            </w:pPr>
          </w:p>
        </w:tc>
      </w:tr>
      <w:tr w:rsidR="00674939" w:rsidRPr="00666D1B">
        <w:trPr>
          <w:trHeight w:val="650"/>
        </w:trPr>
        <w:tc>
          <w:tcPr>
            <w:tcW w:w="993" w:type="dxa"/>
          </w:tcPr>
          <w:p w:rsidR="00674939" w:rsidRDefault="00674939">
            <w:pPr>
              <w:rPr>
                <w:rFonts w:ascii="Arial" w:hAnsi="Arial" w:cs="Arial"/>
              </w:rPr>
            </w:pPr>
            <w:r w:rsidRPr="00B620D7">
              <w:rPr>
                <w:rFonts w:ascii="Arial" w:hAnsi="Arial" w:cs="Arial"/>
                <w:b/>
              </w:rPr>
              <w:t xml:space="preserve">BOD </w:t>
            </w:r>
            <w:r>
              <w:rPr>
                <w:rFonts w:ascii="Arial" w:hAnsi="Arial" w:cs="Arial"/>
                <w:b/>
              </w:rPr>
              <w:t>141</w:t>
            </w:r>
            <w:r w:rsidRPr="00B620D7">
              <w:rPr>
                <w:rFonts w:ascii="Arial" w:hAnsi="Arial" w:cs="Arial"/>
                <w:b/>
              </w:rPr>
              <w:t>/15</w:t>
            </w:r>
          </w:p>
          <w:p w:rsidR="00B74723" w:rsidRDefault="00B74723">
            <w:pPr>
              <w:rPr>
                <w:rFonts w:ascii="Arial" w:hAnsi="Arial" w:cs="Arial"/>
              </w:rPr>
            </w:pPr>
            <w:r>
              <w:rPr>
                <w:rFonts w:ascii="Arial" w:hAnsi="Arial" w:cs="Arial"/>
              </w:rPr>
              <w:t>a</w:t>
            </w: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Default="00B74723">
            <w:pPr>
              <w:rPr>
                <w:rFonts w:ascii="Arial" w:hAnsi="Arial" w:cs="Arial"/>
              </w:rPr>
            </w:pPr>
          </w:p>
          <w:p w:rsidR="00B74723" w:rsidRPr="00B74723" w:rsidRDefault="00B74723">
            <w:r>
              <w:rPr>
                <w:rFonts w:ascii="Arial" w:hAnsi="Arial" w:cs="Arial"/>
              </w:rPr>
              <w:lastRenderedPageBreak/>
              <w:t>b</w:t>
            </w:r>
          </w:p>
        </w:tc>
        <w:tc>
          <w:tcPr>
            <w:tcW w:w="7087" w:type="dxa"/>
          </w:tcPr>
          <w:p w:rsidR="00674939" w:rsidRDefault="00D710C1" w:rsidP="00674939">
            <w:pPr>
              <w:jc w:val="both"/>
              <w:rPr>
                <w:rFonts w:ascii="Arial" w:hAnsi="Arial" w:cs="Arial"/>
                <w:bCs/>
              </w:rPr>
            </w:pPr>
            <w:r w:rsidRPr="00D710C1">
              <w:rPr>
                <w:rFonts w:ascii="Arial" w:hAnsi="Arial" w:cs="Arial"/>
                <w:b/>
                <w:bCs/>
              </w:rPr>
              <w:lastRenderedPageBreak/>
              <w:t>Oxford Health Charity Annual Report and Accounts</w:t>
            </w:r>
            <w:r>
              <w:rPr>
                <w:rFonts w:ascii="Arial" w:hAnsi="Arial" w:cs="Arial"/>
                <w:b/>
                <w:bCs/>
              </w:rPr>
              <w:t xml:space="preserve"> </w:t>
            </w:r>
          </w:p>
          <w:p w:rsidR="00D710C1" w:rsidRDefault="00D710C1" w:rsidP="00674939">
            <w:pPr>
              <w:jc w:val="both"/>
              <w:rPr>
                <w:rFonts w:ascii="Arial" w:hAnsi="Arial" w:cs="Arial"/>
                <w:bCs/>
              </w:rPr>
            </w:pPr>
          </w:p>
          <w:p w:rsidR="00D710C1" w:rsidRPr="00D710C1" w:rsidRDefault="00D710C1" w:rsidP="00D710C1">
            <w:pPr>
              <w:jc w:val="both"/>
              <w:rPr>
                <w:rFonts w:ascii="Arial" w:hAnsi="Arial" w:cs="Arial"/>
                <w:bCs/>
              </w:rPr>
            </w:pPr>
            <w:r w:rsidRPr="00D710C1">
              <w:rPr>
                <w:rFonts w:ascii="Arial" w:hAnsi="Arial" w:cs="Arial"/>
                <w:bCs/>
              </w:rPr>
              <w:t xml:space="preserve">Anne Grocock presented paper BOD 119/2015 which set out: the Annual Report and Accounts of the Oxford Health Charity; the Independent Examiner’s letter to management (which confirmed that there were no matters of significance to bring to the attention of the Board in its capacity as Corporate Trustee of the Charity); and the Letter of Representation. </w:t>
            </w:r>
          </w:p>
          <w:p w:rsidR="00D710C1" w:rsidRPr="00D710C1" w:rsidRDefault="00D710C1" w:rsidP="00D710C1">
            <w:pPr>
              <w:jc w:val="both"/>
              <w:rPr>
                <w:rFonts w:ascii="Arial" w:hAnsi="Arial" w:cs="Arial"/>
                <w:b/>
                <w:bCs/>
              </w:rPr>
            </w:pPr>
            <w:r w:rsidRPr="00D710C1">
              <w:rPr>
                <w:rFonts w:ascii="Arial" w:hAnsi="Arial" w:cs="Arial"/>
                <w:b/>
                <w:bCs/>
              </w:rPr>
              <w:lastRenderedPageBreak/>
              <w:t>The Board, in its capacity as Corporate Trustee of the Oxford Health Charity:</w:t>
            </w:r>
          </w:p>
          <w:p w:rsidR="00D710C1" w:rsidRPr="00D710C1" w:rsidRDefault="00D710C1" w:rsidP="00D710C1">
            <w:pPr>
              <w:pStyle w:val="ListParagraph"/>
              <w:numPr>
                <w:ilvl w:val="0"/>
                <w:numId w:val="9"/>
              </w:numPr>
              <w:jc w:val="both"/>
              <w:rPr>
                <w:rFonts w:ascii="Arial" w:hAnsi="Arial" w:cs="Arial"/>
                <w:b/>
                <w:bCs/>
                <w:sz w:val="24"/>
                <w:szCs w:val="24"/>
              </w:rPr>
            </w:pPr>
            <w:r w:rsidRPr="00D710C1">
              <w:rPr>
                <w:rFonts w:ascii="Arial" w:hAnsi="Arial" w:cs="Arial"/>
                <w:b/>
                <w:bCs/>
                <w:sz w:val="24"/>
                <w:szCs w:val="24"/>
              </w:rPr>
              <w:t xml:space="preserve">APPROVED the Annual Report and Accounts of the Charity; </w:t>
            </w:r>
          </w:p>
          <w:p w:rsidR="00D710C1" w:rsidRPr="00D710C1" w:rsidRDefault="00D710C1" w:rsidP="00D710C1">
            <w:pPr>
              <w:pStyle w:val="ListParagraph"/>
              <w:numPr>
                <w:ilvl w:val="0"/>
                <w:numId w:val="9"/>
              </w:numPr>
              <w:jc w:val="both"/>
              <w:rPr>
                <w:rFonts w:ascii="Arial" w:hAnsi="Arial" w:cs="Arial"/>
                <w:b/>
                <w:bCs/>
                <w:sz w:val="24"/>
                <w:szCs w:val="24"/>
              </w:rPr>
            </w:pPr>
            <w:r w:rsidRPr="00D710C1">
              <w:rPr>
                <w:rFonts w:ascii="Arial" w:hAnsi="Arial" w:cs="Arial"/>
                <w:b/>
                <w:bCs/>
                <w:sz w:val="24"/>
                <w:szCs w:val="24"/>
              </w:rPr>
              <w:t xml:space="preserve">APPROVED the execution of the Letter of Representation; and </w:t>
            </w:r>
          </w:p>
          <w:p w:rsidR="00D710C1" w:rsidRPr="00B74723" w:rsidRDefault="00D710C1" w:rsidP="00674939">
            <w:pPr>
              <w:pStyle w:val="ListParagraph"/>
              <w:numPr>
                <w:ilvl w:val="0"/>
                <w:numId w:val="9"/>
              </w:numPr>
              <w:jc w:val="both"/>
              <w:rPr>
                <w:rFonts w:ascii="Arial" w:hAnsi="Arial" w:cs="Arial"/>
                <w:b/>
                <w:bCs/>
                <w:sz w:val="24"/>
                <w:szCs w:val="24"/>
              </w:rPr>
            </w:pPr>
            <w:proofErr w:type="gramStart"/>
            <w:r w:rsidRPr="00D710C1">
              <w:rPr>
                <w:rFonts w:ascii="Arial" w:hAnsi="Arial" w:cs="Arial"/>
                <w:b/>
                <w:bCs/>
                <w:sz w:val="24"/>
                <w:szCs w:val="24"/>
              </w:rPr>
              <w:t>noted</w:t>
            </w:r>
            <w:proofErr w:type="gramEnd"/>
            <w:r w:rsidRPr="00D710C1">
              <w:rPr>
                <w:rFonts w:ascii="Arial" w:hAnsi="Arial" w:cs="Arial"/>
                <w:b/>
                <w:bCs/>
                <w:sz w:val="24"/>
                <w:szCs w:val="24"/>
              </w:rPr>
              <w:t xml:space="preserve"> the letter to management.</w:t>
            </w:r>
          </w:p>
        </w:tc>
        <w:tc>
          <w:tcPr>
            <w:tcW w:w="1054" w:type="dxa"/>
          </w:tcPr>
          <w:p w:rsidR="00674939" w:rsidRDefault="00674939"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p w:rsidR="005A1DB5" w:rsidRDefault="005A1DB5" w:rsidP="00687605">
            <w:pPr>
              <w:keepNext/>
              <w:keepLines/>
              <w:rPr>
                <w:rFonts w:ascii="Arial" w:hAnsi="Arial" w:cs="Arial"/>
                <w:b/>
              </w:rPr>
            </w:pPr>
          </w:p>
        </w:tc>
      </w:tr>
      <w:tr w:rsidR="00446D33" w:rsidRPr="00611C37" w:rsidTr="001655AF">
        <w:trPr>
          <w:trHeight w:val="650"/>
        </w:trPr>
        <w:tc>
          <w:tcPr>
            <w:tcW w:w="993" w:type="dxa"/>
          </w:tcPr>
          <w:p w:rsidR="00446D33" w:rsidRDefault="00785867" w:rsidP="001655AF">
            <w:pPr>
              <w:keepNext/>
              <w:keepLines/>
              <w:rPr>
                <w:rFonts w:ascii="Arial" w:hAnsi="Arial" w:cs="Arial"/>
                <w:b/>
              </w:rPr>
            </w:pPr>
            <w:r>
              <w:rPr>
                <w:rFonts w:ascii="Arial" w:hAnsi="Arial" w:cs="Arial"/>
                <w:b/>
              </w:rPr>
              <w:lastRenderedPageBreak/>
              <w:t xml:space="preserve">BOD </w:t>
            </w:r>
            <w:r w:rsidR="00B74723">
              <w:rPr>
                <w:rFonts w:ascii="Arial" w:hAnsi="Arial" w:cs="Arial"/>
                <w:b/>
              </w:rPr>
              <w:t>142</w:t>
            </w:r>
            <w:r w:rsidR="00446D33">
              <w:rPr>
                <w:rFonts w:ascii="Arial" w:hAnsi="Arial" w:cs="Arial"/>
                <w:b/>
              </w:rPr>
              <w:t>/15</w:t>
            </w:r>
          </w:p>
          <w:p w:rsidR="00446D33" w:rsidRPr="00667D54" w:rsidRDefault="00446D33" w:rsidP="001655AF">
            <w:pPr>
              <w:keepNext/>
              <w:keepLines/>
              <w:rPr>
                <w:rFonts w:ascii="Arial" w:hAnsi="Arial" w:cs="Arial"/>
              </w:rPr>
            </w:pPr>
            <w:r>
              <w:rPr>
                <w:rFonts w:ascii="Arial" w:hAnsi="Arial" w:cs="Arial"/>
              </w:rPr>
              <w:t>a</w:t>
            </w:r>
          </w:p>
          <w:p w:rsidR="00446D33" w:rsidRDefault="00446D33" w:rsidP="001655AF">
            <w:pPr>
              <w:keepNext/>
              <w:keepLines/>
              <w:rPr>
                <w:rFonts w:ascii="Arial" w:hAnsi="Arial" w:cs="Arial"/>
              </w:rPr>
            </w:pPr>
          </w:p>
          <w:p w:rsidR="00112017" w:rsidRDefault="00112017" w:rsidP="001655AF">
            <w:pPr>
              <w:keepNext/>
              <w:keepLines/>
              <w:rPr>
                <w:rFonts w:ascii="Arial" w:hAnsi="Arial" w:cs="Arial"/>
              </w:rPr>
            </w:pPr>
          </w:p>
          <w:p w:rsidR="00B74723" w:rsidRDefault="00B74723" w:rsidP="001655AF">
            <w:pPr>
              <w:keepNext/>
              <w:keepLines/>
              <w:rPr>
                <w:rFonts w:ascii="Arial" w:hAnsi="Arial" w:cs="Arial"/>
              </w:rPr>
            </w:pPr>
          </w:p>
          <w:p w:rsidR="00B74723" w:rsidRDefault="00B74723" w:rsidP="001655AF">
            <w:pPr>
              <w:keepNext/>
              <w:keepLines/>
              <w:rPr>
                <w:rFonts w:ascii="Arial" w:hAnsi="Arial" w:cs="Arial"/>
              </w:rPr>
            </w:pPr>
          </w:p>
          <w:p w:rsidR="00B74723" w:rsidRDefault="00B74723" w:rsidP="001655AF">
            <w:pPr>
              <w:keepNext/>
              <w:keepLines/>
              <w:rPr>
                <w:rFonts w:ascii="Arial" w:hAnsi="Arial" w:cs="Arial"/>
              </w:rPr>
            </w:pPr>
          </w:p>
          <w:p w:rsidR="00B74723" w:rsidRDefault="00B74723" w:rsidP="001655AF">
            <w:pPr>
              <w:keepNext/>
              <w:keepLines/>
              <w:rPr>
                <w:rFonts w:ascii="Arial" w:hAnsi="Arial" w:cs="Arial"/>
              </w:rPr>
            </w:pPr>
          </w:p>
          <w:p w:rsidR="00B74723" w:rsidRDefault="00B74723" w:rsidP="001655AF">
            <w:pPr>
              <w:keepNext/>
              <w:keepLines/>
              <w:rPr>
                <w:rFonts w:ascii="Arial" w:hAnsi="Arial" w:cs="Arial"/>
              </w:rPr>
            </w:pPr>
          </w:p>
          <w:p w:rsidR="00112017" w:rsidRDefault="00112017" w:rsidP="001655AF">
            <w:pPr>
              <w:keepNext/>
              <w:keepLines/>
              <w:rPr>
                <w:rFonts w:ascii="Arial" w:hAnsi="Arial" w:cs="Arial"/>
              </w:rPr>
            </w:pPr>
            <w:r>
              <w:rPr>
                <w:rFonts w:ascii="Arial" w:hAnsi="Arial" w:cs="Arial"/>
              </w:rPr>
              <w:t>b</w:t>
            </w:r>
          </w:p>
          <w:p w:rsidR="00446D33" w:rsidRPr="00611C37" w:rsidRDefault="00446D33" w:rsidP="002E7E59">
            <w:pPr>
              <w:keepNext/>
              <w:keepLines/>
              <w:rPr>
                <w:rFonts w:ascii="Arial" w:hAnsi="Arial" w:cs="Arial"/>
              </w:rPr>
            </w:pPr>
          </w:p>
        </w:tc>
        <w:tc>
          <w:tcPr>
            <w:tcW w:w="7087" w:type="dxa"/>
          </w:tcPr>
          <w:p w:rsidR="00446D33" w:rsidRDefault="005A7EE9" w:rsidP="002E7E59">
            <w:pPr>
              <w:jc w:val="both"/>
              <w:rPr>
                <w:rFonts w:ascii="Arial" w:hAnsi="Arial" w:cs="Arial"/>
                <w:bCs/>
              </w:rPr>
            </w:pPr>
            <w:r w:rsidRPr="005A7EE9">
              <w:rPr>
                <w:rFonts w:ascii="Arial" w:hAnsi="Arial" w:cs="Arial"/>
                <w:b/>
                <w:bCs/>
              </w:rPr>
              <w:t>Any Other Business</w:t>
            </w:r>
            <w:r>
              <w:rPr>
                <w:rFonts w:ascii="Arial" w:hAnsi="Arial" w:cs="Arial"/>
                <w:b/>
                <w:bCs/>
              </w:rPr>
              <w:t xml:space="preserve"> </w:t>
            </w:r>
          </w:p>
          <w:p w:rsidR="005A7EE9" w:rsidRDefault="005A7EE9" w:rsidP="002E7E59">
            <w:pPr>
              <w:jc w:val="both"/>
              <w:rPr>
                <w:rFonts w:ascii="Arial" w:hAnsi="Arial" w:cs="Arial"/>
                <w:bCs/>
              </w:rPr>
            </w:pPr>
          </w:p>
          <w:p w:rsidR="00D710C1" w:rsidRPr="00D710C1" w:rsidRDefault="00D710C1" w:rsidP="00D710C1">
            <w:pPr>
              <w:jc w:val="both"/>
              <w:rPr>
                <w:rFonts w:ascii="Arial" w:hAnsi="Arial" w:cs="Arial"/>
                <w:b/>
                <w:bCs/>
                <w:i/>
              </w:rPr>
            </w:pPr>
            <w:r w:rsidRPr="00D710C1">
              <w:rPr>
                <w:rFonts w:ascii="Arial" w:hAnsi="Arial" w:cs="Arial"/>
                <w:b/>
                <w:bCs/>
                <w:i/>
              </w:rPr>
              <w:t>IT Strategy</w:t>
            </w:r>
          </w:p>
          <w:p w:rsidR="00D710C1" w:rsidRPr="00D710C1" w:rsidRDefault="00D710C1" w:rsidP="00D710C1">
            <w:pPr>
              <w:jc w:val="both"/>
              <w:rPr>
                <w:rFonts w:ascii="Arial" w:hAnsi="Arial" w:cs="Arial"/>
                <w:bCs/>
              </w:rPr>
            </w:pPr>
          </w:p>
          <w:p w:rsidR="00D710C1" w:rsidRDefault="00D710C1" w:rsidP="00D710C1">
            <w:pPr>
              <w:jc w:val="both"/>
              <w:rPr>
                <w:rFonts w:ascii="Arial" w:hAnsi="Arial" w:cs="Arial"/>
                <w:bCs/>
              </w:rPr>
            </w:pPr>
            <w:r w:rsidRPr="00D710C1">
              <w:rPr>
                <w:rFonts w:ascii="Arial" w:hAnsi="Arial" w:cs="Arial"/>
                <w:bCs/>
              </w:rPr>
              <w:t xml:space="preserve">The Director of Finance noted that the IT Strategy had been raised at the recent Directorate Performance Reviews and that this would be coming up for review.  The Board noted that this may be appropriate for review and discussion at a future extended Board session on strategy.  </w:t>
            </w:r>
          </w:p>
          <w:p w:rsidR="00D710C1" w:rsidRDefault="00D710C1" w:rsidP="00D710C1">
            <w:pPr>
              <w:jc w:val="both"/>
              <w:rPr>
                <w:rFonts w:ascii="Arial" w:hAnsi="Arial" w:cs="Arial"/>
                <w:bCs/>
              </w:rPr>
            </w:pPr>
          </w:p>
          <w:p w:rsidR="00D710C1" w:rsidRPr="00D710C1" w:rsidRDefault="00D710C1" w:rsidP="00D710C1">
            <w:pPr>
              <w:jc w:val="both"/>
              <w:rPr>
                <w:rFonts w:ascii="Arial" w:hAnsi="Arial" w:cs="Arial"/>
                <w:b/>
                <w:bCs/>
                <w:i/>
              </w:rPr>
            </w:pPr>
            <w:r w:rsidRPr="00D710C1">
              <w:rPr>
                <w:rFonts w:ascii="Arial" w:hAnsi="Arial" w:cs="Arial"/>
                <w:b/>
                <w:bCs/>
                <w:i/>
              </w:rPr>
              <w:t>Questions/comments from Governors, Members and Others attending</w:t>
            </w:r>
          </w:p>
          <w:p w:rsidR="00D710C1" w:rsidRPr="00D710C1" w:rsidRDefault="00D710C1" w:rsidP="00D710C1">
            <w:pPr>
              <w:jc w:val="both"/>
              <w:rPr>
                <w:rFonts w:ascii="Arial" w:hAnsi="Arial" w:cs="Arial"/>
                <w:bCs/>
              </w:rPr>
            </w:pPr>
          </w:p>
          <w:p w:rsidR="00D710C1" w:rsidRPr="00D710C1" w:rsidRDefault="00D710C1" w:rsidP="00D710C1">
            <w:pPr>
              <w:jc w:val="both"/>
              <w:rPr>
                <w:rFonts w:ascii="Arial" w:hAnsi="Arial" w:cs="Arial"/>
                <w:bCs/>
              </w:rPr>
            </w:pPr>
            <w:r w:rsidRPr="00D710C1">
              <w:rPr>
                <w:rFonts w:ascii="Arial" w:hAnsi="Arial" w:cs="Arial"/>
                <w:bCs/>
              </w:rPr>
              <w:t>Geoffrey Forster, Governor, noted that he had been involved in judging the Staff Recognition Awards and had been v</w:t>
            </w:r>
            <w:r>
              <w:rPr>
                <w:rFonts w:ascii="Arial" w:hAnsi="Arial" w:cs="Arial"/>
                <w:bCs/>
              </w:rPr>
              <w:t xml:space="preserve">ery impressed by the entries.  </w:t>
            </w:r>
          </w:p>
          <w:p w:rsidR="005A7EE9" w:rsidRPr="005A7EE9" w:rsidRDefault="005A7EE9" w:rsidP="00785867">
            <w:pPr>
              <w:jc w:val="both"/>
              <w:rPr>
                <w:rFonts w:ascii="Arial" w:hAnsi="Arial" w:cs="Arial"/>
                <w:bCs/>
              </w:rPr>
            </w:pPr>
          </w:p>
        </w:tc>
        <w:tc>
          <w:tcPr>
            <w:tcW w:w="1054" w:type="dxa"/>
          </w:tcPr>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5A1DB5" w:rsidRDefault="005A1DB5" w:rsidP="001655AF">
            <w:pPr>
              <w:keepNext/>
              <w:keepLines/>
              <w:rPr>
                <w:rFonts w:ascii="Arial" w:hAnsi="Arial" w:cs="Arial"/>
              </w:rPr>
            </w:pPr>
          </w:p>
          <w:p w:rsidR="005A1DB5" w:rsidRDefault="005A1DB5" w:rsidP="001655AF">
            <w:pPr>
              <w:keepNext/>
              <w:keepLines/>
              <w:rPr>
                <w:rFonts w:ascii="Arial" w:hAnsi="Arial" w:cs="Arial"/>
              </w:rPr>
            </w:pPr>
          </w:p>
          <w:p w:rsidR="005A1DB5" w:rsidRDefault="005A1DB5" w:rsidP="001655AF">
            <w:pPr>
              <w:keepNext/>
              <w:keepLines/>
              <w:rPr>
                <w:rFonts w:ascii="Arial" w:hAnsi="Arial" w:cs="Arial"/>
              </w:rPr>
            </w:pPr>
          </w:p>
          <w:p w:rsidR="005A1DB5" w:rsidRDefault="005A1DB5" w:rsidP="001655AF">
            <w:pPr>
              <w:keepNext/>
              <w:keepLines/>
              <w:rPr>
                <w:rFonts w:ascii="Arial" w:hAnsi="Arial" w:cs="Arial"/>
              </w:rPr>
            </w:pPr>
          </w:p>
          <w:p w:rsidR="005A1DB5" w:rsidRPr="005A1DB5" w:rsidRDefault="005A1DB5" w:rsidP="001655AF">
            <w:pPr>
              <w:keepNext/>
              <w:keepLines/>
              <w:rPr>
                <w:rFonts w:ascii="Arial" w:hAnsi="Arial" w:cs="Arial"/>
                <w:b/>
              </w:rPr>
            </w:pPr>
            <w:r>
              <w:rPr>
                <w:rFonts w:ascii="Arial" w:hAnsi="Arial" w:cs="Arial"/>
                <w:b/>
              </w:rPr>
              <w:t>CM</w:t>
            </w: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Pr="00611C37" w:rsidRDefault="00446D33" w:rsidP="001655AF">
            <w:pPr>
              <w:keepNext/>
              <w:keepLines/>
              <w:rPr>
                <w:rFonts w:ascii="Arial" w:hAnsi="Arial" w:cs="Arial"/>
                <w:b/>
              </w:rPr>
            </w:pPr>
          </w:p>
        </w:tc>
      </w:tr>
      <w:tr w:rsidR="00322C55" w:rsidRPr="00666D1B">
        <w:trPr>
          <w:trHeight w:val="40"/>
        </w:trPr>
        <w:tc>
          <w:tcPr>
            <w:tcW w:w="993" w:type="dxa"/>
          </w:tcPr>
          <w:p w:rsidR="00322C55" w:rsidRPr="00666D1B" w:rsidRDefault="00322C55" w:rsidP="005F51D7">
            <w:pPr>
              <w:rPr>
                <w:rFonts w:ascii="Arial" w:hAnsi="Arial" w:cs="Arial"/>
              </w:rPr>
            </w:pPr>
          </w:p>
        </w:tc>
        <w:tc>
          <w:tcPr>
            <w:tcW w:w="7087" w:type="dxa"/>
          </w:tcPr>
          <w:p w:rsidR="00322C55" w:rsidRPr="00666D1B" w:rsidRDefault="00322C55" w:rsidP="005F51D7">
            <w:pPr>
              <w:jc w:val="both"/>
              <w:rPr>
                <w:rFonts w:ascii="Arial" w:hAnsi="Arial" w:cs="Arial"/>
                <w:b/>
                <w:bCs/>
              </w:rPr>
            </w:pPr>
            <w:r w:rsidRPr="00666D1B">
              <w:rPr>
                <w:rFonts w:ascii="Arial" w:hAnsi="Arial" w:cs="Arial"/>
                <w:bCs/>
              </w:rPr>
              <w:t xml:space="preserve">The meeting was closed at </w:t>
            </w:r>
            <w:r w:rsidR="00035A24">
              <w:rPr>
                <w:rFonts w:ascii="Arial" w:hAnsi="Arial" w:cs="Arial"/>
                <w:bCs/>
              </w:rPr>
              <w:t>12:40</w:t>
            </w:r>
          </w:p>
          <w:p w:rsidR="00322C55" w:rsidRPr="00937E38" w:rsidRDefault="00035A24" w:rsidP="002F521E">
            <w:pPr>
              <w:jc w:val="both"/>
              <w:rPr>
                <w:rFonts w:ascii="Arial" w:hAnsi="Arial" w:cs="Arial"/>
                <w:b/>
                <w:bCs/>
              </w:rPr>
            </w:pPr>
            <w:r>
              <w:rPr>
                <w:rFonts w:ascii="Arial" w:hAnsi="Arial" w:cs="Arial"/>
                <w:b/>
                <w:bCs/>
              </w:rPr>
              <w:t xml:space="preserve">Date of next meeting: Wednesday, 30 September 2015 </w:t>
            </w:r>
          </w:p>
        </w:tc>
        <w:tc>
          <w:tcPr>
            <w:tcW w:w="1054" w:type="dxa"/>
          </w:tcPr>
          <w:p w:rsidR="00322C55" w:rsidRPr="00666D1B" w:rsidRDefault="00322C55"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18" w:rsidRDefault="004C6118">
      <w:r>
        <w:separator/>
      </w:r>
    </w:p>
  </w:endnote>
  <w:endnote w:type="continuationSeparator" w:id="0">
    <w:p w:rsidR="004C6118" w:rsidRDefault="004C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Default="004C6118">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14E97">
      <w:rPr>
        <w:rStyle w:val="PageNumber"/>
        <w:rFonts w:ascii="Arial" w:hAnsi="Arial" w:cs="Arial"/>
        <w:noProof/>
      </w:rPr>
      <w:t>14</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18" w:rsidRDefault="004C6118">
      <w:r>
        <w:separator/>
      </w:r>
    </w:p>
  </w:footnote>
  <w:footnote w:type="continuationSeparator" w:id="0">
    <w:p w:rsidR="004C6118" w:rsidRDefault="004C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Pr="007F0E99" w:rsidRDefault="004C6118">
    <w:pPr>
      <w:pStyle w:val="Header"/>
      <w:jc w:val="center"/>
      <w:rPr>
        <w:rFonts w:cs="Arial"/>
        <w:i/>
        <w:iCs/>
        <w:sz w:val="20"/>
        <w:lang w:val="en-GB"/>
      </w:rPr>
    </w:pPr>
    <w:r>
      <w:rPr>
        <w:rFonts w:cs="Arial"/>
        <w:i/>
        <w:iCs/>
        <w:sz w:val="20"/>
        <w:lang w:val="en-GB"/>
      </w:rPr>
      <w:t>Public</w:t>
    </w:r>
  </w:p>
  <w:p w:rsidR="004C6118" w:rsidRDefault="004C6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18" w:rsidRDefault="004C6118" w:rsidP="005F51D7">
    <w:pPr>
      <w:pStyle w:val="Header"/>
      <w:jc w:val="right"/>
      <w:rPr>
        <w:b/>
        <w:sz w:val="20"/>
        <w:szCs w:val="20"/>
      </w:rPr>
    </w:pPr>
    <w:r w:rsidRPr="009D1C82">
      <w:rPr>
        <w:b/>
        <w:sz w:val="20"/>
        <w:szCs w:val="20"/>
      </w:rPr>
      <w:t>BOD</w:t>
    </w:r>
    <w:r w:rsidR="002D38A5">
      <w:rPr>
        <w:b/>
        <w:sz w:val="20"/>
        <w:szCs w:val="20"/>
      </w:rPr>
      <w:t xml:space="preserve"> 120</w:t>
    </w:r>
    <w:r>
      <w:rPr>
        <w:b/>
        <w:sz w:val="20"/>
        <w:szCs w:val="20"/>
      </w:rPr>
      <w:t>/2015</w:t>
    </w:r>
  </w:p>
  <w:p w:rsidR="004C6118" w:rsidRPr="00E92794" w:rsidRDefault="004C6118"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7"/>
  </w:num>
  <w:num w:numId="8">
    <w:abstractNumId w:val="8"/>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6F18"/>
    <w:rsid w:val="00017EF3"/>
    <w:rsid w:val="00022DA4"/>
    <w:rsid w:val="00023094"/>
    <w:rsid w:val="000232FD"/>
    <w:rsid w:val="000233D8"/>
    <w:rsid w:val="00025A90"/>
    <w:rsid w:val="000269E4"/>
    <w:rsid w:val="00027FA9"/>
    <w:rsid w:val="00030511"/>
    <w:rsid w:val="000305BF"/>
    <w:rsid w:val="00031A89"/>
    <w:rsid w:val="00031E92"/>
    <w:rsid w:val="0003235C"/>
    <w:rsid w:val="0003259F"/>
    <w:rsid w:val="000331A7"/>
    <w:rsid w:val="00033DAA"/>
    <w:rsid w:val="00033E70"/>
    <w:rsid w:val="0003421D"/>
    <w:rsid w:val="000345B6"/>
    <w:rsid w:val="0003506B"/>
    <w:rsid w:val="0003544C"/>
    <w:rsid w:val="00035A24"/>
    <w:rsid w:val="0003685E"/>
    <w:rsid w:val="00036A31"/>
    <w:rsid w:val="00037223"/>
    <w:rsid w:val="00041164"/>
    <w:rsid w:val="000416C4"/>
    <w:rsid w:val="00041929"/>
    <w:rsid w:val="0004219F"/>
    <w:rsid w:val="00042CE7"/>
    <w:rsid w:val="00042DA2"/>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4650"/>
    <w:rsid w:val="000A58BB"/>
    <w:rsid w:val="000A7A3C"/>
    <w:rsid w:val="000B2259"/>
    <w:rsid w:val="000B33EB"/>
    <w:rsid w:val="000B3DC1"/>
    <w:rsid w:val="000B4359"/>
    <w:rsid w:val="000B5073"/>
    <w:rsid w:val="000C056B"/>
    <w:rsid w:val="000C05EB"/>
    <w:rsid w:val="000C220E"/>
    <w:rsid w:val="000C3538"/>
    <w:rsid w:val="000C35DE"/>
    <w:rsid w:val="000C3918"/>
    <w:rsid w:val="000C3F7C"/>
    <w:rsid w:val="000C4416"/>
    <w:rsid w:val="000C4AB4"/>
    <w:rsid w:val="000C4CAB"/>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27"/>
    <w:rsid w:val="000E3337"/>
    <w:rsid w:val="000E376A"/>
    <w:rsid w:val="000E4429"/>
    <w:rsid w:val="000E50E1"/>
    <w:rsid w:val="000E582A"/>
    <w:rsid w:val="000E5A58"/>
    <w:rsid w:val="000E5FE2"/>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274D"/>
    <w:rsid w:val="001234C7"/>
    <w:rsid w:val="001237B4"/>
    <w:rsid w:val="001249FF"/>
    <w:rsid w:val="00124C6A"/>
    <w:rsid w:val="001272FC"/>
    <w:rsid w:val="0012745D"/>
    <w:rsid w:val="001274F7"/>
    <w:rsid w:val="00127CF2"/>
    <w:rsid w:val="0013487D"/>
    <w:rsid w:val="001363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163"/>
    <w:rsid w:val="00163B28"/>
    <w:rsid w:val="00163E4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3B3"/>
    <w:rsid w:val="0018384D"/>
    <w:rsid w:val="00183DB5"/>
    <w:rsid w:val="001841BB"/>
    <w:rsid w:val="00185213"/>
    <w:rsid w:val="00185350"/>
    <w:rsid w:val="00186A20"/>
    <w:rsid w:val="00187891"/>
    <w:rsid w:val="001907CF"/>
    <w:rsid w:val="00190A95"/>
    <w:rsid w:val="001912DA"/>
    <w:rsid w:val="001936B7"/>
    <w:rsid w:val="001940FF"/>
    <w:rsid w:val="00194704"/>
    <w:rsid w:val="00194A2C"/>
    <w:rsid w:val="00194F5E"/>
    <w:rsid w:val="001A12CA"/>
    <w:rsid w:val="001A1672"/>
    <w:rsid w:val="001A197B"/>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60D"/>
    <w:rsid w:val="001F5E8E"/>
    <w:rsid w:val="001F6203"/>
    <w:rsid w:val="001F69C4"/>
    <w:rsid w:val="001F6F65"/>
    <w:rsid w:val="001F7579"/>
    <w:rsid w:val="001F774C"/>
    <w:rsid w:val="001F7F14"/>
    <w:rsid w:val="00200D6E"/>
    <w:rsid w:val="00201739"/>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AE2"/>
    <w:rsid w:val="00225EC4"/>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1462"/>
    <w:rsid w:val="00241E3F"/>
    <w:rsid w:val="00242181"/>
    <w:rsid w:val="00242E63"/>
    <w:rsid w:val="00244DBB"/>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4949"/>
    <w:rsid w:val="00275320"/>
    <w:rsid w:val="00275403"/>
    <w:rsid w:val="002763A8"/>
    <w:rsid w:val="00276DC6"/>
    <w:rsid w:val="002771C6"/>
    <w:rsid w:val="0027744E"/>
    <w:rsid w:val="00277A15"/>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8C5"/>
    <w:rsid w:val="002A4DCE"/>
    <w:rsid w:val="002A5088"/>
    <w:rsid w:val="002A5E5E"/>
    <w:rsid w:val="002B271C"/>
    <w:rsid w:val="002B350F"/>
    <w:rsid w:val="002B35FD"/>
    <w:rsid w:val="002B3D56"/>
    <w:rsid w:val="002B4D1C"/>
    <w:rsid w:val="002B4E8B"/>
    <w:rsid w:val="002B5565"/>
    <w:rsid w:val="002B64BD"/>
    <w:rsid w:val="002B6A77"/>
    <w:rsid w:val="002B7A2A"/>
    <w:rsid w:val="002C03CE"/>
    <w:rsid w:val="002C03FC"/>
    <w:rsid w:val="002C0E89"/>
    <w:rsid w:val="002C110B"/>
    <w:rsid w:val="002C14A3"/>
    <w:rsid w:val="002C2785"/>
    <w:rsid w:val="002C3FEF"/>
    <w:rsid w:val="002C44A8"/>
    <w:rsid w:val="002C45C0"/>
    <w:rsid w:val="002C5198"/>
    <w:rsid w:val="002C5B5A"/>
    <w:rsid w:val="002C6017"/>
    <w:rsid w:val="002C6D8C"/>
    <w:rsid w:val="002C7085"/>
    <w:rsid w:val="002C75AD"/>
    <w:rsid w:val="002D1661"/>
    <w:rsid w:val="002D210C"/>
    <w:rsid w:val="002D228F"/>
    <w:rsid w:val="002D36FB"/>
    <w:rsid w:val="002D38A5"/>
    <w:rsid w:val="002D4A4C"/>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52FD"/>
    <w:rsid w:val="002E564D"/>
    <w:rsid w:val="002E65E9"/>
    <w:rsid w:val="002E730B"/>
    <w:rsid w:val="002E7779"/>
    <w:rsid w:val="002E7E5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B9D"/>
    <w:rsid w:val="003000DB"/>
    <w:rsid w:val="00300E61"/>
    <w:rsid w:val="003021AA"/>
    <w:rsid w:val="00302203"/>
    <w:rsid w:val="003031E4"/>
    <w:rsid w:val="00303406"/>
    <w:rsid w:val="00303DFA"/>
    <w:rsid w:val="0030519C"/>
    <w:rsid w:val="003051EE"/>
    <w:rsid w:val="00305A9D"/>
    <w:rsid w:val="0030633D"/>
    <w:rsid w:val="00307671"/>
    <w:rsid w:val="0031029F"/>
    <w:rsid w:val="0031087B"/>
    <w:rsid w:val="00310F9A"/>
    <w:rsid w:val="00311524"/>
    <w:rsid w:val="0031168D"/>
    <w:rsid w:val="00311E96"/>
    <w:rsid w:val="00313291"/>
    <w:rsid w:val="00313DD0"/>
    <w:rsid w:val="00314504"/>
    <w:rsid w:val="00314D1D"/>
    <w:rsid w:val="00314F6A"/>
    <w:rsid w:val="00315EA3"/>
    <w:rsid w:val="00316387"/>
    <w:rsid w:val="00321BED"/>
    <w:rsid w:val="00321DC8"/>
    <w:rsid w:val="0032203D"/>
    <w:rsid w:val="00322AAC"/>
    <w:rsid w:val="00322B0A"/>
    <w:rsid w:val="00322C55"/>
    <w:rsid w:val="003230C2"/>
    <w:rsid w:val="00323729"/>
    <w:rsid w:val="00323AFD"/>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A91"/>
    <w:rsid w:val="00341BEC"/>
    <w:rsid w:val="003423C9"/>
    <w:rsid w:val="00342BCB"/>
    <w:rsid w:val="003438F8"/>
    <w:rsid w:val="0034481D"/>
    <w:rsid w:val="00344F8D"/>
    <w:rsid w:val="00345CCE"/>
    <w:rsid w:val="00347443"/>
    <w:rsid w:val="00347D96"/>
    <w:rsid w:val="00351285"/>
    <w:rsid w:val="00352575"/>
    <w:rsid w:val="00352E83"/>
    <w:rsid w:val="00352E8F"/>
    <w:rsid w:val="00354E8F"/>
    <w:rsid w:val="00356F5E"/>
    <w:rsid w:val="00357185"/>
    <w:rsid w:val="00360DB2"/>
    <w:rsid w:val="003627F9"/>
    <w:rsid w:val="00364DCC"/>
    <w:rsid w:val="00366139"/>
    <w:rsid w:val="003665EA"/>
    <w:rsid w:val="00367D16"/>
    <w:rsid w:val="00370D94"/>
    <w:rsid w:val="00370DA4"/>
    <w:rsid w:val="00370DEF"/>
    <w:rsid w:val="00370E1D"/>
    <w:rsid w:val="00372025"/>
    <w:rsid w:val="0037234A"/>
    <w:rsid w:val="00373475"/>
    <w:rsid w:val="003739BD"/>
    <w:rsid w:val="00373EEE"/>
    <w:rsid w:val="00375210"/>
    <w:rsid w:val="00376EE0"/>
    <w:rsid w:val="00377F58"/>
    <w:rsid w:val="00380464"/>
    <w:rsid w:val="003815CC"/>
    <w:rsid w:val="003816F0"/>
    <w:rsid w:val="00382A8E"/>
    <w:rsid w:val="00383930"/>
    <w:rsid w:val="00384ACA"/>
    <w:rsid w:val="00385405"/>
    <w:rsid w:val="00385B54"/>
    <w:rsid w:val="00387100"/>
    <w:rsid w:val="003875DA"/>
    <w:rsid w:val="00387B15"/>
    <w:rsid w:val="00387E6C"/>
    <w:rsid w:val="00391B29"/>
    <w:rsid w:val="00391D5A"/>
    <w:rsid w:val="0039263D"/>
    <w:rsid w:val="00392B2B"/>
    <w:rsid w:val="00393251"/>
    <w:rsid w:val="00393287"/>
    <w:rsid w:val="00393360"/>
    <w:rsid w:val="003941FB"/>
    <w:rsid w:val="0039476B"/>
    <w:rsid w:val="003A139A"/>
    <w:rsid w:val="003A21C3"/>
    <w:rsid w:val="003A320E"/>
    <w:rsid w:val="003A37BD"/>
    <w:rsid w:val="003A4A94"/>
    <w:rsid w:val="003A5FAF"/>
    <w:rsid w:val="003A6976"/>
    <w:rsid w:val="003B1318"/>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37E4"/>
    <w:rsid w:val="003D451C"/>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79"/>
    <w:rsid w:val="004046AE"/>
    <w:rsid w:val="0040514B"/>
    <w:rsid w:val="00405A41"/>
    <w:rsid w:val="00405C9F"/>
    <w:rsid w:val="00407562"/>
    <w:rsid w:val="00407A02"/>
    <w:rsid w:val="00410617"/>
    <w:rsid w:val="004127CC"/>
    <w:rsid w:val="00412D41"/>
    <w:rsid w:val="00414773"/>
    <w:rsid w:val="004148BF"/>
    <w:rsid w:val="004158CA"/>
    <w:rsid w:val="00415F67"/>
    <w:rsid w:val="00416158"/>
    <w:rsid w:val="004165AB"/>
    <w:rsid w:val="00416E93"/>
    <w:rsid w:val="00417BBF"/>
    <w:rsid w:val="00420207"/>
    <w:rsid w:val="004209E0"/>
    <w:rsid w:val="00420CB2"/>
    <w:rsid w:val="00421BDB"/>
    <w:rsid w:val="00421FBB"/>
    <w:rsid w:val="00422A3E"/>
    <w:rsid w:val="00422AC5"/>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4D1F"/>
    <w:rsid w:val="004558D4"/>
    <w:rsid w:val="00455DCF"/>
    <w:rsid w:val="00456301"/>
    <w:rsid w:val="004578DA"/>
    <w:rsid w:val="00460054"/>
    <w:rsid w:val="004606BC"/>
    <w:rsid w:val="004625DC"/>
    <w:rsid w:val="004625E7"/>
    <w:rsid w:val="0046260C"/>
    <w:rsid w:val="0046487A"/>
    <w:rsid w:val="00464EB5"/>
    <w:rsid w:val="004655DB"/>
    <w:rsid w:val="00466B79"/>
    <w:rsid w:val="00466C13"/>
    <w:rsid w:val="004676E2"/>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99A"/>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9CD"/>
    <w:rsid w:val="004B2A1E"/>
    <w:rsid w:val="004B2B7A"/>
    <w:rsid w:val="004B3537"/>
    <w:rsid w:val="004B3633"/>
    <w:rsid w:val="004B3FBC"/>
    <w:rsid w:val="004B4264"/>
    <w:rsid w:val="004B451C"/>
    <w:rsid w:val="004B4CC8"/>
    <w:rsid w:val="004B544A"/>
    <w:rsid w:val="004B64D7"/>
    <w:rsid w:val="004C0226"/>
    <w:rsid w:val="004C03BA"/>
    <w:rsid w:val="004C0FB6"/>
    <w:rsid w:val="004C1806"/>
    <w:rsid w:val="004C18D8"/>
    <w:rsid w:val="004C3A88"/>
    <w:rsid w:val="004C40A3"/>
    <w:rsid w:val="004C6118"/>
    <w:rsid w:val="004C659E"/>
    <w:rsid w:val="004C66AC"/>
    <w:rsid w:val="004C6C68"/>
    <w:rsid w:val="004C7ED3"/>
    <w:rsid w:val="004C7FD0"/>
    <w:rsid w:val="004D037A"/>
    <w:rsid w:val="004D072B"/>
    <w:rsid w:val="004D0A6E"/>
    <w:rsid w:val="004D0D03"/>
    <w:rsid w:val="004D0D1B"/>
    <w:rsid w:val="004D16DB"/>
    <w:rsid w:val="004D17A7"/>
    <w:rsid w:val="004D1D35"/>
    <w:rsid w:val="004D1E94"/>
    <w:rsid w:val="004D2D35"/>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1BA"/>
    <w:rsid w:val="00504432"/>
    <w:rsid w:val="00504631"/>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6ED5"/>
    <w:rsid w:val="005177A2"/>
    <w:rsid w:val="005201F8"/>
    <w:rsid w:val="0052130A"/>
    <w:rsid w:val="00521FB1"/>
    <w:rsid w:val="00522045"/>
    <w:rsid w:val="00522E2E"/>
    <w:rsid w:val="005231C2"/>
    <w:rsid w:val="005236B3"/>
    <w:rsid w:val="0052373A"/>
    <w:rsid w:val="00524154"/>
    <w:rsid w:val="0052426C"/>
    <w:rsid w:val="00524733"/>
    <w:rsid w:val="00525547"/>
    <w:rsid w:val="005258CC"/>
    <w:rsid w:val="005274A2"/>
    <w:rsid w:val="00527E1A"/>
    <w:rsid w:val="005304E3"/>
    <w:rsid w:val="00530BBE"/>
    <w:rsid w:val="0053114D"/>
    <w:rsid w:val="00531E3A"/>
    <w:rsid w:val="00532161"/>
    <w:rsid w:val="005339AE"/>
    <w:rsid w:val="00536B41"/>
    <w:rsid w:val="00537C11"/>
    <w:rsid w:val="00537F8A"/>
    <w:rsid w:val="00540B21"/>
    <w:rsid w:val="00540D3D"/>
    <w:rsid w:val="00540E92"/>
    <w:rsid w:val="00541AD9"/>
    <w:rsid w:val="005429C8"/>
    <w:rsid w:val="005429CD"/>
    <w:rsid w:val="005450C0"/>
    <w:rsid w:val="00546CDA"/>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9014B"/>
    <w:rsid w:val="00590ED0"/>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124E"/>
    <w:rsid w:val="005C27A3"/>
    <w:rsid w:val="005C347F"/>
    <w:rsid w:val="005C35CB"/>
    <w:rsid w:val="005C4297"/>
    <w:rsid w:val="005C49A5"/>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230"/>
    <w:rsid w:val="005F361D"/>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78FD"/>
    <w:rsid w:val="00637DF0"/>
    <w:rsid w:val="006405E1"/>
    <w:rsid w:val="00640BD7"/>
    <w:rsid w:val="00641D32"/>
    <w:rsid w:val="00644B3A"/>
    <w:rsid w:val="00644F12"/>
    <w:rsid w:val="00645589"/>
    <w:rsid w:val="0064590C"/>
    <w:rsid w:val="00645D4E"/>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D54"/>
    <w:rsid w:val="006704B9"/>
    <w:rsid w:val="00671D06"/>
    <w:rsid w:val="00671F3C"/>
    <w:rsid w:val="0067218A"/>
    <w:rsid w:val="00673AEB"/>
    <w:rsid w:val="00673E05"/>
    <w:rsid w:val="00674939"/>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605"/>
    <w:rsid w:val="0068798B"/>
    <w:rsid w:val="00690272"/>
    <w:rsid w:val="00690C89"/>
    <w:rsid w:val="00690DAA"/>
    <w:rsid w:val="00691958"/>
    <w:rsid w:val="00692224"/>
    <w:rsid w:val="00692D07"/>
    <w:rsid w:val="00693CD5"/>
    <w:rsid w:val="006948D3"/>
    <w:rsid w:val="00695A86"/>
    <w:rsid w:val="00695B5C"/>
    <w:rsid w:val="00695B97"/>
    <w:rsid w:val="00695E1D"/>
    <w:rsid w:val="006962EE"/>
    <w:rsid w:val="0069749E"/>
    <w:rsid w:val="00697506"/>
    <w:rsid w:val="00697622"/>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DF"/>
    <w:rsid w:val="006B4E95"/>
    <w:rsid w:val="006B5BC2"/>
    <w:rsid w:val="006B672B"/>
    <w:rsid w:val="006B6759"/>
    <w:rsid w:val="006B7492"/>
    <w:rsid w:val="006B7FDD"/>
    <w:rsid w:val="006C0781"/>
    <w:rsid w:val="006C082D"/>
    <w:rsid w:val="006C0C0C"/>
    <w:rsid w:val="006C13D6"/>
    <w:rsid w:val="006C25D0"/>
    <w:rsid w:val="006C2F46"/>
    <w:rsid w:val="006C3A0C"/>
    <w:rsid w:val="006C538E"/>
    <w:rsid w:val="006C6A4F"/>
    <w:rsid w:val="006C6C3A"/>
    <w:rsid w:val="006C6D96"/>
    <w:rsid w:val="006C7BC7"/>
    <w:rsid w:val="006C7F09"/>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310E"/>
    <w:rsid w:val="007035C7"/>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20"/>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136"/>
    <w:rsid w:val="0079763E"/>
    <w:rsid w:val="007A2349"/>
    <w:rsid w:val="007A339F"/>
    <w:rsid w:val="007A57E8"/>
    <w:rsid w:val="007A58CB"/>
    <w:rsid w:val="007A643E"/>
    <w:rsid w:val="007A6CB8"/>
    <w:rsid w:val="007A7F37"/>
    <w:rsid w:val="007B00A7"/>
    <w:rsid w:val="007B14D7"/>
    <w:rsid w:val="007B17CA"/>
    <w:rsid w:val="007B39DC"/>
    <w:rsid w:val="007B3A93"/>
    <w:rsid w:val="007B3CAE"/>
    <w:rsid w:val="007B40CD"/>
    <w:rsid w:val="007B4DF2"/>
    <w:rsid w:val="007B5206"/>
    <w:rsid w:val="007B5B1E"/>
    <w:rsid w:val="007B6246"/>
    <w:rsid w:val="007B6496"/>
    <w:rsid w:val="007B6789"/>
    <w:rsid w:val="007B7912"/>
    <w:rsid w:val="007B7E5C"/>
    <w:rsid w:val="007C02CF"/>
    <w:rsid w:val="007C3686"/>
    <w:rsid w:val="007C41FF"/>
    <w:rsid w:val="007C4687"/>
    <w:rsid w:val="007C5454"/>
    <w:rsid w:val="007C720B"/>
    <w:rsid w:val="007C72FC"/>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BC9"/>
    <w:rsid w:val="007E5EDB"/>
    <w:rsid w:val="007E6ABF"/>
    <w:rsid w:val="007E7330"/>
    <w:rsid w:val="007F009E"/>
    <w:rsid w:val="007F0440"/>
    <w:rsid w:val="007F07C4"/>
    <w:rsid w:val="007F0880"/>
    <w:rsid w:val="007F0F71"/>
    <w:rsid w:val="007F1B0E"/>
    <w:rsid w:val="007F2DE6"/>
    <w:rsid w:val="007F3B48"/>
    <w:rsid w:val="007F4280"/>
    <w:rsid w:val="007F54AE"/>
    <w:rsid w:val="007F559F"/>
    <w:rsid w:val="007F5DB0"/>
    <w:rsid w:val="007F6671"/>
    <w:rsid w:val="007F6EDC"/>
    <w:rsid w:val="007F6EE7"/>
    <w:rsid w:val="007F6F8B"/>
    <w:rsid w:val="007F7397"/>
    <w:rsid w:val="007F73D8"/>
    <w:rsid w:val="007F7454"/>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92F"/>
    <w:rsid w:val="00832091"/>
    <w:rsid w:val="00832272"/>
    <w:rsid w:val="008324CD"/>
    <w:rsid w:val="00832FC4"/>
    <w:rsid w:val="00833544"/>
    <w:rsid w:val="00834AEA"/>
    <w:rsid w:val="00836123"/>
    <w:rsid w:val="008365B7"/>
    <w:rsid w:val="00836E31"/>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770"/>
    <w:rsid w:val="00857B7E"/>
    <w:rsid w:val="00857DA3"/>
    <w:rsid w:val="00861022"/>
    <w:rsid w:val="00862AB5"/>
    <w:rsid w:val="00863291"/>
    <w:rsid w:val="0086400B"/>
    <w:rsid w:val="00864958"/>
    <w:rsid w:val="00865CE3"/>
    <w:rsid w:val="008669E4"/>
    <w:rsid w:val="00866C28"/>
    <w:rsid w:val="008728E5"/>
    <w:rsid w:val="008735C1"/>
    <w:rsid w:val="008738DA"/>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832"/>
    <w:rsid w:val="008A2811"/>
    <w:rsid w:val="008A30FE"/>
    <w:rsid w:val="008A4268"/>
    <w:rsid w:val="008A4A41"/>
    <w:rsid w:val="008A4C32"/>
    <w:rsid w:val="008A4D91"/>
    <w:rsid w:val="008A55B4"/>
    <w:rsid w:val="008A5D6F"/>
    <w:rsid w:val="008A614C"/>
    <w:rsid w:val="008A62B2"/>
    <w:rsid w:val="008A67BB"/>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CF"/>
    <w:rsid w:val="008C69D3"/>
    <w:rsid w:val="008C7078"/>
    <w:rsid w:val="008D106A"/>
    <w:rsid w:val="008D36FF"/>
    <w:rsid w:val="008D52F5"/>
    <w:rsid w:val="008D66FC"/>
    <w:rsid w:val="008D7672"/>
    <w:rsid w:val="008D7A7B"/>
    <w:rsid w:val="008E082E"/>
    <w:rsid w:val="008E0E9A"/>
    <w:rsid w:val="008E0F9F"/>
    <w:rsid w:val="008E162A"/>
    <w:rsid w:val="008E2EFD"/>
    <w:rsid w:val="008E3075"/>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090"/>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5CA4"/>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1D"/>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89A"/>
    <w:rsid w:val="009D6DCA"/>
    <w:rsid w:val="009D771F"/>
    <w:rsid w:val="009D7A00"/>
    <w:rsid w:val="009E0663"/>
    <w:rsid w:val="009E13AA"/>
    <w:rsid w:val="009E1F60"/>
    <w:rsid w:val="009E2883"/>
    <w:rsid w:val="009E2FAC"/>
    <w:rsid w:val="009E3776"/>
    <w:rsid w:val="009E5B81"/>
    <w:rsid w:val="009E5BB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09E"/>
    <w:rsid w:val="00A31539"/>
    <w:rsid w:val="00A32AC0"/>
    <w:rsid w:val="00A339FF"/>
    <w:rsid w:val="00A33C92"/>
    <w:rsid w:val="00A33DB9"/>
    <w:rsid w:val="00A346B3"/>
    <w:rsid w:val="00A34A21"/>
    <w:rsid w:val="00A35097"/>
    <w:rsid w:val="00A3519E"/>
    <w:rsid w:val="00A35602"/>
    <w:rsid w:val="00A3618A"/>
    <w:rsid w:val="00A36981"/>
    <w:rsid w:val="00A405DF"/>
    <w:rsid w:val="00A408C1"/>
    <w:rsid w:val="00A4138D"/>
    <w:rsid w:val="00A41694"/>
    <w:rsid w:val="00A41A11"/>
    <w:rsid w:val="00A42873"/>
    <w:rsid w:val="00A443B8"/>
    <w:rsid w:val="00A444D6"/>
    <w:rsid w:val="00A448BF"/>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B39"/>
    <w:rsid w:val="00AA4FCC"/>
    <w:rsid w:val="00AA5B93"/>
    <w:rsid w:val="00AA764E"/>
    <w:rsid w:val="00AB012B"/>
    <w:rsid w:val="00AB06A1"/>
    <w:rsid w:val="00AB11EA"/>
    <w:rsid w:val="00AB14E2"/>
    <w:rsid w:val="00AB150F"/>
    <w:rsid w:val="00AB1A9C"/>
    <w:rsid w:val="00AB264A"/>
    <w:rsid w:val="00AB29B8"/>
    <w:rsid w:val="00AB3413"/>
    <w:rsid w:val="00AB369A"/>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25A"/>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8FE"/>
    <w:rsid w:val="00AF1CA8"/>
    <w:rsid w:val="00AF201F"/>
    <w:rsid w:val="00AF3494"/>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DFD"/>
    <w:rsid w:val="00B25CFB"/>
    <w:rsid w:val="00B27736"/>
    <w:rsid w:val="00B27902"/>
    <w:rsid w:val="00B27BFB"/>
    <w:rsid w:val="00B307FA"/>
    <w:rsid w:val="00B32218"/>
    <w:rsid w:val="00B32C39"/>
    <w:rsid w:val="00B33001"/>
    <w:rsid w:val="00B340A2"/>
    <w:rsid w:val="00B34F77"/>
    <w:rsid w:val="00B3547F"/>
    <w:rsid w:val="00B35AD4"/>
    <w:rsid w:val="00B35E52"/>
    <w:rsid w:val="00B365A6"/>
    <w:rsid w:val="00B36AB2"/>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738E"/>
    <w:rsid w:val="00B57629"/>
    <w:rsid w:val="00B577DF"/>
    <w:rsid w:val="00B57A26"/>
    <w:rsid w:val="00B6040E"/>
    <w:rsid w:val="00B60CFC"/>
    <w:rsid w:val="00B60D71"/>
    <w:rsid w:val="00B61585"/>
    <w:rsid w:val="00B632A4"/>
    <w:rsid w:val="00B641DE"/>
    <w:rsid w:val="00B64445"/>
    <w:rsid w:val="00B66514"/>
    <w:rsid w:val="00B705C8"/>
    <w:rsid w:val="00B70DBF"/>
    <w:rsid w:val="00B71560"/>
    <w:rsid w:val="00B73514"/>
    <w:rsid w:val="00B7351F"/>
    <w:rsid w:val="00B73FC5"/>
    <w:rsid w:val="00B74723"/>
    <w:rsid w:val="00B75F25"/>
    <w:rsid w:val="00B7660B"/>
    <w:rsid w:val="00B77F33"/>
    <w:rsid w:val="00B81BB0"/>
    <w:rsid w:val="00B81BFF"/>
    <w:rsid w:val="00B84207"/>
    <w:rsid w:val="00B84245"/>
    <w:rsid w:val="00B8468A"/>
    <w:rsid w:val="00B84A7F"/>
    <w:rsid w:val="00B84FC1"/>
    <w:rsid w:val="00B859B9"/>
    <w:rsid w:val="00B9107E"/>
    <w:rsid w:val="00B92B33"/>
    <w:rsid w:val="00B9310E"/>
    <w:rsid w:val="00B9362A"/>
    <w:rsid w:val="00B9464D"/>
    <w:rsid w:val="00B94830"/>
    <w:rsid w:val="00B9563B"/>
    <w:rsid w:val="00B9589B"/>
    <w:rsid w:val="00B95DF0"/>
    <w:rsid w:val="00B96F8E"/>
    <w:rsid w:val="00B96FA7"/>
    <w:rsid w:val="00B97241"/>
    <w:rsid w:val="00B97E9B"/>
    <w:rsid w:val="00BA11CD"/>
    <w:rsid w:val="00BA15DE"/>
    <w:rsid w:val="00BA212B"/>
    <w:rsid w:val="00BA2378"/>
    <w:rsid w:val="00BA3ABC"/>
    <w:rsid w:val="00BA4237"/>
    <w:rsid w:val="00BA5142"/>
    <w:rsid w:val="00BA5688"/>
    <w:rsid w:val="00BA5E0A"/>
    <w:rsid w:val="00BA7AE2"/>
    <w:rsid w:val="00BB0E78"/>
    <w:rsid w:val="00BB1698"/>
    <w:rsid w:val="00BB1C7C"/>
    <w:rsid w:val="00BB2146"/>
    <w:rsid w:val="00BB2659"/>
    <w:rsid w:val="00BB2773"/>
    <w:rsid w:val="00BB3998"/>
    <w:rsid w:val="00BB3A24"/>
    <w:rsid w:val="00BB3FDB"/>
    <w:rsid w:val="00BB4D7B"/>
    <w:rsid w:val="00BB5473"/>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281E"/>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240"/>
    <w:rsid w:val="00C25B21"/>
    <w:rsid w:val="00C2706D"/>
    <w:rsid w:val="00C30DAB"/>
    <w:rsid w:val="00C30E0C"/>
    <w:rsid w:val="00C3101B"/>
    <w:rsid w:val="00C31B1A"/>
    <w:rsid w:val="00C31C79"/>
    <w:rsid w:val="00C31C9A"/>
    <w:rsid w:val="00C33022"/>
    <w:rsid w:val="00C336B6"/>
    <w:rsid w:val="00C33E96"/>
    <w:rsid w:val="00C33FD2"/>
    <w:rsid w:val="00C344F1"/>
    <w:rsid w:val="00C346D7"/>
    <w:rsid w:val="00C34896"/>
    <w:rsid w:val="00C362D1"/>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453"/>
    <w:rsid w:val="00C46CAF"/>
    <w:rsid w:val="00C46D42"/>
    <w:rsid w:val="00C46EFC"/>
    <w:rsid w:val="00C47CDB"/>
    <w:rsid w:val="00C5018D"/>
    <w:rsid w:val="00C50917"/>
    <w:rsid w:val="00C50AE1"/>
    <w:rsid w:val="00C53337"/>
    <w:rsid w:val="00C5333A"/>
    <w:rsid w:val="00C533C9"/>
    <w:rsid w:val="00C53625"/>
    <w:rsid w:val="00C53B8B"/>
    <w:rsid w:val="00C550DB"/>
    <w:rsid w:val="00C5680B"/>
    <w:rsid w:val="00C56EB4"/>
    <w:rsid w:val="00C57356"/>
    <w:rsid w:val="00C60874"/>
    <w:rsid w:val="00C62D0F"/>
    <w:rsid w:val="00C63E39"/>
    <w:rsid w:val="00C6415D"/>
    <w:rsid w:val="00C6419C"/>
    <w:rsid w:val="00C64902"/>
    <w:rsid w:val="00C65622"/>
    <w:rsid w:val="00C65683"/>
    <w:rsid w:val="00C65D12"/>
    <w:rsid w:val="00C670BE"/>
    <w:rsid w:val="00C6766F"/>
    <w:rsid w:val="00C700B9"/>
    <w:rsid w:val="00C71650"/>
    <w:rsid w:val="00C72054"/>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C85"/>
    <w:rsid w:val="00CF3F1A"/>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3B5"/>
    <w:rsid w:val="00D176B9"/>
    <w:rsid w:val="00D20486"/>
    <w:rsid w:val="00D20940"/>
    <w:rsid w:val="00D21D6C"/>
    <w:rsid w:val="00D24314"/>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89E"/>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597A"/>
    <w:rsid w:val="00D57C6A"/>
    <w:rsid w:val="00D62F03"/>
    <w:rsid w:val="00D63A52"/>
    <w:rsid w:val="00D645B9"/>
    <w:rsid w:val="00D64A68"/>
    <w:rsid w:val="00D7000D"/>
    <w:rsid w:val="00D704CF"/>
    <w:rsid w:val="00D710C1"/>
    <w:rsid w:val="00D7145E"/>
    <w:rsid w:val="00D720E9"/>
    <w:rsid w:val="00D728DC"/>
    <w:rsid w:val="00D7349B"/>
    <w:rsid w:val="00D74C72"/>
    <w:rsid w:val="00D76094"/>
    <w:rsid w:val="00D765A1"/>
    <w:rsid w:val="00D7716A"/>
    <w:rsid w:val="00D77350"/>
    <w:rsid w:val="00D800E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1E8B"/>
    <w:rsid w:val="00DB3987"/>
    <w:rsid w:val="00DB3C27"/>
    <w:rsid w:val="00DB6A8B"/>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AF0"/>
    <w:rsid w:val="00DE4E60"/>
    <w:rsid w:val="00DE563C"/>
    <w:rsid w:val="00DE77F1"/>
    <w:rsid w:val="00DE7DF2"/>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4252"/>
    <w:rsid w:val="00E0458B"/>
    <w:rsid w:val="00E046FD"/>
    <w:rsid w:val="00E04AEB"/>
    <w:rsid w:val="00E060AC"/>
    <w:rsid w:val="00E064E2"/>
    <w:rsid w:val="00E064FC"/>
    <w:rsid w:val="00E0716D"/>
    <w:rsid w:val="00E0736A"/>
    <w:rsid w:val="00E07416"/>
    <w:rsid w:val="00E104C2"/>
    <w:rsid w:val="00E111B4"/>
    <w:rsid w:val="00E117C7"/>
    <w:rsid w:val="00E11940"/>
    <w:rsid w:val="00E143B3"/>
    <w:rsid w:val="00E143D8"/>
    <w:rsid w:val="00E14E97"/>
    <w:rsid w:val="00E15CC3"/>
    <w:rsid w:val="00E16B4A"/>
    <w:rsid w:val="00E17868"/>
    <w:rsid w:val="00E200F2"/>
    <w:rsid w:val="00E21CAA"/>
    <w:rsid w:val="00E21F7F"/>
    <w:rsid w:val="00E2216E"/>
    <w:rsid w:val="00E235C2"/>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1E6"/>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C63"/>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10B"/>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4F4"/>
    <w:rsid w:val="00F0428F"/>
    <w:rsid w:val="00F04A80"/>
    <w:rsid w:val="00F07B0B"/>
    <w:rsid w:val="00F07D22"/>
    <w:rsid w:val="00F100EF"/>
    <w:rsid w:val="00F1043D"/>
    <w:rsid w:val="00F1043F"/>
    <w:rsid w:val="00F116ED"/>
    <w:rsid w:val="00F12B14"/>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1F12"/>
    <w:rsid w:val="00F533CC"/>
    <w:rsid w:val="00F54C23"/>
    <w:rsid w:val="00F54DE3"/>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197"/>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56D2"/>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AB90-8DE1-4726-81FE-E75A8147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4760</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3</cp:revision>
  <cp:lastPrinted>2014-02-17T17:16:00Z</cp:lastPrinted>
  <dcterms:created xsi:type="dcterms:W3CDTF">2015-10-02T14:48:00Z</dcterms:created>
  <dcterms:modified xsi:type="dcterms:W3CDTF">2015-10-02T14:49:00Z</dcterms:modified>
</cp:coreProperties>
</file>