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47" w:rsidRPr="00BE2EFA" w:rsidRDefault="000B2947" w:rsidP="000B2947">
      <w:pPr>
        <w:jc w:val="center"/>
        <w:rPr>
          <w:rFonts w:ascii="Arial" w:hAnsi="Arial" w:cs="Arial"/>
          <w:b/>
          <w:i/>
          <w:color w:val="FF0000"/>
          <w:sz w:val="28"/>
          <w:szCs w:val="28"/>
        </w:rPr>
      </w:pPr>
      <w:r w:rsidRPr="000D759B">
        <w:rPr>
          <w:rFonts w:ascii="Arial" w:hAnsi="Arial" w:cs="Arial"/>
          <w:b/>
          <w:sz w:val="28"/>
          <w:szCs w:val="28"/>
        </w:rPr>
        <w:t xml:space="preserve">Summary of </w:t>
      </w:r>
      <w:r w:rsidRPr="00BE2EFA">
        <w:rPr>
          <w:rFonts w:ascii="Arial" w:hAnsi="Arial" w:cs="Arial"/>
          <w:b/>
          <w:sz w:val="28"/>
          <w:szCs w:val="28"/>
        </w:rPr>
        <w:t xml:space="preserve">Actions from Board </w:t>
      </w:r>
      <w:r w:rsidR="000B69CF" w:rsidRPr="00BE2EFA">
        <w:rPr>
          <w:rFonts w:ascii="Arial" w:hAnsi="Arial" w:cs="Arial"/>
          <w:b/>
          <w:sz w:val="28"/>
          <w:szCs w:val="28"/>
        </w:rPr>
        <w:t>meeting</w:t>
      </w:r>
      <w:r w:rsidRPr="00BE2EFA">
        <w:rPr>
          <w:rFonts w:ascii="Arial" w:hAnsi="Arial" w:cs="Arial"/>
          <w:b/>
          <w:sz w:val="28"/>
          <w:szCs w:val="28"/>
        </w:rPr>
        <w:t xml:space="preserve"> </w:t>
      </w:r>
      <w:r w:rsidR="00E97685">
        <w:rPr>
          <w:rFonts w:ascii="Arial" w:hAnsi="Arial" w:cs="Arial"/>
          <w:b/>
          <w:sz w:val="28"/>
          <w:szCs w:val="28"/>
        </w:rPr>
        <w:t xml:space="preserve">on </w:t>
      </w:r>
      <w:r w:rsidR="00990E66">
        <w:rPr>
          <w:rFonts w:ascii="Arial" w:hAnsi="Arial" w:cs="Arial"/>
          <w:b/>
          <w:sz w:val="28"/>
          <w:szCs w:val="28"/>
        </w:rPr>
        <w:t>29 July</w:t>
      </w:r>
      <w:r w:rsidR="00F45ED7">
        <w:rPr>
          <w:rFonts w:ascii="Arial" w:hAnsi="Arial" w:cs="Arial"/>
          <w:b/>
          <w:sz w:val="28"/>
          <w:szCs w:val="28"/>
        </w:rPr>
        <w:t xml:space="preserve"> </w:t>
      </w:r>
      <w:r w:rsidR="0084583C">
        <w:rPr>
          <w:rFonts w:ascii="Arial" w:hAnsi="Arial" w:cs="Arial"/>
          <w:b/>
          <w:sz w:val="28"/>
          <w:szCs w:val="28"/>
        </w:rPr>
        <w:t>2015</w:t>
      </w:r>
    </w:p>
    <w:p w:rsidR="000B2947" w:rsidRDefault="000B2947" w:rsidP="000B2947"/>
    <w:p w:rsidR="000B2947" w:rsidRDefault="000B2947" w:rsidP="000B2947"/>
    <w:tbl>
      <w:tblPr>
        <w:tblpPr w:leftFromText="180" w:rightFromText="180" w:vertAnchor="page" w:horzAnchor="margin" w:tblpXSpec="center" w:tblpY="2442"/>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8351"/>
        <w:gridCol w:w="2286"/>
      </w:tblGrid>
      <w:tr w:rsidR="000B2947" w:rsidRPr="00D3669C" w:rsidTr="00D8125D">
        <w:trPr>
          <w:trHeight w:val="439"/>
        </w:trPr>
        <w:tc>
          <w:tcPr>
            <w:tcW w:w="2197"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Relevant Item</w:t>
            </w:r>
          </w:p>
        </w:tc>
        <w:tc>
          <w:tcPr>
            <w:tcW w:w="8351"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Action</w:t>
            </w:r>
          </w:p>
        </w:tc>
        <w:tc>
          <w:tcPr>
            <w:tcW w:w="2286" w:type="dxa"/>
            <w:vAlign w:val="center"/>
          </w:tcPr>
          <w:p w:rsidR="000B2947" w:rsidRPr="009D2F5A" w:rsidRDefault="000B2947" w:rsidP="00E21DA2">
            <w:pPr>
              <w:jc w:val="center"/>
              <w:rPr>
                <w:rFonts w:ascii="Arial" w:hAnsi="Arial" w:cs="Arial"/>
                <w:b/>
                <w:sz w:val="24"/>
                <w:szCs w:val="24"/>
              </w:rPr>
            </w:pPr>
            <w:r w:rsidRPr="009D2F5A">
              <w:rPr>
                <w:rFonts w:ascii="Arial" w:hAnsi="Arial" w:cs="Arial"/>
                <w:b/>
                <w:sz w:val="24"/>
                <w:szCs w:val="24"/>
              </w:rPr>
              <w:t>Responsibility</w:t>
            </w:r>
          </w:p>
        </w:tc>
      </w:tr>
      <w:tr w:rsidR="0015391E" w:rsidRPr="00E367B7" w:rsidTr="00D8125D">
        <w:trPr>
          <w:trHeight w:val="1340"/>
        </w:trPr>
        <w:tc>
          <w:tcPr>
            <w:tcW w:w="2197"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15391E" w:rsidP="00315081">
            <w:pPr>
              <w:keepNext/>
              <w:keepLines/>
              <w:jc w:val="center"/>
              <w:rPr>
                <w:rFonts w:ascii="Arial" w:hAnsi="Arial" w:cs="Arial"/>
                <w:sz w:val="24"/>
                <w:szCs w:val="24"/>
              </w:rPr>
            </w:pPr>
            <w:r>
              <w:rPr>
                <w:rFonts w:ascii="Arial" w:hAnsi="Arial" w:cs="Arial"/>
                <w:sz w:val="24"/>
                <w:szCs w:val="24"/>
              </w:rPr>
              <w:t xml:space="preserve">BOD </w:t>
            </w:r>
            <w:r w:rsidR="00990E66">
              <w:rPr>
                <w:rFonts w:ascii="Arial" w:hAnsi="Arial" w:cs="Arial"/>
                <w:sz w:val="24"/>
                <w:szCs w:val="24"/>
              </w:rPr>
              <w:t>122</w:t>
            </w:r>
            <w:r w:rsidR="0084583C">
              <w:rPr>
                <w:rFonts w:ascii="Arial" w:hAnsi="Arial" w:cs="Arial"/>
                <w:sz w:val="24"/>
                <w:szCs w:val="24"/>
              </w:rPr>
              <w:t>/15</w:t>
            </w:r>
            <w:r>
              <w:rPr>
                <w:rFonts w:ascii="Arial" w:hAnsi="Arial" w:cs="Arial"/>
                <w:sz w:val="24"/>
                <w:szCs w:val="24"/>
              </w:rPr>
              <w:t xml:space="preserve"> (</w:t>
            </w:r>
            <w:r w:rsidR="00990E66">
              <w:rPr>
                <w:rFonts w:ascii="Arial" w:hAnsi="Arial" w:cs="Arial"/>
                <w:sz w:val="24"/>
                <w:szCs w:val="24"/>
              </w:rPr>
              <w:t>b</w:t>
            </w:r>
            <w:r>
              <w:rPr>
                <w:rFonts w:ascii="Arial" w:hAnsi="Arial" w:cs="Arial"/>
                <w:sz w:val="24"/>
                <w:szCs w:val="24"/>
              </w:rPr>
              <w:t>)</w:t>
            </w:r>
          </w:p>
        </w:tc>
        <w:tc>
          <w:tcPr>
            <w:tcW w:w="8351" w:type="dxa"/>
          </w:tcPr>
          <w:p w:rsidR="00990E66" w:rsidRDefault="00990E66" w:rsidP="00315081">
            <w:pPr>
              <w:jc w:val="both"/>
              <w:rPr>
                <w:rFonts w:ascii="Arial" w:hAnsi="Arial" w:cs="Arial"/>
                <w:b/>
                <w:bCs/>
                <w:sz w:val="24"/>
                <w:szCs w:val="24"/>
              </w:rPr>
            </w:pPr>
            <w:r w:rsidRPr="00990E66">
              <w:rPr>
                <w:rFonts w:ascii="Arial" w:hAnsi="Arial" w:cs="Arial"/>
                <w:b/>
                <w:bCs/>
                <w:sz w:val="24"/>
                <w:szCs w:val="24"/>
              </w:rPr>
              <w:t xml:space="preserve">Whiteleaf Centre project closure report </w:t>
            </w:r>
          </w:p>
          <w:p w:rsidR="0015391E" w:rsidRDefault="00990E66" w:rsidP="00315081">
            <w:pPr>
              <w:jc w:val="both"/>
              <w:rPr>
                <w:rFonts w:ascii="Arial" w:hAnsi="Arial" w:cs="Arial"/>
                <w:bCs/>
                <w:sz w:val="24"/>
                <w:szCs w:val="24"/>
              </w:rPr>
            </w:pPr>
            <w:r>
              <w:rPr>
                <w:rFonts w:ascii="Arial" w:hAnsi="Arial" w:cs="Arial"/>
                <w:bCs/>
                <w:sz w:val="24"/>
                <w:szCs w:val="24"/>
              </w:rPr>
              <w:t xml:space="preserve">To be presented to the Board. </w:t>
            </w:r>
          </w:p>
          <w:p w:rsidR="00F076A0" w:rsidRPr="00F076A0" w:rsidRDefault="00F076A0" w:rsidP="00315081">
            <w:pPr>
              <w:jc w:val="both"/>
              <w:rPr>
                <w:rFonts w:ascii="Arial" w:hAnsi="Arial" w:cs="Arial"/>
                <w:bCs/>
                <w:i/>
                <w:sz w:val="24"/>
                <w:szCs w:val="24"/>
              </w:rPr>
            </w:pPr>
            <w:r w:rsidRPr="00F076A0">
              <w:rPr>
                <w:rFonts w:ascii="Arial" w:hAnsi="Arial" w:cs="Arial"/>
                <w:b/>
                <w:bCs/>
                <w:i/>
                <w:color w:val="FF0000"/>
                <w:sz w:val="24"/>
                <w:szCs w:val="24"/>
              </w:rPr>
              <w:t>In progress</w:t>
            </w:r>
            <w:r w:rsidRPr="00F076A0">
              <w:rPr>
                <w:rFonts w:ascii="Arial" w:hAnsi="Arial" w:cs="Arial"/>
                <w:bCs/>
                <w:color w:val="FF0000"/>
                <w:sz w:val="24"/>
                <w:szCs w:val="24"/>
              </w:rPr>
              <w:t xml:space="preserve"> – </w:t>
            </w:r>
            <w:r w:rsidRPr="00F076A0">
              <w:rPr>
                <w:rFonts w:ascii="Arial" w:hAnsi="Arial" w:cs="Arial"/>
                <w:bCs/>
                <w:i/>
                <w:color w:val="FF0000"/>
                <w:sz w:val="24"/>
                <w:szCs w:val="24"/>
              </w:rPr>
              <w:t>now anticipated for the Board meeting on 23 October 2015.</w:t>
            </w:r>
          </w:p>
        </w:tc>
        <w:tc>
          <w:tcPr>
            <w:tcW w:w="2286" w:type="dxa"/>
            <w:shd w:val="clear" w:color="auto" w:fill="auto"/>
          </w:tcPr>
          <w:p w:rsidR="0015391E" w:rsidRDefault="0015391E" w:rsidP="0015391E">
            <w:pPr>
              <w:keepNext/>
              <w:keepLines/>
              <w:jc w:val="center"/>
              <w:rPr>
                <w:rFonts w:ascii="Arial" w:hAnsi="Arial" w:cs="Arial"/>
                <w:sz w:val="24"/>
                <w:szCs w:val="24"/>
              </w:rPr>
            </w:pPr>
          </w:p>
          <w:p w:rsidR="0015391E" w:rsidRPr="009D2F5A" w:rsidRDefault="00990E66" w:rsidP="0015391E">
            <w:pPr>
              <w:keepNext/>
              <w:keepLines/>
              <w:jc w:val="center"/>
              <w:rPr>
                <w:rFonts w:ascii="Arial" w:hAnsi="Arial" w:cs="Arial"/>
                <w:sz w:val="24"/>
                <w:szCs w:val="24"/>
              </w:rPr>
            </w:pPr>
            <w:r>
              <w:rPr>
                <w:rFonts w:ascii="Arial" w:hAnsi="Arial" w:cs="Arial"/>
                <w:sz w:val="24"/>
                <w:szCs w:val="24"/>
              </w:rPr>
              <w:t>RA</w:t>
            </w:r>
          </w:p>
        </w:tc>
      </w:tr>
      <w:tr w:rsidR="00F45ED7" w:rsidRPr="00E367B7" w:rsidTr="00D8125D">
        <w:trPr>
          <w:trHeight w:val="1340"/>
        </w:trPr>
        <w:tc>
          <w:tcPr>
            <w:tcW w:w="2197"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990E66" w:rsidP="00F45ED7">
            <w:pPr>
              <w:keepNext/>
              <w:keepLines/>
              <w:jc w:val="center"/>
              <w:rPr>
                <w:rFonts w:ascii="Arial" w:hAnsi="Arial" w:cs="Arial"/>
                <w:sz w:val="24"/>
                <w:szCs w:val="24"/>
              </w:rPr>
            </w:pPr>
            <w:r>
              <w:rPr>
                <w:rFonts w:ascii="Arial" w:hAnsi="Arial" w:cs="Arial"/>
                <w:sz w:val="24"/>
                <w:szCs w:val="24"/>
              </w:rPr>
              <w:t>BOD 122/15 (c</w:t>
            </w:r>
            <w:r w:rsidR="00F45ED7">
              <w:rPr>
                <w:rFonts w:ascii="Arial" w:hAnsi="Arial" w:cs="Arial"/>
                <w:sz w:val="24"/>
                <w:szCs w:val="24"/>
              </w:rPr>
              <w:t>)</w:t>
            </w:r>
          </w:p>
        </w:tc>
        <w:tc>
          <w:tcPr>
            <w:tcW w:w="8351" w:type="dxa"/>
          </w:tcPr>
          <w:p w:rsidR="00990E66" w:rsidRDefault="00990E66" w:rsidP="00F45ED7">
            <w:pPr>
              <w:jc w:val="both"/>
              <w:rPr>
                <w:rFonts w:ascii="Arial" w:hAnsi="Arial" w:cs="Arial"/>
                <w:b/>
                <w:bCs/>
                <w:sz w:val="24"/>
                <w:szCs w:val="24"/>
              </w:rPr>
            </w:pPr>
            <w:r w:rsidRPr="00990E66">
              <w:rPr>
                <w:rFonts w:ascii="Arial" w:hAnsi="Arial" w:cs="Arial"/>
                <w:b/>
                <w:bCs/>
                <w:sz w:val="24"/>
                <w:szCs w:val="24"/>
              </w:rPr>
              <w:t xml:space="preserve">Ligature Risks Report </w:t>
            </w:r>
          </w:p>
          <w:p w:rsidR="00F45ED7" w:rsidRDefault="00990E66" w:rsidP="00F45ED7">
            <w:pPr>
              <w:jc w:val="both"/>
              <w:rPr>
                <w:rFonts w:ascii="Arial" w:hAnsi="Arial" w:cs="Arial"/>
                <w:bCs/>
                <w:sz w:val="24"/>
                <w:szCs w:val="24"/>
              </w:rPr>
            </w:pPr>
            <w:r>
              <w:rPr>
                <w:rFonts w:ascii="Arial" w:hAnsi="Arial" w:cs="Arial"/>
                <w:bCs/>
                <w:sz w:val="24"/>
                <w:szCs w:val="24"/>
              </w:rPr>
              <w:t xml:space="preserve">To be presented to the Quality Committee. </w:t>
            </w:r>
            <w:r w:rsidR="00F076A0">
              <w:rPr>
                <w:rFonts w:ascii="Arial" w:hAnsi="Arial" w:cs="Arial"/>
                <w:bCs/>
                <w:sz w:val="24"/>
                <w:szCs w:val="24"/>
              </w:rPr>
              <w:t xml:space="preserve"> </w:t>
            </w:r>
          </w:p>
          <w:p w:rsidR="00F076A0" w:rsidRPr="00F076A0" w:rsidRDefault="00F076A0" w:rsidP="00F45ED7">
            <w:pPr>
              <w:jc w:val="both"/>
              <w:rPr>
                <w:rFonts w:ascii="Arial" w:hAnsi="Arial" w:cs="Arial"/>
                <w:bCs/>
                <w:i/>
                <w:sz w:val="24"/>
                <w:szCs w:val="24"/>
              </w:rPr>
            </w:pPr>
            <w:r w:rsidRPr="00F076A0">
              <w:rPr>
                <w:rFonts w:ascii="Arial" w:hAnsi="Arial" w:cs="Arial"/>
                <w:b/>
                <w:bCs/>
                <w:i/>
                <w:color w:val="FF0000"/>
                <w:sz w:val="24"/>
                <w:szCs w:val="24"/>
              </w:rPr>
              <w:t xml:space="preserve">Complete </w:t>
            </w:r>
            <w:r w:rsidRPr="00F076A0">
              <w:rPr>
                <w:rFonts w:ascii="Arial" w:hAnsi="Arial" w:cs="Arial"/>
                <w:bCs/>
                <w:i/>
                <w:color w:val="FF0000"/>
                <w:sz w:val="24"/>
                <w:szCs w:val="24"/>
              </w:rPr>
              <w:t>– report on the management of ligature risks in the Trust for 2015/16 presented to the Quality Committee meeting on 09 September 2015.</w:t>
            </w:r>
          </w:p>
        </w:tc>
        <w:tc>
          <w:tcPr>
            <w:tcW w:w="2286"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990E66" w:rsidP="00F45ED7">
            <w:pPr>
              <w:keepNext/>
              <w:keepLines/>
              <w:jc w:val="center"/>
              <w:rPr>
                <w:rFonts w:ascii="Arial" w:hAnsi="Arial" w:cs="Arial"/>
                <w:sz w:val="24"/>
                <w:szCs w:val="24"/>
              </w:rPr>
            </w:pPr>
            <w:r>
              <w:rPr>
                <w:rFonts w:ascii="Arial" w:hAnsi="Arial" w:cs="Arial"/>
                <w:sz w:val="24"/>
                <w:szCs w:val="24"/>
              </w:rPr>
              <w:t>RA</w:t>
            </w:r>
          </w:p>
        </w:tc>
      </w:tr>
      <w:tr w:rsidR="00F45ED7" w:rsidRPr="00E367B7" w:rsidTr="00D8125D">
        <w:trPr>
          <w:trHeight w:val="1340"/>
        </w:trPr>
        <w:tc>
          <w:tcPr>
            <w:tcW w:w="2197"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990E66" w:rsidP="00F45ED7">
            <w:pPr>
              <w:keepNext/>
              <w:keepLines/>
              <w:jc w:val="center"/>
              <w:rPr>
                <w:rFonts w:ascii="Arial" w:hAnsi="Arial" w:cs="Arial"/>
                <w:sz w:val="24"/>
                <w:szCs w:val="24"/>
              </w:rPr>
            </w:pPr>
            <w:r>
              <w:rPr>
                <w:rFonts w:ascii="Arial" w:hAnsi="Arial" w:cs="Arial"/>
                <w:sz w:val="24"/>
                <w:szCs w:val="24"/>
              </w:rPr>
              <w:t>BOD 122/15 (d</w:t>
            </w:r>
            <w:r w:rsidR="00F45ED7">
              <w:rPr>
                <w:rFonts w:ascii="Arial" w:hAnsi="Arial" w:cs="Arial"/>
                <w:sz w:val="24"/>
                <w:szCs w:val="24"/>
              </w:rPr>
              <w:t>)</w:t>
            </w:r>
          </w:p>
        </w:tc>
        <w:tc>
          <w:tcPr>
            <w:tcW w:w="8351" w:type="dxa"/>
          </w:tcPr>
          <w:p w:rsidR="00990E66" w:rsidRDefault="00990E66" w:rsidP="00F45ED7">
            <w:pPr>
              <w:jc w:val="both"/>
              <w:rPr>
                <w:rFonts w:ascii="Arial" w:hAnsi="Arial" w:cs="Arial"/>
                <w:b/>
                <w:bCs/>
                <w:sz w:val="24"/>
                <w:szCs w:val="24"/>
              </w:rPr>
            </w:pPr>
            <w:r w:rsidRPr="00990E66">
              <w:rPr>
                <w:rFonts w:ascii="Arial" w:hAnsi="Arial" w:cs="Arial"/>
                <w:b/>
                <w:bCs/>
                <w:sz w:val="24"/>
                <w:szCs w:val="24"/>
              </w:rPr>
              <w:t xml:space="preserve">Sleep Treatment Trial </w:t>
            </w:r>
          </w:p>
          <w:p w:rsidR="00F45ED7" w:rsidRPr="00F40768" w:rsidRDefault="00990E66" w:rsidP="00F45ED7">
            <w:pPr>
              <w:jc w:val="both"/>
              <w:rPr>
                <w:rFonts w:ascii="Arial" w:hAnsi="Arial" w:cs="Arial"/>
                <w:bCs/>
                <w:sz w:val="24"/>
                <w:szCs w:val="24"/>
              </w:rPr>
            </w:pPr>
            <w:r>
              <w:rPr>
                <w:rFonts w:ascii="Arial" w:hAnsi="Arial" w:cs="Arial"/>
                <w:bCs/>
                <w:sz w:val="24"/>
                <w:szCs w:val="24"/>
              </w:rPr>
              <w:t xml:space="preserve">To provide an update in due course to the Board. </w:t>
            </w:r>
          </w:p>
        </w:tc>
        <w:tc>
          <w:tcPr>
            <w:tcW w:w="2286"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990E66" w:rsidP="00F45ED7">
            <w:pPr>
              <w:keepNext/>
              <w:keepLines/>
              <w:jc w:val="center"/>
              <w:rPr>
                <w:rFonts w:ascii="Arial" w:hAnsi="Arial" w:cs="Arial"/>
                <w:sz w:val="24"/>
                <w:szCs w:val="24"/>
              </w:rPr>
            </w:pPr>
            <w:r>
              <w:rPr>
                <w:rFonts w:ascii="Arial" w:hAnsi="Arial" w:cs="Arial"/>
                <w:sz w:val="24"/>
                <w:szCs w:val="24"/>
              </w:rPr>
              <w:t>YT</w:t>
            </w:r>
          </w:p>
        </w:tc>
      </w:tr>
      <w:tr w:rsidR="00F45ED7" w:rsidRPr="00E367B7" w:rsidTr="00D8125D">
        <w:trPr>
          <w:trHeight w:val="1340"/>
        </w:trPr>
        <w:tc>
          <w:tcPr>
            <w:tcW w:w="2197"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990E66" w:rsidP="00F45ED7">
            <w:pPr>
              <w:keepNext/>
              <w:keepLines/>
              <w:jc w:val="center"/>
              <w:rPr>
                <w:rFonts w:ascii="Arial" w:hAnsi="Arial" w:cs="Arial"/>
                <w:sz w:val="24"/>
                <w:szCs w:val="24"/>
              </w:rPr>
            </w:pPr>
            <w:r>
              <w:rPr>
                <w:rFonts w:ascii="Arial" w:hAnsi="Arial" w:cs="Arial"/>
                <w:sz w:val="24"/>
                <w:szCs w:val="24"/>
              </w:rPr>
              <w:t>BOD 122/15 (f</w:t>
            </w:r>
            <w:r w:rsidR="00F45ED7">
              <w:rPr>
                <w:rFonts w:ascii="Arial" w:hAnsi="Arial" w:cs="Arial"/>
                <w:sz w:val="24"/>
                <w:szCs w:val="24"/>
              </w:rPr>
              <w:t>)</w:t>
            </w:r>
          </w:p>
        </w:tc>
        <w:tc>
          <w:tcPr>
            <w:tcW w:w="8351" w:type="dxa"/>
          </w:tcPr>
          <w:p w:rsidR="00990E66" w:rsidRDefault="00990E66" w:rsidP="00F45ED7">
            <w:pPr>
              <w:jc w:val="both"/>
              <w:rPr>
                <w:rFonts w:ascii="Arial" w:hAnsi="Arial" w:cs="Arial"/>
                <w:b/>
                <w:bCs/>
                <w:sz w:val="24"/>
                <w:szCs w:val="24"/>
              </w:rPr>
            </w:pPr>
            <w:r w:rsidRPr="00990E66">
              <w:rPr>
                <w:rFonts w:ascii="Arial" w:hAnsi="Arial" w:cs="Arial"/>
                <w:b/>
                <w:bCs/>
                <w:sz w:val="24"/>
                <w:szCs w:val="24"/>
              </w:rPr>
              <w:t>Collaboration in Leadership in Applied Health Research and Care (CLAHRC)</w:t>
            </w:r>
            <w:r>
              <w:rPr>
                <w:rFonts w:ascii="Arial" w:hAnsi="Arial" w:cs="Arial"/>
                <w:b/>
                <w:bCs/>
                <w:sz w:val="24"/>
                <w:szCs w:val="24"/>
              </w:rPr>
              <w:t xml:space="preserve"> annual report</w:t>
            </w:r>
          </w:p>
          <w:p w:rsidR="00F45ED7" w:rsidRPr="00F40768" w:rsidRDefault="00990E66" w:rsidP="00F45ED7">
            <w:pPr>
              <w:jc w:val="both"/>
              <w:rPr>
                <w:rFonts w:ascii="Arial" w:hAnsi="Arial" w:cs="Arial"/>
                <w:bCs/>
                <w:sz w:val="24"/>
                <w:szCs w:val="24"/>
              </w:rPr>
            </w:pPr>
            <w:r>
              <w:rPr>
                <w:rFonts w:ascii="Arial" w:hAnsi="Arial" w:cs="Arial"/>
                <w:bCs/>
                <w:sz w:val="24"/>
                <w:szCs w:val="24"/>
              </w:rPr>
              <w:t xml:space="preserve">To be presented to the Board in due course. </w:t>
            </w:r>
          </w:p>
        </w:tc>
        <w:tc>
          <w:tcPr>
            <w:tcW w:w="2286"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990E66" w:rsidP="00F45ED7">
            <w:pPr>
              <w:keepNext/>
              <w:keepLines/>
              <w:jc w:val="center"/>
              <w:rPr>
                <w:rFonts w:ascii="Arial" w:hAnsi="Arial" w:cs="Arial"/>
                <w:sz w:val="24"/>
                <w:szCs w:val="24"/>
              </w:rPr>
            </w:pPr>
            <w:r>
              <w:rPr>
                <w:rFonts w:ascii="Arial" w:hAnsi="Arial" w:cs="Arial"/>
                <w:sz w:val="24"/>
                <w:szCs w:val="24"/>
              </w:rPr>
              <w:t>SB</w:t>
            </w:r>
          </w:p>
        </w:tc>
      </w:tr>
      <w:tr w:rsidR="00F45ED7" w:rsidRPr="00E367B7" w:rsidTr="00D8125D">
        <w:trPr>
          <w:trHeight w:val="1340"/>
        </w:trPr>
        <w:tc>
          <w:tcPr>
            <w:tcW w:w="2197"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D0557A" w:rsidP="00F45ED7">
            <w:pPr>
              <w:keepNext/>
              <w:keepLines/>
              <w:jc w:val="center"/>
              <w:rPr>
                <w:rFonts w:ascii="Arial" w:hAnsi="Arial" w:cs="Arial"/>
                <w:sz w:val="24"/>
                <w:szCs w:val="24"/>
              </w:rPr>
            </w:pPr>
            <w:r>
              <w:rPr>
                <w:rFonts w:ascii="Arial" w:hAnsi="Arial" w:cs="Arial"/>
                <w:sz w:val="24"/>
                <w:szCs w:val="24"/>
              </w:rPr>
              <w:t>BOD 124/15 (b</w:t>
            </w:r>
            <w:r w:rsidR="00F45ED7">
              <w:rPr>
                <w:rFonts w:ascii="Arial" w:hAnsi="Arial" w:cs="Arial"/>
                <w:sz w:val="24"/>
                <w:szCs w:val="24"/>
              </w:rPr>
              <w:t>)</w:t>
            </w:r>
          </w:p>
        </w:tc>
        <w:tc>
          <w:tcPr>
            <w:tcW w:w="8351" w:type="dxa"/>
          </w:tcPr>
          <w:p w:rsidR="00D0557A" w:rsidRDefault="00D0557A" w:rsidP="00F45ED7">
            <w:pPr>
              <w:jc w:val="both"/>
              <w:rPr>
                <w:rFonts w:ascii="Arial" w:hAnsi="Arial" w:cs="Arial"/>
                <w:b/>
                <w:bCs/>
                <w:sz w:val="24"/>
                <w:szCs w:val="24"/>
              </w:rPr>
            </w:pPr>
            <w:r>
              <w:rPr>
                <w:rFonts w:ascii="Arial" w:hAnsi="Arial" w:cs="Arial"/>
                <w:b/>
                <w:bCs/>
                <w:sz w:val="24"/>
                <w:szCs w:val="24"/>
              </w:rPr>
              <w:t>C</w:t>
            </w:r>
            <w:r w:rsidRPr="00D0557A">
              <w:rPr>
                <w:rFonts w:ascii="Arial" w:hAnsi="Arial" w:cs="Arial"/>
                <w:b/>
                <w:bCs/>
                <w:sz w:val="24"/>
                <w:szCs w:val="24"/>
              </w:rPr>
              <w:t xml:space="preserve">hanges to the commissioning and provision of the Oxfordshire health visiting service </w:t>
            </w:r>
            <w:r>
              <w:rPr>
                <w:rFonts w:ascii="Arial" w:hAnsi="Arial" w:cs="Arial"/>
                <w:b/>
                <w:bCs/>
                <w:sz w:val="24"/>
                <w:szCs w:val="24"/>
              </w:rPr>
              <w:t xml:space="preserve"> </w:t>
            </w:r>
          </w:p>
          <w:p w:rsidR="00F45ED7" w:rsidRDefault="00D0557A" w:rsidP="00F45ED7">
            <w:pPr>
              <w:jc w:val="both"/>
              <w:rPr>
                <w:rFonts w:ascii="Arial" w:hAnsi="Arial" w:cs="Arial"/>
                <w:bCs/>
                <w:sz w:val="24"/>
                <w:szCs w:val="24"/>
              </w:rPr>
            </w:pPr>
            <w:r w:rsidRPr="00D0557A">
              <w:rPr>
                <w:rFonts w:ascii="Arial" w:hAnsi="Arial" w:cs="Arial"/>
                <w:bCs/>
                <w:sz w:val="24"/>
                <w:szCs w:val="24"/>
              </w:rPr>
              <w:t>The Board Seminar in September 2015 would receive a presentation on t</w:t>
            </w:r>
            <w:r w:rsidR="00585237">
              <w:rPr>
                <w:rFonts w:ascii="Arial" w:hAnsi="Arial" w:cs="Arial"/>
                <w:bCs/>
                <w:sz w:val="24"/>
                <w:szCs w:val="24"/>
              </w:rPr>
              <w:t>he implications of the change in</w:t>
            </w:r>
            <w:r w:rsidRPr="00D0557A">
              <w:rPr>
                <w:rFonts w:ascii="Arial" w:hAnsi="Arial" w:cs="Arial"/>
                <w:bCs/>
                <w:sz w:val="24"/>
                <w:szCs w:val="24"/>
              </w:rPr>
              <w:t xml:space="preserve"> health visiting commissioning.  </w:t>
            </w:r>
          </w:p>
          <w:p w:rsidR="000742F9" w:rsidRPr="000742F9" w:rsidRDefault="000742F9" w:rsidP="00F45ED7">
            <w:pPr>
              <w:jc w:val="both"/>
              <w:rPr>
                <w:rFonts w:ascii="Arial" w:hAnsi="Arial" w:cs="Arial"/>
                <w:bCs/>
                <w:i/>
                <w:sz w:val="24"/>
                <w:szCs w:val="24"/>
              </w:rPr>
            </w:pPr>
            <w:r w:rsidRPr="000742F9">
              <w:rPr>
                <w:rFonts w:ascii="Arial" w:hAnsi="Arial" w:cs="Arial"/>
                <w:b/>
                <w:bCs/>
                <w:i/>
                <w:color w:val="FF0000"/>
                <w:sz w:val="24"/>
                <w:szCs w:val="24"/>
              </w:rPr>
              <w:t xml:space="preserve">Complete </w:t>
            </w:r>
            <w:r w:rsidRPr="000742F9">
              <w:rPr>
                <w:rFonts w:ascii="Arial" w:hAnsi="Arial" w:cs="Arial"/>
                <w:bCs/>
                <w:i/>
                <w:color w:val="FF0000"/>
                <w:sz w:val="24"/>
                <w:szCs w:val="24"/>
              </w:rPr>
              <w:t xml:space="preserve">– presented to the Board Seminar on 09 September 2015. </w:t>
            </w:r>
          </w:p>
        </w:tc>
        <w:tc>
          <w:tcPr>
            <w:tcW w:w="2286"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D0557A" w:rsidP="00F45ED7">
            <w:pPr>
              <w:keepNext/>
              <w:keepLines/>
              <w:jc w:val="center"/>
              <w:rPr>
                <w:rFonts w:ascii="Arial" w:hAnsi="Arial" w:cs="Arial"/>
                <w:sz w:val="24"/>
                <w:szCs w:val="24"/>
              </w:rPr>
            </w:pPr>
            <w:r>
              <w:rPr>
                <w:rFonts w:ascii="Arial" w:hAnsi="Arial" w:cs="Arial"/>
                <w:sz w:val="24"/>
                <w:szCs w:val="24"/>
              </w:rPr>
              <w:t>YT</w:t>
            </w:r>
          </w:p>
        </w:tc>
      </w:tr>
      <w:tr w:rsidR="00F45ED7" w:rsidRPr="00E367B7" w:rsidTr="00D8125D">
        <w:trPr>
          <w:trHeight w:val="1340"/>
        </w:trPr>
        <w:tc>
          <w:tcPr>
            <w:tcW w:w="2197"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D0557A" w:rsidP="00F45ED7">
            <w:pPr>
              <w:keepNext/>
              <w:keepLines/>
              <w:jc w:val="center"/>
              <w:rPr>
                <w:rFonts w:ascii="Arial" w:hAnsi="Arial" w:cs="Arial"/>
                <w:sz w:val="24"/>
                <w:szCs w:val="24"/>
              </w:rPr>
            </w:pPr>
            <w:r>
              <w:rPr>
                <w:rFonts w:ascii="Arial" w:hAnsi="Arial" w:cs="Arial"/>
                <w:sz w:val="24"/>
                <w:szCs w:val="24"/>
              </w:rPr>
              <w:t>BOD 130/15 (b</w:t>
            </w:r>
            <w:r w:rsidR="00F45ED7">
              <w:rPr>
                <w:rFonts w:ascii="Arial" w:hAnsi="Arial" w:cs="Arial"/>
                <w:sz w:val="24"/>
                <w:szCs w:val="24"/>
              </w:rPr>
              <w:t>)</w:t>
            </w:r>
          </w:p>
        </w:tc>
        <w:tc>
          <w:tcPr>
            <w:tcW w:w="8351" w:type="dxa"/>
          </w:tcPr>
          <w:p w:rsidR="00D0557A" w:rsidRDefault="00D0557A" w:rsidP="00F45ED7">
            <w:pPr>
              <w:jc w:val="both"/>
              <w:rPr>
                <w:rFonts w:ascii="Arial" w:hAnsi="Arial" w:cs="Arial"/>
                <w:b/>
                <w:bCs/>
                <w:sz w:val="24"/>
                <w:szCs w:val="24"/>
              </w:rPr>
            </w:pPr>
            <w:r w:rsidRPr="00D0557A">
              <w:rPr>
                <w:rFonts w:ascii="Arial" w:hAnsi="Arial" w:cs="Arial"/>
                <w:b/>
                <w:bCs/>
                <w:sz w:val="24"/>
                <w:szCs w:val="24"/>
              </w:rPr>
              <w:t xml:space="preserve">Workforce Performance Report </w:t>
            </w:r>
          </w:p>
          <w:p w:rsidR="00F45ED7" w:rsidRPr="00F40768" w:rsidRDefault="00D0557A" w:rsidP="00F45ED7">
            <w:pPr>
              <w:jc w:val="both"/>
              <w:rPr>
                <w:rFonts w:ascii="Arial" w:hAnsi="Arial" w:cs="Arial"/>
                <w:bCs/>
                <w:sz w:val="24"/>
                <w:szCs w:val="24"/>
              </w:rPr>
            </w:pPr>
            <w:r w:rsidRPr="00D0557A">
              <w:rPr>
                <w:rFonts w:ascii="Arial" w:hAnsi="Arial" w:cs="Arial"/>
                <w:bCs/>
                <w:sz w:val="24"/>
                <w:szCs w:val="24"/>
              </w:rPr>
              <w:t xml:space="preserve">Anne Grocock and the Chief Operating Officer noted that the reference on page 19 to the end of the pilot offering rapid access to musculoskeletal physiotherapy for staff may not be accurate given the support being provided through the Trust’s charitable funds.  </w:t>
            </w:r>
            <w:r>
              <w:rPr>
                <w:rFonts w:ascii="Arial" w:hAnsi="Arial" w:cs="Arial"/>
                <w:bCs/>
                <w:sz w:val="24"/>
                <w:szCs w:val="24"/>
              </w:rPr>
              <w:t xml:space="preserve"> </w:t>
            </w:r>
            <w:r>
              <w:t xml:space="preserve"> </w:t>
            </w:r>
            <w:r w:rsidRPr="00D0557A">
              <w:rPr>
                <w:rFonts w:ascii="Arial" w:hAnsi="Arial" w:cs="Arial"/>
                <w:bCs/>
                <w:sz w:val="24"/>
                <w:szCs w:val="24"/>
              </w:rPr>
              <w:t>To check and, if appropriate, amend.</w:t>
            </w:r>
          </w:p>
        </w:tc>
        <w:tc>
          <w:tcPr>
            <w:tcW w:w="2286"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D0557A" w:rsidP="00F45ED7">
            <w:pPr>
              <w:keepNext/>
              <w:keepLines/>
              <w:jc w:val="center"/>
              <w:rPr>
                <w:rFonts w:ascii="Arial" w:hAnsi="Arial" w:cs="Arial"/>
                <w:sz w:val="24"/>
                <w:szCs w:val="24"/>
              </w:rPr>
            </w:pPr>
            <w:r>
              <w:rPr>
                <w:rFonts w:ascii="Arial" w:hAnsi="Arial" w:cs="Arial"/>
                <w:sz w:val="24"/>
                <w:szCs w:val="24"/>
              </w:rPr>
              <w:t>MME</w:t>
            </w:r>
          </w:p>
        </w:tc>
      </w:tr>
      <w:tr w:rsidR="00376240" w:rsidRPr="00E367B7" w:rsidTr="00D8125D">
        <w:trPr>
          <w:trHeight w:val="1340"/>
        </w:trPr>
        <w:tc>
          <w:tcPr>
            <w:tcW w:w="2197" w:type="dxa"/>
            <w:shd w:val="clear" w:color="auto" w:fill="auto"/>
          </w:tcPr>
          <w:p w:rsidR="00376240" w:rsidRDefault="00376240" w:rsidP="00F45ED7">
            <w:pPr>
              <w:keepNext/>
              <w:keepLines/>
              <w:jc w:val="center"/>
              <w:rPr>
                <w:rFonts w:ascii="Arial" w:hAnsi="Arial" w:cs="Arial"/>
                <w:sz w:val="24"/>
                <w:szCs w:val="24"/>
              </w:rPr>
            </w:pPr>
          </w:p>
          <w:p w:rsidR="00376240" w:rsidRDefault="00376240" w:rsidP="00F45ED7">
            <w:pPr>
              <w:keepNext/>
              <w:keepLines/>
              <w:jc w:val="center"/>
              <w:rPr>
                <w:rFonts w:ascii="Arial" w:hAnsi="Arial" w:cs="Arial"/>
                <w:sz w:val="24"/>
                <w:szCs w:val="24"/>
              </w:rPr>
            </w:pPr>
            <w:r>
              <w:rPr>
                <w:rFonts w:ascii="Arial" w:hAnsi="Arial" w:cs="Arial"/>
                <w:sz w:val="24"/>
                <w:szCs w:val="24"/>
              </w:rPr>
              <w:t>BOD 134/15 (c)</w:t>
            </w:r>
          </w:p>
        </w:tc>
        <w:tc>
          <w:tcPr>
            <w:tcW w:w="8351" w:type="dxa"/>
          </w:tcPr>
          <w:p w:rsidR="00376240" w:rsidRDefault="00376240" w:rsidP="00F45ED7">
            <w:pPr>
              <w:jc w:val="both"/>
              <w:rPr>
                <w:rFonts w:ascii="Arial" w:hAnsi="Arial" w:cs="Arial"/>
                <w:bCs/>
                <w:sz w:val="24"/>
                <w:szCs w:val="24"/>
              </w:rPr>
            </w:pPr>
            <w:r>
              <w:rPr>
                <w:rFonts w:ascii="Arial" w:hAnsi="Arial" w:cs="Arial"/>
                <w:b/>
                <w:bCs/>
                <w:sz w:val="24"/>
                <w:szCs w:val="24"/>
              </w:rPr>
              <w:t>Finance and Investment Committee (FIC) – BAF risk 2.2 (business planning)</w:t>
            </w:r>
          </w:p>
          <w:p w:rsidR="00376240" w:rsidRDefault="00376240" w:rsidP="00F45ED7">
            <w:pPr>
              <w:jc w:val="both"/>
              <w:rPr>
                <w:rFonts w:ascii="Arial" w:hAnsi="Arial" w:cs="Arial"/>
                <w:bCs/>
                <w:sz w:val="24"/>
                <w:szCs w:val="24"/>
              </w:rPr>
            </w:pPr>
            <w:r>
              <w:rPr>
                <w:rFonts w:ascii="Arial" w:hAnsi="Arial" w:cs="Arial"/>
                <w:bCs/>
                <w:sz w:val="24"/>
                <w:szCs w:val="24"/>
              </w:rPr>
              <w:t xml:space="preserve">The FIC to receive reporting in relation to BAF risk SO 2.2 around business planning arrangements. </w:t>
            </w:r>
            <w:bookmarkStart w:id="0" w:name="_GoBack"/>
            <w:bookmarkEnd w:id="0"/>
          </w:p>
          <w:p w:rsidR="00376240" w:rsidRPr="00376240" w:rsidRDefault="00376240" w:rsidP="00C2729D">
            <w:pPr>
              <w:jc w:val="both"/>
              <w:rPr>
                <w:rFonts w:ascii="Arial" w:hAnsi="Arial" w:cs="Arial"/>
                <w:bCs/>
                <w:i/>
                <w:sz w:val="24"/>
                <w:szCs w:val="24"/>
              </w:rPr>
            </w:pPr>
            <w:r w:rsidRPr="00376240">
              <w:rPr>
                <w:rFonts w:ascii="Arial" w:hAnsi="Arial" w:cs="Arial"/>
                <w:b/>
                <w:bCs/>
                <w:i/>
                <w:color w:val="FF0000"/>
                <w:sz w:val="24"/>
                <w:szCs w:val="24"/>
              </w:rPr>
              <w:t xml:space="preserve">In progress for completion </w:t>
            </w:r>
            <w:r w:rsidRPr="00376240">
              <w:rPr>
                <w:rFonts w:ascii="Arial" w:hAnsi="Arial" w:cs="Arial"/>
                <w:bCs/>
                <w:i/>
                <w:color w:val="FF0000"/>
                <w:sz w:val="24"/>
                <w:szCs w:val="24"/>
              </w:rPr>
              <w:t xml:space="preserve"> – included as part of work planning for the FIC </w:t>
            </w:r>
          </w:p>
        </w:tc>
        <w:tc>
          <w:tcPr>
            <w:tcW w:w="2286" w:type="dxa"/>
            <w:shd w:val="clear" w:color="auto" w:fill="auto"/>
          </w:tcPr>
          <w:p w:rsidR="00376240" w:rsidRDefault="00376240" w:rsidP="00F45ED7">
            <w:pPr>
              <w:keepNext/>
              <w:keepLines/>
              <w:jc w:val="center"/>
              <w:rPr>
                <w:rFonts w:ascii="Arial" w:hAnsi="Arial" w:cs="Arial"/>
                <w:sz w:val="24"/>
                <w:szCs w:val="24"/>
              </w:rPr>
            </w:pPr>
          </w:p>
          <w:p w:rsidR="00376240" w:rsidRDefault="00376240" w:rsidP="00F45ED7">
            <w:pPr>
              <w:keepNext/>
              <w:keepLines/>
              <w:jc w:val="center"/>
              <w:rPr>
                <w:rFonts w:ascii="Arial" w:hAnsi="Arial" w:cs="Arial"/>
                <w:sz w:val="24"/>
                <w:szCs w:val="24"/>
              </w:rPr>
            </w:pPr>
            <w:r>
              <w:rPr>
                <w:rFonts w:ascii="Arial" w:hAnsi="Arial" w:cs="Arial"/>
                <w:sz w:val="24"/>
                <w:szCs w:val="24"/>
              </w:rPr>
              <w:t>HS</w:t>
            </w:r>
          </w:p>
        </w:tc>
      </w:tr>
      <w:tr w:rsidR="00F45ED7" w:rsidRPr="00E367B7" w:rsidTr="00D8125D">
        <w:trPr>
          <w:trHeight w:val="1340"/>
        </w:trPr>
        <w:tc>
          <w:tcPr>
            <w:tcW w:w="2197"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D0557A" w:rsidP="00F45ED7">
            <w:pPr>
              <w:keepNext/>
              <w:keepLines/>
              <w:jc w:val="center"/>
              <w:rPr>
                <w:rFonts w:ascii="Arial" w:hAnsi="Arial" w:cs="Arial"/>
                <w:sz w:val="24"/>
                <w:szCs w:val="24"/>
              </w:rPr>
            </w:pPr>
            <w:r>
              <w:rPr>
                <w:rFonts w:ascii="Arial" w:hAnsi="Arial" w:cs="Arial"/>
                <w:sz w:val="24"/>
                <w:szCs w:val="24"/>
              </w:rPr>
              <w:t>BOD 142/15 (a</w:t>
            </w:r>
            <w:r w:rsidR="00F45ED7">
              <w:rPr>
                <w:rFonts w:ascii="Arial" w:hAnsi="Arial" w:cs="Arial"/>
                <w:sz w:val="24"/>
                <w:szCs w:val="24"/>
              </w:rPr>
              <w:t>)</w:t>
            </w:r>
          </w:p>
        </w:tc>
        <w:tc>
          <w:tcPr>
            <w:tcW w:w="8351" w:type="dxa"/>
          </w:tcPr>
          <w:p w:rsidR="00F45ED7" w:rsidRDefault="00D0557A" w:rsidP="00F45ED7">
            <w:pPr>
              <w:jc w:val="both"/>
              <w:rPr>
                <w:rFonts w:ascii="Arial" w:hAnsi="Arial" w:cs="Arial"/>
                <w:bCs/>
                <w:sz w:val="24"/>
                <w:szCs w:val="24"/>
              </w:rPr>
            </w:pPr>
            <w:r>
              <w:rPr>
                <w:rFonts w:ascii="Arial" w:hAnsi="Arial" w:cs="Arial"/>
                <w:b/>
                <w:bCs/>
                <w:sz w:val="24"/>
                <w:szCs w:val="24"/>
              </w:rPr>
              <w:t>IT Strategy</w:t>
            </w:r>
          </w:p>
          <w:p w:rsidR="00F45ED7" w:rsidRPr="00F40768" w:rsidRDefault="00D0557A" w:rsidP="00F45ED7">
            <w:pPr>
              <w:jc w:val="both"/>
              <w:rPr>
                <w:rFonts w:ascii="Arial" w:hAnsi="Arial" w:cs="Arial"/>
                <w:bCs/>
                <w:sz w:val="24"/>
                <w:szCs w:val="24"/>
              </w:rPr>
            </w:pPr>
            <w:r>
              <w:rPr>
                <w:rFonts w:ascii="Arial" w:hAnsi="Arial" w:cs="Arial"/>
                <w:bCs/>
                <w:sz w:val="24"/>
                <w:szCs w:val="24"/>
              </w:rPr>
              <w:t xml:space="preserve">To consider for review and discussion at a future extended Board session on strategy. </w:t>
            </w:r>
          </w:p>
        </w:tc>
        <w:tc>
          <w:tcPr>
            <w:tcW w:w="2286" w:type="dxa"/>
            <w:shd w:val="clear" w:color="auto" w:fill="auto"/>
          </w:tcPr>
          <w:p w:rsidR="00F45ED7" w:rsidRDefault="00F45ED7" w:rsidP="00F45ED7">
            <w:pPr>
              <w:keepNext/>
              <w:keepLines/>
              <w:jc w:val="center"/>
              <w:rPr>
                <w:rFonts w:ascii="Arial" w:hAnsi="Arial" w:cs="Arial"/>
                <w:sz w:val="24"/>
                <w:szCs w:val="24"/>
              </w:rPr>
            </w:pPr>
          </w:p>
          <w:p w:rsidR="00F45ED7" w:rsidRPr="009D2F5A" w:rsidRDefault="00D0557A" w:rsidP="00F45ED7">
            <w:pPr>
              <w:keepNext/>
              <w:keepLines/>
              <w:jc w:val="center"/>
              <w:rPr>
                <w:rFonts w:ascii="Arial" w:hAnsi="Arial" w:cs="Arial"/>
                <w:sz w:val="24"/>
                <w:szCs w:val="24"/>
              </w:rPr>
            </w:pPr>
            <w:r>
              <w:rPr>
                <w:rFonts w:ascii="Arial" w:hAnsi="Arial" w:cs="Arial"/>
                <w:sz w:val="24"/>
                <w:szCs w:val="24"/>
              </w:rPr>
              <w:t>CM</w:t>
            </w:r>
          </w:p>
        </w:tc>
      </w:tr>
    </w:tbl>
    <w:p w:rsidR="00633554" w:rsidRPr="00E367B7" w:rsidRDefault="00633554">
      <w:pPr>
        <w:rPr>
          <w:rFonts w:ascii="Arial" w:hAnsi="Arial" w:cs="Arial"/>
          <w:sz w:val="24"/>
          <w:szCs w:val="24"/>
        </w:rPr>
      </w:pPr>
    </w:p>
    <w:sectPr w:rsidR="00633554" w:rsidRPr="00E367B7" w:rsidSect="000B294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22" w:rsidRDefault="00FA1522" w:rsidP="000B2947">
      <w:pPr>
        <w:spacing w:after="0" w:line="240" w:lineRule="auto"/>
      </w:pPr>
      <w:r>
        <w:separator/>
      </w:r>
    </w:p>
  </w:endnote>
  <w:endnote w:type="continuationSeparator" w:id="0">
    <w:p w:rsidR="00FA1522" w:rsidRDefault="00FA1522" w:rsidP="000B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22" w:rsidRDefault="00861BF3">
    <w:pPr>
      <w:pStyle w:val="Footer"/>
      <w:jc w:val="center"/>
    </w:pPr>
    <w:r>
      <w:fldChar w:fldCharType="begin"/>
    </w:r>
    <w:r>
      <w:instrText xml:space="preserve"> PAGE   \* MERGEFORMAT </w:instrText>
    </w:r>
    <w:r>
      <w:fldChar w:fldCharType="separate"/>
    </w:r>
    <w:r w:rsidR="00C2729D">
      <w:rPr>
        <w:noProof/>
      </w:rPr>
      <w:t>2</w:t>
    </w:r>
    <w:r>
      <w:rPr>
        <w:noProof/>
      </w:rPr>
      <w:fldChar w:fldCharType="end"/>
    </w:r>
  </w:p>
  <w:p w:rsidR="00FA1522" w:rsidRDefault="00FA1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22" w:rsidRDefault="00FA1522" w:rsidP="000B2947">
      <w:pPr>
        <w:spacing w:after="0" w:line="240" w:lineRule="auto"/>
      </w:pPr>
      <w:r>
        <w:separator/>
      </w:r>
    </w:p>
  </w:footnote>
  <w:footnote w:type="continuationSeparator" w:id="0">
    <w:p w:rsidR="00FA1522" w:rsidRDefault="00FA1522" w:rsidP="000B29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22" w:rsidRPr="007D06DC" w:rsidRDefault="00FA1522" w:rsidP="000B2947">
    <w:pPr>
      <w:pStyle w:val="Header"/>
      <w:jc w:val="center"/>
    </w:pPr>
    <w:r>
      <w:rPr>
        <w:i/>
      </w:rPr>
      <w:t>PUBLIC</w:t>
    </w:r>
  </w:p>
  <w:p w:rsidR="00FA1522" w:rsidRPr="000B2947" w:rsidRDefault="00FA1522">
    <w:pPr>
      <w:pStyle w:val="Header"/>
      <w:rPr>
        <w:b/>
      </w:rPr>
    </w:pPr>
  </w:p>
  <w:p w:rsidR="00FA1522" w:rsidRDefault="00FA15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1217C"/>
    <w:multiLevelType w:val="hybridMultilevel"/>
    <w:tmpl w:val="7E34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D67214"/>
    <w:multiLevelType w:val="hybridMultilevel"/>
    <w:tmpl w:val="7D10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BA7F32"/>
    <w:multiLevelType w:val="hybridMultilevel"/>
    <w:tmpl w:val="060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E7380F"/>
    <w:multiLevelType w:val="hybridMultilevel"/>
    <w:tmpl w:val="9CDA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47"/>
    <w:rsid w:val="000039B1"/>
    <w:rsid w:val="000072FC"/>
    <w:rsid w:val="00015015"/>
    <w:rsid w:val="00024DA4"/>
    <w:rsid w:val="00032E57"/>
    <w:rsid w:val="0004460B"/>
    <w:rsid w:val="00046EA9"/>
    <w:rsid w:val="00063257"/>
    <w:rsid w:val="00063421"/>
    <w:rsid w:val="000742F9"/>
    <w:rsid w:val="000765F3"/>
    <w:rsid w:val="0007738F"/>
    <w:rsid w:val="000846EE"/>
    <w:rsid w:val="00087272"/>
    <w:rsid w:val="000B2947"/>
    <w:rsid w:val="000B69CF"/>
    <w:rsid w:val="000D05CC"/>
    <w:rsid w:val="000D7875"/>
    <w:rsid w:val="000E244A"/>
    <w:rsid w:val="000E6B70"/>
    <w:rsid w:val="000F0B7F"/>
    <w:rsid w:val="000F48CF"/>
    <w:rsid w:val="000F7BD1"/>
    <w:rsid w:val="00105FDB"/>
    <w:rsid w:val="001120FD"/>
    <w:rsid w:val="001219E0"/>
    <w:rsid w:val="001220D3"/>
    <w:rsid w:val="00131067"/>
    <w:rsid w:val="001431EB"/>
    <w:rsid w:val="0015391E"/>
    <w:rsid w:val="00171162"/>
    <w:rsid w:val="00171A81"/>
    <w:rsid w:val="00191B83"/>
    <w:rsid w:val="001B0FB1"/>
    <w:rsid w:val="001D2759"/>
    <w:rsid w:val="001E16A4"/>
    <w:rsid w:val="0020141B"/>
    <w:rsid w:val="00201E3B"/>
    <w:rsid w:val="0020722B"/>
    <w:rsid w:val="002258F6"/>
    <w:rsid w:val="00237F6F"/>
    <w:rsid w:val="00240701"/>
    <w:rsid w:val="00241AA6"/>
    <w:rsid w:val="00244F70"/>
    <w:rsid w:val="0025228D"/>
    <w:rsid w:val="0025331B"/>
    <w:rsid w:val="00253C8F"/>
    <w:rsid w:val="00261E54"/>
    <w:rsid w:val="002744DF"/>
    <w:rsid w:val="00282647"/>
    <w:rsid w:val="00282D3B"/>
    <w:rsid w:val="002A5A69"/>
    <w:rsid w:val="002B5341"/>
    <w:rsid w:val="002B57BD"/>
    <w:rsid w:val="002C0F68"/>
    <w:rsid w:val="002C6990"/>
    <w:rsid w:val="002D230C"/>
    <w:rsid w:val="002D6A88"/>
    <w:rsid w:val="002E50D9"/>
    <w:rsid w:val="002F2524"/>
    <w:rsid w:val="002F3B6B"/>
    <w:rsid w:val="002F6393"/>
    <w:rsid w:val="003033E1"/>
    <w:rsid w:val="00314CE7"/>
    <w:rsid w:val="00315081"/>
    <w:rsid w:val="003305FC"/>
    <w:rsid w:val="0033178B"/>
    <w:rsid w:val="0033274C"/>
    <w:rsid w:val="00341BD4"/>
    <w:rsid w:val="003424EC"/>
    <w:rsid w:val="003515C3"/>
    <w:rsid w:val="003759F1"/>
    <w:rsid w:val="00376240"/>
    <w:rsid w:val="00376489"/>
    <w:rsid w:val="00380E7A"/>
    <w:rsid w:val="00383F5B"/>
    <w:rsid w:val="00384B7A"/>
    <w:rsid w:val="003871F3"/>
    <w:rsid w:val="00390FD5"/>
    <w:rsid w:val="00393728"/>
    <w:rsid w:val="00393AFE"/>
    <w:rsid w:val="00394139"/>
    <w:rsid w:val="00397575"/>
    <w:rsid w:val="003B304C"/>
    <w:rsid w:val="003C5DB1"/>
    <w:rsid w:val="003D05D4"/>
    <w:rsid w:val="003E28C6"/>
    <w:rsid w:val="003E5C3C"/>
    <w:rsid w:val="003F2467"/>
    <w:rsid w:val="00425229"/>
    <w:rsid w:val="004266B5"/>
    <w:rsid w:val="00440F72"/>
    <w:rsid w:val="00452F7C"/>
    <w:rsid w:val="00456BE6"/>
    <w:rsid w:val="00465CD1"/>
    <w:rsid w:val="00466230"/>
    <w:rsid w:val="004921A3"/>
    <w:rsid w:val="004938A0"/>
    <w:rsid w:val="004942A2"/>
    <w:rsid w:val="004B0D4D"/>
    <w:rsid w:val="004C26C4"/>
    <w:rsid w:val="004C759B"/>
    <w:rsid w:val="004D7E50"/>
    <w:rsid w:val="00505351"/>
    <w:rsid w:val="005077BE"/>
    <w:rsid w:val="005079BA"/>
    <w:rsid w:val="00511324"/>
    <w:rsid w:val="0052154A"/>
    <w:rsid w:val="00522131"/>
    <w:rsid w:val="00525A57"/>
    <w:rsid w:val="00531123"/>
    <w:rsid w:val="00537F66"/>
    <w:rsid w:val="00543314"/>
    <w:rsid w:val="0057412E"/>
    <w:rsid w:val="00581E04"/>
    <w:rsid w:val="005823B6"/>
    <w:rsid w:val="00585237"/>
    <w:rsid w:val="0059202C"/>
    <w:rsid w:val="00593FA0"/>
    <w:rsid w:val="00594955"/>
    <w:rsid w:val="005B3341"/>
    <w:rsid w:val="005B61CF"/>
    <w:rsid w:val="005C61CA"/>
    <w:rsid w:val="005D72E8"/>
    <w:rsid w:val="005D77EC"/>
    <w:rsid w:val="005E0E2E"/>
    <w:rsid w:val="005E5479"/>
    <w:rsid w:val="005F3233"/>
    <w:rsid w:val="005F70E9"/>
    <w:rsid w:val="00601E3D"/>
    <w:rsid w:val="00610966"/>
    <w:rsid w:val="00611984"/>
    <w:rsid w:val="006128F5"/>
    <w:rsid w:val="00627618"/>
    <w:rsid w:val="00633554"/>
    <w:rsid w:val="006439B2"/>
    <w:rsid w:val="006454AE"/>
    <w:rsid w:val="00652FAF"/>
    <w:rsid w:val="006716E3"/>
    <w:rsid w:val="00674688"/>
    <w:rsid w:val="00674699"/>
    <w:rsid w:val="0067651E"/>
    <w:rsid w:val="00687CBE"/>
    <w:rsid w:val="00693453"/>
    <w:rsid w:val="006946E2"/>
    <w:rsid w:val="00696E9F"/>
    <w:rsid w:val="00697032"/>
    <w:rsid w:val="006B1EB2"/>
    <w:rsid w:val="006B7541"/>
    <w:rsid w:val="006D39B0"/>
    <w:rsid w:val="006D6992"/>
    <w:rsid w:val="00700062"/>
    <w:rsid w:val="0070258B"/>
    <w:rsid w:val="0072245F"/>
    <w:rsid w:val="00730438"/>
    <w:rsid w:val="0073197C"/>
    <w:rsid w:val="007336A4"/>
    <w:rsid w:val="00734966"/>
    <w:rsid w:val="00745E5F"/>
    <w:rsid w:val="00754E78"/>
    <w:rsid w:val="00760C31"/>
    <w:rsid w:val="00762ED4"/>
    <w:rsid w:val="00763A8F"/>
    <w:rsid w:val="0076462F"/>
    <w:rsid w:val="00766A85"/>
    <w:rsid w:val="00767605"/>
    <w:rsid w:val="00774CB7"/>
    <w:rsid w:val="00784E26"/>
    <w:rsid w:val="0078654D"/>
    <w:rsid w:val="0079185E"/>
    <w:rsid w:val="00793558"/>
    <w:rsid w:val="007B21CE"/>
    <w:rsid w:val="007B3FD6"/>
    <w:rsid w:val="007C3131"/>
    <w:rsid w:val="007C4C3A"/>
    <w:rsid w:val="007E3804"/>
    <w:rsid w:val="007E4BCB"/>
    <w:rsid w:val="007F39F5"/>
    <w:rsid w:val="007F3D90"/>
    <w:rsid w:val="008006A3"/>
    <w:rsid w:val="0081463C"/>
    <w:rsid w:val="00832469"/>
    <w:rsid w:val="008340D7"/>
    <w:rsid w:val="00834277"/>
    <w:rsid w:val="0083488F"/>
    <w:rsid w:val="008379EA"/>
    <w:rsid w:val="0084583C"/>
    <w:rsid w:val="00861BF3"/>
    <w:rsid w:val="008734E5"/>
    <w:rsid w:val="008756CF"/>
    <w:rsid w:val="008757DA"/>
    <w:rsid w:val="008776D6"/>
    <w:rsid w:val="0088270F"/>
    <w:rsid w:val="00891EB1"/>
    <w:rsid w:val="0089273B"/>
    <w:rsid w:val="0089403F"/>
    <w:rsid w:val="008A7296"/>
    <w:rsid w:val="008B2F3F"/>
    <w:rsid w:val="008F4C6C"/>
    <w:rsid w:val="00902503"/>
    <w:rsid w:val="00907DE9"/>
    <w:rsid w:val="00923288"/>
    <w:rsid w:val="0092378F"/>
    <w:rsid w:val="00926388"/>
    <w:rsid w:val="00927ED6"/>
    <w:rsid w:val="00932058"/>
    <w:rsid w:val="00933452"/>
    <w:rsid w:val="00942C34"/>
    <w:rsid w:val="0094567F"/>
    <w:rsid w:val="009564BB"/>
    <w:rsid w:val="009650DE"/>
    <w:rsid w:val="00974BEC"/>
    <w:rsid w:val="00990E66"/>
    <w:rsid w:val="009919D8"/>
    <w:rsid w:val="009C6599"/>
    <w:rsid w:val="009D23DA"/>
    <w:rsid w:val="009D2F5A"/>
    <w:rsid w:val="009E38B1"/>
    <w:rsid w:val="009E77B9"/>
    <w:rsid w:val="009E7C1A"/>
    <w:rsid w:val="00A15794"/>
    <w:rsid w:val="00A166C1"/>
    <w:rsid w:val="00A226AB"/>
    <w:rsid w:val="00A22825"/>
    <w:rsid w:val="00A24484"/>
    <w:rsid w:val="00A37FAC"/>
    <w:rsid w:val="00A43C8E"/>
    <w:rsid w:val="00A44287"/>
    <w:rsid w:val="00A44C56"/>
    <w:rsid w:val="00A5526F"/>
    <w:rsid w:val="00A71BDC"/>
    <w:rsid w:val="00A72B2B"/>
    <w:rsid w:val="00A802E6"/>
    <w:rsid w:val="00AA1675"/>
    <w:rsid w:val="00AA2AD8"/>
    <w:rsid w:val="00AB249F"/>
    <w:rsid w:val="00AC008C"/>
    <w:rsid w:val="00AC76AD"/>
    <w:rsid w:val="00AD5AF4"/>
    <w:rsid w:val="00AD6F84"/>
    <w:rsid w:val="00B02AC5"/>
    <w:rsid w:val="00B31870"/>
    <w:rsid w:val="00B33194"/>
    <w:rsid w:val="00B347C7"/>
    <w:rsid w:val="00B40958"/>
    <w:rsid w:val="00B410C3"/>
    <w:rsid w:val="00B658D5"/>
    <w:rsid w:val="00B724D9"/>
    <w:rsid w:val="00B81AE9"/>
    <w:rsid w:val="00B974C1"/>
    <w:rsid w:val="00BA2DD3"/>
    <w:rsid w:val="00BA44E9"/>
    <w:rsid w:val="00BB62AB"/>
    <w:rsid w:val="00BC04F8"/>
    <w:rsid w:val="00BD4925"/>
    <w:rsid w:val="00BE2EFA"/>
    <w:rsid w:val="00BE3D89"/>
    <w:rsid w:val="00BE7491"/>
    <w:rsid w:val="00BF32AD"/>
    <w:rsid w:val="00C2729D"/>
    <w:rsid w:val="00C4205F"/>
    <w:rsid w:val="00C44D41"/>
    <w:rsid w:val="00C4763E"/>
    <w:rsid w:val="00C5206A"/>
    <w:rsid w:val="00C74867"/>
    <w:rsid w:val="00C9522B"/>
    <w:rsid w:val="00C95A17"/>
    <w:rsid w:val="00C97CCE"/>
    <w:rsid w:val="00CC2ED9"/>
    <w:rsid w:val="00CD2283"/>
    <w:rsid w:val="00CE2874"/>
    <w:rsid w:val="00D0557A"/>
    <w:rsid w:val="00D10B4E"/>
    <w:rsid w:val="00D121CE"/>
    <w:rsid w:val="00D14EC6"/>
    <w:rsid w:val="00D1503C"/>
    <w:rsid w:val="00D3669C"/>
    <w:rsid w:val="00D36BC0"/>
    <w:rsid w:val="00D42170"/>
    <w:rsid w:val="00D42D1A"/>
    <w:rsid w:val="00D6616A"/>
    <w:rsid w:val="00D66EAD"/>
    <w:rsid w:val="00D7197F"/>
    <w:rsid w:val="00D762F7"/>
    <w:rsid w:val="00D8125D"/>
    <w:rsid w:val="00D83FCB"/>
    <w:rsid w:val="00D84DC6"/>
    <w:rsid w:val="00D9768A"/>
    <w:rsid w:val="00DC3C3E"/>
    <w:rsid w:val="00DC54A2"/>
    <w:rsid w:val="00DE1732"/>
    <w:rsid w:val="00DF07E3"/>
    <w:rsid w:val="00E00003"/>
    <w:rsid w:val="00E04E2F"/>
    <w:rsid w:val="00E06EED"/>
    <w:rsid w:val="00E11EFB"/>
    <w:rsid w:val="00E14469"/>
    <w:rsid w:val="00E21DA2"/>
    <w:rsid w:val="00E22C7A"/>
    <w:rsid w:val="00E32A06"/>
    <w:rsid w:val="00E34729"/>
    <w:rsid w:val="00E367B7"/>
    <w:rsid w:val="00E520A9"/>
    <w:rsid w:val="00E55CDA"/>
    <w:rsid w:val="00E60C6D"/>
    <w:rsid w:val="00E7308C"/>
    <w:rsid w:val="00E76646"/>
    <w:rsid w:val="00E95111"/>
    <w:rsid w:val="00E97685"/>
    <w:rsid w:val="00EB50AE"/>
    <w:rsid w:val="00EB5869"/>
    <w:rsid w:val="00EC11E7"/>
    <w:rsid w:val="00ED08CB"/>
    <w:rsid w:val="00ED16EA"/>
    <w:rsid w:val="00ED427A"/>
    <w:rsid w:val="00EE1AB5"/>
    <w:rsid w:val="00EE4894"/>
    <w:rsid w:val="00EF5115"/>
    <w:rsid w:val="00EF72CB"/>
    <w:rsid w:val="00F00297"/>
    <w:rsid w:val="00F019EB"/>
    <w:rsid w:val="00F076A0"/>
    <w:rsid w:val="00F1349A"/>
    <w:rsid w:val="00F16822"/>
    <w:rsid w:val="00F16BE8"/>
    <w:rsid w:val="00F231AA"/>
    <w:rsid w:val="00F25643"/>
    <w:rsid w:val="00F31E37"/>
    <w:rsid w:val="00F31EA2"/>
    <w:rsid w:val="00F36B10"/>
    <w:rsid w:val="00F37A2E"/>
    <w:rsid w:val="00F40768"/>
    <w:rsid w:val="00F4139E"/>
    <w:rsid w:val="00F45ED7"/>
    <w:rsid w:val="00F50EBF"/>
    <w:rsid w:val="00F51049"/>
    <w:rsid w:val="00F56435"/>
    <w:rsid w:val="00F57D46"/>
    <w:rsid w:val="00F65D26"/>
    <w:rsid w:val="00F77BBC"/>
    <w:rsid w:val="00F87CBE"/>
    <w:rsid w:val="00F907A0"/>
    <w:rsid w:val="00FA1522"/>
    <w:rsid w:val="00FC07BA"/>
    <w:rsid w:val="00FC7547"/>
    <w:rsid w:val="00FD4AAA"/>
    <w:rsid w:val="00FD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47"/>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B29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B2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947"/>
  </w:style>
  <w:style w:type="paragraph" w:styleId="BalloonText">
    <w:name w:val="Balloon Text"/>
    <w:basedOn w:val="Normal"/>
    <w:link w:val="BalloonTextChar"/>
    <w:uiPriority w:val="99"/>
    <w:semiHidden/>
    <w:unhideWhenUsed/>
    <w:rsid w:val="009E3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B1"/>
    <w:rPr>
      <w:rFonts w:ascii="Tahoma" w:hAnsi="Tahoma" w:cs="Tahoma"/>
      <w:sz w:val="16"/>
      <w:szCs w:val="16"/>
    </w:rPr>
  </w:style>
  <w:style w:type="paragraph" w:styleId="ListParagraph">
    <w:name w:val="List Paragraph"/>
    <w:basedOn w:val="Normal"/>
    <w:uiPriority w:val="34"/>
    <w:qFormat/>
    <w:rsid w:val="00645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9339">
      <w:bodyDiv w:val="1"/>
      <w:marLeft w:val="0"/>
      <w:marRight w:val="0"/>
      <w:marTop w:val="0"/>
      <w:marBottom w:val="0"/>
      <w:divBdr>
        <w:top w:val="none" w:sz="0" w:space="0" w:color="auto"/>
        <w:left w:val="none" w:sz="0" w:space="0" w:color="auto"/>
        <w:bottom w:val="none" w:sz="0" w:space="0" w:color="auto"/>
        <w:right w:val="none" w:sz="0" w:space="0" w:color="auto"/>
      </w:divBdr>
    </w:div>
    <w:div w:id="360474410">
      <w:bodyDiv w:val="1"/>
      <w:marLeft w:val="0"/>
      <w:marRight w:val="0"/>
      <w:marTop w:val="0"/>
      <w:marBottom w:val="0"/>
      <w:divBdr>
        <w:top w:val="none" w:sz="0" w:space="0" w:color="auto"/>
        <w:left w:val="none" w:sz="0" w:space="0" w:color="auto"/>
        <w:bottom w:val="none" w:sz="0" w:space="0" w:color="auto"/>
        <w:right w:val="none" w:sz="0" w:space="0" w:color="auto"/>
      </w:divBdr>
    </w:div>
    <w:div w:id="372191950">
      <w:bodyDiv w:val="1"/>
      <w:marLeft w:val="0"/>
      <w:marRight w:val="0"/>
      <w:marTop w:val="0"/>
      <w:marBottom w:val="0"/>
      <w:divBdr>
        <w:top w:val="none" w:sz="0" w:space="0" w:color="auto"/>
        <w:left w:val="none" w:sz="0" w:space="0" w:color="auto"/>
        <w:bottom w:val="none" w:sz="0" w:space="0" w:color="auto"/>
        <w:right w:val="none" w:sz="0" w:space="0" w:color="auto"/>
      </w:divBdr>
    </w:div>
    <w:div w:id="506485854">
      <w:bodyDiv w:val="1"/>
      <w:marLeft w:val="0"/>
      <w:marRight w:val="0"/>
      <w:marTop w:val="0"/>
      <w:marBottom w:val="0"/>
      <w:divBdr>
        <w:top w:val="none" w:sz="0" w:space="0" w:color="auto"/>
        <w:left w:val="none" w:sz="0" w:space="0" w:color="auto"/>
        <w:bottom w:val="none" w:sz="0" w:space="0" w:color="auto"/>
        <w:right w:val="none" w:sz="0" w:space="0" w:color="auto"/>
      </w:divBdr>
    </w:div>
    <w:div w:id="543834884">
      <w:bodyDiv w:val="1"/>
      <w:marLeft w:val="0"/>
      <w:marRight w:val="0"/>
      <w:marTop w:val="0"/>
      <w:marBottom w:val="0"/>
      <w:divBdr>
        <w:top w:val="none" w:sz="0" w:space="0" w:color="auto"/>
        <w:left w:val="none" w:sz="0" w:space="0" w:color="auto"/>
        <w:bottom w:val="none" w:sz="0" w:space="0" w:color="auto"/>
        <w:right w:val="none" w:sz="0" w:space="0" w:color="auto"/>
      </w:divBdr>
    </w:div>
    <w:div w:id="709036261">
      <w:bodyDiv w:val="1"/>
      <w:marLeft w:val="0"/>
      <w:marRight w:val="0"/>
      <w:marTop w:val="0"/>
      <w:marBottom w:val="0"/>
      <w:divBdr>
        <w:top w:val="none" w:sz="0" w:space="0" w:color="auto"/>
        <w:left w:val="none" w:sz="0" w:space="0" w:color="auto"/>
        <w:bottom w:val="none" w:sz="0" w:space="0" w:color="auto"/>
        <w:right w:val="none" w:sz="0" w:space="0" w:color="auto"/>
      </w:divBdr>
    </w:div>
    <w:div w:id="1116556392">
      <w:bodyDiv w:val="1"/>
      <w:marLeft w:val="0"/>
      <w:marRight w:val="0"/>
      <w:marTop w:val="0"/>
      <w:marBottom w:val="0"/>
      <w:divBdr>
        <w:top w:val="none" w:sz="0" w:space="0" w:color="auto"/>
        <w:left w:val="none" w:sz="0" w:space="0" w:color="auto"/>
        <w:bottom w:val="none" w:sz="0" w:space="0" w:color="auto"/>
        <w:right w:val="none" w:sz="0" w:space="0" w:color="auto"/>
      </w:divBdr>
    </w:div>
    <w:div w:id="1267080114">
      <w:bodyDiv w:val="1"/>
      <w:marLeft w:val="0"/>
      <w:marRight w:val="0"/>
      <w:marTop w:val="0"/>
      <w:marBottom w:val="0"/>
      <w:divBdr>
        <w:top w:val="none" w:sz="0" w:space="0" w:color="auto"/>
        <w:left w:val="none" w:sz="0" w:space="0" w:color="auto"/>
        <w:bottom w:val="none" w:sz="0" w:space="0" w:color="auto"/>
        <w:right w:val="none" w:sz="0" w:space="0" w:color="auto"/>
      </w:divBdr>
    </w:div>
    <w:div w:id="1292980017">
      <w:bodyDiv w:val="1"/>
      <w:marLeft w:val="0"/>
      <w:marRight w:val="0"/>
      <w:marTop w:val="0"/>
      <w:marBottom w:val="0"/>
      <w:divBdr>
        <w:top w:val="none" w:sz="0" w:space="0" w:color="auto"/>
        <w:left w:val="none" w:sz="0" w:space="0" w:color="auto"/>
        <w:bottom w:val="none" w:sz="0" w:space="0" w:color="auto"/>
        <w:right w:val="none" w:sz="0" w:space="0" w:color="auto"/>
      </w:divBdr>
    </w:div>
    <w:div w:id="1460220759">
      <w:bodyDiv w:val="1"/>
      <w:marLeft w:val="0"/>
      <w:marRight w:val="0"/>
      <w:marTop w:val="0"/>
      <w:marBottom w:val="0"/>
      <w:divBdr>
        <w:top w:val="none" w:sz="0" w:space="0" w:color="auto"/>
        <w:left w:val="none" w:sz="0" w:space="0" w:color="auto"/>
        <w:bottom w:val="none" w:sz="0" w:space="0" w:color="auto"/>
        <w:right w:val="none" w:sz="0" w:space="0" w:color="auto"/>
      </w:divBdr>
    </w:div>
    <w:div w:id="1525750737">
      <w:bodyDiv w:val="1"/>
      <w:marLeft w:val="0"/>
      <w:marRight w:val="0"/>
      <w:marTop w:val="0"/>
      <w:marBottom w:val="0"/>
      <w:divBdr>
        <w:top w:val="none" w:sz="0" w:space="0" w:color="auto"/>
        <w:left w:val="none" w:sz="0" w:space="0" w:color="auto"/>
        <w:bottom w:val="none" w:sz="0" w:space="0" w:color="auto"/>
        <w:right w:val="none" w:sz="0" w:space="0" w:color="auto"/>
      </w:divBdr>
    </w:div>
    <w:div w:id="1579051201">
      <w:bodyDiv w:val="1"/>
      <w:marLeft w:val="0"/>
      <w:marRight w:val="0"/>
      <w:marTop w:val="0"/>
      <w:marBottom w:val="0"/>
      <w:divBdr>
        <w:top w:val="none" w:sz="0" w:space="0" w:color="auto"/>
        <w:left w:val="none" w:sz="0" w:space="0" w:color="auto"/>
        <w:bottom w:val="none" w:sz="0" w:space="0" w:color="auto"/>
        <w:right w:val="none" w:sz="0" w:space="0" w:color="auto"/>
      </w:divBdr>
    </w:div>
    <w:div w:id="1720745259">
      <w:bodyDiv w:val="1"/>
      <w:marLeft w:val="0"/>
      <w:marRight w:val="0"/>
      <w:marTop w:val="0"/>
      <w:marBottom w:val="0"/>
      <w:divBdr>
        <w:top w:val="none" w:sz="0" w:space="0" w:color="auto"/>
        <w:left w:val="none" w:sz="0" w:space="0" w:color="auto"/>
        <w:bottom w:val="none" w:sz="0" w:space="0" w:color="auto"/>
        <w:right w:val="none" w:sz="0" w:space="0" w:color="auto"/>
      </w:divBdr>
    </w:div>
    <w:div w:id="1770390434">
      <w:bodyDiv w:val="1"/>
      <w:marLeft w:val="0"/>
      <w:marRight w:val="0"/>
      <w:marTop w:val="0"/>
      <w:marBottom w:val="0"/>
      <w:divBdr>
        <w:top w:val="none" w:sz="0" w:space="0" w:color="auto"/>
        <w:left w:val="none" w:sz="0" w:space="0" w:color="auto"/>
        <w:bottom w:val="none" w:sz="0" w:space="0" w:color="auto"/>
        <w:right w:val="none" w:sz="0" w:space="0" w:color="auto"/>
      </w:divBdr>
    </w:div>
    <w:div w:id="1928268228">
      <w:bodyDiv w:val="1"/>
      <w:marLeft w:val="0"/>
      <w:marRight w:val="0"/>
      <w:marTop w:val="0"/>
      <w:marBottom w:val="0"/>
      <w:divBdr>
        <w:top w:val="none" w:sz="0" w:space="0" w:color="auto"/>
        <w:left w:val="none" w:sz="0" w:space="0" w:color="auto"/>
        <w:bottom w:val="none" w:sz="0" w:space="0" w:color="auto"/>
        <w:right w:val="none" w:sz="0" w:space="0" w:color="auto"/>
      </w:divBdr>
    </w:div>
    <w:div w:id="21271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chine.anyaegbu</dc:creator>
  <cp:lastModifiedBy>Smith Hannah (RNU) Oxford Health</cp:lastModifiedBy>
  <cp:revision>10</cp:revision>
  <cp:lastPrinted>2015-04-14T14:09:00Z</cp:lastPrinted>
  <dcterms:created xsi:type="dcterms:W3CDTF">2015-07-13T11:36:00Z</dcterms:created>
  <dcterms:modified xsi:type="dcterms:W3CDTF">2015-09-23T12:00:00Z</dcterms:modified>
</cp:coreProperties>
</file>