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99" w:rsidRDefault="00DA106A" w:rsidP="0086436B">
      <w:pPr>
        <w:ind w:right="-900"/>
        <w:jc w:val="right"/>
        <w:rPr>
          <w:lang w:val="en-GB"/>
        </w:rPr>
      </w:pPr>
      <w:r>
        <w:rPr>
          <w:noProof/>
          <w:lang w:val="en-GB" w:eastAsia="en-GB"/>
        </w:rPr>
        <w:drawing>
          <wp:inline distT="0" distB="0" distL="0" distR="0" wp14:anchorId="464F67FC" wp14:editId="6F550A1B">
            <wp:extent cx="2552065" cy="499745"/>
            <wp:effectExtent l="19050" t="0" r="63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2552065" cy="499745"/>
                    </a:xfrm>
                    <a:prstGeom prst="rect">
                      <a:avLst/>
                    </a:prstGeom>
                    <a:noFill/>
                    <a:ln w="9525">
                      <a:noFill/>
                      <a:miter lim="800000"/>
                      <a:headEnd/>
                      <a:tailEnd/>
                    </a:ln>
                  </pic:spPr>
                </pic:pic>
              </a:graphicData>
            </a:graphic>
          </wp:inline>
        </w:drawing>
      </w:r>
    </w:p>
    <w:p w:rsidR="005D3499" w:rsidRDefault="005D3499"/>
    <w:p w:rsidR="005D3499" w:rsidRDefault="00CA13FF">
      <w:pPr>
        <w:jc w:val="center"/>
        <w:rPr>
          <w:rFonts w:ascii="Frutiger" w:hAnsi="Frutiger"/>
        </w:rPr>
      </w:pPr>
      <w:r>
        <w:rPr>
          <w:rFonts w:ascii="Times New Roman" w:hAnsi="Times New Roman"/>
          <w:noProof/>
          <w:sz w:val="20"/>
          <w:lang w:val="en-GB" w:eastAsia="en-GB"/>
        </w:rPr>
        <mc:AlternateContent>
          <mc:Choice Requires="wps">
            <w:drawing>
              <wp:anchor distT="0" distB="0" distL="114300" distR="114300" simplePos="0" relativeHeight="251657728" behindDoc="0" locked="0" layoutInCell="1" allowOverlap="1" wp14:anchorId="2C71ACAA" wp14:editId="1FF9BD2B">
                <wp:simplePos x="0" y="0"/>
                <wp:positionH relativeFrom="column">
                  <wp:posOffset>4114800</wp:posOffset>
                </wp:positionH>
                <wp:positionV relativeFrom="paragraph">
                  <wp:posOffset>-5080</wp:posOffset>
                </wp:positionV>
                <wp:extent cx="1524635" cy="967740"/>
                <wp:effectExtent l="0" t="0" r="18415" b="2286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967740"/>
                        </a:xfrm>
                        <a:prstGeom prst="rect">
                          <a:avLst/>
                        </a:prstGeom>
                        <a:solidFill>
                          <a:srgbClr val="FFFFFF"/>
                        </a:solidFill>
                        <a:ln w="9525">
                          <a:solidFill>
                            <a:srgbClr val="000000"/>
                          </a:solidFill>
                          <a:miter lim="800000"/>
                          <a:headEnd/>
                          <a:tailEnd/>
                        </a:ln>
                      </wps:spPr>
                      <wps:txbx>
                        <w:txbxContent>
                          <w:p w:rsidR="00FF7691" w:rsidRDefault="00FF7691">
                            <w:pPr>
                              <w:pStyle w:val="Heading1"/>
                              <w:jc w:val="center"/>
                              <w:rPr>
                                <w:u w:val="none"/>
                              </w:rPr>
                            </w:pPr>
                            <w:r>
                              <w:rPr>
                                <w:u w:val="none"/>
                              </w:rPr>
                              <w:t>PAPER</w:t>
                            </w:r>
                          </w:p>
                          <w:p w:rsidR="00FF7691" w:rsidRDefault="00FF7691">
                            <w:pPr>
                              <w:pStyle w:val="BodyText"/>
                              <w:rPr>
                                <w:sz w:val="22"/>
                              </w:rPr>
                            </w:pPr>
                            <w:r>
                              <w:rPr>
                                <w:sz w:val="22"/>
                              </w:rPr>
                              <w:t>[This will be input by secretariat]</w:t>
                            </w:r>
                          </w:p>
                          <w:p w:rsidR="00FF7691" w:rsidRDefault="00FF7691">
                            <w:pP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324pt;margin-top:-.4pt;width:120.05pt;height:7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">
                <v:textbox inset="0,0,0,0">
                  <w:txbxContent>
                    <w:p w:rsidR="00FF7691" w:rsidRDefault="00FF7691">
                      <w:pPr>
                        <w:pStyle w:val="Heading1"/>
                        <w:jc w:val="center"/>
                        <w:rPr>
                          <w:u w:val="none"/>
                        </w:rPr>
                      </w:pPr>
                      <w:r>
                        <w:rPr>
                          <w:u w:val="none"/>
                        </w:rPr>
                        <w:t>PAPER</w:t>
                      </w:r>
                    </w:p>
                    <w:p w:rsidR="00FF7691" w:rsidRDefault="00FF7691">
                      <w:pPr>
                        <w:pStyle w:val="BodyText"/>
                        <w:rPr>
                          <w:sz w:val="22"/>
                        </w:rPr>
                      </w:pPr>
                      <w:r>
                        <w:rPr>
                          <w:sz w:val="22"/>
                        </w:rPr>
                        <w:t>[This will be input by secretariat]</w:t>
                      </w:r>
                    </w:p>
                    <w:p w:rsidR="00FF7691" w:rsidRDefault="00FF7691">
                      <w:pPr>
                        <w:jc w:val="center"/>
                        <w:rPr>
                          <w:b/>
                        </w:rPr>
                      </w:pPr>
                    </w:p>
                  </w:txbxContent>
                </v:textbox>
              </v:rect>
            </w:pict>
          </mc:Fallback>
        </mc:AlternateContent>
      </w:r>
    </w:p>
    <w:p w:rsidR="005D3499" w:rsidRDefault="005D3499" w:rsidP="006D305A"/>
    <w:p w:rsidR="005D3499" w:rsidRDefault="005D3499" w:rsidP="006D305A"/>
    <w:p w:rsidR="005D3499" w:rsidRDefault="005D3499" w:rsidP="006D305A"/>
    <w:p w:rsidR="005D3499" w:rsidRDefault="005D3499" w:rsidP="006D305A">
      <w:pPr>
        <w:rPr>
          <w:sz w:val="28"/>
        </w:rPr>
      </w:pPr>
    </w:p>
    <w:p w:rsidR="00E13639" w:rsidRPr="006D305A" w:rsidRDefault="005D3499" w:rsidP="006D305A">
      <w:pPr>
        <w:jc w:val="center"/>
        <w:rPr>
          <w:b/>
          <w:sz w:val="32"/>
          <w:szCs w:val="32"/>
        </w:rPr>
      </w:pPr>
      <w:r w:rsidRPr="006D305A">
        <w:rPr>
          <w:b/>
          <w:sz w:val="32"/>
          <w:szCs w:val="32"/>
        </w:rPr>
        <w:t xml:space="preserve">Report to the Meeting </w:t>
      </w:r>
      <w:r w:rsidR="00B50D5E" w:rsidRPr="006D305A">
        <w:rPr>
          <w:b/>
          <w:sz w:val="32"/>
          <w:szCs w:val="32"/>
        </w:rPr>
        <w:t>of the</w:t>
      </w:r>
    </w:p>
    <w:p w:rsidR="002821F8" w:rsidRPr="006D305A" w:rsidRDefault="00B50D5E" w:rsidP="006D305A">
      <w:pPr>
        <w:jc w:val="center"/>
        <w:rPr>
          <w:b/>
          <w:sz w:val="32"/>
          <w:szCs w:val="32"/>
        </w:rPr>
      </w:pPr>
      <w:r w:rsidRPr="006D305A">
        <w:rPr>
          <w:b/>
          <w:sz w:val="32"/>
          <w:szCs w:val="32"/>
        </w:rPr>
        <w:t xml:space="preserve">Oxford Health NHS </w:t>
      </w:r>
      <w:r w:rsidR="002821F8" w:rsidRPr="006D305A">
        <w:rPr>
          <w:b/>
          <w:sz w:val="32"/>
          <w:szCs w:val="32"/>
        </w:rPr>
        <w:t>Foundation Trust</w:t>
      </w:r>
    </w:p>
    <w:p w:rsidR="005D3499" w:rsidRDefault="005D3499" w:rsidP="006D305A">
      <w:pPr>
        <w:jc w:val="center"/>
      </w:pPr>
      <w:r w:rsidRPr="006D305A">
        <w:rPr>
          <w:b/>
          <w:sz w:val="32"/>
          <w:szCs w:val="32"/>
        </w:rPr>
        <w:t>Board</w:t>
      </w:r>
      <w:r w:rsidR="002821F8" w:rsidRPr="006D305A">
        <w:rPr>
          <w:b/>
          <w:sz w:val="32"/>
          <w:szCs w:val="32"/>
        </w:rPr>
        <w:t xml:space="preserve"> of Directors</w:t>
      </w:r>
    </w:p>
    <w:p w:rsidR="005D3499" w:rsidRDefault="005D3499" w:rsidP="00A85311">
      <w:pPr>
        <w:rPr>
          <w:rFonts w:cs="Arial"/>
          <w:b/>
        </w:rPr>
      </w:pPr>
    </w:p>
    <w:p w:rsidR="005D3499" w:rsidRDefault="009C59B8">
      <w:pPr>
        <w:jc w:val="center"/>
        <w:rPr>
          <w:rFonts w:cs="Arial"/>
          <w:b/>
        </w:rPr>
      </w:pPr>
      <w:r>
        <w:rPr>
          <w:rFonts w:cs="Arial"/>
          <w:b/>
        </w:rPr>
        <w:t>January</w:t>
      </w:r>
      <w:r w:rsidR="004326BB">
        <w:rPr>
          <w:rFonts w:cs="Arial"/>
          <w:b/>
        </w:rPr>
        <w:t xml:space="preserve"> 20</w:t>
      </w:r>
      <w:r w:rsidR="00D07064">
        <w:rPr>
          <w:rFonts w:cs="Arial"/>
          <w:b/>
        </w:rPr>
        <w:t>1</w:t>
      </w:r>
      <w:r w:rsidR="00BC53E4">
        <w:rPr>
          <w:rFonts w:cs="Arial"/>
          <w:b/>
        </w:rPr>
        <w:t>4</w:t>
      </w:r>
    </w:p>
    <w:p w:rsidR="005D3499" w:rsidRDefault="005D3499">
      <w:pPr>
        <w:jc w:val="center"/>
        <w:rPr>
          <w:rFonts w:cs="Arial"/>
          <w:b/>
        </w:rPr>
      </w:pPr>
    </w:p>
    <w:p w:rsidR="005D3499" w:rsidRPr="006D305A" w:rsidRDefault="00B466A4">
      <w:pPr>
        <w:jc w:val="center"/>
        <w:rPr>
          <w:rFonts w:cs="Arial"/>
          <w:b/>
          <w:sz w:val="32"/>
          <w:szCs w:val="32"/>
        </w:rPr>
      </w:pPr>
      <w:r w:rsidRPr="006D305A">
        <w:rPr>
          <w:rFonts w:cs="Arial"/>
          <w:b/>
          <w:sz w:val="32"/>
          <w:szCs w:val="32"/>
        </w:rPr>
        <w:t xml:space="preserve">Research and Development </w:t>
      </w:r>
      <w:r w:rsidR="00D936BB" w:rsidRPr="006D305A">
        <w:rPr>
          <w:rFonts w:cs="Arial"/>
          <w:b/>
          <w:sz w:val="32"/>
          <w:szCs w:val="32"/>
        </w:rPr>
        <w:t>R</w:t>
      </w:r>
      <w:r w:rsidRPr="006D305A">
        <w:rPr>
          <w:rFonts w:cs="Arial"/>
          <w:b/>
          <w:sz w:val="32"/>
          <w:szCs w:val="32"/>
        </w:rPr>
        <w:t>eport</w:t>
      </w:r>
    </w:p>
    <w:p w:rsidR="006D305A" w:rsidRDefault="006D305A">
      <w:pPr>
        <w:spacing w:before="0" w:after="0"/>
        <w:jc w:val="left"/>
        <w:rPr>
          <w:rFonts w:cs="Arial"/>
          <w:b/>
        </w:rPr>
      </w:pPr>
      <w:r>
        <w:rPr>
          <w:rFonts w:cs="Arial"/>
          <w:b/>
        </w:rPr>
        <w:br w:type="page"/>
      </w:r>
    </w:p>
    <w:p w:rsidR="00BA3B3E" w:rsidRPr="00745EAC" w:rsidRDefault="00B466A4" w:rsidP="006D305A">
      <w:pPr>
        <w:pStyle w:val="Heading1"/>
      </w:pPr>
      <w:r w:rsidRPr="00745EAC">
        <w:lastRenderedPageBreak/>
        <w:t>Clinical Quality and Care</w:t>
      </w:r>
    </w:p>
    <w:p w:rsidR="00481401" w:rsidRDefault="00745EAC" w:rsidP="00745EAC">
      <w:r w:rsidRPr="00D74561">
        <w:t>It is increa</w:t>
      </w:r>
      <w:r>
        <w:t xml:space="preserve">singly recognised that participation in research produces widespread benefits for patients and, more generally, improvements in quality of care.  </w:t>
      </w:r>
      <w:r w:rsidR="00481401">
        <w:t>A Censuswide comsumer poll of 3,000 people in England, commissioned by the NIHR published data in September 2014 saying that 95% of those as responding stated that it is very important that the NHS carries out clinical research, with 85% or people agreeing that they would be very or somewhat willing to take part if they were diagnosed with a medical condition or disease.  This accounted for the main factor that was most likely to motivate them into taking part, along with if a friend/family member was taken seriously ill and didn’t have the treatment they needed.  The majority of those surveyed said that clinical research takes place within the NHS, Universities and Clinical Trials Units.  Oxford health NHS FT has strong links to the University of Oxford, a thriving R&amp;D department and Clinical Research facility to enable high quality research to take place and provide opportunities for patients and carers.</w:t>
      </w:r>
    </w:p>
    <w:p w:rsidR="009B51DB" w:rsidRPr="00745EAC" w:rsidRDefault="009B51DB" w:rsidP="00A51501">
      <w:pPr>
        <w:pStyle w:val="Heading1"/>
      </w:pPr>
      <w:r w:rsidRPr="00745EAC">
        <w:t>Networks and Collaborations</w:t>
      </w:r>
    </w:p>
    <w:p w:rsidR="00621761" w:rsidRDefault="00621761" w:rsidP="00621761">
      <w:pPr>
        <w:pStyle w:val="Heading2"/>
        <w:rPr>
          <w:lang w:val="en-GB"/>
        </w:rPr>
      </w:pPr>
      <w:r>
        <w:t>AHSN</w:t>
      </w:r>
      <w:r>
        <w:rPr>
          <w:lang w:val="en-GB"/>
        </w:rPr>
        <w:t xml:space="preserve"> </w:t>
      </w:r>
    </w:p>
    <w:p w:rsidR="00217764" w:rsidRDefault="00217764" w:rsidP="00217764">
      <w:pPr>
        <w:rPr>
          <w:lang w:val="en-GB"/>
        </w:rPr>
      </w:pPr>
      <w:r>
        <w:rPr>
          <w:lang w:val="en-GB"/>
        </w:rPr>
        <w:t xml:space="preserve">Oxford Health NHS FT is hosting three themes; </w:t>
      </w:r>
    </w:p>
    <w:p w:rsidR="00217764" w:rsidRDefault="00217764" w:rsidP="00765972">
      <w:pPr>
        <w:pStyle w:val="ListParagraph"/>
        <w:numPr>
          <w:ilvl w:val="0"/>
          <w:numId w:val="8"/>
        </w:numPr>
        <w:rPr>
          <w:lang w:val="en-GB"/>
        </w:rPr>
      </w:pPr>
      <w:r w:rsidRPr="00217764">
        <w:rPr>
          <w:lang w:val="en-GB"/>
        </w:rPr>
        <w:t>Early intervention led by</w:t>
      </w:r>
      <w:r w:rsidR="00FF7691">
        <w:rPr>
          <w:lang w:val="en-GB"/>
        </w:rPr>
        <w:t xml:space="preserve"> Prof</w:t>
      </w:r>
      <w:r w:rsidRPr="00217764">
        <w:rPr>
          <w:lang w:val="en-GB"/>
        </w:rPr>
        <w:t xml:space="preserve"> Belinda Lennox and Sarah</w:t>
      </w:r>
      <w:r>
        <w:rPr>
          <w:lang w:val="en-GB"/>
        </w:rPr>
        <w:t xml:space="preserve"> Amani</w:t>
      </w:r>
      <w:r w:rsidRPr="00217764">
        <w:rPr>
          <w:lang w:val="en-GB"/>
        </w:rPr>
        <w:t xml:space="preserve"> </w:t>
      </w:r>
    </w:p>
    <w:p w:rsidR="00217764" w:rsidRDefault="00217764" w:rsidP="00765972">
      <w:pPr>
        <w:pStyle w:val="ListParagraph"/>
        <w:numPr>
          <w:ilvl w:val="0"/>
          <w:numId w:val="8"/>
        </w:numPr>
        <w:rPr>
          <w:lang w:val="en-GB"/>
        </w:rPr>
      </w:pPr>
      <w:r>
        <w:rPr>
          <w:lang w:val="en-GB"/>
        </w:rPr>
        <w:t xml:space="preserve">Anxiety and Depression led by </w:t>
      </w:r>
      <w:r w:rsidR="00FF7691">
        <w:rPr>
          <w:lang w:val="en-GB"/>
        </w:rPr>
        <w:t xml:space="preserve">Prof </w:t>
      </w:r>
      <w:r>
        <w:rPr>
          <w:lang w:val="en-GB"/>
        </w:rPr>
        <w:t>David Clark and Ineke</w:t>
      </w:r>
      <w:r w:rsidR="00053E9C">
        <w:rPr>
          <w:lang w:val="en-GB"/>
        </w:rPr>
        <w:t xml:space="preserve"> Wolsey</w:t>
      </w:r>
    </w:p>
    <w:p w:rsidR="00053E9C" w:rsidRDefault="00053E9C" w:rsidP="00765972">
      <w:pPr>
        <w:pStyle w:val="ListParagraph"/>
        <w:numPr>
          <w:ilvl w:val="0"/>
          <w:numId w:val="8"/>
        </w:numPr>
        <w:rPr>
          <w:lang w:val="en-GB"/>
        </w:rPr>
      </w:pPr>
      <w:r>
        <w:rPr>
          <w:lang w:val="en-GB"/>
        </w:rPr>
        <w:t xml:space="preserve">Dementia led by </w:t>
      </w:r>
      <w:r w:rsidR="00FF7691">
        <w:rPr>
          <w:lang w:val="en-GB"/>
        </w:rPr>
        <w:t xml:space="preserve">Dr </w:t>
      </w:r>
      <w:r>
        <w:rPr>
          <w:lang w:val="en-GB"/>
        </w:rPr>
        <w:t>Rupert McShane</w:t>
      </w:r>
    </w:p>
    <w:p w:rsidR="00053E9C" w:rsidRDefault="00053E9C" w:rsidP="00053E9C">
      <w:pPr>
        <w:rPr>
          <w:lang w:val="en-GB"/>
        </w:rPr>
      </w:pPr>
      <w:r>
        <w:rPr>
          <w:lang w:val="en-GB"/>
        </w:rPr>
        <w:t xml:space="preserve">The current management and financing is via R&amp;D although there is discussion being held within the Trust as to whether this should be devolved to the clinical directorates within the organisation as the money is for NHS services.  </w:t>
      </w:r>
    </w:p>
    <w:p w:rsidR="00765972" w:rsidRDefault="00765972" w:rsidP="00765972">
      <w:pPr>
        <w:pStyle w:val="Heading3"/>
        <w:rPr>
          <w:lang w:val="en-GB"/>
        </w:rPr>
      </w:pPr>
      <w:r>
        <w:rPr>
          <w:lang w:val="en-GB"/>
        </w:rPr>
        <w:t>Early Intervention Theme</w:t>
      </w:r>
    </w:p>
    <w:p w:rsidR="00765972" w:rsidRDefault="00765972" w:rsidP="00765972">
      <w:r>
        <w:t>Four working groups with public representatives, clinicians, researchers and managers from across the Thames Valley have been established:</w:t>
      </w:r>
    </w:p>
    <w:p w:rsidR="00765972" w:rsidRDefault="00765972" w:rsidP="00765972">
      <w:pPr>
        <w:pStyle w:val="ListParagraph"/>
        <w:numPr>
          <w:ilvl w:val="0"/>
          <w:numId w:val="9"/>
        </w:numPr>
      </w:pPr>
      <w:r>
        <w:t>Developing a common assessment for early intervention in psychosis;</w:t>
      </w:r>
    </w:p>
    <w:p w:rsidR="00765972" w:rsidRDefault="00765972" w:rsidP="00765972">
      <w:pPr>
        <w:pStyle w:val="ListParagraph"/>
        <w:numPr>
          <w:ilvl w:val="0"/>
          <w:numId w:val="9"/>
        </w:numPr>
      </w:pPr>
      <w:r>
        <w:t>Reducing unwarranted variation;</w:t>
      </w:r>
    </w:p>
    <w:p w:rsidR="00765972" w:rsidRDefault="00765972" w:rsidP="00765972">
      <w:pPr>
        <w:pStyle w:val="ListParagraph"/>
        <w:numPr>
          <w:ilvl w:val="0"/>
          <w:numId w:val="9"/>
        </w:numPr>
      </w:pPr>
      <w:r>
        <w:t>Extending the Early Intervention model to another condition other than psychosis;</w:t>
      </w:r>
    </w:p>
    <w:p w:rsidR="00765972" w:rsidRDefault="00765972" w:rsidP="00765972">
      <w:pPr>
        <w:pStyle w:val="ListParagraph"/>
        <w:numPr>
          <w:ilvl w:val="0"/>
          <w:numId w:val="9"/>
        </w:numPr>
      </w:pPr>
      <w:r>
        <w:t>Increasing the number of young people participating in research</w:t>
      </w:r>
    </w:p>
    <w:p w:rsidR="00765972" w:rsidRDefault="00765972" w:rsidP="00765972">
      <w:r>
        <w:t>The four working groups meet every 2 months to work on and through the above groups, they have established a common set of outcome measures (a common assessment) for all early intervention in psychosis teams;</w:t>
      </w:r>
    </w:p>
    <w:p w:rsidR="00765972" w:rsidRDefault="00765972" w:rsidP="00765972">
      <w:r>
        <w:t>They are in the process of recruiting four clinicians to be seconded as Band 7 Quality Champions to drive quality through consistent use of the above common assessment;</w:t>
      </w:r>
    </w:p>
    <w:p w:rsidR="00765972" w:rsidRDefault="00765972" w:rsidP="00765972">
      <w:r>
        <w:lastRenderedPageBreak/>
        <w:t>On behalf of NHS England, they have established a national Expert Reference Group involving psychosis national subject matter experts to establish the first ever mental health Referral to Treatment standards;</w:t>
      </w:r>
    </w:p>
    <w:p w:rsidR="00765972" w:rsidRDefault="00765972" w:rsidP="00765972">
      <w:r>
        <w:t>Working with the AHSN informatics team, they have mapped the current service provision, service structures and benchmarked outcomes for young people with mental health issues in the Thames Valley including;</w:t>
      </w:r>
    </w:p>
    <w:p w:rsidR="00765972" w:rsidRDefault="00765972" w:rsidP="00765972">
      <w:pPr>
        <w:pStyle w:val="ListParagraph"/>
        <w:numPr>
          <w:ilvl w:val="0"/>
          <w:numId w:val="10"/>
        </w:numPr>
      </w:pPr>
      <w:r>
        <w:t xml:space="preserve">the number served by EIP teams, </w:t>
      </w:r>
    </w:p>
    <w:p w:rsidR="00765972" w:rsidRDefault="00765972" w:rsidP="00765972">
      <w:pPr>
        <w:pStyle w:val="ListParagraph"/>
        <w:numPr>
          <w:ilvl w:val="0"/>
          <w:numId w:val="10"/>
        </w:numPr>
      </w:pPr>
      <w:r>
        <w:t>the number who are served by generic CAMHS</w:t>
      </w:r>
      <w:r w:rsidR="00FF7691">
        <w:t xml:space="preserve"> (Child and Adolescent Mental Health Services)</w:t>
      </w:r>
      <w:r>
        <w:t xml:space="preserve"> &amp; AMHS</w:t>
      </w:r>
      <w:r w:rsidR="00FF7691">
        <w:t xml:space="preserve"> (Adult Mental Health Service)</w:t>
      </w:r>
      <w:r>
        <w:t>;</w:t>
      </w:r>
    </w:p>
    <w:p w:rsidR="00765972" w:rsidRDefault="00765972" w:rsidP="00765972">
      <w:pPr>
        <w:pStyle w:val="ListParagraph"/>
        <w:numPr>
          <w:ilvl w:val="0"/>
          <w:numId w:val="10"/>
        </w:numPr>
      </w:pPr>
      <w:r>
        <w:t>a range of outcomes including service utilisation, employment &amp; education rates and cost to the local health economy;</w:t>
      </w:r>
    </w:p>
    <w:p w:rsidR="00806F8E" w:rsidRDefault="00765972" w:rsidP="00806F8E">
      <w:pPr>
        <w:pStyle w:val="ListParagraph"/>
        <w:numPr>
          <w:ilvl w:val="0"/>
          <w:numId w:val="10"/>
        </w:numPr>
      </w:pPr>
      <w:r>
        <w:t>looking at the rate of transition from CAMHS to AMHS</w:t>
      </w:r>
      <w:r w:rsidR="00806F8E" w:rsidRPr="00806F8E">
        <w:t xml:space="preserve"> </w:t>
      </w:r>
    </w:p>
    <w:p w:rsidR="00765972" w:rsidRDefault="00806F8E" w:rsidP="00806F8E">
      <w:r>
        <w:t xml:space="preserve">They continue to work in partnership with our partners and are open to exploration of collaborating with other partners who can help the network to achieve its aim to </w:t>
      </w:r>
      <w:r w:rsidRPr="00765972">
        <w:rPr>
          <w:bCs/>
          <w:i/>
          <w:iCs/>
        </w:rPr>
        <w:t>Improve health and social outcomes for young people with first episode psychosis, including symptom reduction and engagement with education and employment</w:t>
      </w:r>
      <w:r w:rsidRPr="00765972">
        <w:rPr>
          <w:i/>
          <w:iCs/>
        </w:rPr>
        <w:t>.</w:t>
      </w:r>
    </w:p>
    <w:p w:rsidR="008C2E8A" w:rsidRPr="00745EAC" w:rsidRDefault="008C2E8A" w:rsidP="00331241">
      <w:pPr>
        <w:pStyle w:val="Heading3"/>
      </w:pPr>
      <w:r w:rsidRPr="00745EAC">
        <w:t>Anxiety and Depression Theme</w:t>
      </w:r>
    </w:p>
    <w:p w:rsidR="00331241" w:rsidRPr="00331241" w:rsidRDefault="00331241" w:rsidP="00331241">
      <w:pPr>
        <w:pStyle w:val="Heading4"/>
      </w:pPr>
      <w:r w:rsidRPr="00331241">
        <w:rPr>
          <w:rStyle w:val="Strong"/>
          <w:b w:val="0"/>
          <w:bCs/>
        </w:rPr>
        <w:t>Understanding outcome variability and improving recovery rates for Talking Therapies (IAPT)</w:t>
      </w:r>
    </w:p>
    <w:p w:rsidR="00331241" w:rsidRDefault="00331241" w:rsidP="00331241">
      <w:r>
        <w:t>Our analyses will quantify variations in access rates and outcomes (recovery and reliable improvement rates) by service, by clinical condition (depression, PTSD, generalised anxiety disorder, social anxiety disorder, obsessive-compulsive disorder, panic disorder, health anxiety, and specific phobias), and by patient demographics (age, ethnicity, etc). These analyses go well beyond the data that is available nationally, which is restricted to overall recovery rates for a service. Once outcome variability has been quantified, we will aim to identify predictors of that variability in terms of service models, procedures, types of interventions, therapist training, etc. The findings will be fed back to services so that they can use them to restructure their service provision, as appropriate, to further enhance outcomes. The aim is a 5% improvement on current average.</w:t>
      </w:r>
    </w:p>
    <w:p w:rsidR="00331241" w:rsidRPr="00331241" w:rsidRDefault="00331241" w:rsidP="00331241">
      <w:pPr>
        <w:pStyle w:val="Heading4"/>
      </w:pPr>
      <w:r w:rsidRPr="00331241">
        <w:rPr>
          <w:rStyle w:val="Strong"/>
          <w:b w:val="0"/>
          <w:bCs/>
        </w:rPr>
        <w:t>Supporting local service innovation and disseminating successes throughout the region.</w:t>
      </w:r>
    </w:p>
    <w:p w:rsidR="00331241" w:rsidRDefault="00331241" w:rsidP="00331241">
      <w:r>
        <w:t>This work stream will provide research support for the projects by advising on outcome measures and evaluation. It will also support the leads of the relevant projects to share their learning with other IAPT services within our network so that ALL of the services will be able to implement the new service innovations. The key innovations that are currently underway are:</w:t>
      </w:r>
    </w:p>
    <w:p w:rsidR="00331241" w:rsidRDefault="00331241" w:rsidP="00331241">
      <w:pPr>
        <w:pStyle w:val="ListParagraph"/>
        <w:numPr>
          <w:ilvl w:val="0"/>
          <w:numId w:val="13"/>
        </w:numPr>
        <w:jc w:val="left"/>
      </w:pPr>
      <w:r>
        <w:t>CBT for insomnia treatment protocol</w:t>
      </w:r>
    </w:p>
    <w:p w:rsidR="00331241" w:rsidRDefault="00331241" w:rsidP="00331241">
      <w:pPr>
        <w:pStyle w:val="ListParagraph"/>
        <w:numPr>
          <w:ilvl w:val="0"/>
          <w:numId w:val="13"/>
        </w:numPr>
        <w:jc w:val="left"/>
      </w:pPr>
      <w:r>
        <w:t>Depression and diabetes integrated care projects</w:t>
      </w:r>
    </w:p>
    <w:p w:rsidR="00331241" w:rsidRDefault="00331241" w:rsidP="00331241">
      <w:pPr>
        <w:pStyle w:val="ListParagraph"/>
        <w:numPr>
          <w:ilvl w:val="0"/>
          <w:numId w:val="13"/>
        </w:numPr>
        <w:jc w:val="left"/>
      </w:pPr>
      <w:r>
        <w:lastRenderedPageBreak/>
        <w:t>Heart</w:t>
      </w:r>
      <w:r w:rsidR="00FF7691">
        <w:t xml:space="preserve"> </w:t>
      </w:r>
      <w:r>
        <w:t>2 Heart integrated care project</w:t>
      </w:r>
    </w:p>
    <w:p w:rsidR="00331241" w:rsidRDefault="00331241" w:rsidP="00331241">
      <w:pPr>
        <w:pStyle w:val="ListParagraph"/>
        <w:numPr>
          <w:ilvl w:val="0"/>
          <w:numId w:val="13"/>
        </w:numPr>
        <w:jc w:val="left"/>
      </w:pPr>
      <w:r>
        <w:t>COPD integrated care project</w:t>
      </w:r>
    </w:p>
    <w:p w:rsidR="00331241" w:rsidRDefault="00331241" w:rsidP="00331241">
      <w:pPr>
        <w:pStyle w:val="ListParagraph"/>
        <w:numPr>
          <w:ilvl w:val="0"/>
          <w:numId w:val="13"/>
        </w:numPr>
        <w:jc w:val="left"/>
      </w:pPr>
      <w:r>
        <w:t>Psychological Perspectives in Primary Care (PPiPCare) training programme</w:t>
      </w:r>
    </w:p>
    <w:p w:rsidR="00331241" w:rsidRDefault="00331241" w:rsidP="00331241">
      <w:pPr>
        <w:pStyle w:val="ListParagraph"/>
        <w:numPr>
          <w:ilvl w:val="0"/>
          <w:numId w:val="13"/>
        </w:numPr>
        <w:jc w:val="left"/>
      </w:pPr>
      <w:r>
        <w:t>MUS integrated care pathway project</w:t>
      </w:r>
    </w:p>
    <w:p w:rsidR="00331241" w:rsidRPr="00331241" w:rsidRDefault="00331241" w:rsidP="00331241">
      <w:pPr>
        <w:pStyle w:val="Heading4"/>
      </w:pPr>
      <w:r w:rsidRPr="00331241">
        <w:rPr>
          <w:rStyle w:val="Strong"/>
          <w:b w:val="0"/>
          <w:bCs/>
        </w:rPr>
        <w:t>Improving data completeness in CYP IAPT.</w:t>
      </w:r>
    </w:p>
    <w:p w:rsidR="00331241" w:rsidRPr="00331241" w:rsidRDefault="00331241" w:rsidP="00331241">
      <w:r>
        <w:t xml:space="preserve">We will be working with the CAHMS services and the CYP IAPT </w:t>
      </w:r>
      <w:r w:rsidR="00FF7691">
        <w:t xml:space="preserve">(Children and Young People’s Improving Access to Psychological Therapies) </w:t>
      </w:r>
      <w:r>
        <w:t>collaborative to increase the average data comple</w:t>
      </w:r>
      <w:r w:rsidR="00FF7691">
        <w:t>teness of paired outcome data (i</w:t>
      </w:r>
      <w:r>
        <w:t>.e. pre and post treatment) across the OAHSN patch by 10%.</w:t>
      </w:r>
    </w:p>
    <w:p w:rsidR="008C2E8A" w:rsidRDefault="008C2E8A" w:rsidP="008C2E8A">
      <w:pPr>
        <w:pStyle w:val="Heading3"/>
      </w:pPr>
      <w:r w:rsidRPr="00331241">
        <w:t>Dementia Theme</w:t>
      </w:r>
    </w:p>
    <w:p w:rsidR="006B0673" w:rsidRDefault="006B0673" w:rsidP="00FF7691">
      <w:pPr>
        <w:spacing w:before="240"/>
      </w:pPr>
      <w:r>
        <w:t>Webinars are proving to be very successful, level of participation is increasing and first KPI achieved. Despite delays earlier in the year the Data Capture project with True Colours is close to a working solution, ready for trial with a group of 30 carers final details to be agreed in December.  Delta G</w:t>
      </w:r>
      <w:r w:rsidR="00FF7691">
        <w:t xml:space="preserve"> (Improving palatability of energy drink)</w:t>
      </w:r>
      <w:r>
        <w:t xml:space="preserve"> work has hit a major stumbling block and it is unclear at this stage, if the energy drink will be progressed for use in health applications. YPWD </w:t>
      </w:r>
      <w:r w:rsidR="00FF7691">
        <w:t xml:space="preserve">Younger People With Dementia is </w:t>
      </w:r>
      <w:r>
        <w:t>progressing well</w:t>
      </w:r>
      <w:r w:rsidR="00FF7691">
        <w:t>, the</w:t>
      </w:r>
      <w:r>
        <w:t xml:space="preserve"> 1</w:t>
      </w:r>
      <w:r>
        <w:rPr>
          <w:vertAlign w:val="superscript"/>
        </w:rPr>
        <w:t>st</w:t>
      </w:r>
      <w:r>
        <w:t xml:space="preserve"> KPI achieved ahead of planned date revised KPIs to increase the scope of work to be submitted to Best Care Programme Board</w:t>
      </w:r>
    </w:p>
    <w:p w:rsidR="006B0673" w:rsidRDefault="006B0673" w:rsidP="006B0673">
      <w:r>
        <w:t>Unwarranted Variation –  Webinars. 7 Webinars held 16</w:t>
      </w:r>
      <w:r>
        <w:rPr>
          <w:vertAlign w:val="superscript"/>
        </w:rPr>
        <w:t>th</w:t>
      </w:r>
      <w:r>
        <w:t xml:space="preserve"> July – 19</w:t>
      </w:r>
      <w:r>
        <w:rPr>
          <w:vertAlign w:val="superscript"/>
        </w:rPr>
        <w:t>th</w:t>
      </w:r>
      <w:r>
        <w:t xml:space="preserve"> November, they have been very successful.  Participation from consultant staff and the multidisciplinary team. December KPI achieved, 15 consultants have attended 29% or more of the sessions. Full programme set until June 2015. Memory Service National Accreditation Programme (MSNAP) 2 services accredited, 1 awaiting result of accreditation visit, 2 in progress and a further 6 funded by AHSN, Oxon x3, Bucks x2 and Milton Keynes, supported by Maureen Cundell</w:t>
      </w:r>
    </w:p>
    <w:p w:rsidR="006B0673" w:rsidRDefault="006B0673" w:rsidP="006B0673">
      <w:r>
        <w:t>Data Capture Systems  – True Colours. Despite delays earlier in the year, 30 carers have consented to be included in the trial. First test question agreed with SMS carers and submitted to True Colours.  Date to be agreed for the submission of SMS to carers</w:t>
      </w:r>
    </w:p>
    <w:p w:rsidR="006B0673" w:rsidRDefault="006B0673" w:rsidP="006B0673">
      <w:r>
        <w:t>Delta G – Improving palatability of energy drink. Planned palatability work with the International Food Network delayed by unsuccessful negotiations with a major retailer with an interest in medical foods. At this stage it is unclear if the product will be progressed for use within the dementia patient group</w:t>
      </w:r>
    </w:p>
    <w:p w:rsidR="00621761" w:rsidRDefault="007D630D" w:rsidP="00621761">
      <w:pPr>
        <w:pStyle w:val="Heading2"/>
        <w:rPr>
          <w:lang w:val="en-GB"/>
        </w:rPr>
      </w:pPr>
      <w:r>
        <w:rPr>
          <w:lang w:val="en-GB"/>
        </w:rPr>
        <w:t xml:space="preserve">NIHR </w:t>
      </w:r>
      <w:r w:rsidR="00621761">
        <w:rPr>
          <w:lang w:val="en-GB"/>
        </w:rPr>
        <w:t>CLAHRC</w:t>
      </w:r>
    </w:p>
    <w:p w:rsidR="00621761" w:rsidRPr="00621761" w:rsidRDefault="00621761" w:rsidP="00621761">
      <w:pPr>
        <w:rPr>
          <w:lang w:val="en-GB"/>
        </w:rPr>
      </w:pPr>
      <w:r w:rsidRPr="00621761">
        <w:rPr>
          <w:lang w:val="en-GB"/>
        </w:rPr>
        <w:t xml:space="preserve">Overall, the CLAHRC projects are progressing well. There have been some delays to the start of projects in Theme 1 - Early Intervention and Service Redesign and Theme 5: Self Management both due to issues with recruiting suitable staff. These issues are in the process of being resolved and will not cause any significant problems going forward. Finances and </w:t>
      </w:r>
      <w:r w:rsidRPr="00621761">
        <w:rPr>
          <w:lang w:val="en-GB"/>
        </w:rPr>
        <w:lastRenderedPageBreak/>
        <w:t>matched funding are both on track and more avenues of matched funding are being explored as are potential new partnerships.</w:t>
      </w:r>
    </w:p>
    <w:p w:rsidR="00621761" w:rsidRPr="00621761" w:rsidRDefault="00621761" w:rsidP="00621761">
      <w:pPr>
        <w:rPr>
          <w:lang w:val="en-GB"/>
        </w:rPr>
      </w:pPr>
      <w:r w:rsidRPr="00621761">
        <w:rPr>
          <w:lang w:val="en-GB"/>
        </w:rPr>
        <w:t>Theme 4: Comorbidities has produced 3 high profile papers published in the Lancet, Lancet Psychiatry and Lancet Oncology on Cancer and Depression which attracted a large amount of media interest. There have been a significant number of outputs from the other themes including the award of NIHR PGfAR funding, publications and presentations.</w:t>
      </w:r>
    </w:p>
    <w:p w:rsidR="00621761" w:rsidRDefault="00621761" w:rsidP="00621761">
      <w:pPr>
        <w:rPr>
          <w:lang w:val="en-GB"/>
        </w:rPr>
      </w:pPr>
      <w:r w:rsidRPr="00621761">
        <w:rPr>
          <w:lang w:val="en-GB"/>
        </w:rPr>
        <w:t xml:space="preserve">In addition, several new projects have been adopted into the CLAHRC portfolio: POPS2 - weight management in pregnancy (collaboration with the University of Birmingham; OUH and part funded by the NIHR School for Primary Care Research); and Foxweb - reduction of the incidence of violence in forensic psychiatric facilities. There are also a number new collaborations being discussed including a potential collaboration with the NIHR CLAHRC North West London and OUH to roll out their successful COPD bundle across the NIHR CLAHRC Oxford area. </w:t>
      </w:r>
    </w:p>
    <w:p w:rsidR="00621761" w:rsidRDefault="00621761" w:rsidP="00621761">
      <w:pPr>
        <w:rPr>
          <w:lang w:val="en-GB"/>
        </w:rPr>
      </w:pPr>
      <w:r w:rsidRPr="00621761">
        <w:rPr>
          <w:lang w:val="en-GB"/>
        </w:rPr>
        <w:t>Working with partners at the Said Business school, a training programme has been developed to support future leaders within the NIHR CLAHRC Oxford and its partner organisations. This programme will focus on OH and the core CLAHRC partners in the first instance and is planned to start in February 2015.</w:t>
      </w:r>
    </w:p>
    <w:p w:rsidR="006B0673" w:rsidRDefault="006B0673" w:rsidP="006B0673">
      <w:r>
        <w:t>The first annual NIHR CLAHRC Stakeholder Symposium was held at St Anne’s College, University of Oxford on 11</w:t>
      </w:r>
      <w:r>
        <w:rPr>
          <w:vertAlign w:val="superscript"/>
        </w:rPr>
        <w:t>th</w:t>
      </w:r>
      <w:r>
        <w:t xml:space="preserve"> December 2014. The meeting received overwhelmingly positive feedback and was aimed at not only at strengthening current partnerships but also sharing innovative ideas and best practice and encouraging the formation of new collaborations. Delegates attended representing most of the CLAHRC stakeholder groups; feedback from the day will be disseminated to all CLAHRC Stakeholders. This feedback will also be used to shape next year’s symposium which we hope will prove to be as successful as the first.</w:t>
      </w:r>
    </w:p>
    <w:p w:rsidR="00874689" w:rsidRPr="00745EAC" w:rsidRDefault="007D630D" w:rsidP="00340CE6">
      <w:pPr>
        <w:pStyle w:val="Heading2"/>
        <w:spacing w:after="29"/>
      </w:pPr>
      <w:r>
        <w:t xml:space="preserve">NIHR </w:t>
      </w:r>
      <w:r w:rsidR="00621761" w:rsidRPr="00745EAC">
        <w:t>DEC</w:t>
      </w:r>
    </w:p>
    <w:p w:rsidR="00CF753B" w:rsidRDefault="00CF753B" w:rsidP="00CF753B">
      <w:r>
        <w:t xml:space="preserve">Extract from annual report submitted to the NIHR for 2013/2014 </w:t>
      </w:r>
    </w:p>
    <w:p w:rsidR="00CF753B" w:rsidRPr="002A2BEE" w:rsidRDefault="00CF753B" w:rsidP="00CF753B">
      <w:pPr>
        <w:pStyle w:val="Heading3"/>
      </w:pPr>
      <w:r>
        <w:t xml:space="preserve">Progress on </w:t>
      </w:r>
      <w:r w:rsidRPr="002A2BEE">
        <w:t xml:space="preserve">Short term objectives: </w:t>
      </w:r>
    </w:p>
    <w:p w:rsidR="00CF753B" w:rsidRPr="00960876" w:rsidRDefault="00CF753B" w:rsidP="00CF753B">
      <w:pPr>
        <w:pStyle w:val="ListParagraph"/>
        <w:numPr>
          <w:ilvl w:val="0"/>
          <w:numId w:val="18"/>
        </w:numPr>
      </w:pPr>
      <w:r w:rsidRPr="002A2BEE">
        <w:t>Identify new</w:t>
      </w:r>
      <w:r w:rsidR="009E475A">
        <w:t xml:space="preserve"> In Vitro Diagnostics</w:t>
      </w:r>
      <w:r w:rsidRPr="002A2BEE">
        <w:t xml:space="preserve"> </w:t>
      </w:r>
      <w:r w:rsidR="009E475A">
        <w:t>(</w:t>
      </w:r>
      <w:r w:rsidRPr="002A2BEE">
        <w:t>IVDs</w:t>
      </w:r>
      <w:r w:rsidR="009E475A">
        <w:t>)</w:t>
      </w:r>
      <w:r w:rsidRPr="002A2BEE">
        <w:t xml:space="preserve"> relevant to primary care</w:t>
      </w:r>
      <w:r>
        <w:t xml:space="preserve">: Our horizon scanning programme has produced six new reports on IVDs relevant to primary care. </w:t>
      </w:r>
    </w:p>
    <w:p w:rsidR="00CF753B" w:rsidRPr="002A2BEE" w:rsidRDefault="00CF753B" w:rsidP="00CF753B">
      <w:pPr>
        <w:pStyle w:val="ListParagraph"/>
        <w:numPr>
          <w:ilvl w:val="0"/>
          <w:numId w:val="18"/>
        </w:numPr>
      </w:pPr>
      <w:r>
        <w:t>Interacted with nine companies who are developing new IVDs to advise them on primary care applicability.</w:t>
      </w:r>
      <w:bookmarkStart w:id="0" w:name="_GoBack"/>
      <w:bookmarkEnd w:id="0"/>
    </w:p>
    <w:p w:rsidR="00CF753B" w:rsidRPr="002A2BEE" w:rsidRDefault="00CF753B" w:rsidP="00CF753B">
      <w:pPr>
        <w:pStyle w:val="ListParagraph"/>
        <w:numPr>
          <w:ilvl w:val="0"/>
          <w:numId w:val="18"/>
        </w:numPr>
      </w:pPr>
      <w:r w:rsidRPr="002A2BEE">
        <w:t>Produ</w:t>
      </w:r>
      <w:r>
        <w:t xml:space="preserve">ce rapid technology assessments: </w:t>
      </w:r>
      <w:r w:rsidR="00B46C2E">
        <w:t>It has</w:t>
      </w:r>
      <w:r>
        <w:t xml:space="preserve"> produced six horizon scanning reports on IVDs relevant to primary care. An additional topic has been submitted to the HTA Diagnostic Technologies and Screening Panel.</w:t>
      </w:r>
    </w:p>
    <w:p w:rsidR="00CF753B" w:rsidRPr="00B52BB5" w:rsidRDefault="00CF753B" w:rsidP="00CF753B">
      <w:pPr>
        <w:pStyle w:val="ListParagraph"/>
        <w:numPr>
          <w:ilvl w:val="0"/>
          <w:numId w:val="18"/>
        </w:numPr>
      </w:pPr>
      <w:r>
        <w:t xml:space="preserve">Hold annual stakeholder meeting: </w:t>
      </w:r>
      <w:r w:rsidR="00B46C2E">
        <w:t xml:space="preserve">There was a </w:t>
      </w:r>
      <w:r>
        <w:t>third Diagnostics Forum in March 2014. This year’s</w:t>
      </w:r>
      <w:r w:rsidRPr="00F8545B">
        <w:t xml:space="preserve"> UK Diagnostic Forum focused on changing the landscape of adoption of diagnos</w:t>
      </w:r>
      <w:r>
        <w:t>tics. Running over two days the</w:t>
      </w:r>
      <w:r w:rsidRPr="00F8545B">
        <w:t xml:space="preserve"> conference combined talks, panel discussions, debates and small group sessions.</w:t>
      </w:r>
      <w:r>
        <w:t xml:space="preserve"> The Forum was attended by 110 delegates from </w:t>
      </w:r>
      <w:r>
        <w:lastRenderedPageBreak/>
        <w:t>industry, academia and representatives from NICE, NOCRI, Department of Health, the Academic Health Science Networks, Technology Strategy Board, BIVDA and the other DECs.</w:t>
      </w:r>
      <w:r w:rsidRPr="00B52BB5">
        <w:t xml:space="preserve">  </w:t>
      </w:r>
    </w:p>
    <w:p w:rsidR="00CF753B" w:rsidRPr="002A2BEE" w:rsidRDefault="00CF753B" w:rsidP="00CF753B">
      <w:pPr>
        <w:pStyle w:val="ListParagraph"/>
        <w:numPr>
          <w:ilvl w:val="0"/>
          <w:numId w:val="18"/>
        </w:numPr>
      </w:pPr>
      <w:r w:rsidRPr="002A2BEE">
        <w:t xml:space="preserve">Hold </w:t>
      </w:r>
      <w:r>
        <w:t xml:space="preserve">annual 3-day educational course: The first annual 3-day course will be held in September 2014 (22-24 September, Queens College, Oxford). </w:t>
      </w:r>
      <w:r w:rsidRPr="00B52BB5">
        <w:t>This course is aimed at all professionals working on diagnostic tests including people working in industry, academia, funding and regulation etc. The course combines talks with hands-on activities. To stimulate interactive discussions and maximise the learning experience, the number of places for this course are limited.</w:t>
      </w:r>
    </w:p>
    <w:p w:rsidR="00CF753B" w:rsidRPr="002A2BEE" w:rsidRDefault="00CF753B" w:rsidP="00CF753B">
      <w:pPr>
        <w:pStyle w:val="ListParagraph"/>
        <w:numPr>
          <w:ilvl w:val="0"/>
          <w:numId w:val="18"/>
        </w:numPr>
      </w:pPr>
      <w:r>
        <w:t xml:space="preserve">Identify gaps in clinical needs: </w:t>
      </w:r>
      <w:r w:rsidR="00B46C2E">
        <w:t xml:space="preserve">A survey has been </w:t>
      </w:r>
      <w:r>
        <w:t>conducted among general practitioners to assess their clinical needs for IVDs in routine clinical practice. The survey was initially conducted in the UK, and subsequently expanded to the US, Australia, the Netherlands and Belgium. The results of the survey have been presented at national and international conferences, and a manuscript detailing its main results has been submitted to a peer-reviewed journal.</w:t>
      </w:r>
    </w:p>
    <w:p w:rsidR="00CF753B" w:rsidRPr="00C96FCE" w:rsidRDefault="00CF753B" w:rsidP="00CF753B">
      <w:pPr>
        <w:pStyle w:val="ListParagraph"/>
        <w:numPr>
          <w:ilvl w:val="0"/>
          <w:numId w:val="18"/>
        </w:numPr>
      </w:pPr>
      <w:r w:rsidRPr="00C96FCE">
        <w:t xml:space="preserve">Produce case studies: </w:t>
      </w:r>
      <w:r w:rsidR="00B46C2E">
        <w:t>A</w:t>
      </w:r>
      <w:r w:rsidRPr="00C96FCE">
        <w:t xml:space="preserve"> case study </w:t>
      </w:r>
      <w:r w:rsidR="00B46C2E">
        <w:t xml:space="preserve">has started </w:t>
      </w:r>
      <w:r w:rsidRPr="00C96FCE">
        <w:t>on the Abingdon Emergency Multidisciplinary Unit (EMU). This unit was awarded the 2013 Guardian Healthcare Innovation Award for novel care delivery using point of care diagnostic technology for frail older patients. The unit has implemented a wide range of point-of-care tests</w:t>
      </w:r>
      <w:r>
        <w:t xml:space="preserve"> to assist in managing these patients in ambulatory care</w:t>
      </w:r>
      <w:r w:rsidRPr="00C96FCE">
        <w:t xml:space="preserve">, the impact of which on patient outcome and clinical decision making we will describe in the case study. </w:t>
      </w:r>
      <w:hyperlink r:id="rId10" w:history="1">
        <w:r w:rsidRPr="00CF753B">
          <w:rPr>
            <w:rStyle w:val="Hyperlink"/>
            <w:rFonts w:cs="Arial"/>
            <w:sz w:val="20"/>
            <w:szCs w:val="20"/>
          </w:rPr>
          <w:t>http://www.theguardian.com/healthcare-network/2013/oct/25/university-oxford-service-delivery-innovation-award-winner</w:t>
        </w:r>
      </w:hyperlink>
      <w:r w:rsidRPr="00C96FCE">
        <w:t xml:space="preserve"> </w:t>
      </w:r>
    </w:p>
    <w:p w:rsidR="00CF753B" w:rsidRPr="00CF753B" w:rsidRDefault="00CF753B" w:rsidP="00CF753B">
      <w:pPr>
        <w:pStyle w:val="ListParagraph"/>
        <w:numPr>
          <w:ilvl w:val="0"/>
          <w:numId w:val="18"/>
        </w:numPr>
      </w:pPr>
      <w:r w:rsidRPr="002A2BEE">
        <w:t>Engage with relevant stakeholders</w:t>
      </w:r>
      <w:r>
        <w:t xml:space="preserve">: In addition to our ongoing engagement with TSB, BIVDA and industry in general, and our contacts at the Diagnostics Forum, we are engaging with the Academic Health Science Network (AHSN) Oxford, </w:t>
      </w:r>
      <w:r w:rsidRPr="00E4350A">
        <w:t>the NIHR Oxford Biomedical Research Centre</w:t>
      </w:r>
      <w:r>
        <w:t xml:space="preserve"> and the Collaboration for Leadership in Applied Health Research and Care (CLAHRC) Oxford, to ensure that the DECs research results are translated into practice.  </w:t>
      </w:r>
    </w:p>
    <w:p w:rsidR="00CF753B" w:rsidRPr="002A2BEE" w:rsidRDefault="00CF753B" w:rsidP="00CF753B">
      <w:pPr>
        <w:pStyle w:val="Heading3"/>
      </w:pPr>
      <w:r>
        <w:t xml:space="preserve">Progress on </w:t>
      </w:r>
      <w:r w:rsidRPr="002A2BEE">
        <w:t>Medium term objectives:</w:t>
      </w:r>
    </w:p>
    <w:p w:rsidR="00CF753B" w:rsidRPr="00765145" w:rsidRDefault="00CF753B" w:rsidP="00CF753B">
      <w:pPr>
        <w:pStyle w:val="ListParagraph"/>
        <w:numPr>
          <w:ilvl w:val="0"/>
          <w:numId w:val="19"/>
        </w:numPr>
      </w:pPr>
      <w:r w:rsidRPr="002A2BEE">
        <w:t>Secure additional external funding</w:t>
      </w:r>
      <w:r>
        <w:t xml:space="preserve">: </w:t>
      </w:r>
      <w:r w:rsidR="00B46C2E">
        <w:t>It is</w:t>
      </w:r>
      <w:r>
        <w:t xml:space="preserve"> involved in three ongoing grant applications: two European Horizon2020 applications, both now selected for stage 2: one in collaboration with a large multinational industrial partner on a new IVD platform that will synergistically integrate three key assay modalities in one platform (immunoassay, chemical and haematological testing) for the diagnostic work-up of frail elderly and heart failure monitoring, and one with a SME on an </w:t>
      </w:r>
      <w:r w:rsidRPr="00126A85">
        <w:t>integrated comorbid diagnostic platform with assays for diabetes, cardiovascular and chronic kidney disease at the po</w:t>
      </w:r>
      <w:r>
        <w:t>int-of-care; the third application is a NIHR Programme Grant for Applied Research application (also selected for stage 2) in collaboration with the NIHR Nottingham Digestive Disease Biomedical Research Unit on identifying chronic liver disease in the community.</w:t>
      </w:r>
      <w:r w:rsidRPr="002A2BEE">
        <w:t xml:space="preserve"> </w:t>
      </w:r>
      <w:r>
        <w:t xml:space="preserve">In addition, we are preparing an </w:t>
      </w:r>
      <w:r w:rsidRPr="005E4B5C">
        <w:t xml:space="preserve">application to the TSB Biomedical </w:t>
      </w:r>
      <w:r w:rsidRPr="005E4B5C">
        <w:lastRenderedPageBreak/>
        <w:t xml:space="preserve">Catalyst with a SME on the point-of-care diagnosis of acute </w:t>
      </w:r>
      <w:r w:rsidRPr="00765145">
        <w:t>coronary syndrome in primary care and ambulance services.</w:t>
      </w:r>
    </w:p>
    <w:p w:rsidR="00CF753B" w:rsidRPr="005E4B5C" w:rsidRDefault="00CF753B" w:rsidP="00CF753B">
      <w:pPr>
        <w:pStyle w:val="ListParagraph"/>
        <w:numPr>
          <w:ilvl w:val="0"/>
          <w:numId w:val="19"/>
        </w:numPr>
      </w:pPr>
      <w:r w:rsidRPr="00765145">
        <w:t>Direct academic and industry research efforts towards unmet needs: The results of the UK and international survey on clinical needs will feed into the other themes of the DEC, including the horizon scanning theme and the methods theme on transferability of evidence. Once the results of the survey are in the public domain through peer-reviewed publication, we will share and discuss the primary care unmet needs with industry to streamline new developments.</w:t>
      </w:r>
    </w:p>
    <w:p w:rsidR="00CF753B" w:rsidRPr="00CF753B" w:rsidRDefault="00CF753B" w:rsidP="00CF753B">
      <w:pPr>
        <w:pStyle w:val="ListParagraph"/>
        <w:numPr>
          <w:ilvl w:val="0"/>
          <w:numId w:val="19"/>
        </w:numPr>
      </w:pPr>
      <w:r w:rsidRPr="005E4B5C">
        <w:t>Develop consultation</w:t>
      </w:r>
      <w:r w:rsidRPr="00EF3382">
        <w:t xml:space="preserve"> service for industry: </w:t>
      </w:r>
      <w:r w:rsidR="00B46C2E">
        <w:t>data is being collected</w:t>
      </w:r>
      <w:r w:rsidRPr="00EF3382">
        <w:t xml:space="preserve"> after each industry interaction, to establish an effective consultation service for industry. </w:t>
      </w:r>
      <w:r>
        <w:t>D</w:t>
      </w:r>
      <w:r w:rsidRPr="00EF3382">
        <w:t xml:space="preserve">ata collected include a description of industry’s objectives for meeting with the DEC, whether these were met and whether the advice given was helpful, suggestions to improve future meetings, immediate further actions. </w:t>
      </w:r>
    </w:p>
    <w:p w:rsidR="00CF753B" w:rsidRPr="005E4B5C" w:rsidRDefault="00CF753B" w:rsidP="00CF753B">
      <w:pPr>
        <w:pStyle w:val="Heading3"/>
      </w:pPr>
      <w:r>
        <w:t xml:space="preserve">Progress on </w:t>
      </w:r>
      <w:r w:rsidRPr="005E4B5C">
        <w:t>Long term objectives:</w:t>
      </w:r>
    </w:p>
    <w:p w:rsidR="00CF753B" w:rsidRDefault="00B46C2E" w:rsidP="00CF753B">
      <w:pPr>
        <w:pStyle w:val="ListParagraph"/>
        <w:numPr>
          <w:ilvl w:val="0"/>
          <w:numId w:val="21"/>
        </w:numPr>
      </w:pPr>
      <w:r>
        <w:t>G</w:t>
      </w:r>
      <w:r w:rsidR="00CF753B" w:rsidRPr="00CF753B">
        <w:t>ood progress</w:t>
      </w:r>
      <w:r>
        <w:t xml:space="preserve"> has been made</w:t>
      </w:r>
      <w:r w:rsidR="00CF753B" w:rsidRPr="00CF753B">
        <w:t xml:space="preserve"> in setting up our group as the UK ‘go-to’ group for diagnostics industry and becoming a national resource on diagnostics for primary care with our current output in the Horizon Scanning programme, the multiple interactions with industry and the organization of the Diagnostics Forum. By working with clinicians, industry and NHS organisations, </w:t>
      </w:r>
      <w:r>
        <w:t>to</w:t>
      </w:r>
      <w:r w:rsidR="00CF753B" w:rsidRPr="00CF753B">
        <w:t xml:space="preserve"> be able to improve the efficiency of care of NHS patients. </w:t>
      </w:r>
    </w:p>
    <w:p w:rsidR="009131A4" w:rsidRPr="006D305A" w:rsidRDefault="009131A4" w:rsidP="006D305A">
      <w:pPr>
        <w:pStyle w:val="Heading2"/>
      </w:pPr>
      <w:r w:rsidRPr="006D305A">
        <w:t>N</w:t>
      </w:r>
      <w:r w:rsidR="00340CE6" w:rsidRPr="006D305A">
        <w:t>ationa</w:t>
      </w:r>
      <w:r w:rsidR="005A27CA" w:rsidRPr="006D305A">
        <w:t>l</w:t>
      </w:r>
      <w:r w:rsidR="00340CE6" w:rsidRPr="006D305A">
        <w:t xml:space="preserve"> </w:t>
      </w:r>
      <w:r w:rsidR="005A27CA" w:rsidRPr="006D305A">
        <w:t>Institute</w:t>
      </w:r>
      <w:r w:rsidR="00340CE6" w:rsidRPr="006D305A">
        <w:t xml:space="preserve"> for Health Research (NI</w:t>
      </w:r>
      <w:r w:rsidRPr="006D305A">
        <w:t>HR</w:t>
      </w:r>
      <w:r w:rsidR="00340CE6" w:rsidRPr="006D305A">
        <w:t>)</w:t>
      </w:r>
      <w:r w:rsidRPr="006D305A">
        <w:t xml:space="preserve"> Networks </w:t>
      </w:r>
    </w:p>
    <w:p w:rsidR="009131A4" w:rsidRDefault="009131A4" w:rsidP="009131A4">
      <w:r>
        <w:t xml:space="preserve">The </w:t>
      </w:r>
      <w:r w:rsidR="00BC53E4">
        <w:t>C</w:t>
      </w:r>
      <w:r w:rsidR="005A27CA">
        <w:t xml:space="preserve">linical </w:t>
      </w:r>
      <w:r w:rsidR="00BC53E4">
        <w:t>R</w:t>
      </w:r>
      <w:r w:rsidR="005A27CA">
        <w:t xml:space="preserve">esearch </w:t>
      </w:r>
      <w:r w:rsidR="00BC53E4">
        <w:t>N</w:t>
      </w:r>
      <w:r w:rsidR="005A27CA">
        <w:t>etwork (CRN)</w:t>
      </w:r>
      <w:r w:rsidR="00BC53E4">
        <w:t xml:space="preserve"> Thames Valley and South Midlands </w:t>
      </w:r>
      <w:r w:rsidR="006C27DA">
        <w:t xml:space="preserve">is within the Oxford AHSN area and </w:t>
      </w:r>
      <w:r w:rsidR="00AC1C51">
        <w:t>is</w:t>
      </w:r>
      <w:r>
        <w:t xml:space="preserve"> hosted by Oxford University Hospitals NHS Trust</w:t>
      </w:r>
      <w:r w:rsidR="002E1562">
        <w:t>, with anticipated</w:t>
      </w:r>
      <w:r w:rsidR="005A27CA">
        <w:t xml:space="preserve"> annual</w:t>
      </w:r>
      <w:r w:rsidR="002E1562">
        <w:t xml:space="preserve"> funding of £13</w:t>
      </w:r>
      <w:r w:rsidR="00AC1C51">
        <w:t xml:space="preserve"> </w:t>
      </w:r>
      <w:r w:rsidR="002E1562">
        <w:t>mil</w:t>
      </w:r>
      <w:r w:rsidR="00BC53E4">
        <w:t>l</w:t>
      </w:r>
      <w:r w:rsidR="002E1562">
        <w:t>ion</w:t>
      </w:r>
      <w:r w:rsidR="00BC53E4">
        <w:t xml:space="preserve">.  Each of the </w:t>
      </w:r>
      <w:r w:rsidR="00EB7B3B">
        <w:t xml:space="preserve">15 </w:t>
      </w:r>
      <w:r w:rsidR="00BC53E4">
        <w:t xml:space="preserve">NIHR </w:t>
      </w:r>
      <w:r w:rsidR="00EE615E">
        <w:t>CRN</w:t>
      </w:r>
      <w:r w:rsidR="002E1562">
        <w:t>s</w:t>
      </w:r>
      <w:r w:rsidR="00EE615E">
        <w:t xml:space="preserve"> will </w:t>
      </w:r>
      <w:r w:rsidR="002E1562">
        <w:t>now cover all therapy areas</w:t>
      </w:r>
      <w:r w:rsidR="006C27DA">
        <w:t xml:space="preserve"> and allow flexible deployment of resources</w:t>
      </w:r>
      <w:r w:rsidR="002E1562">
        <w:t>.</w:t>
      </w:r>
      <w:r w:rsidR="00BC53E4">
        <w:t xml:space="preserve">  Each CRN supports six divisions</w:t>
      </w:r>
      <w:r w:rsidR="00085200">
        <w:t>:</w:t>
      </w:r>
    </w:p>
    <w:p w:rsidR="00085200" w:rsidRDefault="00085200" w:rsidP="00745EAC">
      <w:pPr>
        <w:jc w:val="left"/>
      </w:pPr>
      <w:r>
        <w:t>Division 1:</w:t>
      </w:r>
      <w:r>
        <w:tab/>
        <w:t>Cancer</w:t>
      </w:r>
    </w:p>
    <w:p w:rsidR="00085200" w:rsidRDefault="00085200" w:rsidP="00745EAC">
      <w:pPr>
        <w:ind w:left="1440" w:hanging="1440"/>
        <w:jc w:val="left"/>
      </w:pPr>
      <w:r>
        <w:t>Division 2:</w:t>
      </w:r>
      <w:r>
        <w:tab/>
        <w:t>Diabetes, stroke, cardiovascular disease, metabolic and endocrine disorders, renal disorders</w:t>
      </w:r>
    </w:p>
    <w:p w:rsidR="00085200" w:rsidRDefault="00085200" w:rsidP="00745EAC">
      <w:pPr>
        <w:ind w:left="1440" w:hanging="1440"/>
        <w:jc w:val="left"/>
      </w:pPr>
      <w:r>
        <w:t>Division 3:</w:t>
      </w:r>
      <w:r>
        <w:tab/>
        <w:t>Children, genetics, haematology, reproductive health and childbirth</w:t>
      </w:r>
    </w:p>
    <w:p w:rsidR="00085200" w:rsidRDefault="00085200" w:rsidP="00745EAC">
      <w:pPr>
        <w:ind w:left="1440" w:hanging="1440"/>
        <w:jc w:val="left"/>
      </w:pPr>
      <w:r>
        <w:t>Division 4:</w:t>
      </w:r>
      <w:r>
        <w:tab/>
        <w:t>Dementias and neurodegeneration, mental health, neurological disorders</w:t>
      </w:r>
    </w:p>
    <w:p w:rsidR="0099769D" w:rsidRDefault="00085200" w:rsidP="00745EAC">
      <w:pPr>
        <w:ind w:left="1440" w:hanging="1440"/>
        <w:jc w:val="left"/>
      </w:pPr>
      <w:r>
        <w:t>Division 5:</w:t>
      </w:r>
      <w:r>
        <w:tab/>
        <w:t>Primary care, ageing, health services and delivery research</w:t>
      </w:r>
      <w:r w:rsidR="0099769D">
        <w:t>, oral health and dentistry, public health, musculoskeletal disorders, dermatology</w:t>
      </w:r>
    </w:p>
    <w:p w:rsidR="00085200" w:rsidRPr="009131A4" w:rsidRDefault="0099769D" w:rsidP="00745EAC">
      <w:pPr>
        <w:ind w:left="1440" w:hanging="1440"/>
        <w:jc w:val="left"/>
      </w:pPr>
      <w:r>
        <w:t>Division 6:</w:t>
      </w:r>
      <w:r>
        <w:tab/>
        <w:t>Anaesthesia/peri-operative medicine and pain management, critical care, injuries/emergencies, surgery, ears/nose/throat, infectious diseases/</w:t>
      </w:r>
      <w:r w:rsidR="00745EAC">
        <w:t xml:space="preserve"> </w:t>
      </w:r>
      <w:r>
        <w:t>microbiology, ophthalmology, respiratory disorders, gastroenterology, epatology.</w:t>
      </w:r>
    </w:p>
    <w:p w:rsidR="00621761" w:rsidRDefault="00EB7B3B" w:rsidP="00EB7B3B">
      <w:r>
        <w:t xml:space="preserve">Progress continues to grow with the dementias and neurodegeneration specialty of Division 4 (previously known as DENDRON) with an increase in the number of expressions of interest </w:t>
      </w:r>
      <w:r>
        <w:lastRenderedPageBreak/>
        <w:t>being requested, however the Trust is yet to see this converted into the undertaking of the studies.  The C</w:t>
      </w:r>
      <w:r w:rsidR="0096694A">
        <w:t>linical Specialty leads for d</w:t>
      </w:r>
      <w:r>
        <w:t>emen</w:t>
      </w:r>
      <w:r w:rsidR="0096694A">
        <w:t>tia (Dr Rohan Van de Putt) and m</w:t>
      </w:r>
      <w:r>
        <w:t xml:space="preserve">ental health </w:t>
      </w:r>
      <w:r w:rsidR="0096694A">
        <w:t xml:space="preserve">(Dr Andrew Molodynski) </w:t>
      </w:r>
      <w:r>
        <w:t xml:space="preserve">have been appointed from clinical teams within the Trust.  CRF continues to support the undertaking of commercial and non-commercial studies being co-ordinated within the field of dementia.  </w:t>
      </w:r>
    </w:p>
    <w:p w:rsidR="00EB7B3B" w:rsidRDefault="00EB7B3B" w:rsidP="00EB7B3B">
      <w:r>
        <w:t xml:space="preserve">Links are being formed with other Divisional leads </w:t>
      </w:r>
      <w:r w:rsidR="00621761">
        <w:t xml:space="preserve">(particularly with Division 2 and 5) </w:t>
      </w:r>
      <w:r w:rsidR="0096694A">
        <w:t>within the CRN to potentially undertake more community, non-mental health research</w:t>
      </w:r>
      <w:r w:rsidR="00AE0D75">
        <w:t xml:space="preserve"> and primary care</w:t>
      </w:r>
      <w:r w:rsidR="0096694A">
        <w:t>.</w:t>
      </w:r>
      <w:r w:rsidR="00621761">
        <w:t xml:space="preserve"> </w:t>
      </w:r>
    </w:p>
    <w:p w:rsidR="00B27ADA" w:rsidRDefault="00B27ADA" w:rsidP="00B27ADA">
      <w:pPr>
        <w:pStyle w:val="Heading2"/>
      </w:pPr>
      <w:r>
        <w:t>NIHR BRC and CRF</w:t>
      </w:r>
    </w:p>
    <w:p w:rsidR="00B46C2E" w:rsidRPr="00B46C2E" w:rsidRDefault="00B46C2E" w:rsidP="00B46C2E">
      <w:r>
        <w:t>Consideration will be given to as to a trust response to the NIHR calls for Biomedical Research Centre(BRC) and Clinical Research Facility (CRF) applications.</w:t>
      </w:r>
    </w:p>
    <w:p w:rsidR="00D03AD6" w:rsidRDefault="00D03AD6" w:rsidP="00D03AD6">
      <w:pPr>
        <w:pStyle w:val="Heading1"/>
      </w:pPr>
      <w:r w:rsidRPr="006D7D89">
        <w:t>Research  Governance</w:t>
      </w:r>
    </w:p>
    <w:p w:rsidR="00CF4850" w:rsidRDefault="00CF4850" w:rsidP="00CF4850">
      <w:pPr>
        <w:pStyle w:val="Heading2"/>
      </w:pPr>
      <w:r>
        <w:t>R&amp;D Governance Group</w:t>
      </w:r>
    </w:p>
    <w:p w:rsidR="001832D9" w:rsidRDefault="001832D9" w:rsidP="00A91CA5">
      <w:pPr>
        <w:spacing w:before="0" w:after="0"/>
      </w:pPr>
      <w:r>
        <w:t xml:space="preserve">The R&amp;D Governance committee has recently been renamed following the restructuring of the Trust committee structures in line with the CQC.  The now named R&amp;D Governance Group has continued to meet quarterly and minutes are feed into the </w:t>
      </w:r>
      <w:r w:rsidR="00B46C2E">
        <w:t>CEC</w:t>
      </w:r>
      <w:r>
        <w:t>.</w:t>
      </w:r>
    </w:p>
    <w:p w:rsidR="001832D9" w:rsidRDefault="001832D9" w:rsidP="00A91CA5">
      <w:pPr>
        <w:spacing w:before="0" w:after="0"/>
      </w:pPr>
    </w:p>
    <w:p w:rsidR="00142326" w:rsidRDefault="001832D9" w:rsidP="00A91CA5">
      <w:pPr>
        <w:spacing w:before="0" w:after="0"/>
      </w:pPr>
      <w:r>
        <w:t>The R&amp;D Governance Group is primarily an assurance group.  The Group reviews the R&amp;D finances, appropriate and safe staffing levels for the conduct and governance of research studies ongoing within the organization, the oversight of the sub groups that report into the R&amp;D Governance Group</w:t>
      </w:r>
      <w:r w:rsidR="008F094B">
        <w:t xml:space="preserve">.  </w:t>
      </w:r>
    </w:p>
    <w:p w:rsidR="00142326" w:rsidRDefault="00142326" w:rsidP="00A91CA5">
      <w:pPr>
        <w:spacing w:before="0" w:after="0"/>
      </w:pPr>
    </w:p>
    <w:p w:rsidR="001832D9" w:rsidRDefault="008F094B" w:rsidP="00A91CA5">
      <w:pPr>
        <w:spacing w:before="0" w:after="0"/>
      </w:pPr>
      <w:r>
        <w:t xml:space="preserve">Serious Advert Event (SAE) participants encounter whilst taking part on research studies are robustly captured </w:t>
      </w:r>
      <w:r w:rsidR="00874689">
        <w:t xml:space="preserve">for industry studies.  The new R&amp;D Governance Manager, Vicky Rush, who joined the Trust in June 2014 is in the process of setting up a SAE reporting and safety group for the reporting of SAE from non-commercial studies.  This is being piloted on a new study and is supported by the R&amp;D Governance Group.  </w:t>
      </w:r>
    </w:p>
    <w:p w:rsidR="00142326" w:rsidRDefault="00142326" w:rsidP="00142326">
      <w:pPr>
        <w:pStyle w:val="Heading2"/>
      </w:pPr>
      <w:r>
        <w:t>Contract Review Processes</w:t>
      </w:r>
    </w:p>
    <w:p w:rsidR="00142326" w:rsidRDefault="00142326" w:rsidP="00142326">
      <w:r>
        <w:t>R&amp;D has an agreement with the OUH legal team to undertake the review of non-standard or modified contracts from a legal perspective to ensure the Trust obligations are appropriate.  In addition agreement covers the drawing up of contracts for Oxford Health NHS FT to be able to subcontract services, such as ECG review, scanning etc.  The agreement is working very well and is being utilized effectively.</w:t>
      </w:r>
    </w:p>
    <w:p w:rsidR="00CF4850" w:rsidRDefault="00CF4850" w:rsidP="00CF4850">
      <w:pPr>
        <w:pStyle w:val="Heading2"/>
      </w:pPr>
      <w:r>
        <w:t>R&amp;D Data Capture Mechanisms</w:t>
      </w:r>
    </w:p>
    <w:p w:rsidR="00CF4850" w:rsidRDefault="00CF4850" w:rsidP="00CF4850">
      <w:pPr>
        <w:pStyle w:val="Heading3"/>
      </w:pPr>
      <w:r>
        <w:t>Expressions of Interest</w:t>
      </w:r>
    </w:p>
    <w:p w:rsidR="00142326" w:rsidRDefault="00CF4850" w:rsidP="00142326">
      <w:r>
        <w:t xml:space="preserve">Commercial companies are continually looking for new NHS sites in which to conduct their studies.  The initial step is to complete an expression of interest which provides key information about the research servicers that the Trust can offer.  If a company requires </w:t>
      </w:r>
      <w:r>
        <w:lastRenderedPageBreak/>
        <w:t>further information they will request confidentially agreements to be signed and the Trust will undertake a feasibility assessment.  The number of expressions of interest the Trust has been asked to complete has increased significantly over th</w:t>
      </w:r>
      <w:r w:rsidR="00142326">
        <w:t>e last six months.  This has le</w:t>
      </w:r>
      <w:r>
        <w:t>d to the decision that the default position is to say yes and if the companies requests further infor</w:t>
      </w:r>
      <w:r w:rsidR="00C25832">
        <w:t xml:space="preserve">mation and extended feasibility.  </w:t>
      </w:r>
    </w:p>
    <w:p w:rsidR="00CF4850" w:rsidRDefault="00CF4850" w:rsidP="00142326">
      <w:pPr>
        <w:pStyle w:val="Heading3"/>
      </w:pPr>
      <w:r>
        <w:t>Grant Application Process</w:t>
      </w:r>
    </w:p>
    <w:p w:rsidR="00C25832" w:rsidRDefault="00C25832" w:rsidP="00CF4850">
      <w:r>
        <w:t xml:space="preserve">During the last six months R&amp;D have developed a grant application process to help researchers in the completion of funding applications.  This is to support researchers in costing for their research appropriately and within the funding body guidelines in a timely manner to ensure that deadlines are met.  </w:t>
      </w:r>
    </w:p>
    <w:p w:rsidR="00CF4850" w:rsidRDefault="00CF4850" w:rsidP="00142326">
      <w:pPr>
        <w:pStyle w:val="Heading3"/>
      </w:pPr>
      <w:r>
        <w:t>Pipeline Meetings</w:t>
      </w:r>
    </w:p>
    <w:p w:rsidR="00C25832" w:rsidRDefault="00C25832" w:rsidP="00C25832">
      <w:r>
        <w:t xml:space="preserve">Pipeline meetings have established to determine the feasibility of the undertaking of studies both within the CRF and the community.  </w:t>
      </w:r>
      <w:r w:rsidR="00142326">
        <w:t>Researchers are requested to complete an R&amp;D designed form detailing the study and its requirements for delivery, this generates a unique study identifier to enable tracking within the department.  These studies are discussed at the pipeline m</w:t>
      </w:r>
      <w:r>
        <w:t>eetings</w:t>
      </w:r>
      <w:r w:rsidR="00142326">
        <w:t>,</w:t>
      </w:r>
      <w:r>
        <w:t xml:space="preserve"> attended by governance, research delivery, finance, CRN, pharmacy staff to ensure an informed decision can be made as to whether the Trust agrees to pursue the conduct of the study, pending appropriate approvals and contracts (including finances)</w:t>
      </w:r>
      <w:r w:rsidR="00C55135">
        <w:t>.</w:t>
      </w:r>
    </w:p>
    <w:p w:rsidR="00D75E82" w:rsidRPr="00C25832" w:rsidRDefault="00D75E82" w:rsidP="00142326">
      <w:pPr>
        <w:pStyle w:val="Heading3"/>
      </w:pPr>
      <w:r>
        <w:t>R&amp;D Data Capture</w:t>
      </w:r>
    </w:p>
    <w:p w:rsidR="00E40938" w:rsidRDefault="00874689" w:rsidP="00142326">
      <w:r>
        <w:t xml:space="preserve">The R&amp;D Governance Manager has initiated the redevelopment of the department database for the capture and tracking of research studies and recruitment within the Trust.  This is to be aligned to the </w:t>
      </w:r>
      <w:r w:rsidR="00ED5BB6">
        <w:t xml:space="preserve">Research Portfolio </w:t>
      </w:r>
      <w:r>
        <w:t xml:space="preserve">system that has been developed at the OUH that will be instated within Oxford Health NHS FT. </w:t>
      </w:r>
      <w:r w:rsidR="00621761">
        <w:t>The database is to help support our internal and external reporting requirements and new pipeline meeting structure to capture all activity rather than just once a study agreed in principle.</w:t>
      </w:r>
      <w:r w:rsidR="00ED5BB6">
        <w:t xml:space="preserve">  Discussions between the two organi</w:t>
      </w:r>
      <w:r w:rsidR="00142326">
        <w:t>s</w:t>
      </w:r>
      <w:r w:rsidR="00ED5BB6">
        <w:t>ation are going as there are potential issues if a study is running in both organisations.</w:t>
      </w:r>
    </w:p>
    <w:p w:rsidR="006B0673" w:rsidRDefault="006B0673" w:rsidP="006B0673">
      <w:pPr>
        <w:pStyle w:val="Heading3"/>
      </w:pPr>
      <w:r w:rsidRPr="006B0673">
        <w:t>R&amp;D Internal Audi</w:t>
      </w:r>
      <w:r>
        <w:t>t</w:t>
      </w:r>
    </w:p>
    <w:p w:rsidR="006B0673" w:rsidRPr="006B0673" w:rsidRDefault="006B0673" w:rsidP="006B0673">
      <w:r>
        <w:t xml:space="preserve">The R&amp;D department was audited this year, 12 months earlier than anticipated due to change in Trust providers.  Initial findings are in line with the capture and tracking of studies which had previously been identified within the R&amp;D governance team and the alignment of cost centers for individual studies.  The Trust has returned comments and </w:t>
      </w:r>
      <w:r w:rsidR="00481401">
        <w:t>is</w:t>
      </w:r>
      <w:r>
        <w:t xml:space="preserve"> awaiting a final report.</w:t>
      </w:r>
    </w:p>
    <w:p w:rsidR="00D03AD6" w:rsidRPr="00806F8E" w:rsidRDefault="009B51DB" w:rsidP="006D7D89">
      <w:pPr>
        <w:pStyle w:val="Heading1"/>
      </w:pPr>
      <w:r w:rsidRPr="00806F8E">
        <w:t>Studies and Participant Recruitment</w:t>
      </w:r>
    </w:p>
    <w:p w:rsidR="005A075E" w:rsidRDefault="005A075E" w:rsidP="005A075E">
      <w:pPr>
        <w:pStyle w:val="Heading2"/>
        <w:rPr>
          <w:lang w:val="en-GB"/>
        </w:rPr>
      </w:pPr>
      <w:r>
        <w:rPr>
          <w:lang w:val="en-GB"/>
        </w:rPr>
        <w:t>Numbers of studies</w:t>
      </w:r>
    </w:p>
    <w:p w:rsidR="008C2E8A" w:rsidRDefault="008C2E8A" w:rsidP="005A075E">
      <w:pPr>
        <w:rPr>
          <w:lang w:val="en-GB"/>
        </w:rPr>
      </w:pPr>
      <w:r>
        <w:rPr>
          <w:lang w:val="en-GB"/>
        </w:rPr>
        <w:t>The Trust currently hosts a number of different research studies, from small student projects to complex commercially sponsored CTIMPs.</w:t>
      </w:r>
    </w:p>
    <w:p w:rsidR="008C2E8A" w:rsidRDefault="008C2E8A" w:rsidP="008C2E8A">
      <w:pPr>
        <w:tabs>
          <w:tab w:val="left" w:pos="7853"/>
        </w:tabs>
        <w:rPr>
          <w:lang w:val="en-GB"/>
        </w:rPr>
      </w:pPr>
      <w:r>
        <w:rPr>
          <w:lang w:val="en-GB"/>
        </w:rPr>
        <w:t>The table below shows current research activity ongoing within the Trust. The figures are transient due to projects starting and completing at different times.</w:t>
      </w:r>
    </w:p>
    <w:tbl>
      <w:tblPr>
        <w:tblStyle w:val="TableGrid"/>
        <w:tblW w:w="0" w:type="auto"/>
        <w:tblLook w:val="04A0" w:firstRow="1" w:lastRow="0" w:firstColumn="1" w:lastColumn="0" w:noHBand="0" w:noVBand="1"/>
      </w:tblPr>
      <w:tblGrid>
        <w:gridCol w:w="2388"/>
        <w:gridCol w:w="1707"/>
        <w:gridCol w:w="1965"/>
        <w:gridCol w:w="1900"/>
        <w:gridCol w:w="2228"/>
      </w:tblGrid>
      <w:tr w:rsidR="008C2E8A" w:rsidRPr="00553CC9" w:rsidTr="00745EAC">
        <w:trPr>
          <w:cantSplit/>
          <w:trHeight w:hRule="exact" w:val="794"/>
        </w:trPr>
        <w:tc>
          <w:tcPr>
            <w:tcW w:w="0" w:type="auto"/>
            <w:tcBorders>
              <w:bottom w:val="single" w:sz="4" w:space="0" w:color="auto"/>
            </w:tcBorders>
            <w:shd w:val="clear" w:color="auto" w:fill="8DB3E2" w:themeFill="text2" w:themeFillTint="66"/>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lastRenderedPageBreak/>
              <w:t>Total Number of Studies in OHFT</w:t>
            </w:r>
          </w:p>
        </w:tc>
        <w:tc>
          <w:tcPr>
            <w:tcW w:w="0" w:type="auto"/>
            <w:shd w:val="clear" w:color="auto" w:fill="8DB3E2" w:themeFill="text2" w:themeFillTint="66"/>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Commercial CTIMPs</w:t>
            </w:r>
          </w:p>
        </w:tc>
        <w:tc>
          <w:tcPr>
            <w:tcW w:w="0" w:type="auto"/>
            <w:shd w:val="clear" w:color="auto" w:fill="8DB3E2" w:themeFill="text2" w:themeFillTint="66"/>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Non-Commercial CTIMPs</w:t>
            </w:r>
          </w:p>
        </w:tc>
        <w:tc>
          <w:tcPr>
            <w:tcW w:w="0" w:type="auto"/>
            <w:shd w:val="clear" w:color="auto" w:fill="8DB3E2" w:themeFill="text2" w:themeFillTint="66"/>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Commercial non-CTIMP</w:t>
            </w:r>
          </w:p>
        </w:tc>
        <w:tc>
          <w:tcPr>
            <w:tcW w:w="0" w:type="auto"/>
            <w:shd w:val="clear" w:color="auto" w:fill="8DB3E2" w:themeFill="text2" w:themeFillTint="66"/>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Non-Commercial, Non-CTIMP</w:t>
            </w:r>
          </w:p>
        </w:tc>
      </w:tr>
      <w:tr w:rsidR="008C2E8A" w:rsidRPr="00553CC9" w:rsidTr="00745EAC">
        <w:trPr>
          <w:cantSplit/>
          <w:trHeight w:hRule="exact" w:val="454"/>
        </w:trPr>
        <w:tc>
          <w:tcPr>
            <w:tcW w:w="0" w:type="auto"/>
            <w:shd w:val="clear" w:color="auto" w:fill="auto"/>
          </w:tcPr>
          <w:p w:rsidR="008C2E8A" w:rsidRPr="008C2E8A" w:rsidRDefault="008C2E8A" w:rsidP="008C2E8A">
            <w:pPr>
              <w:rPr>
                <w:rFonts w:asciiTheme="minorHAnsi" w:hAnsiTheme="minorHAnsi"/>
                <w:sz w:val="22"/>
                <w:szCs w:val="22"/>
              </w:rPr>
            </w:pPr>
            <w:r w:rsidRPr="008C2E8A">
              <w:rPr>
                <w:rFonts w:asciiTheme="minorHAnsi" w:hAnsiTheme="minorHAnsi"/>
                <w:sz w:val="22"/>
                <w:szCs w:val="22"/>
              </w:rPr>
              <w:t>Open</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5</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5</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1</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102</w:t>
            </w:r>
          </w:p>
        </w:tc>
      </w:tr>
      <w:tr w:rsidR="008C2E8A" w:rsidRPr="00553CC9" w:rsidTr="00745EAC">
        <w:trPr>
          <w:cantSplit/>
          <w:trHeight w:hRule="exact" w:val="454"/>
        </w:trPr>
        <w:tc>
          <w:tcPr>
            <w:tcW w:w="0" w:type="auto"/>
            <w:shd w:val="clear" w:color="auto" w:fill="auto"/>
          </w:tcPr>
          <w:p w:rsidR="008C2E8A" w:rsidRPr="008C2E8A" w:rsidRDefault="008C2E8A" w:rsidP="008C2E8A">
            <w:pPr>
              <w:rPr>
                <w:rFonts w:asciiTheme="minorHAnsi" w:hAnsiTheme="minorHAnsi"/>
                <w:sz w:val="22"/>
                <w:szCs w:val="22"/>
              </w:rPr>
            </w:pPr>
            <w:r w:rsidRPr="008C2E8A">
              <w:rPr>
                <w:rFonts w:asciiTheme="minorHAnsi" w:hAnsiTheme="minorHAnsi"/>
                <w:sz w:val="22"/>
                <w:szCs w:val="22"/>
              </w:rPr>
              <w:t>Awaiting Approval</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2</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6</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0</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10</w:t>
            </w:r>
          </w:p>
        </w:tc>
      </w:tr>
      <w:tr w:rsidR="008C2E8A" w:rsidRPr="00553CC9" w:rsidTr="00745EAC">
        <w:trPr>
          <w:cantSplit/>
          <w:trHeight w:hRule="exact" w:val="454"/>
        </w:trPr>
        <w:tc>
          <w:tcPr>
            <w:tcW w:w="0" w:type="auto"/>
            <w:shd w:val="clear" w:color="auto" w:fill="auto"/>
          </w:tcPr>
          <w:p w:rsidR="008C2E8A" w:rsidRPr="008C2E8A" w:rsidRDefault="008C2E8A" w:rsidP="008C2E8A">
            <w:pPr>
              <w:rPr>
                <w:rFonts w:asciiTheme="minorHAnsi" w:hAnsiTheme="minorHAnsi"/>
                <w:sz w:val="22"/>
                <w:szCs w:val="22"/>
              </w:rPr>
            </w:pPr>
            <w:r w:rsidRPr="008C2E8A">
              <w:rPr>
                <w:rFonts w:asciiTheme="minorHAnsi" w:hAnsiTheme="minorHAnsi"/>
                <w:sz w:val="22"/>
                <w:szCs w:val="22"/>
              </w:rPr>
              <w:t>Expression of Interest</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7</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1</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0</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3</w:t>
            </w:r>
          </w:p>
        </w:tc>
      </w:tr>
      <w:tr w:rsidR="008C2E8A" w:rsidRPr="00553CC9" w:rsidTr="00745EAC">
        <w:trPr>
          <w:cantSplit/>
          <w:trHeight w:hRule="exact" w:val="454"/>
        </w:trPr>
        <w:tc>
          <w:tcPr>
            <w:tcW w:w="0" w:type="auto"/>
            <w:shd w:val="clear" w:color="auto" w:fill="auto"/>
          </w:tcPr>
          <w:p w:rsidR="008C2E8A" w:rsidRPr="008C2E8A" w:rsidRDefault="008C2E8A" w:rsidP="008C2E8A">
            <w:pPr>
              <w:rPr>
                <w:rFonts w:asciiTheme="minorHAnsi" w:hAnsiTheme="minorHAnsi"/>
                <w:sz w:val="22"/>
                <w:szCs w:val="22"/>
              </w:rPr>
            </w:pPr>
            <w:r w:rsidRPr="008C2E8A">
              <w:rPr>
                <w:rFonts w:asciiTheme="minorHAnsi" w:hAnsiTheme="minorHAnsi"/>
                <w:sz w:val="22"/>
                <w:szCs w:val="22"/>
              </w:rPr>
              <w:t>Feasibility</w:t>
            </w:r>
          </w:p>
        </w:tc>
        <w:tc>
          <w:tcPr>
            <w:tcW w:w="0" w:type="auto"/>
            <w:tcBorders>
              <w:bottom w:val="single" w:sz="4" w:space="0" w:color="auto"/>
            </w:tcBorders>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8</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1</w:t>
            </w:r>
          </w:p>
        </w:tc>
        <w:tc>
          <w:tcPr>
            <w:tcW w:w="0" w:type="auto"/>
            <w:tcBorders>
              <w:bottom w:val="single" w:sz="4" w:space="0" w:color="auto"/>
            </w:tcBorders>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0</w:t>
            </w:r>
          </w:p>
        </w:tc>
        <w:tc>
          <w:tcPr>
            <w:tcW w:w="0" w:type="auto"/>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0</w:t>
            </w:r>
          </w:p>
        </w:tc>
      </w:tr>
      <w:tr w:rsidR="008C2E8A" w:rsidRPr="00553CC9" w:rsidTr="00745EAC">
        <w:trPr>
          <w:cantSplit/>
          <w:trHeight w:hRule="exact" w:val="454"/>
        </w:trPr>
        <w:tc>
          <w:tcPr>
            <w:tcW w:w="0" w:type="auto"/>
            <w:tcBorders>
              <w:bottom w:val="single" w:sz="4" w:space="0" w:color="auto"/>
            </w:tcBorders>
            <w:shd w:val="clear" w:color="auto" w:fill="auto"/>
          </w:tcPr>
          <w:p w:rsidR="008C2E8A" w:rsidRPr="008C2E8A" w:rsidRDefault="008C2E8A" w:rsidP="008C2E8A">
            <w:pPr>
              <w:rPr>
                <w:rFonts w:asciiTheme="minorHAnsi" w:hAnsiTheme="minorHAnsi"/>
                <w:sz w:val="22"/>
                <w:szCs w:val="22"/>
              </w:rPr>
            </w:pPr>
            <w:r w:rsidRPr="008C2E8A">
              <w:rPr>
                <w:rFonts w:asciiTheme="minorHAnsi" w:hAnsiTheme="minorHAnsi"/>
                <w:sz w:val="22"/>
                <w:szCs w:val="22"/>
              </w:rPr>
              <w:t>Grant Applications</w:t>
            </w:r>
          </w:p>
        </w:tc>
        <w:tc>
          <w:tcPr>
            <w:tcW w:w="0" w:type="auto"/>
            <w:tcBorders>
              <w:bottom w:val="single" w:sz="4" w:space="0" w:color="auto"/>
            </w:tcBorders>
            <w:shd w:val="clear" w:color="auto" w:fill="auto"/>
          </w:tcPr>
          <w:p w:rsidR="008C2E8A" w:rsidRPr="008C2E8A" w:rsidRDefault="008C2E8A" w:rsidP="008C2E8A">
            <w:pPr>
              <w:jc w:val="center"/>
              <w:rPr>
                <w:rFonts w:asciiTheme="minorHAnsi" w:hAnsiTheme="minorHAnsi"/>
                <w:sz w:val="22"/>
                <w:szCs w:val="22"/>
              </w:rPr>
            </w:pPr>
            <w:r>
              <w:rPr>
                <w:rFonts w:asciiTheme="minorHAnsi" w:hAnsiTheme="minorHAnsi"/>
                <w:sz w:val="22"/>
                <w:szCs w:val="22"/>
              </w:rPr>
              <w:t>Not applicable</w:t>
            </w:r>
          </w:p>
        </w:tc>
        <w:tc>
          <w:tcPr>
            <w:tcW w:w="0" w:type="auto"/>
            <w:tcBorders>
              <w:bottom w:val="single" w:sz="4" w:space="0" w:color="auto"/>
            </w:tcBorders>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1</w:t>
            </w:r>
          </w:p>
        </w:tc>
        <w:tc>
          <w:tcPr>
            <w:tcW w:w="0" w:type="auto"/>
            <w:tcBorders>
              <w:bottom w:val="single" w:sz="4" w:space="0" w:color="auto"/>
            </w:tcBorders>
            <w:shd w:val="clear" w:color="auto" w:fill="auto"/>
          </w:tcPr>
          <w:p w:rsidR="008C2E8A" w:rsidRPr="008C2E8A" w:rsidRDefault="008C2E8A" w:rsidP="008C2E8A">
            <w:pPr>
              <w:jc w:val="center"/>
              <w:rPr>
                <w:rFonts w:asciiTheme="minorHAnsi" w:hAnsiTheme="minorHAnsi"/>
                <w:sz w:val="22"/>
                <w:szCs w:val="22"/>
              </w:rPr>
            </w:pPr>
            <w:r>
              <w:rPr>
                <w:rFonts w:asciiTheme="minorHAnsi" w:hAnsiTheme="minorHAnsi"/>
                <w:sz w:val="22"/>
                <w:szCs w:val="22"/>
              </w:rPr>
              <w:t>Not applicable</w:t>
            </w:r>
          </w:p>
        </w:tc>
        <w:tc>
          <w:tcPr>
            <w:tcW w:w="0" w:type="auto"/>
            <w:tcBorders>
              <w:bottom w:val="single" w:sz="4" w:space="0" w:color="auto"/>
            </w:tcBorders>
            <w:shd w:val="clear" w:color="auto" w:fill="auto"/>
          </w:tcPr>
          <w:p w:rsidR="008C2E8A" w:rsidRPr="008C2E8A" w:rsidRDefault="008C2E8A" w:rsidP="008C2E8A">
            <w:pPr>
              <w:jc w:val="center"/>
              <w:rPr>
                <w:rFonts w:asciiTheme="minorHAnsi" w:hAnsiTheme="minorHAnsi"/>
                <w:sz w:val="22"/>
                <w:szCs w:val="22"/>
              </w:rPr>
            </w:pPr>
            <w:r w:rsidRPr="008C2E8A">
              <w:rPr>
                <w:rFonts w:asciiTheme="minorHAnsi" w:hAnsiTheme="minorHAnsi"/>
                <w:sz w:val="22"/>
                <w:szCs w:val="22"/>
              </w:rPr>
              <w:t>8</w:t>
            </w:r>
          </w:p>
        </w:tc>
      </w:tr>
      <w:tr w:rsidR="008C2E8A" w:rsidRPr="00553CC9" w:rsidTr="009A591A">
        <w:trPr>
          <w:cantSplit/>
          <w:trHeight w:hRule="exact" w:val="454"/>
        </w:trPr>
        <w:tc>
          <w:tcPr>
            <w:tcW w:w="0" w:type="auto"/>
            <w:shd w:val="clear" w:color="auto" w:fill="8DB3E2" w:themeFill="text2" w:themeFillTint="66"/>
          </w:tcPr>
          <w:p w:rsidR="008C2E8A" w:rsidRPr="008C2E8A" w:rsidRDefault="008C2E8A" w:rsidP="008C2E8A">
            <w:pPr>
              <w:rPr>
                <w:rFonts w:asciiTheme="minorHAnsi" w:hAnsiTheme="minorHAnsi"/>
                <w:b/>
                <w:sz w:val="22"/>
                <w:szCs w:val="22"/>
              </w:rPr>
            </w:pPr>
            <w:r w:rsidRPr="008C2E8A">
              <w:rPr>
                <w:rFonts w:asciiTheme="minorHAnsi" w:hAnsiTheme="minorHAnsi"/>
                <w:b/>
                <w:sz w:val="22"/>
                <w:szCs w:val="22"/>
              </w:rPr>
              <w:t>Totals</w:t>
            </w:r>
          </w:p>
        </w:tc>
        <w:tc>
          <w:tcPr>
            <w:tcW w:w="0" w:type="auto"/>
            <w:shd w:val="clear" w:color="auto" w:fill="8DB3E2" w:themeFill="text2" w:themeFillTint="66"/>
          </w:tcPr>
          <w:p w:rsidR="008C2E8A" w:rsidRPr="008C2E8A" w:rsidRDefault="008C2E8A" w:rsidP="008C2E8A">
            <w:pPr>
              <w:jc w:val="center"/>
              <w:rPr>
                <w:rFonts w:asciiTheme="minorHAnsi" w:hAnsiTheme="minorHAnsi"/>
                <w:b/>
                <w:sz w:val="22"/>
                <w:szCs w:val="22"/>
              </w:rPr>
            </w:pPr>
            <w:r w:rsidRPr="008C2E8A">
              <w:rPr>
                <w:rFonts w:asciiTheme="minorHAnsi" w:hAnsiTheme="minorHAnsi"/>
                <w:b/>
                <w:sz w:val="22"/>
                <w:szCs w:val="22"/>
              </w:rPr>
              <w:t>22</w:t>
            </w:r>
          </w:p>
        </w:tc>
        <w:tc>
          <w:tcPr>
            <w:tcW w:w="0" w:type="auto"/>
            <w:shd w:val="clear" w:color="auto" w:fill="8DB3E2" w:themeFill="text2" w:themeFillTint="66"/>
          </w:tcPr>
          <w:p w:rsidR="008C2E8A" w:rsidRPr="008C2E8A" w:rsidRDefault="008C2E8A" w:rsidP="008C2E8A">
            <w:pPr>
              <w:jc w:val="center"/>
              <w:rPr>
                <w:rFonts w:asciiTheme="minorHAnsi" w:hAnsiTheme="minorHAnsi"/>
                <w:b/>
                <w:sz w:val="22"/>
                <w:szCs w:val="22"/>
              </w:rPr>
            </w:pPr>
            <w:r w:rsidRPr="008C2E8A">
              <w:rPr>
                <w:rFonts w:asciiTheme="minorHAnsi" w:hAnsiTheme="minorHAnsi"/>
                <w:b/>
                <w:sz w:val="22"/>
                <w:szCs w:val="22"/>
              </w:rPr>
              <w:t>14</w:t>
            </w:r>
          </w:p>
        </w:tc>
        <w:tc>
          <w:tcPr>
            <w:tcW w:w="0" w:type="auto"/>
            <w:shd w:val="clear" w:color="auto" w:fill="8DB3E2" w:themeFill="text2" w:themeFillTint="66"/>
          </w:tcPr>
          <w:p w:rsidR="008C2E8A" w:rsidRPr="008C2E8A" w:rsidRDefault="008C2E8A" w:rsidP="008C2E8A">
            <w:pPr>
              <w:jc w:val="center"/>
              <w:rPr>
                <w:rFonts w:asciiTheme="minorHAnsi" w:hAnsiTheme="minorHAnsi"/>
                <w:b/>
                <w:sz w:val="22"/>
                <w:szCs w:val="22"/>
              </w:rPr>
            </w:pPr>
            <w:r w:rsidRPr="008C2E8A">
              <w:rPr>
                <w:rFonts w:asciiTheme="minorHAnsi" w:hAnsiTheme="minorHAnsi"/>
                <w:b/>
                <w:sz w:val="22"/>
                <w:szCs w:val="22"/>
              </w:rPr>
              <w:t>1</w:t>
            </w:r>
          </w:p>
        </w:tc>
        <w:tc>
          <w:tcPr>
            <w:tcW w:w="0" w:type="auto"/>
            <w:shd w:val="clear" w:color="auto" w:fill="8DB3E2" w:themeFill="text2" w:themeFillTint="66"/>
          </w:tcPr>
          <w:p w:rsidR="008C2E8A" w:rsidRPr="008C2E8A" w:rsidRDefault="008C2E8A" w:rsidP="008C2E8A">
            <w:pPr>
              <w:jc w:val="center"/>
              <w:rPr>
                <w:rFonts w:asciiTheme="minorHAnsi" w:hAnsiTheme="minorHAnsi"/>
                <w:b/>
                <w:sz w:val="22"/>
                <w:szCs w:val="22"/>
              </w:rPr>
            </w:pPr>
            <w:r w:rsidRPr="008C2E8A">
              <w:rPr>
                <w:rFonts w:asciiTheme="minorHAnsi" w:hAnsiTheme="minorHAnsi"/>
                <w:b/>
                <w:sz w:val="22"/>
                <w:szCs w:val="22"/>
              </w:rPr>
              <w:t>123</w:t>
            </w:r>
          </w:p>
        </w:tc>
      </w:tr>
    </w:tbl>
    <w:p w:rsidR="00745EAC" w:rsidRDefault="00F0323E" w:rsidP="00E40938">
      <w:pPr>
        <w:rPr>
          <w:lang w:val="en-GB"/>
        </w:rPr>
      </w:pPr>
      <w:r w:rsidRPr="00142326">
        <w:rPr>
          <w:lang w:val="en-GB"/>
        </w:rPr>
        <w:t>Of the 113 studies open within the Trust 67 are registered on the NIIHR portfolio, nine of which are industry studies.  This data is not in line with the external NIHR reports R&amp;D receives via the CRN.  External sources suggest that Oxford Health NHS FT has only 31 portfolio studies open within the organisation with only one of those being an industry study.  R&amp;D are working hard to resolve these inconsistencies.</w:t>
      </w:r>
    </w:p>
    <w:p w:rsidR="005A075E" w:rsidRDefault="005A075E" w:rsidP="005A075E">
      <w:pPr>
        <w:pStyle w:val="Heading2"/>
        <w:rPr>
          <w:lang w:val="en-GB"/>
        </w:rPr>
      </w:pPr>
      <w:r>
        <w:rPr>
          <w:lang w:val="en-GB"/>
        </w:rPr>
        <w:t>Participant Recruitment</w:t>
      </w:r>
    </w:p>
    <w:tbl>
      <w:tblPr>
        <w:tblStyle w:val="TableGrid"/>
        <w:tblW w:w="0" w:type="auto"/>
        <w:tblLook w:val="04A0" w:firstRow="1" w:lastRow="0" w:firstColumn="1" w:lastColumn="0" w:noHBand="0" w:noVBand="1"/>
      </w:tblPr>
      <w:tblGrid>
        <w:gridCol w:w="2207"/>
        <w:gridCol w:w="1994"/>
        <w:gridCol w:w="1993"/>
        <w:gridCol w:w="1993"/>
        <w:gridCol w:w="2001"/>
      </w:tblGrid>
      <w:tr w:rsidR="005A075E" w:rsidRPr="00553CC9" w:rsidTr="00745EAC">
        <w:trPr>
          <w:trHeight w:hRule="exact" w:val="454"/>
        </w:trPr>
        <w:tc>
          <w:tcPr>
            <w:tcW w:w="2207" w:type="dxa"/>
            <w:tcBorders>
              <w:bottom w:val="single" w:sz="4" w:space="0" w:color="auto"/>
            </w:tcBorders>
            <w:shd w:val="clear" w:color="auto" w:fill="8DB3E2" w:themeFill="text2" w:themeFillTint="66"/>
          </w:tcPr>
          <w:p w:rsidR="005A075E" w:rsidRPr="008C2E8A" w:rsidRDefault="005A075E" w:rsidP="006B0673">
            <w:pPr>
              <w:jc w:val="center"/>
              <w:rPr>
                <w:rFonts w:asciiTheme="minorHAnsi" w:hAnsiTheme="minorHAnsi"/>
                <w:sz w:val="22"/>
                <w:szCs w:val="22"/>
              </w:rPr>
            </w:pPr>
          </w:p>
        </w:tc>
        <w:tc>
          <w:tcPr>
            <w:tcW w:w="1994" w:type="dxa"/>
            <w:shd w:val="clear" w:color="auto" w:fill="8DB3E2" w:themeFill="text2" w:themeFillTint="66"/>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2011/2012</w:t>
            </w:r>
          </w:p>
        </w:tc>
        <w:tc>
          <w:tcPr>
            <w:tcW w:w="1993" w:type="dxa"/>
            <w:shd w:val="clear" w:color="auto" w:fill="8DB3E2" w:themeFill="text2" w:themeFillTint="66"/>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2012/2013</w:t>
            </w:r>
          </w:p>
        </w:tc>
        <w:tc>
          <w:tcPr>
            <w:tcW w:w="1993" w:type="dxa"/>
            <w:shd w:val="clear" w:color="auto" w:fill="8DB3E2" w:themeFill="text2" w:themeFillTint="66"/>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2013/2014</w:t>
            </w:r>
          </w:p>
        </w:tc>
        <w:tc>
          <w:tcPr>
            <w:tcW w:w="2001" w:type="dxa"/>
            <w:shd w:val="clear" w:color="auto" w:fill="8DB3E2" w:themeFill="text2" w:themeFillTint="66"/>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2014/2015</w:t>
            </w:r>
          </w:p>
        </w:tc>
      </w:tr>
      <w:tr w:rsidR="005A075E" w:rsidRPr="00553CC9" w:rsidTr="00745EAC">
        <w:trPr>
          <w:trHeight w:hRule="exact" w:val="454"/>
        </w:trPr>
        <w:tc>
          <w:tcPr>
            <w:tcW w:w="2207" w:type="dxa"/>
            <w:shd w:val="clear" w:color="auto" w:fill="auto"/>
          </w:tcPr>
          <w:p w:rsidR="005A075E" w:rsidRPr="008C2E8A" w:rsidRDefault="005A075E" w:rsidP="006B0673">
            <w:pPr>
              <w:rPr>
                <w:rFonts w:asciiTheme="minorHAnsi" w:hAnsiTheme="minorHAnsi"/>
                <w:sz w:val="22"/>
                <w:szCs w:val="22"/>
              </w:rPr>
            </w:pPr>
            <w:r>
              <w:rPr>
                <w:rFonts w:asciiTheme="minorHAnsi" w:hAnsiTheme="minorHAnsi"/>
                <w:sz w:val="22"/>
                <w:szCs w:val="22"/>
              </w:rPr>
              <w:t>Portfolio</w:t>
            </w:r>
          </w:p>
        </w:tc>
        <w:tc>
          <w:tcPr>
            <w:tcW w:w="1994" w:type="dxa"/>
            <w:shd w:val="clear" w:color="auto" w:fill="auto"/>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2303</w:t>
            </w:r>
          </w:p>
        </w:tc>
        <w:tc>
          <w:tcPr>
            <w:tcW w:w="1993" w:type="dxa"/>
            <w:shd w:val="clear" w:color="auto" w:fill="auto"/>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1822</w:t>
            </w:r>
          </w:p>
        </w:tc>
        <w:tc>
          <w:tcPr>
            <w:tcW w:w="1993" w:type="dxa"/>
            <w:shd w:val="clear" w:color="auto" w:fill="auto"/>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2763</w:t>
            </w:r>
          </w:p>
        </w:tc>
        <w:tc>
          <w:tcPr>
            <w:tcW w:w="2001" w:type="dxa"/>
            <w:shd w:val="clear" w:color="auto" w:fill="auto"/>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909</w:t>
            </w:r>
          </w:p>
        </w:tc>
      </w:tr>
      <w:tr w:rsidR="005A075E" w:rsidRPr="00553CC9" w:rsidTr="00745EAC">
        <w:trPr>
          <w:trHeight w:hRule="exact" w:val="454"/>
        </w:trPr>
        <w:tc>
          <w:tcPr>
            <w:tcW w:w="2207" w:type="dxa"/>
            <w:shd w:val="clear" w:color="auto" w:fill="auto"/>
          </w:tcPr>
          <w:p w:rsidR="005A075E" w:rsidRPr="008C2E8A" w:rsidRDefault="005A075E" w:rsidP="006B0673">
            <w:pPr>
              <w:rPr>
                <w:rFonts w:asciiTheme="minorHAnsi" w:hAnsiTheme="minorHAnsi"/>
                <w:sz w:val="22"/>
                <w:szCs w:val="22"/>
              </w:rPr>
            </w:pPr>
            <w:r>
              <w:rPr>
                <w:rFonts w:asciiTheme="minorHAnsi" w:hAnsiTheme="minorHAnsi"/>
                <w:sz w:val="22"/>
                <w:szCs w:val="22"/>
              </w:rPr>
              <w:t>Non portfolio</w:t>
            </w:r>
          </w:p>
        </w:tc>
        <w:tc>
          <w:tcPr>
            <w:tcW w:w="1994" w:type="dxa"/>
            <w:shd w:val="clear" w:color="auto" w:fill="auto"/>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53*</w:t>
            </w:r>
          </w:p>
        </w:tc>
        <w:tc>
          <w:tcPr>
            <w:tcW w:w="1993" w:type="dxa"/>
            <w:shd w:val="clear" w:color="auto" w:fill="auto"/>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359</w:t>
            </w:r>
          </w:p>
        </w:tc>
        <w:tc>
          <w:tcPr>
            <w:tcW w:w="1993" w:type="dxa"/>
            <w:shd w:val="clear" w:color="auto" w:fill="auto"/>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780</w:t>
            </w:r>
          </w:p>
        </w:tc>
        <w:tc>
          <w:tcPr>
            <w:tcW w:w="2001" w:type="dxa"/>
            <w:shd w:val="clear" w:color="auto" w:fill="auto"/>
          </w:tcPr>
          <w:p w:rsidR="005A075E" w:rsidRPr="008C2E8A" w:rsidRDefault="005A075E" w:rsidP="006B0673">
            <w:pPr>
              <w:jc w:val="center"/>
              <w:rPr>
                <w:rFonts w:asciiTheme="minorHAnsi" w:hAnsiTheme="minorHAnsi"/>
                <w:sz w:val="22"/>
                <w:szCs w:val="22"/>
              </w:rPr>
            </w:pPr>
            <w:r>
              <w:rPr>
                <w:rFonts w:asciiTheme="minorHAnsi" w:hAnsiTheme="minorHAnsi"/>
                <w:sz w:val="22"/>
                <w:szCs w:val="22"/>
              </w:rPr>
              <w:t>Data not complete</w:t>
            </w:r>
          </w:p>
        </w:tc>
      </w:tr>
    </w:tbl>
    <w:p w:rsidR="00142326" w:rsidRPr="00142326" w:rsidRDefault="00142326" w:rsidP="00E40938">
      <w:pPr>
        <w:rPr>
          <w:lang w:val="en-GB"/>
        </w:rPr>
      </w:pPr>
      <w:r w:rsidRPr="00142326">
        <w:rPr>
          <w:lang w:val="en-GB"/>
        </w:rPr>
        <w:t>R&amp;D records show that 909 participants have been recruited to these 67 portfolio studies since April 2014.  Of the 909, 37 participants have been recruited to industry studies and the remaining 870 to non-industry studies.  External sources suggest that the number of participants recruited to industry studies is one.  This is being reviewed by R&amp;D and the CRN to ensure consistencies with internal and external reporting.</w:t>
      </w:r>
    </w:p>
    <w:p w:rsidR="00E3381E" w:rsidRDefault="00E3381E" w:rsidP="00E3381E">
      <w:pPr>
        <w:pStyle w:val="Heading2"/>
        <w:rPr>
          <w:lang w:val="en-GB"/>
        </w:rPr>
      </w:pPr>
      <w:r>
        <w:rPr>
          <w:lang w:val="en-GB"/>
        </w:rPr>
        <w:t>NIHR Metrics and Targets</w:t>
      </w:r>
    </w:p>
    <w:p w:rsidR="005A075E" w:rsidRPr="005A075E" w:rsidRDefault="00E3381E" w:rsidP="005A075E">
      <w:pPr>
        <w:rPr>
          <w:lang w:val="en-GB"/>
        </w:rPr>
      </w:pPr>
      <w:r>
        <w:rPr>
          <w:rFonts w:cs="Arial"/>
          <w:bCs/>
          <w:color w:val="000000"/>
        </w:rPr>
        <w:t>NHS organi</w:t>
      </w:r>
      <w:r w:rsidR="00E23B7A">
        <w:rPr>
          <w:rFonts w:cs="Arial"/>
          <w:bCs/>
          <w:color w:val="000000"/>
        </w:rPr>
        <w:t>s</w:t>
      </w:r>
      <w:r>
        <w:rPr>
          <w:rFonts w:cs="Arial"/>
          <w:bCs/>
          <w:color w:val="000000"/>
        </w:rPr>
        <w:t>ation</w:t>
      </w:r>
      <w:r w:rsidR="00E23B7A">
        <w:rPr>
          <w:rFonts w:cs="Arial"/>
          <w:bCs/>
          <w:color w:val="000000"/>
        </w:rPr>
        <w:t>s</w:t>
      </w:r>
      <w:r>
        <w:rPr>
          <w:rFonts w:cs="Arial"/>
          <w:bCs/>
          <w:color w:val="000000"/>
        </w:rPr>
        <w:t xml:space="preserve"> are expected to provide the NIHR</w:t>
      </w:r>
      <w:r w:rsidR="00C61CB9">
        <w:rPr>
          <w:rFonts w:cs="Arial"/>
          <w:bCs/>
          <w:color w:val="000000"/>
        </w:rPr>
        <w:t xml:space="preserve"> with quarterly Performance Initiation and Delivery (PID) </w:t>
      </w:r>
      <w:r>
        <w:rPr>
          <w:rFonts w:cs="Arial"/>
          <w:bCs/>
          <w:color w:val="000000"/>
        </w:rPr>
        <w:t>reports</w:t>
      </w:r>
      <w:r w:rsidR="00E23B7A">
        <w:rPr>
          <w:rFonts w:cs="Arial"/>
          <w:bCs/>
          <w:color w:val="000000"/>
        </w:rPr>
        <w:t>, detailing the number of studies that recruit the</w:t>
      </w:r>
      <w:r w:rsidR="00E23B7A" w:rsidRPr="00E23B7A">
        <w:rPr>
          <w:rFonts w:cs="Arial"/>
          <w:bCs/>
          <w:color w:val="000000"/>
        </w:rPr>
        <w:t xml:space="preserve"> </w:t>
      </w:r>
      <w:r w:rsidR="00E23B7A" w:rsidRPr="00143529">
        <w:rPr>
          <w:rFonts w:cs="Arial"/>
          <w:bCs/>
          <w:color w:val="000000"/>
        </w:rPr>
        <w:t>first participant into a clinical trial within 70 days of the organisation receiving a valid research application</w:t>
      </w:r>
      <w:r w:rsidR="00E23B7A">
        <w:rPr>
          <w:rStyle w:val="FootnoteReference"/>
          <w:rFonts w:cs="Arial"/>
          <w:bCs/>
          <w:color w:val="000000"/>
        </w:rPr>
        <w:footnoteReference w:id="1"/>
      </w:r>
      <w:r w:rsidR="00E23B7A">
        <w:rPr>
          <w:rFonts w:cs="Arial"/>
          <w:bCs/>
          <w:color w:val="000000"/>
        </w:rPr>
        <w:t xml:space="preserve"> and the </w:t>
      </w:r>
      <w:r w:rsidR="00E23B7A" w:rsidRPr="005A075E">
        <w:rPr>
          <w:rFonts w:cs="Arial"/>
          <w:bCs/>
        </w:rPr>
        <w:t xml:space="preserve">number of studies recruiting the expected number of participants (time to target).  </w:t>
      </w:r>
    </w:p>
    <w:p w:rsidR="00AC5707" w:rsidRPr="005A075E" w:rsidRDefault="00E23B7A" w:rsidP="0087117D">
      <w:pPr>
        <w:rPr>
          <w:rFonts w:cs="Arial"/>
          <w:bCs/>
        </w:rPr>
      </w:pPr>
      <w:r w:rsidRPr="005A075E">
        <w:rPr>
          <w:rFonts w:cs="Arial"/>
          <w:bCs/>
        </w:rPr>
        <w:lastRenderedPageBreak/>
        <w:t xml:space="preserve">Researchers are expected to inform the R&amp;D department of the number of participants recruited to their study, in line with the NHS permission.  This data will inform the PID reports that are </w:t>
      </w:r>
      <w:r w:rsidR="00C65B5B" w:rsidRPr="005A075E">
        <w:rPr>
          <w:rFonts w:cs="Arial"/>
          <w:bCs/>
        </w:rPr>
        <w:t>comp</w:t>
      </w:r>
      <w:r w:rsidRPr="005A075E">
        <w:rPr>
          <w:rFonts w:cs="Arial"/>
          <w:bCs/>
        </w:rPr>
        <w:t>i</w:t>
      </w:r>
      <w:r w:rsidR="00C65B5B" w:rsidRPr="005A075E">
        <w:rPr>
          <w:rFonts w:cs="Arial"/>
          <w:bCs/>
        </w:rPr>
        <w:t>l</w:t>
      </w:r>
      <w:r w:rsidRPr="005A075E">
        <w:rPr>
          <w:rFonts w:cs="Arial"/>
          <w:bCs/>
        </w:rPr>
        <w:t xml:space="preserve">ed and published nationally every quarter.  </w:t>
      </w:r>
      <w:r w:rsidR="005A075E" w:rsidRPr="005A075E">
        <w:rPr>
          <w:lang w:val="en-GB"/>
        </w:rPr>
        <w:t>The Trust has accountability for delivery of research as the legal entity and c</w:t>
      </w:r>
      <w:r w:rsidR="00AC1C51" w:rsidRPr="005A075E">
        <w:rPr>
          <w:rFonts w:cs="Arial"/>
          <w:bCs/>
        </w:rPr>
        <w:t>onsistent failure by Trusts to meet these targets may result in a reduction of up to 5% of Research Capability Funding to NHS organisations.</w:t>
      </w:r>
    </w:p>
    <w:p w:rsidR="00B46C2E" w:rsidRDefault="00B46C2E" w:rsidP="0087117D">
      <w:pPr>
        <w:rPr>
          <w:rFonts w:cs="Arial"/>
          <w:bCs/>
          <w:color w:val="000000"/>
        </w:rPr>
      </w:pPr>
    </w:p>
    <w:p w:rsidR="00AC5707" w:rsidRDefault="00AC5707" w:rsidP="0087117D">
      <w:pPr>
        <w:rPr>
          <w:rFonts w:cs="Arial"/>
          <w:bCs/>
          <w:color w:val="000000"/>
        </w:rPr>
      </w:pPr>
      <w:r>
        <w:rPr>
          <w:rFonts w:cs="Arial"/>
          <w:bCs/>
          <w:color w:val="000000"/>
        </w:rPr>
        <w:t xml:space="preserve">The table below shows the number of studies initiating research (70 day benchmark)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635"/>
        <w:gridCol w:w="1909"/>
        <w:gridCol w:w="2552"/>
      </w:tblGrid>
      <w:tr w:rsidR="002F70B5" w:rsidRPr="002C3CD6" w:rsidTr="002C3CD6">
        <w:tc>
          <w:tcPr>
            <w:tcW w:w="10173" w:type="dxa"/>
            <w:gridSpan w:val="5"/>
            <w:shd w:val="clear" w:color="auto" w:fill="548DD4" w:themeFill="text2" w:themeFillTint="99"/>
          </w:tcPr>
          <w:p w:rsidR="002F70B5" w:rsidRPr="002C3CD6" w:rsidRDefault="002F70B5" w:rsidP="002D0EF7">
            <w:pPr>
              <w:spacing w:after="0"/>
              <w:jc w:val="center"/>
              <w:rPr>
                <w:b/>
                <w:sz w:val="20"/>
                <w:szCs w:val="20"/>
              </w:rPr>
            </w:pPr>
            <w:r w:rsidRPr="002C3CD6">
              <w:rPr>
                <w:b/>
                <w:sz w:val="20"/>
                <w:szCs w:val="20"/>
              </w:rPr>
              <w:t>Performance in Initiating CTs</w:t>
            </w:r>
          </w:p>
        </w:tc>
      </w:tr>
      <w:tr w:rsidR="002F70B5" w:rsidRPr="002B6864" w:rsidTr="00C65B5B">
        <w:tc>
          <w:tcPr>
            <w:tcW w:w="1384" w:type="dxa"/>
          </w:tcPr>
          <w:p w:rsidR="002F70B5" w:rsidRPr="002F70B5" w:rsidRDefault="002F70B5" w:rsidP="006B5777">
            <w:pPr>
              <w:spacing w:after="0"/>
              <w:jc w:val="center"/>
              <w:rPr>
                <w:sz w:val="20"/>
                <w:szCs w:val="20"/>
              </w:rPr>
            </w:pPr>
            <w:r w:rsidRPr="002F70B5">
              <w:rPr>
                <w:sz w:val="20"/>
                <w:szCs w:val="20"/>
              </w:rPr>
              <w:t>Quarter</w:t>
            </w:r>
          </w:p>
        </w:tc>
        <w:tc>
          <w:tcPr>
            <w:tcW w:w="2693" w:type="dxa"/>
          </w:tcPr>
          <w:p w:rsidR="002F70B5" w:rsidRPr="002F70B5" w:rsidRDefault="002F70B5" w:rsidP="006B5777">
            <w:pPr>
              <w:spacing w:after="0"/>
              <w:jc w:val="center"/>
              <w:rPr>
                <w:sz w:val="20"/>
                <w:szCs w:val="20"/>
              </w:rPr>
            </w:pPr>
            <w:r w:rsidRPr="002F70B5">
              <w:rPr>
                <w:sz w:val="20"/>
                <w:szCs w:val="20"/>
              </w:rPr>
              <w:t>NHS Permission granted within the period</w:t>
            </w:r>
          </w:p>
        </w:tc>
        <w:tc>
          <w:tcPr>
            <w:tcW w:w="1635" w:type="dxa"/>
          </w:tcPr>
          <w:p w:rsidR="002F70B5" w:rsidRPr="002F70B5" w:rsidRDefault="002F70B5" w:rsidP="006B5777">
            <w:pPr>
              <w:spacing w:after="0"/>
              <w:jc w:val="center"/>
              <w:rPr>
                <w:sz w:val="20"/>
                <w:szCs w:val="20"/>
              </w:rPr>
            </w:pPr>
            <w:r w:rsidRPr="002F70B5">
              <w:rPr>
                <w:sz w:val="20"/>
                <w:szCs w:val="20"/>
              </w:rPr>
              <w:t>Number of studies with valid research application</w:t>
            </w:r>
          </w:p>
        </w:tc>
        <w:tc>
          <w:tcPr>
            <w:tcW w:w="1909" w:type="dxa"/>
          </w:tcPr>
          <w:p w:rsidR="002F70B5" w:rsidRPr="002F70B5" w:rsidRDefault="002F70B5" w:rsidP="006B5777">
            <w:pPr>
              <w:spacing w:after="0"/>
              <w:jc w:val="center"/>
              <w:rPr>
                <w:sz w:val="20"/>
                <w:szCs w:val="20"/>
              </w:rPr>
            </w:pPr>
            <w:r w:rsidRPr="002F70B5">
              <w:rPr>
                <w:sz w:val="20"/>
                <w:szCs w:val="20"/>
              </w:rPr>
              <w:t>Number of studies that recruited 1</w:t>
            </w:r>
            <w:r w:rsidRPr="002F70B5">
              <w:rPr>
                <w:sz w:val="20"/>
                <w:szCs w:val="20"/>
                <w:vertAlign w:val="superscript"/>
              </w:rPr>
              <w:t>st</w:t>
            </w:r>
            <w:r w:rsidRPr="002F70B5">
              <w:rPr>
                <w:sz w:val="20"/>
                <w:szCs w:val="20"/>
              </w:rPr>
              <w:t xml:space="preserve"> patient within 70 days</w:t>
            </w:r>
          </w:p>
        </w:tc>
        <w:tc>
          <w:tcPr>
            <w:tcW w:w="2552" w:type="dxa"/>
          </w:tcPr>
          <w:p w:rsidR="002F70B5" w:rsidRPr="002F70B5" w:rsidRDefault="002F70B5" w:rsidP="006B5777">
            <w:pPr>
              <w:spacing w:after="0"/>
              <w:jc w:val="center"/>
              <w:rPr>
                <w:sz w:val="20"/>
                <w:szCs w:val="20"/>
              </w:rPr>
            </w:pPr>
            <w:r w:rsidRPr="002F70B5">
              <w:rPr>
                <w:sz w:val="20"/>
                <w:szCs w:val="20"/>
              </w:rPr>
              <w:t>Percentage of studies that recruited 1</w:t>
            </w:r>
            <w:r w:rsidRPr="002F70B5">
              <w:rPr>
                <w:sz w:val="20"/>
                <w:szCs w:val="20"/>
                <w:vertAlign w:val="superscript"/>
              </w:rPr>
              <w:t>st</w:t>
            </w:r>
            <w:r w:rsidRPr="002F70B5">
              <w:rPr>
                <w:sz w:val="20"/>
                <w:szCs w:val="20"/>
              </w:rPr>
              <w:t xml:space="preserve"> patient within 70 days</w:t>
            </w:r>
          </w:p>
        </w:tc>
      </w:tr>
      <w:tr w:rsidR="002F70B5" w:rsidRPr="002B6864" w:rsidTr="00C65B5B">
        <w:tc>
          <w:tcPr>
            <w:tcW w:w="1384" w:type="dxa"/>
            <w:vAlign w:val="center"/>
          </w:tcPr>
          <w:p w:rsidR="002F70B5" w:rsidRPr="002F70B5" w:rsidRDefault="002F70B5" w:rsidP="002F70B5">
            <w:pPr>
              <w:spacing w:after="0"/>
              <w:jc w:val="center"/>
              <w:rPr>
                <w:sz w:val="20"/>
                <w:szCs w:val="20"/>
              </w:rPr>
            </w:pPr>
            <w:r w:rsidRPr="002F70B5">
              <w:rPr>
                <w:sz w:val="20"/>
                <w:szCs w:val="20"/>
              </w:rPr>
              <w:t>3 – 2012/13</w:t>
            </w:r>
          </w:p>
        </w:tc>
        <w:tc>
          <w:tcPr>
            <w:tcW w:w="2693" w:type="dxa"/>
            <w:vAlign w:val="center"/>
          </w:tcPr>
          <w:p w:rsidR="002F70B5" w:rsidRPr="002F70B5" w:rsidRDefault="002F70B5" w:rsidP="002F70B5">
            <w:pPr>
              <w:spacing w:after="0"/>
              <w:jc w:val="center"/>
              <w:rPr>
                <w:sz w:val="20"/>
                <w:szCs w:val="20"/>
              </w:rPr>
            </w:pPr>
            <w:r w:rsidRPr="002F70B5">
              <w:rPr>
                <w:sz w:val="20"/>
                <w:szCs w:val="20"/>
              </w:rPr>
              <w:t>1 Jan 2012 to 31 Dec 2012</w:t>
            </w:r>
          </w:p>
        </w:tc>
        <w:tc>
          <w:tcPr>
            <w:tcW w:w="1635" w:type="dxa"/>
            <w:vAlign w:val="center"/>
          </w:tcPr>
          <w:p w:rsidR="002F70B5" w:rsidRPr="002F70B5" w:rsidRDefault="006B5777" w:rsidP="002F70B5">
            <w:pPr>
              <w:spacing w:after="0"/>
              <w:jc w:val="center"/>
              <w:rPr>
                <w:sz w:val="20"/>
                <w:szCs w:val="20"/>
              </w:rPr>
            </w:pPr>
            <w:r>
              <w:rPr>
                <w:sz w:val="20"/>
                <w:szCs w:val="20"/>
              </w:rPr>
              <w:t>12</w:t>
            </w:r>
          </w:p>
        </w:tc>
        <w:tc>
          <w:tcPr>
            <w:tcW w:w="1909" w:type="dxa"/>
            <w:vAlign w:val="center"/>
          </w:tcPr>
          <w:p w:rsidR="002F70B5" w:rsidRPr="002F70B5" w:rsidRDefault="006B5777" w:rsidP="002F70B5">
            <w:pPr>
              <w:spacing w:after="0"/>
              <w:jc w:val="center"/>
              <w:rPr>
                <w:sz w:val="20"/>
                <w:szCs w:val="20"/>
              </w:rPr>
            </w:pPr>
            <w:r>
              <w:rPr>
                <w:sz w:val="20"/>
                <w:szCs w:val="20"/>
              </w:rPr>
              <w:t>4</w:t>
            </w:r>
          </w:p>
        </w:tc>
        <w:tc>
          <w:tcPr>
            <w:tcW w:w="2552" w:type="dxa"/>
            <w:vAlign w:val="center"/>
          </w:tcPr>
          <w:p w:rsidR="002F70B5" w:rsidRPr="002F70B5" w:rsidRDefault="00BD4A17" w:rsidP="002F70B5">
            <w:pPr>
              <w:spacing w:after="0"/>
              <w:jc w:val="center"/>
              <w:rPr>
                <w:sz w:val="20"/>
                <w:szCs w:val="20"/>
              </w:rPr>
            </w:pPr>
            <w:r>
              <w:rPr>
                <w:sz w:val="20"/>
                <w:szCs w:val="20"/>
              </w:rPr>
              <w:t>33%</w:t>
            </w:r>
          </w:p>
        </w:tc>
      </w:tr>
      <w:tr w:rsidR="002F70B5" w:rsidRPr="002B6864" w:rsidTr="00C65B5B">
        <w:tc>
          <w:tcPr>
            <w:tcW w:w="1384" w:type="dxa"/>
            <w:vAlign w:val="center"/>
          </w:tcPr>
          <w:p w:rsidR="002F70B5" w:rsidRPr="002F70B5" w:rsidRDefault="002F70B5" w:rsidP="002F70B5">
            <w:pPr>
              <w:spacing w:after="0"/>
              <w:jc w:val="center"/>
              <w:rPr>
                <w:sz w:val="20"/>
                <w:szCs w:val="20"/>
              </w:rPr>
            </w:pPr>
            <w:r w:rsidRPr="002F70B5">
              <w:rPr>
                <w:sz w:val="20"/>
                <w:szCs w:val="20"/>
              </w:rPr>
              <w:t>4 – 2012/13</w:t>
            </w:r>
          </w:p>
        </w:tc>
        <w:tc>
          <w:tcPr>
            <w:tcW w:w="2693" w:type="dxa"/>
            <w:vAlign w:val="center"/>
          </w:tcPr>
          <w:p w:rsidR="002F70B5" w:rsidRPr="002F70B5" w:rsidRDefault="002F70B5" w:rsidP="002F70B5">
            <w:pPr>
              <w:spacing w:after="0"/>
              <w:jc w:val="center"/>
              <w:rPr>
                <w:sz w:val="20"/>
                <w:szCs w:val="20"/>
              </w:rPr>
            </w:pPr>
            <w:r w:rsidRPr="002F70B5">
              <w:rPr>
                <w:sz w:val="20"/>
                <w:szCs w:val="20"/>
              </w:rPr>
              <w:t>1 Apr 2012 to 31 Mar 2013</w:t>
            </w:r>
          </w:p>
        </w:tc>
        <w:tc>
          <w:tcPr>
            <w:tcW w:w="1635" w:type="dxa"/>
            <w:vAlign w:val="center"/>
          </w:tcPr>
          <w:p w:rsidR="002F70B5" w:rsidRPr="002F70B5" w:rsidRDefault="00BD4A17" w:rsidP="002F70B5">
            <w:pPr>
              <w:spacing w:after="0"/>
              <w:jc w:val="center"/>
              <w:rPr>
                <w:sz w:val="20"/>
                <w:szCs w:val="20"/>
              </w:rPr>
            </w:pPr>
            <w:r>
              <w:rPr>
                <w:sz w:val="20"/>
                <w:szCs w:val="20"/>
              </w:rPr>
              <w:t>12</w:t>
            </w:r>
          </w:p>
        </w:tc>
        <w:tc>
          <w:tcPr>
            <w:tcW w:w="1909" w:type="dxa"/>
            <w:vAlign w:val="center"/>
          </w:tcPr>
          <w:p w:rsidR="002F70B5" w:rsidRPr="002F70B5" w:rsidRDefault="00BD4A17" w:rsidP="002F70B5">
            <w:pPr>
              <w:spacing w:after="0"/>
              <w:jc w:val="center"/>
              <w:rPr>
                <w:sz w:val="20"/>
                <w:szCs w:val="20"/>
              </w:rPr>
            </w:pPr>
            <w:r>
              <w:rPr>
                <w:sz w:val="20"/>
                <w:szCs w:val="20"/>
              </w:rPr>
              <w:t>3</w:t>
            </w:r>
          </w:p>
        </w:tc>
        <w:tc>
          <w:tcPr>
            <w:tcW w:w="2552" w:type="dxa"/>
            <w:vAlign w:val="center"/>
          </w:tcPr>
          <w:p w:rsidR="002F70B5" w:rsidRPr="002F70B5" w:rsidRDefault="00BD4A17" w:rsidP="002F70B5">
            <w:pPr>
              <w:spacing w:after="0"/>
              <w:jc w:val="center"/>
              <w:rPr>
                <w:sz w:val="20"/>
                <w:szCs w:val="20"/>
              </w:rPr>
            </w:pPr>
            <w:r>
              <w:rPr>
                <w:sz w:val="20"/>
                <w:szCs w:val="20"/>
              </w:rPr>
              <w:t>25%</w:t>
            </w:r>
          </w:p>
        </w:tc>
      </w:tr>
      <w:tr w:rsidR="002F70B5" w:rsidRPr="002B6864" w:rsidTr="00C65B5B">
        <w:tc>
          <w:tcPr>
            <w:tcW w:w="1384" w:type="dxa"/>
            <w:vAlign w:val="center"/>
          </w:tcPr>
          <w:p w:rsidR="002F70B5" w:rsidRPr="002F70B5" w:rsidRDefault="002F70B5" w:rsidP="002F70B5">
            <w:pPr>
              <w:spacing w:after="0"/>
              <w:jc w:val="center"/>
              <w:rPr>
                <w:sz w:val="20"/>
                <w:szCs w:val="20"/>
              </w:rPr>
            </w:pPr>
            <w:r w:rsidRPr="002F70B5">
              <w:rPr>
                <w:sz w:val="20"/>
                <w:szCs w:val="20"/>
              </w:rPr>
              <w:t>1 – 2013/14</w:t>
            </w:r>
          </w:p>
        </w:tc>
        <w:tc>
          <w:tcPr>
            <w:tcW w:w="2693" w:type="dxa"/>
            <w:vAlign w:val="center"/>
          </w:tcPr>
          <w:p w:rsidR="002F70B5" w:rsidRPr="002F70B5" w:rsidRDefault="002F70B5" w:rsidP="002F70B5">
            <w:pPr>
              <w:spacing w:after="0"/>
              <w:jc w:val="center"/>
              <w:rPr>
                <w:sz w:val="20"/>
                <w:szCs w:val="20"/>
              </w:rPr>
            </w:pPr>
            <w:r w:rsidRPr="002F70B5">
              <w:rPr>
                <w:sz w:val="20"/>
                <w:szCs w:val="20"/>
              </w:rPr>
              <w:t>1 Jul 2012 to 30 Jun 2013</w:t>
            </w:r>
          </w:p>
        </w:tc>
        <w:tc>
          <w:tcPr>
            <w:tcW w:w="1635" w:type="dxa"/>
            <w:vAlign w:val="center"/>
          </w:tcPr>
          <w:p w:rsidR="002F70B5" w:rsidRPr="002F70B5" w:rsidRDefault="00BD4A17" w:rsidP="002F70B5">
            <w:pPr>
              <w:spacing w:after="0"/>
              <w:jc w:val="center"/>
              <w:rPr>
                <w:sz w:val="20"/>
                <w:szCs w:val="20"/>
              </w:rPr>
            </w:pPr>
            <w:r>
              <w:rPr>
                <w:sz w:val="20"/>
                <w:szCs w:val="20"/>
              </w:rPr>
              <w:t>12</w:t>
            </w:r>
          </w:p>
        </w:tc>
        <w:tc>
          <w:tcPr>
            <w:tcW w:w="1909" w:type="dxa"/>
            <w:vAlign w:val="center"/>
          </w:tcPr>
          <w:p w:rsidR="002F70B5" w:rsidRPr="002F70B5" w:rsidRDefault="00BD4A17" w:rsidP="002F70B5">
            <w:pPr>
              <w:spacing w:after="0"/>
              <w:jc w:val="center"/>
              <w:rPr>
                <w:sz w:val="20"/>
                <w:szCs w:val="20"/>
              </w:rPr>
            </w:pPr>
            <w:r>
              <w:rPr>
                <w:sz w:val="20"/>
                <w:szCs w:val="20"/>
              </w:rPr>
              <w:t>8</w:t>
            </w:r>
          </w:p>
        </w:tc>
        <w:tc>
          <w:tcPr>
            <w:tcW w:w="2552" w:type="dxa"/>
            <w:vAlign w:val="center"/>
          </w:tcPr>
          <w:p w:rsidR="002F70B5" w:rsidRPr="002F70B5" w:rsidRDefault="00BD4A17" w:rsidP="002F70B5">
            <w:pPr>
              <w:spacing w:after="0"/>
              <w:jc w:val="center"/>
              <w:rPr>
                <w:sz w:val="20"/>
                <w:szCs w:val="20"/>
              </w:rPr>
            </w:pPr>
            <w:r>
              <w:rPr>
                <w:sz w:val="20"/>
                <w:szCs w:val="20"/>
              </w:rPr>
              <w:t>67%</w:t>
            </w:r>
          </w:p>
        </w:tc>
      </w:tr>
      <w:tr w:rsidR="002F70B5" w:rsidRPr="002B6864" w:rsidTr="00C65B5B">
        <w:tc>
          <w:tcPr>
            <w:tcW w:w="1384" w:type="dxa"/>
            <w:vAlign w:val="center"/>
          </w:tcPr>
          <w:p w:rsidR="002F70B5" w:rsidRPr="002F70B5" w:rsidRDefault="002F70B5" w:rsidP="002F70B5">
            <w:pPr>
              <w:spacing w:after="0"/>
              <w:jc w:val="center"/>
              <w:rPr>
                <w:sz w:val="20"/>
                <w:szCs w:val="20"/>
              </w:rPr>
            </w:pPr>
            <w:r w:rsidRPr="002F70B5">
              <w:rPr>
                <w:sz w:val="20"/>
                <w:szCs w:val="20"/>
              </w:rPr>
              <w:t>2 – 2013/14</w:t>
            </w:r>
          </w:p>
        </w:tc>
        <w:tc>
          <w:tcPr>
            <w:tcW w:w="2693" w:type="dxa"/>
            <w:vAlign w:val="center"/>
          </w:tcPr>
          <w:p w:rsidR="002F70B5" w:rsidRPr="002F70B5" w:rsidRDefault="002F70B5" w:rsidP="002F70B5">
            <w:pPr>
              <w:spacing w:after="0"/>
              <w:jc w:val="center"/>
              <w:rPr>
                <w:sz w:val="20"/>
                <w:szCs w:val="20"/>
              </w:rPr>
            </w:pPr>
            <w:r w:rsidRPr="002F70B5">
              <w:rPr>
                <w:sz w:val="20"/>
                <w:szCs w:val="20"/>
              </w:rPr>
              <w:t>1 Oct 2012 to 30 Sept 2013</w:t>
            </w:r>
          </w:p>
        </w:tc>
        <w:tc>
          <w:tcPr>
            <w:tcW w:w="1635" w:type="dxa"/>
            <w:vAlign w:val="center"/>
          </w:tcPr>
          <w:p w:rsidR="002F70B5" w:rsidRPr="002F70B5" w:rsidRDefault="00BD4A17" w:rsidP="002F70B5">
            <w:pPr>
              <w:spacing w:after="0"/>
              <w:jc w:val="center"/>
              <w:rPr>
                <w:sz w:val="20"/>
                <w:szCs w:val="20"/>
              </w:rPr>
            </w:pPr>
            <w:r>
              <w:rPr>
                <w:sz w:val="20"/>
                <w:szCs w:val="20"/>
              </w:rPr>
              <w:t>11</w:t>
            </w:r>
          </w:p>
        </w:tc>
        <w:tc>
          <w:tcPr>
            <w:tcW w:w="1909" w:type="dxa"/>
            <w:vAlign w:val="center"/>
          </w:tcPr>
          <w:p w:rsidR="002F70B5" w:rsidRPr="002F70B5" w:rsidRDefault="00BD4A17" w:rsidP="002F70B5">
            <w:pPr>
              <w:spacing w:after="0"/>
              <w:jc w:val="center"/>
              <w:rPr>
                <w:sz w:val="20"/>
                <w:szCs w:val="20"/>
              </w:rPr>
            </w:pPr>
            <w:r>
              <w:rPr>
                <w:sz w:val="20"/>
                <w:szCs w:val="20"/>
              </w:rPr>
              <w:t>8</w:t>
            </w:r>
          </w:p>
        </w:tc>
        <w:tc>
          <w:tcPr>
            <w:tcW w:w="2552" w:type="dxa"/>
            <w:vAlign w:val="center"/>
          </w:tcPr>
          <w:p w:rsidR="002F70B5" w:rsidRPr="002F70B5" w:rsidRDefault="00BD4A17" w:rsidP="002F70B5">
            <w:pPr>
              <w:spacing w:after="0"/>
              <w:jc w:val="center"/>
              <w:rPr>
                <w:sz w:val="20"/>
                <w:szCs w:val="20"/>
              </w:rPr>
            </w:pPr>
            <w:r>
              <w:rPr>
                <w:sz w:val="20"/>
                <w:szCs w:val="20"/>
              </w:rPr>
              <w:t>73%</w:t>
            </w:r>
          </w:p>
        </w:tc>
      </w:tr>
      <w:tr w:rsidR="006465AF" w:rsidRPr="002B6864" w:rsidTr="006465AF">
        <w:tc>
          <w:tcPr>
            <w:tcW w:w="1384" w:type="dxa"/>
            <w:tcBorders>
              <w:top w:val="single" w:sz="4" w:space="0" w:color="auto"/>
              <w:left w:val="single" w:sz="4" w:space="0" w:color="auto"/>
              <w:bottom w:val="single" w:sz="4" w:space="0" w:color="auto"/>
              <w:right w:val="single" w:sz="4" w:space="0" w:color="auto"/>
            </w:tcBorders>
            <w:vAlign w:val="center"/>
          </w:tcPr>
          <w:p w:rsidR="006465AF" w:rsidRPr="002F70B5" w:rsidRDefault="006465AF" w:rsidP="006465AF">
            <w:pPr>
              <w:spacing w:after="0"/>
              <w:jc w:val="center"/>
              <w:rPr>
                <w:sz w:val="20"/>
                <w:szCs w:val="20"/>
              </w:rPr>
            </w:pPr>
            <w:r w:rsidRPr="002F70B5">
              <w:rPr>
                <w:sz w:val="20"/>
                <w:szCs w:val="20"/>
              </w:rPr>
              <w:t>3 – 201</w:t>
            </w:r>
            <w:r>
              <w:rPr>
                <w:sz w:val="20"/>
                <w:szCs w:val="20"/>
              </w:rPr>
              <w:t>3</w:t>
            </w:r>
            <w:r w:rsidRPr="002F70B5">
              <w:rPr>
                <w:sz w:val="20"/>
                <w:szCs w:val="20"/>
              </w:rPr>
              <w:t>/1</w:t>
            </w:r>
            <w:r>
              <w:rPr>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6465AF" w:rsidRPr="002F70B5" w:rsidRDefault="006465AF" w:rsidP="006465AF">
            <w:pPr>
              <w:spacing w:after="0"/>
              <w:jc w:val="center"/>
              <w:rPr>
                <w:sz w:val="20"/>
                <w:szCs w:val="20"/>
              </w:rPr>
            </w:pPr>
            <w:r w:rsidRPr="002F70B5">
              <w:rPr>
                <w:sz w:val="20"/>
                <w:szCs w:val="20"/>
              </w:rPr>
              <w:t>1 Jan 201</w:t>
            </w:r>
            <w:r>
              <w:rPr>
                <w:sz w:val="20"/>
                <w:szCs w:val="20"/>
              </w:rPr>
              <w:t>3</w:t>
            </w:r>
            <w:r w:rsidRPr="002F70B5">
              <w:rPr>
                <w:sz w:val="20"/>
                <w:szCs w:val="20"/>
              </w:rPr>
              <w:t xml:space="preserve"> to 31 Dec 201</w:t>
            </w:r>
            <w:r>
              <w:rPr>
                <w:sz w:val="20"/>
                <w:szCs w:val="20"/>
              </w:rPr>
              <w:t>3</w:t>
            </w:r>
          </w:p>
        </w:tc>
        <w:tc>
          <w:tcPr>
            <w:tcW w:w="1635" w:type="dxa"/>
            <w:tcBorders>
              <w:top w:val="single" w:sz="4" w:space="0" w:color="auto"/>
              <w:left w:val="single" w:sz="4" w:space="0" w:color="auto"/>
              <w:bottom w:val="single" w:sz="4" w:space="0" w:color="auto"/>
              <w:right w:val="single" w:sz="4" w:space="0" w:color="auto"/>
            </w:tcBorders>
            <w:vAlign w:val="center"/>
          </w:tcPr>
          <w:p w:rsidR="006465AF" w:rsidRPr="002F70B5" w:rsidRDefault="00BD4A17" w:rsidP="006465AF">
            <w:pPr>
              <w:spacing w:after="0"/>
              <w:jc w:val="center"/>
              <w:rPr>
                <w:sz w:val="20"/>
                <w:szCs w:val="20"/>
              </w:rPr>
            </w:pPr>
            <w:r>
              <w:rPr>
                <w:sz w:val="20"/>
                <w:szCs w:val="20"/>
              </w:rPr>
              <w:t>12</w:t>
            </w:r>
          </w:p>
        </w:tc>
        <w:tc>
          <w:tcPr>
            <w:tcW w:w="1909" w:type="dxa"/>
            <w:tcBorders>
              <w:top w:val="single" w:sz="4" w:space="0" w:color="auto"/>
              <w:left w:val="single" w:sz="4" w:space="0" w:color="auto"/>
              <w:bottom w:val="single" w:sz="4" w:space="0" w:color="auto"/>
              <w:right w:val="single" w:sz="4" w:space="0" w:color="auto"/>
            </w:tcBorders>
            <w:vAlign w:val="center"/>
          </w:tcPr>
          <w:p w:rsidR="006465AF" w:rsidRPr="002F70B5" w:rsidRDefault="00BD4A17" w:rsidP="006465AF">
            <w:pPr>
              <w:spacing w:after="0"/>
              <w:jc w:val="center"/>
              <w:rPr>
                <w:sz w:val="20"/>
                <w:szCs w:val="20"/>
              </w:rPr>
            </w:pPr>
            <w:r>
              <w:rPr>
                <w:sz w:val="20"/>
                <w:szCs w:val="20"/>
              </w:rPr>
              <w:t>9</w:t>
            </w:r>
          </w:p>
        </w:tc>
        <w:tc>
          <w:tcPr>
            <w:tcW w:w="2552" w:type="dxa"/>
            <w:tcBorders>
              <w:top w:val="single" w:sz="4" w:space="0" w:color="auto"/>
              <w:left w:val="single" w:sz="4" w:space="0" w:color="auto"/>
              <w:bottom w:val="single" w:sz="4" w:space="0" w:color="auto"/>
              <w:right w:val="single" w:sz="4" w:space="0" w:color="auto"/>
            </w:tcBorders>
            <w:vAlign w:val="center"/>
          </w:tcPr>
          <w:p w:rsidR="006465AF" w:rsidRPr="002F70B5" w:rsidRDefault="00BD4A17" w:rsidP="006465AF">
            <w:pPr>
              <w:spacing w:after="0"/>
              <w:jc w:val="center"/>
              <w:rPr>
                <w:sz w:val="20"/>
                <w:szCs w:val="20"/>
              </w:rPr>
            </w:pPr>
            <w:r>
              <w:rPr>
                <w:sz w:val="20"/>
                <w:szCs w:val="20"/>
              </w:rPr>
              <w:t>75%</w:t>
            </w:r>
          </w:p>
        </w:tc>
      </w:tr>
      <w:tr w:rsidR="006465AF" w:rsidRPr="002B6864" w:rsidTr="006465AF">
        <w:tc>
          <w:tcPr>
            <w:tcW w:w="1384" w:type="dxa"/>
            <w:tcBorders>
              <w:top w:val="single" w:sz="4" w:space="0" w:color="auto"/>
              <w:left w:val="single" w:sz="4" w:space="0" w:color="auto"/>
              <w:bottom w:val="single" w:sz="4" w:space="0" w:color="auto"/>
              <w:right w:val="single" w:sz="4" w:space="0" w:color="auto"/>
            </w:tcBorders>
            <w:vAlign w:val="center"/>
          </w:tcPr>
          <w:p w:rsidR="006465AF" w:rsidRPr="002F70B5" w:rsidRDefault="006465AF" w:rsidP="006465AF">
            <w:pPr>
              <w:spacing w:after="0"/>
              <w:jc w:val="center"/>
              <w:rPr>
                <w:sz w:val="20"/>
                <w:szCs w:val="20"/>
              </w:rPr>
            </w:pPr>
            <w:r w:rsidRPr="002F70B5">
              <w:rPr>
                <w:sz w:val="20"/>
                <w:szCs w:val="20"/>
              </w:rPr>
              <w:t>4 – 201</w:t>
            </w:r>
            <w:r>
              <w:rPr>
                <w:sz w:val="20"/>
                <w:szCs w:val="20"/>
              </w:rPr>
              <w:t>3</w:t>
            </w:r>
            <w:r w:rsidRPr="002F70B5">
              <w:rPr>
                <w:sz w:val="20"/>
                <w:szCs w:val="20"/>
              </w:rPr>
              <w:t>/1</w:t>
            </w:r>
            <w:r>
              <w:rPr>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6465AF" w:rsidRPr="002F70B5" w:rsidRDefault="006465AF" w:rsidP="006465AF">
            <w:pPr>
              <w:spacing w:after="0"/>
              <w:jc w:val="center"/>
              <w:rPr>
                <w:sz w:val="20"/>
                <w:szCs w:val="20"/>
              </w:rPr>
            </w:pPr>
            <w:r w:rsidRPr="002F70B5">
              <w:rPr>
                <w:sz w:val="20"/>
                <w:szCs w:val="20"/>
              </w:rPr>
              <w:t>1 Apr 201</w:t>
            </w:r>
            <w:r>
              <w:rPr>
                <w:sz w:val="20"/>
                <w:szCs w:val="20"/>
              </w:rPr>
              <w:t>3</w:t>
            </w:r>
            <w:r w:rsidRPr="002F70B5">
              <w:rPr>
                <w:sz w:val="20"/>
                <w:szCs w:val="20"/>
              </w:rPr>
              <w:t xml:space="preserve"> to 31 Mar 201</w:t>
            </w:r>
            <w:r>
              <w:rPr>
                <w:sz w:val="20"/>
                <w:szCs w:val="20"/>
              </w:rPr>
              <w:t>4</w:t>
            </w:r>
          </w:p>
        </w:tc>
        <w:tc>
          <w:tcPr>
            <w:tcW w:w="1635" w:type="dxa"/>
            <w:tcBorders>
              <w:top w:val="single" w:sz="4" w:space="0" w:color="auto"/>
              <w:left w:val="single" w:sz="4" w:space="0" w:color="auto"/>
              <w:bottom w:val="single" w:sz="4" w:space="0" w:color="auto"/>
              <w:right w:val="single" w:sz="4" w:space="0" w:color="auto"/>
            </w:tcBorders>
            <w:vAlign w:val="center"/>
          </w:tcPr>
          <w:p w:rsidR="006465AF" w:rsidRPr="002F70B5" w:rsidRDefault="00BD4A17" w:rsidP="006465AF">
            <w:pPr>
              <w:spacing w:after="0"/>
              <w:jc w:val="center"/>
              <w:rPr>
                <w:sz w:val="20"/>
                <w:szCs w:val="20"/>
              </w:rPr>
            </w:pPr>
            <w:r>
              <w:rPr>
                <w:sz w:val="20"/>
                <w:szCs w:val="20"/>
              </w:rPr>
              <w:t>12</w:t>
            </w:r>
          </w:p>
        </w:tc>
        <w:tc>
          <w:tcPr>
            <w:tcW w:w="1909" w:type="dxa"/>
            <w:tcBorders>
              <w:top w:val="single" w:sz="4" w:space="0" w:color="auto"/>
              <w:left w:val="single" w:sz="4" w:space="0" w:color="auto"/>
              <w:bottom w:val="single" w:sz="4" w:space="0" w:color="auto"/>
              <w:right w:val="single" w:sz="4" w:space="0" w:color="auto"/>
            </w:tcBorders>
            <w:vAlign w:val="center"/>
          </w:tcPr>
          <w:p w:rsidR="006465AF" w:rsidRPr="002F70B5" w:rsidRDefault="00BD4A17" w:rsidP="006465AF">
            <w:pPr>
              <w:spacing w:after="0"/>
              <w:jc w:val="center"/>
              <w:rPr>
                <w:sz w:val="20"/>
                <w:szCs w:val="20"/>
              </w:rPr>
            </w:pPr>
            <w:r>
              <w:rPr>
                <w:sz w:val="20"/>
                <w:szCs w:val="20"/>
              </w:rPr>
              <w:t>9</w:t>
            </w:r>
          </w:p>
        </w:tc>
        <w:tc>
          <w:tcPr>
            <w:tcW w:w="2552" w:type="dxa"/>
            <w:tcBorders>
              <w:top w:val="single" w:sz="4" w:space="0" w:color="auto"/>
              <w:left w:val="single" w:sz="4" w:space="0" w:color="auto"/>
              <w:bottom w:val="single" w:sz="4" w:space="0" w:color="auto"/>
              <w:right w:val="single" w:sz="4" w:space="0" w:color="auto"/>
            </w:tcBorders>
            <w:vAlign w:val="center"/>
          </w:tcPr>
          <w:p w:rsidR="006465AF" w:rsidRPr="002F70B5" w:rsidRDefault="00BD4A17" w:rsidP="006465AF">
            <w:pPr>
              <w:spacing w:after="0"/>
              <w:jc w:val="center"/>
              <w:rPr>
                <w:sz w:val="20"/>
                <w:szCs w:val="20"/>
              </w:rPr>
            </w:pPr>
            <w:r>
              <w:rPr>
                <w:sz w:val="20"/>
                <w:szCs w:val="20"/>
              </w:rPr>
              <w:t>75%</w:t>
            </w:r>
          </w:p>
        </w:tc>
      </w:tr>
      <w:tr w:rsidR="002C3CD6" w:rsidRPr="002B6864" w:rsidTr="006465AF">
        <w:tc>
          <w:tcPr>
            <w:tcW w:w="1384" w:type="dxa"/>
            <w:tcBorders>
              <w:top w:val="single" w:sz="4" w:space="0" w:color="auto"/>
              <w:left w:val="single" w:sz="4" w:space="0" w:color="auto"/>
              <w:bottom w:val="single" w:sz="4" w:space="0" w:color="auto"/>
              <w:right w:val="single" w:sz="4" w:space="0" w:color="auto"/>
            </w:tcBorders>
            <w:vAlign w:val="center"/>
          </w:tcPr>
          <w:p w:rsidR="002C3CD6" w:rsidRPr="002F70B5" w:rsidRDefault="002C3CD6" w:rsidP="002C3CD6">
            <w:pPr>
              <w:spacing w:after="0"/>
              <w:jc w:val="center"/>
              <w:rPr>
                <w:sz w:val="20"/>
                <w:szCs w:val="20"/>
              </w:rPr>
            </w:pPr>
            <w:r>
              <w:rPr>
                <w:sz w:val="20"/>
                <w:szCs w:val="20"/>
              </w:rPr>
              <w:t>1 – 2014</w:t>
            </w:r>
            <w:r w:rsidRPr="002F70B5">
              <w:rPr>
                <w:sz w:val="20"/>
                <w:szCs w:val="20"/>
              </w:rPr>
              <w:t>/1</w:t>
            </w:r>
            <w:r>
              <w:rPr>
                <w:sz w:val="20"/>
                <w:szCs w:val="20"/>
              </w:rPr>
              <w:t>5</w:t>
            </w:r>
          </w:p>
        </w:tc>
        <w:tc>
          <w:tcPr>
            <w:tcW w:w="2693" w:type="dxa"/>
            <w:tcBorders>
              <w:top w:val="single" w:sz="4" w:space="0" w:color="auto"/>
              <w:left w:val="single" w:sz="4" w:space="0" w:color="auto"/>
              <w:bottom w:val="single" w:sz="4" w:space="0" w:color="auto"/>
              <w:right w:val="single" w:sz="4" w:space="0" w:color="auto"/>
            </w:tcBorders>
            <w:vAlign w:val="center"/>
          </w:tcPr>
          <w:p w:rsidR="002C3CD6" w:rsidRPr="002F70B5" w:rsidRDefault="002C3CD6" w:rsidP="002C3CD6">
            <w:pPr>
              <w:spacing w:after="0"/>
              <w:jc w:val="center"/>
              <w:rPr>
                <w:sz w:val="20"/>
                <w:szCs w:val="20"/>
              </w:rPr>
            </w:pPr>
            <w:r w:rsidRPr="002F70B5">
              <w:rPr>
                <w:sz w:val="20"/>
                <w:szCs w:val="20"/>
              </w:rPr>
              <w:t>1 Jul 201</w:t>
            </w:r>
            <w:r>
              <w:rPr>
                <w:sz w:val="20"/>
                <w:szCs w:val="20"/>
              </w:rPr>
              <w:t>3</w:t>
            </w:r>
            <w:r w:rsidRPr="002F70B5">
              <w:rPr>
                <w:sz w:val="20"/>
                <w:szCs w:val="20"/>
              </w:rPr>
              <w:t xml:space="preserve"> to 30 Jun 201</w:t>
            </w:r>
            <w:r>
              <w:rPr>
                <w:sz w:val="20"/>
                <w:szCs w:val="20"/>
              </w:rPr>
              <w:t>4</w:t>
            </w:r>
          </w:p>
        </w:tc>
        <w:tc>
          <w:tcPr>
            <w:tcW w:w="1635" w:type="dxa"/>
            <w:tcBorders>
              <w:top w:val="single" w:sz="4" w:space="0" w:color="auto"/>
              <w:left w:val="single" w:sz="4" w:space="0" w:color="auto"/>
              <w:bottom w:val="single" w:sz="4" w:space="0" w:color="auto"/>
              <w:right w:val="single" w:sz="4" w:space="0" w:color="auto"/>
            </w:tcBorders>
            <w:vAlign w:val="center"/>
          </w:tcPr>
          <w:p w:rsidR="002C3CD6" w:rsidRDefault="002C3CD6" w:rsidP="006465AF">
            <w:pPr>
              <w:spacing w:after="0"/>
              <w:jc w:val="center"/>
              <w:rPr>
                <w:sz w:val="20"/>
                <w:szCs w:val="20"/>
              </w:rPr>
            </w:pPr>
            <w:r>
              <w:rPr>
                <w:sz w:val="20"/>
                <w:szCs w:val="20"/>
              </w:rPr>
              <w:t>13</w:t>
            </w:r>
          </w:p>
        </w:tc>
        <w:tc>
          <w:tcPr>
            <w:tcW w:w="1909" w:type="dxa"/>
            <w:tcBorders>
              <w:top w:val="single" w:sz="4" w:space="0" w:color="auto"/>
              <w:left w:val="single" w:sz="4" w:space="0" w:color="auto"/>
              <w:bottom w:val="single" w:sz="4" w:space="0" w:color="auto"/>
              <w:right w:val="single" w:sz="4" w:space="0" w:color="auto"/>
            </w:tcBorders>
            <w:vAlign w:val="center"/>
          </w:tcPr>
          <w:p w:rsidR="002C3CD6" w:rsidRDefault="002C3CD6" w:rsidP="006465AF">
            <w:pPr>
              <w:spacing w:after="0"/>
              <w:jc w:val="center"/>
              <w:rPr>
                <w:sz w:val="20"/>
                <w:szCs w:val="20"/>
              </w:rPr>
            </w:pPr>
            <w:r>
              <w:rPr>
                <w:sz w:val="20"/>
                <w:szCs w:val="20"/>
              </w:rPr>
              <w:t>8</w:t>
            </w:r>
          </w:p>
        </w:tc>
        <w:tc>
          <w:tcPr>
            <w:tcW w:w="2552" w:type="dxa"/>
            <w:tcBorders>
              <w:top w:val="single" w:sz="4" w:space="0" w:color="auto"/>
              <w:left w:val="single" w:sz="4" w:space="0" w:color="auto"/>
              <w:bottom w:val="single" w:sz="4" w:space="0" w:color="auto"/>
              <w:right w:val="single" w:sz="4" w:space="0" w:color="auto"/>
            </w:tcBorders>
            <w:vAlign w:val="center"/>
          </w:tcPr>
          <w:p w:rsidR="002C3CD6" w:rsidRDefault="002C3CD6" w:rsidP="006465AF">
            <w:pPr>
              <w:spacing w:after="0"/>
              <w:jc w:val="center"/>
              <w:rPr>
                <w:sz w:val="20"/>
                <w:szCs w:val="20"/>
              </w:rPr>
            </w:pPr>
            <w:r>
              <w:rPr>
                <w:sz w:val="20"/>
                <w:szCs w:val="20"/>
              </w:rPr>
              <w:t>62%</w:t>
            </w:r>
          </w:p>
        </w:tc>
      </w:tr>
      <w:tr w:rsidR="002C3CD6" w:rsidRPr="002B6864" w:rsidTr="006465AF">
        <w:tc>
          <w:tcPr>
            <w:tcW w:w="1384" w:type="dxa"/>
            <w:tcBorders>
              <w:top w:val="single" w:sz="4" w:space="0" w:color="auto"/>
              <w:left w:val="single" w:sz="4" w:space="0" w:color="auto"/>
              <w:bottom w:val="single" w:sz="4" w:space="0" w:color="auto"/>
              <w:right w:val="single" w:sz="4" w:space="0" w:color="auto"/>
            </w:tcBorders>
            <w:vAlign w:val="center"/>
          </w:tcPr>
          <w:p w:rsidR="002C3CD6" w:rsidRPr="002F70B5" w:rsidRDefault="002C3CD6" w:rsidP="006465AF">
            <w:pPr>
              <w:spacing w:after="0"/>
              <w:jc w:val="center"/>
              <w:rPr>
                <w:sz w:val="20"/>
                <w:szCs w:val="20"/>
              </w:rPr>
            </w:pPr>
            <w:r>
              <w:rPr>
                <w:sz w:val="20"/>
                <w:szCs w:val="20"/>
              </w:rPr>
              <w:t>2 – 2014</w:t>
            </w:r>
            <w:r w:rsidRPr="002F70B5">
              <w:rPr>
                <w:sz w:val="20"/>
                <w:szCs w:val="20"/>
              </w:rPr>
              <w:t>/1</w:t>
            </w:r>
            <w:r>
              <w:rPr>
                <w:sz w:val="20"/>
                <w:szCs w:val="20"/>
              </w:rPr>
              <w:t>5</w:t>
            </w:r>
          </w:p>
        </w:tc>
        <w:tc>
          <w:tcPr>
            <w:tcW w:w="2693" w:type="dxa"/>
            <w:tcBorders>
              <w:top w:val="single" w:sz="4" w:space="0" w:color="auto"/>
              <w:left w:val="single" w:sz="4" w:space="0" w:color="auto"/>
              <w:bottom w:val="single" w:sz="4" w:space="0" w:color="auto"/>
              <w:right w:val="single" w:sz="4" w:space="0" w:color="auto"/>
            </w:tcBorders>
            <w:vAlign w:val="center"/>
          </w:tcPr>
          <w:p w:rsidR="002C3CD6" w:rsidRPr="002F70B5" w:rsidRDefault="002C3CD6" w:rsidP="002C3CD6">
            <w:pPr>
              <w:spacing w:after="0"/>
              <w:jc w:val="center"/>
              <w:rPr>
                <w:sz w:val="20"/>
                <w:szCs w:val="20"/>
              </w:rPr>
            </w:pPr>
            <w:r w:rsidRPr="002F70B5">
              <w:rPr>
                <w:sz w:val="20"/>
                <w:szCs w:val="20"/>
              </w:rPr>
              <w:t>1 Oct 201</w:t>
            </w:r>
            <w:r>
              <w:rPr>
                <w:sz w:val="20"/>
                <w:szCs w:val="20"/>
              </w:rPr>
              <w:t>3</w:t>
            </w:r>
            <w:r w:rsidRPr="002F70B5">
              <w:rPr>
                <w:sz w:val="20"/>
                <w:szCs w:val="20"/>
              </w:rPr>
              <w:t>to 30 Sept 2013</w:t>
            </w:r>
          </w:p>
        </w:tc>
        <w:tc>
          <w:tcPr>
            <w:tcW w:w="1635" w:type="dxa"/>
            <w:tcBorders>
              <w:top w:val="single" w:sz="4" w:space="0" w:color="auto"/>
              <w:left w:val="single" w:sz="4" w:space="0" w:color="auto"/>
              <w:bottom w:val="single" w:sz="4" w:space="0" w:color="auto"/>
              <w:right w:val="single" w:sz="4" w:space="0" w:color="auto"/>
            </w:tcBorders>
            <w:vAlign w:val="center"/>
          </w:tcPr>
          <w:p w:rsidR="002C3CD6" w:rsidRDefault="002C3CD6" w:rsidP="006465AF">
            <w:pPr>
              <w:spacing w:after="0"/>
              <w:jc w:val="center"/>
              <w:rPr>
                <w:sz w:val="20"/>
                <w:szCs w:val="20"/>
              </w:rPr>
            </w:pPr>
            <w:r>
              <w:rPr>
                <w:sz w:val="20"/>
                <w:szCs w:val="20"/>
              </w:rPr>
              <w:t>10</w:t>
            </w:r>
          </w:p>
        </w:tc>
        <w:tc>
          <w:tcPr>
            <w:tcW w:w="1909" w:type="dxa"/>
            <w:tcBorders>
              <w:top w:val="single" w:sz="4" w:space="0" w:color="auto"/>
              <w:left w:val="single" w:sz="4" w:space="0" w:color="auto"/>
              <w:bottom w:val="single" w:sz="4" w:space="0" w:color="auto"/>
              <w:right w:val="single" w:sz="4" w:space="0" w:color="auto"/>
            </w:tcBorders>
            <w:vAlign w:val="center"/>
          </w:tcPr>
          <w:p w:rsidR="002C3CD6" w:rsidRDefault="002C3CD6" w:rsidP="006465AF">
            <w:pPr>
              <w:spacing w:after="0"/>
              <w:jc w:val="center"/>
              <w:rPr>
                <w:sz w:val="20"/>
                <w:szCs w:val="20"/>
              </w:rPr>
            </w:pPr>
            <w:r>
              <w:rPr>
                <w:sz w:val="20"/>
                <w:szCs w:val="20"/>
              </w:rPr>
              <w:t>6</w:t>
            </w:r>
          </w:p>
        </w:tc>
        <w:tc>
          <w:tcPr>
            <w:tcW w:w="2552" w:type="dxa"/>
            <w:tcBorders>
              <w:top w:val="single" w:sz="4" w:space="0" w:color="auto"/>
              <w:left w:val="single" w:sz="4" w:space="0" w:color="auto"/>
              <w:bottom w:val="single" w:sz="4" w:space="0" w:color="auto"/>
              <w:right w:val="single" w:sz="4" w:space="0" w:color="auto"/>
            </w:tcBorders>
            <w:vAlign w:val="center"/>
          </w:tcPr>
          <w:p w:rsidR="002C3CD6" w:rsidRDefault="002C3CD6" w:rsidP="006465AF">
            <w:pPr>
              <w:spacing w:after="0"/>
              <w:jc w:val="center"/>
              <w:rPr>
                <w:sz w:val="20"/>
                <w:szCs w:val="20"/>
              </w:rPr>
            </w:pPr>
            <w:r>
              <w:rPr>
                <w:sz w:val="20"/>
                <w:szCs w:val="20"/>
              </w:rPr>
              <w:t>60%</w:t>
            </w:r>
          </w:p>
        </w:tc>
      </w:tr>
    </w:tbl>
    <w:p w:rsidR="00B46C2E" w:rsidRDefault="00B46C2E" w:rsidP="002F70B5">
      <w:pPr>
        <w:rPr>
          <w:rFonts w:cs="Arial"/>
          <w:bCs/>
          <w:color w:val="000000"/>
        </w:rPr>
      </w:pPr>
    </w:p>
    <w:p w:rsidR="00B46C2E" w:rsidRDefault="00B46C2E" w:rsidP="002F70B5">
      <w:pPr>
        <w:rPr>
          <w:rFonts w:cs="Arial"/>
          <w:bCs/>
          <w:color w:val="000000"/>
        </w:rPr>
      </w:pPr>
    </w:p>
    <w:p w:rsidR="00B46C2E" w:rsidRDefault="00B46C2E" w:rsidP="002F70B5">
      <w:pPr>
        <w:rPr>
          <w:rFonts w:cs="Arial"/>
          <w:bCs/>
          <w:color w:val="000000"/>
        </w:rPr>
      </w:pPr>
    </w:p>
    <w:p w:rsidR="00B46C2E" w:rsidRDefault="00B46C2E" w:rsidP="002F70B5">
      <w:pPr>
        <w:rPr>
          <w:rFonts w:cs="Arial"/>
          <w:bCs/>
          <w:color w:val="000000"/>
        </w:rPr>
      </w:pPr>
    </w:p>
    <w:p w:rsidR="00B46C2E" w:rsidRDefault="00B46C2E" w:rsidP="002F70B5">
      <w:pPr>
        <w:rPr>
          <w:rFonts w:cs="Arial"/>
          <w:bCs/>
          <w:color w:val="000000"/>
        </w:rPr>
      </w:pPr>
    </w:p>
    <w:p w:rsidR="00B46C2E" w:rsidRDefault="00B46C2E" w:rsidP="002F70B5">
      <w:pPr>
        <w:rPr>
          <w:rFonts w:cs="Arial"/>
          <w:bCs/>
          <w:color w:val="000000"/>
        </w:rPr>
      </w:pPr>
    </w:p>
    <w:p w:rsidR="00B46C2E" w:rsidRDefault="00B46C2E" w:rsidP="002F70B5">
      <w:pPr>
        <w:rPr>
          <w:rFonts w:cs="Arial"/>
          <w:bCs/>
          <w:color w:val="000000"/>
        </w:rPr>
      </w:pPr>
    </w:p>
    <w:p w:rsidR="00B46C2E" w:rsidRDefault="00B46C2E" w:rsidP="002F70B5">
      <w:pPr>
        <w:rPr>
          <w:rFonts w:cs="Arial"/>
          <w:bCs/>
          <w:color w:val="000000"/>
        </w:rPr>
      </w:pPr>
    </w:p>
    <w:p w:rsidR="00B46C2E" w:rsidRDefault="00B46C2E" w:rsidP="002F70B5">
      <w:pPr>
        <w:rPr>
          <w:rFonts w:cs="Arial"/>
          <w:bCs/>
          <w:color w:val="000000"/>
        </w:rPr>
      </w:pPr>
    </w:p>
    <w:p w:rsidR="002F70B5" w:rsidRPr="002F70B5" w:rsidRDefault="00AC5707" w:rsidP="002F70B5">
      <w:pPr>
        <w:rPr>
          <w:rFonts w:cs="Arial"/>
          <w:bCs/>
          <w:color w:val="000000"/>
        </w:rPr>
      </w:pPr>
      <w:r>
        <w:rPr>
          <w:rFonts w:cs="Arial"/>
          <w:bCs/>
          <w:color w:val="000000"/>
        </w:rPr>
        <w:lastRenderedPageBreak/>
        <w:t>The table below shows the time to target for research studies over the last 1</w:t>
      </w:r>
      <w:r w:rsidR="00BD4A17">
        <w:rPr>
          <w:rFonts w:cs="Arial"/>
          <w:bCs/>
          <w:color w:val="000000"/>
        </w:rPr>
        <w:t>8</w:t>
      </w:r>
      <w:r>
        <w:rPr>
          <w:rFonts w:cs="Arial"/>
          <w:bCs/>
          <w:color w:val="000000"/>
        </w:rPr>
        <w:t xml:space="preserve">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1559"/>
        <w:gridCol w:w="1346"/>
        <w:gridCol w:w="1930"/>
      </w:tblGrid>
      <w:tr w:rsidR="006B5777" w:rsidRPr="002C3CD6" w:rsidTr="002C3CD6">
        <w:tc>
          <w:tcPr>
            <w:tcW w:w="10188" w:type="dxa"/>
            <w:gridSpan w:val="6"/>
            <w:shd w:val="clear" w:color="auto" w:fill="548DD4" w:themeFill="text2" w:themeFillTint="99"/>
          </w:tcPr>
          <w:p w:rsidR="006B5777" w:rsidRPr="002C3CD6" w:rsidRDefault="006B5777" w:rsidP="002F70B5">
            <w:pPr>
              <w:spacing w:after="0"/>
              <w:jc w:val="center"/>
              <w:rPr>
                <w:b/>
                <w:sz w:val="20"/>
                <w:szCs w:val="20"/>
              </w:rPr>
            </w:pPr>
            <w:r w:rsidRPr="002C3CD6">
              <w:rPr>
                <w:b/>
                <w:sz w:val="20"/>
                <w:szCs w:val="20"/>
              </w:rPr>
              <w:t>Performance in Delivering Commercial CTs</w:t>
            </w:r>
          </w:p>
        </w:tc>
      </w:tr>
      <w:tr w:rsidR="006B5777" w:rsidRPr="002B6864" w:rsidTr="006B5777">
        <w:tc>
          <w:tcPr>
            <w:tcW w:w="1384" w:type="dxa"/>
          </w:tcPr>
          <w:p w:rsidR="006B5777" w:rsidRPr="002F70B5" w:rsidRDefault="006B5777" w:rsidP="002F70B5">
            <w:pPr>
              <w:spacing w:after="0"/>
              <w:jc w:val="center"/>
              <w:rPr>
                <w:sz w:val="20"/>
                <w:szCs w:val="20"/>
              </w:rPr>
            </w:pPr>
            <w:r w:rsidRPr="002F70B5">
              <w:rPr>
                <w:sz w:val="20"/>
                <w:szCs w:val="20"/>
              </w:rPr>
              <w:t>Quarter</w:t>
            </w:r>
          </w:p>
        </w:tc>
        <w:tc>
          <w:tcPr>
            <w:tcW w:w="2693" w:type="dxa"/>
          </w:tcPr>
          <w:p w:rsidR="006B5777" w:rsidRPr="002F70B5" w:rsidRDefault="006B5777" w:rsidP="002F70B5">
            <w:pPr>
              <w:spacing w:after="0"/>
              <w:jc w:val="center"/>
              <w:rPr>
                <w:sz w:val="20"/>
                <w:szCs w:val="20"/>
              </w:rPr>
            </w:pPr>
            <w:r w:rsidRPr="002F70B5">
              <w:rPr>
                <w:sz w:val="20"/>
                <w:szCs w:val="20"/>
              </w:rPr>
              <w:t>NHS Permission granted within the period</w:t>
            </w:r>
          </w:p>
        </w:tc>
        <w:tc>
          <w:tcPr>
            <w:tcW w:w="1276" w:type="dxa"/>
          </w:tcPr>
          <w:p w:rsidR="006B5777" w:rsidRPr="002F70B5" w:rsidRDefault="006B5777" w:rsidP="002F70B5">
            <w:pPr>
              <w:spacing w:after="0"/>
              <w:jc w:val="center"/>
              <w:rPr>
                <w:sz w:val="20"/>
                <w:szCs w:val="20"/>
              </w:rPr>
            </w:pPr>
            <w:r>
              <w:rPr>
                <w:sz w:val="20"/>
                <w:szCs w:val="20"/>
              </w:rPr>
              <w:t>Number of studies listed</w:t>
            </w:r>
          </w:p>
        </w:tc>
        <w:tc>
          <w:tcPr>
            <w:tcW w:w="1559" w:type="dxa"/>
          </w:tcPr>
          <w:p w:rsidR="006B5777" w:rsidRPr="002F70B5" w:rsidRDefault="006B5777" w:rsidP="002F70B5">
            <w:pPr>
              <w:spacing w:after="0"/>
              <w:jc w:val="center"/>
              <w:rPr>
                <w:sz w:val="20"/>
                <w:szCs w:val="20"/>
              </w:rPr>
            </w:pPr>
            <w:r>
              <w:rPr>
                <w:sz w:val="20"/>
                <w:szCs w:val="20"/>
              </w:rPr>
              <w:t>Number of studies not met target</w:t>
            </w:r>
          </w:p>
        </w:tc>
        <w:tc>
          <w:tcPr>
            <w:tcW w:w="1346" w:type="dxa"/>
          </w:tcPr>
          <w:p w:rsidR="006B5777" w:rsidRDefault="006B5777" w:rsidP="002F70B5">
            <w:pPr>
              <w:spacing w:after="0"/>
              <w:jc w:val="center"/>
              <w:rPr>
                <w:sz w:val="20"/>
                <w:szCs w:val="20"/>
              </w:rPr>
            </w:pPr>
            <w:r>
              <w:rPr>
                <w:sz w:val="20"/>
                <w:szCs w:val="20"/>
              </w:rPr>
              <w:t>Number of studies met target</w:t>
            </w:r>
          </w:p>
        </w:tc>
        <w:tc>
          <w:tcPr>
            <w:tcW w:w="1930" w:type="dxa"/>
          </w:tcPr>
          <w:p w:rsidR="006B5777" w:rsidRPr="002F70B5" w:rsidRDefault="006B5777" w:rsidP="002F70B5">
            <w:pPr>
              <w:spacing w:after="0"/>
              <w:jc w:val="center"/>
              <w:rPr>
                <w:sz w:val="20"/>
                <w:szCs w:val="20"/>
              </w:rPr>
            </w:pPr>
            <w:r>
              <w:rPr>
                <w:sz w:val="20"/>
                <w:szCs w:val="20"/>
              </w:rPr>
              <w:t>Number of studies still open to recruitment</w:t>
            </w:r>
          </w:p>
        </w:tc>
      </w:tr>
      <w:tr w:rsidR="006B5777" w:rsidRPr="002B6864" w:rsidTr="006B5777">
        <w:tc>
          <w:tcPr>
            <w:tcW w:w="1384" w:type="dxa"/>
          </w:tcPr>
          <w:p w:rsidR="006B5777" w:rsidRPr="002F70B5" w:rsidRDefault="006B5777" w:rsidP="002F70B5">
            <w:pPr>
              <w:spacing w:after="0"/>
              <w:jc w:val="center"/>
              <w:rPr>
                <w:sz w:val="20"/>
                <w:szCs w:val="20"/>
              </w:rPr>
            </w:pPr>
            <w:r w:rsidRPr="002F70B5">
              <w:rPr>
                <w:sz w:val="20"/>
                <w:szCs w:val="20"/>
              </w:rPr>
              <w:t>3 – 2012/13</w:t>
            </w:r>
          </w:p>
        </w:tc>
        <w:tc>
          <w:tcPr>
            <w:tcW w:w="2693" w:type="dxa"/>
          </w:tcPr>
          <w:p w:rsidR="006B5777" w:rsidRPr="002F70B5" w:rsidRDefault="006B5777" w:rsidP="002F70B5">
            <w:pPr>
              <w:spacing w:after="0"/>
              <w:jc w:val="center"/>
              <w:rPr>
                <w:sz w:val="20"/>
                <w:szCs w:val="20"/>
              </w:rPr>
            </w:pPr>
            <w:r w:rsidRPr="002F70B5">
              <w:rPr>
                <w:sz w:val="20"/>
                <w:szCs w:val="20"/>
              </w:rPr>
              <w:t>1 Jan 2012 to 31 Dec 2012</w:t>
            </w:r>
          </w:p>
        </w:tc>
        <w:tc>
          <w:tcPr>
            <w:tcW w:w="1276" w:type="dxa"/>
          </w:tcPr>
          <w:p w:rsidR="006B5777" w:rsidRPr="002F70B5" w:rsidRDefault="006B5777" w:rsidP="002F70B5">
            <w:pPr>
              <w:spacing w:after="0"/>
              <w:jc w:val="center"/>
              <w:rPr>
                <w:sz w:val="20"/>
                <w:szCs w:val="20"/>
              </w:rPr>
            </w:pPr>
            <w:r>
              <w:rPr>
                <w:sz w:val="20"/>
                <w:szCs w:val="20"/>
              </w:rPr>
              <w:t>7</w:t>
            </w:r>
          </w:p>
        </w:tc>
        <w:tc>
          <w:tcPr>
            <w:tcW w:w="1559" w:type="dxa"/>
          </w:tcPr>
          <w:p w:rsidR="006B5777" w:rsidRPr="002F70B5" w:rsidRDefault="006B5777" w:rsidP="002F70B5">
            <w:pPr>
              <w:spacing w:after="0"/>
              <w:jc w:val="center"/>
              <w:rPr>
                <w:sz w:val="20"/>
                <w:szCs w:val="20"/>
              </w:rPr>
            </w:pPr>
            <w:r>
              <w:rPr>
                <w:sz w:val="20"/>
                <w:szCs w:val="20"/>
              </w:rPr>
              <w:t>2</w:t>
            </w:r>
          </w:p>
        </w:tc>
        <w:tc>
          <w:tcPr>
            <w:tcW w:w="1346" w:type="dxa"/>
          </w:tcPr>
          <w:p w:rsidR="006B5777" w:rsidRDefault="006B5777" w:rsidP="002F70B5">
            <w:pPr>
              <w:spacing w:after="0"/>
              <w:jc w:val="center"/>
              <w:rPr>
                <w:sz w:val="20"/>
                <w:szCs w:val="20"/>
              </w:rPr>
            </w:pPr>
            <w:r>
              <w:rPr>
                <w:sz w:val="20"/>
                <w:szCs w:val="20"/>
              </w:rPr>
              <w:t>0</w:t>
            </w:r>
          </w:p>
        </w:tc>
        <w:tc>
          <w:tcPr>
            <w:tcW w:w="1930" w:type="dxa"/>
          </w:tcPr>
          <w:p w:rsidR="006B5777" w:rsidRPr="002F70B5" w:rsidRDefault="006B5777" w:rsidP="002F70B5">
            <w:pPr>
              <w:spacing w:after="0"/>
              <w:jc w:val="center"/>
              <w:rPr>
                <w:sz w:val="20"/>
                <w:szCs w:val="20"/>
              </w:rPr>
            </w:pPr>
            <w:r>
              <w:rPr>
                <w:sz w:val="20"/>
                <w:szCs w:val="20"/>
              </w:rPr>
              <w:t>5</w:t>
            </w:r>
          </w:p>
        </w:tc>
      </w:tr>
      <w:tr w:rsidR="006B5777" w:rsidRPr="002B6864" w:rsidTr="006B5777">
        <w:tc>
          <w:tcPr>
            <w:tcW w:w="1384" w:type="dxa"/>
          </w:tcPr>
          <w:p w:rsidR="006B5777" w:rsidRPr="002F70B5" w:rsidRDefault="006B5777" w:rsidP="002F70B5">
            <w:pPr>
              <w:spacing w:after="0"/>
              <w:jc w:val="center"/>
              <w:rPr>
                <w:sz w:val="20"/>
                <w:szCs w:val="20"/>
              </w:rPr>
            </w:pPr>
            <w:r w:rsidRPr="002F70B5">
              <w:rPr>
                <w:sz w:val="20"/>
                <w:szCs w:val="20"/>
              </w:rPr>
              <w:t>4 – 2012/13</w:t>
            </w:r>
          </w:p>
        </w:tc>
        <w:tc>
          <w:tcPr>
            <w:tcW w:w="2693" w:type="dxa"/>
          </w:tcPr>
          <w:p w:rsidR="006B5777" w:rsidRPr="002F70B5" w:rsidRDefault="006B5777" w:rsidP="002F70B5">
            <w:pPr>
              <w:spacing w:after="0"/>
              <w:jc w:val="center"/>
              <w:rPr>
                <w:sz w:val="20"/>
                <w:szCs w:val="20"/>
              </w:rPr>
            </w:pPr>
            <w:r w:rsidRPr="002F70B5">
              <w:rPr>
                <w:sz w:val="20"/>
                <w:szCs w:val="20"/>
              </w:rPr>
              <w:t>1 Apr 2012 to 31 Mar 2013</w:t>
            </w:r>
          </w:p>
        </w:tc>
        <w:tc>
          <w:tcPr>
            <w:tcW w:w="1276" w:type="dxa"/>
          </w:tcPr>
          <w:p w:rsidR="006B5777" w:rsidRPr="002F70B5" w:rsidRDefault="006B5777" w:rsidP="002F70B5">
            <w:pPr>
              <w:spacing w:after="0"/>
              <w:jc w:val="center"/>
              <w:rPr>
                <w:sz w:val="20"/>
                <w:szCs w:val="20"/>
              </w:rPr>
            </w:pPr>
            <w:r>
              <w:rPr>
                <w:sz w:val="20"/>
                <w:szCs w:val="20"/>
              </w:rPr>
              <w:t>8</w:t>
            </w:r>
          </w:p>
        </w:tc>
        <w:tc>
          <w:tcPr>
            <w:tcW w:w="1559" w:type="dxa"/>
          </w:tcPr>
          <w:p w:rsidR="006B5777" w:rsidRPr="002F70B5" w:rsidRDefault="006B5777" w:rsidP="002F70B5">
            <w:pPr>
              <w:spacing w:after="0"/>
              <w:jc w:val="center"/>
              <w:rPr>
                <w:sz w:val="20"/>
                <w:szCs w:val="20"/>
              </w:rPr>
            </w:pPr>
            <w:r>
              <w:rPr>
                <w:sz w:val="20"/>
                <w:szCs w:val="20"/>
              </w:rPr>
              <w:t>2</w:t>
            </w:r>
          </w:p>
        </w:tc>
        <w:tc>
          <w:tcPr>
            <w:tcW w:w="1346" w:type="dxa"/>
          </w:tcPr>
          <w:p w:rsidR="006B5777" w:rsidRDefault="006B5777" w:rsidP="002F70B5">
            <w:pPr>
              <w:spacing w:after="0"/>
              <w:jc w:val="center"/>
              <w:rPr>
                <w:sz w:val="20"/>
                <w:szCs w:val="20"/>
              </w:rPr>
            </w:pPr>
            <w:r>
              <w:rPr>
                <w:sz w:val="20"/>
                <w:szCs w:val="20"/>
              </w:rPr>
              <w:t>0</w:t>
            </w:r>
          </w:p>
        </w:tc>
        <w:tc>
          <w:tcPr>
            <w:tcW w:w="1930" w:type="dxa"/>
          </w:tcPr>
          <w:p w:rsidR="006B5777" w:rsidRPr="002F70B5" w:rsidRDefault="006B5777" w:rsidP="002F70B5">
            <w:pPr>
              <w:spacing w:after="0"/>
              <w:jc w:val="center"/>
              <w:rPr>
                <w:sz w:val="20"/>
                <w:szCs w:val="20"/>
              </w:rPr>
            </w:pPr>
            <w:r>
              <w:rPr>
                <w:sz w:val="20"/>
                <w:szCs w:val="20"/>
              </w:rPr>
              <w:t>6</w:t>
            </w:r>
          </w:p>
        </w:tc>
      </w:tr>
      <w:tr w:rsidR="006B5777" w:rsidRPr="002B6864" w:rsidTr="006B5777">
        <w:tc>
          <w:tcPr>
            <w:tcW w:w="1384" w:type="dxa"/>
          </w:tcPr>
          <w:p w:rsidR="006B5777" w:rsidRPr="002F70B5" w:rsidRDefault="006B5777" w:rsidP="002F70B5">
            <w:pPr>
              <w:spacing w:after="0"/>
              <w:jc w:val="center"/>
              <w:rPr>
                <w:sz w:val="20"/>
                <w:szCs w:val="20"/>
              </w:rPr>
            </w:pPr>
            <w:r w:rsidRPr="002F70B5">
              <w:rPr>
                <w:sz w:val="20"/>
                <w:szCs w:val="20"/>
              </w:rPr>
              <w:t>1 – 2013/14</w:t>
            </w:r>
          </w:p>
        </w:tc>
        <w:tc>
          <w:tcPr>
            <w:tcW w:w="2693" w:type="dxa"/>
          </w:tcPr>
          <w:p w:rsidR="006B5777" w:rsidRPr="002F70B5" w:rsidRDefault="006B5777" w:rsidP="002F70B5">
            <w:pPr>
              <w:spacing w:after="0"/>
              <w:jc w:val="center"/>
              <w:rPr>
                <w:sz w:val="20"/>
                <w:szCs w:val="20"/>
              </w:rPr>
            </w:pPr>
            <w:r w:rsidRPr="002F70B5">
              <w:rPr>
                <w:sz w:val="20"/>
                <w:szCs w:val="20"/>
              </w:rPr>
              <w:t>1 Jul 2012 to 30 Jun 2013</w:t>
            </w:r>
          </w:p>
        </w:tc>
        <w:tc>
          <w:tcPr>
            <w:tcW w:w="1276" w:type="dxa"/>
          </w:tcPr>
          <w:p w:rsidR="006B5777" w:rsidRPr="002F70B5" w:rsidRDefault="006B5777" w:rsidP="002F70B5">
            <w:pPr>
              <w:spacing w:after="0"/>
              <w:jc w:val="center"/>
              <w:rPr>
                <w:sz w:val="20"/>
                <w:szCs w:val="20"/>
              </w:rPr>
            </w:pPr>
            <w:r>
              <w:rPr>
                <w:sz w:val="20"/>
                <w:szCs w:val="20"/>
              </w:rPr>
              <w:t>8</w:t>
            </w:r>
          </w:p>
        </w:tc>
        <w:tc>
          <w:tcPr>
            <w:tcW w:w="1559" w:type="dxa"/>
          </w:tcPr>
          <w:p w:rsidR="006B5777" w:rsidRPr="002F70B5" w:rsidRDefault="006B5777" w:rsidP="002F70B5">
            <w:pPr>
              <w:spacing w:after="0"/>
              <w:jc w:val="center"/>
              <w:rPr>
                <w:sz w:val="20"/>
                <w:szCs w:val="20"/>
              </w:rPr>
            </w:pPr>
            <w:r>
              <w:rPr>
                <w:sz w:val="20"/>
                <w:szCs w:val="20"/>
              </w:rPr>
              <w:t>4*</w:t>
            </w:r>
          </w:p>
        </w:tc>
        <w:tc>
          <w:tcPr>
            <w:tcW w:w="1346" w:type="dxa"/>
          </w:tcPr>
          <w:p w:rsidR="006B5777" w:rsidRDefault="006B5777" w:rsidP="002F70B5">
            <w:pPr>
              <w:spacing w:after="0"/>
              <w:jc w:val="center"/>
              <w:rPr>
                <w:sz w:val="20"/>
                <w:szCs w:val="20"/>
              </w:rPr>
            </w:pPr>
            <w:r>
              <w:rPr>
                <w:sz w:val="20"/>
                <w:szCs w:val="20"/>
              </w:rPr>
              <w:t>0</w:t>
            </w:r>
          </w:p>
        </w:tc>
        <w:tc>
          <w:tcPr>
            <w:tcW w:w="1930" w:type="dxa"/>
          </w:tcPr>
          <w:p w:rsidR="006B5777" w:rsidRPr="002F70B5" w:rsidRDefault="006B5777" w:rsidP="002F70B5">
            <w:pPr>
              <w:spacing w:after="0"/>
              <w:jc w:val="center"/>
              <w:rPr>
                <w:sz w:val="20"/>
                <w:szCs w:val="20"/>
              </w:rPr>
            </w:pPr>
            <w:r>
              <w:rPr>
                <w:sz w:val="20"/>
                <w:szCs w:val="20"/>
              </w:rPr>
              <w:t>4</w:t>
            </w:r>
          </w:p>
        </w:tc>
      </w:tr>
      <w:tr w:rsidR="006B5777" w:rsidRPr="002B6864" w:rsidTr="006B5777">
        <w:tc>
          <w:tcPr>
            <w:tcW w:w="1384" w:type="dxa"/>
          </w:tcPr>
          <w:p w:rsidR="006B5777" w:rsidRPr="002F70B5" w:rsidRDefault="006B5777" w:rsidP="002F70B5">
            <w:pPr>
              <w:spacing w:after="0"/>
              <w:jc w:val="center"/>
              <w:rPr>
                <w:sz w:val="20"/>
                <w:szCs w:val="20"/>
              </w:rPr>
            </w:pPr>
            <w:r w:rsidRPr="002F70B5">
              <w:rPr>
                <w:sz w:val="20"/>
                <w:szCs w:val="20"/>
              </w:rPr>
              <w:t>2 – 2013/14</w:t>
            </w:r>
          </w:p>
        </w:tc>
        <w:tc>
          <w:tcPr>
            <w:tcW w:w="2693" w:type="dxa"/>
          </w:tcPr>
          <w:p w:rsidR="006B5777" w:rsidRPr="002F70B5" w:rsidRDefault="006B5777" w:rsidP="002F70B5">
            <w:pPr>
              <w:spacing w:after="0"/>
              <w:jc w:val="center"/>
              <w:rPr>
                <w:sz w:val="20"/>
                <w:szCs w:val="20"/>
              </w:rPr>
            </w:pPr>
            <w:r w:rsidRPr="002F70B5">
              <w:rPr>
                <w:sz w:val="20"/>
                <w:szCs w:val="20"/>
              </w:rPr>
              <w:t>1 Oct 2012 to 30 Sept 2013</w:t>
            </w:r>
          </w:p>
        </w:tc>
        <w:tc>
          <w:tcPr>
            <w:tcW w:w="1276" w:type="dxa"/>
          </w:tcPr>
          <w:p w:rsidR="006B5777" w:rsidRPr="002F70B5" w:rsidRDefault="006B5777" w:rsidP="002F70B5">
            <w:pPr>
              <w:spacing w:after="0"/>
              <w:jc w:val="center"/>
              <w:rPr>
                <w:sz w:val="20"/>
                <w:szCs w:val="20"/>
              </w:rPr>
            </w:pPr>
            <w:r>
              <w:rPr>
                <w:sz w:val="20"/>
                <w:szCs w:val="20"/>
              </w:rPr>
              <w:t>7</w:t>
            </w:r>
          </w:p>
        </w:tc>
        <w:tc>
          <w:tcPr>
            <w:tcW w:w="1559" w:type="dxa"/>
          </w:tcPr>
          <w:p w:rsidR="006B5777" w:rsidRPr="002F70B5" w:rsidRDefault="006B5777" w:rsidP="002F70B5">
            <w:pPr>
              <w:spacing w:after="0"/>
              <w:jc w:val="center"/>
              <w:rPr>
                <w:sz w:val="20"/>
                <w:szCs w:val="20"/>
              </w:rPr>
            </w:pPr>
            <w:r>
              <w:rPr>
                <w:sz w:val="20"/>
                <w:szCs w:val="20"/>
              </w:rPr>
              <w:t>4**</w:t>
            </w:r>
          </w:p>
        </w:tc>
        <w:tc>
          <w:tcPr>
            <w:tcW w:w="1346" w:type="dxa"/>
          </w:tcPr>
          <w:p w:rsidR="006B5777" w:rsidRPr="002F70B5" w:rsidRDefault="006B5777" w:rsidP="002F70B5">
            <w:pPr>
              <w:spacing w:after="0"/>
              <w:jc w:val="center"/>
              <w:rPr>
                <w:sz w:val="20"/>
                <w:szCs w:val="20"/>
              </w:rPr>
            </w:pPr>
            <w:r>
              <w:rPr>
                <w:sz w:val="20"/>
                <w:szCs w:val="20"/>
              </w:rPr>
              <w:t>1</w:t>
            </w:r>
          </w:p>
        </w:tc>
        <w:tc>
          <w:tcPr>
            <w:tcW w:w="1930" w:type="dxa"/>
          </w:tcPr>
          <w:p w:rsidR="006B5777" w:rsidRPr="002F70B5" w:rsidRDefault="006B5777" w:rsidP="002F70B5">
            <w:pPr>
              <w:spacing w:after="0"/>
              <w:jc w:val="center"/>
              <w:rPr>
                <w:sz w:val="20"/>
                <w:szCs w:val="20"/>
              </w:rPr>
            </w:pPr>
            <w:r>
              <w:rPr>
                <w:sz w:val="20"/>
                <w:szCs w:val="20"/>
              </w:rPr>
              <w:t>2</w:t>
            </w:r>
          </w:p>
        </w:tc>
      </w:tr>
      <w:tr w:rsidR="006B5777" w:rsidRPr="002B6864" w:rsidTr="006B5777">
        <w:tc>
          <w:tcPr>
            <w:tcW w:w="1384" w:type="dxa"/>
            <w:tcBorders>
              <w:top w:val="single" w:sz="4" w:space="0" w:color="auto"/>
              <w:left w:val="single" w:sz="4" w:space="0" w:color="auto"/>
              <w:bottom w:val="single" w:sz="4" w:space="0" w:color="auto"/>
              <w:right w:val="single" w:sz="4" w:space="0" w:color="auto"/>
            </w:tcBorders>
            <w:vAlign w:val="center"/>
          </w:tcPr>
          <w:p w:rsidR="006B5777" w:rsidRPr="002F70B5" w:rsidRDefault="006B5777" w:rsidP="006465AF">
            <w:pPr>
              <w:spacing w:after="0"/>
              <w:jc w:val="center"/>
              <w:rPr>
                <w:sz w:val="20"/>
                <w:szCs w:val="20"/>
              </w:rPr>
            </w:pPr>
            <w:r w:rsidRPr="002F70B5">
              <w:rPr>
                <w:sz w:val="20"/>
                <w:szCs w:val="20"/>
              </w:rPr>
              <w:t>3 – 201</w:t>
            </w:r>
            <w:r>
              <w:rPr>
                <w:sz w:val="20"/>
                <w:szCs w:val="20"/>
              </w:rPr>
              <w:t>3</w:t>
            </w:r>
            <w:r w:rsidRPr="002F70B5">
              <w:rPr>
                <w:sz w:val="20"/>
                <w:szCs w:val="20"/>
              </w:rPr>
              <w:t>/1</w:t>
            </w:r>
            <w:r>
              <w:rPr>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6B5777" w:rsidRPr="002F70B5" w:rsidRDefault="006B5777" w:rsidP="006465AF">
            <w:pPr>
              <w:spacing w:after="0"/>
              <w:jc w:val="center"/>
              <w:rPr>
                <w:sz w:val="20"/>
                <w:szCs w:val="20"/>
              </w:rPr>
            </w:pPr>
            <w:r w:rsidRPr="002F70B5">
              <w:rPr>
                <w:sz w:val="20"/>
                <w:szCs w:val="20"/>
              </w:rPr>
              <w:t>1 Jan 201</w:t>
            </w:r>
            <w:r>
              <w:rPr>
                <w:sz w:val="20"/>
                <w:szCs w:val="20"/>
              </w:rPr>
              <w:t>3</w:t>
            </w:r>
            <w:r w:rsidRPr="002F70B5">
              <w:rPr>
                <w:sz w:val="20"/>
                <w:szCs w:val="20"/>
              </w:rPr>
              <w:t xml:space="preserve"> to 31 Dec 201</w:t>
            </w:r>
            <w:r>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6B5777" w:rsidRPr="002F70B5" w:rsidRDefault="006B5777" w:rsidP="006465AF">
            <w:pPr>
              <w:spacing w:after="0"/>
              <w:jc w:val="center"/>
              <w:rPr>
                <w:sz w:val="20"/>
                <w:szCs w:val="20"/>
              </w:rPr>
            </w:pPr>
            <w:r>
              <w:rPr>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6B5777" w:rsidRPr="002F70B5" w:rsidRDefault="006B5777" w:rsidP="006465AF">
            <w:pPr>
              <w:spacing w:after="0"/>
              <w:jc w:val="center"/>
              <w:rPr>
                <w:sz w:val="20"/>
                <w:szCs w:val="20"/>
              </w:rPr>
            </w:pPr>
            <w:r>
              <w:rPr>
                <w:sz w:val="20"/>
                <w:szCs w:val="20"/>
              </w:rPr>
              <w:t>3</w:t>
            </w:r>
          </w:p>
        </w:tc>
        <w:tc>
          <w:tcPr>
            <w:tcW w:w="1346" w:type="dxa"/>
            <w:tcBorders>
              <w:top w:val="single" w:sz="4" w:space="0" w:color="auto"/>
              <w:left w:val="single" w:sz="4" w:space="0" w:color="auto"/>
              <w:bottom w:val="single" w:sz="4" w:space="0" w:color="auto"/>
              <w:right w:val="single" w:sz="4" w:space="0" w:color="auto"/>
            </w:tcBorders>
          </w:tcPr>
          <w:p w:rsidR="006B5777" w:rsidRPr="002F70B5" w:rsidRDefault="006B5777" w:rsidP="006465AF">
            <w:pPr>
              <w:spacing w:after="0"/>
              <w:jc w:val="center"/>
              <w:rPr>
                <w:sz w:val="20"/>
                <w:szCs w:val="20"/>
              </w:rPr>
            </w:pPr>
            <w:r>
              <w:rPr>
                <w:sz w:val="20"/>
                <w:szCs w:val="20"/>
              </w:rPr>
              <w:t>1</w:t>
            </w:r>
          </w:p>
        </w:tc>
        <w:tc>
          <w:tcPr>
            <w:tcW w:w="1930" w:type="dxa"/>
            <w:tcBorders>
              <w:top w:val="single" w:sz="4" w:space="0" w:color="auto"/>
              <w:left w:val="single" w:sz="4" w:space="0" w:color="auto"/>
              <w:bottom w:val="single" w:sz="4" w:space="0" w:color="auto"/>
              <w:right w:val="single" w:sz="4" w:space="0" w:color="auto"/>
            </w:tcBorders>
          </w:tcPr>
          <w:p w:rsidR="006B5777" w:rsidRPr="002F70B5" w:rsidRDefault="006B5777" w:rsidP="006465AF">
            <w:pPr>
              <w:spacing w:after="0"/>
              <w:jc w:val="center"/>
              <w:rPr>
                <w:sz w:val="20"/>
                <w:szCs w:val="20"/>
              </w:rPr>
            </w:pPr>
            <w:r>
              <w:rPr>
                <w:sz w:val="20"/>
                <w:szCs w:val="20"/>
              </w:rPr>
              <w:t>3</w:t>
            </w:r>
          </w:p>
        </w:tc>
      </w:tr>
      <w:tr w:rsidR="006B5777" w:rsidRPr="002B6864" w:rsidTr="006B5777">
        <w:tc>
          <w:tcPr>
            <w:tcW w:w="1384" w:type="dxa"/>
            <w:tcBorders>
              <w:top w:val="single" w:sz="4" w:space="0" w:color="auto"/>
              <w:left w:val="single" w:sz="4" w:space="0" w:color="auto"/>
              <w:bottom w:val="single" w:sz="4" w:space="0" w:color="auto"/>
              <w:right w:val="single" w:sz="4" w:space="0" w:color="auto"/>
            </w:tcBorders>
            <w:vAlign w:val="center"/>
          </w:tcPr>
          <w:p w:rsidR="006B5777" w:rsidRPr="002F70B5" w:rsidRDefault="006B5777" w:rsidP="006465AF">
            <w:pPr>
              <w:spacing w:after="0"/>
              <w:jc w:val="center"/>
              <w:rPr>
                <w:sz w:val="20"/>
                <w:szCs w:val="20"/>
              </w:rPr>
            </w:pPr>
            <w:r w:rsidRPr="002F70B5">
              <w:rPr>
                <w:sz w:val="20"/>
                <w:szCs w:val="20"/>
              </w:rPr>
              <w:t>4 – 201</w:t>
            </w:r>
            <w:r>
              <w:rPr>
                <w:sz w:val="20"/>
                <w:szCs w:val="20"/>
              </w:rPr>
              <w:t>3</w:t>
            </w:r>
            <w:r w:rsidRPr="002F70B5">
              <w:rPr>
                <w:sz w:val="20"/>
                <w:szCs w:val="20"/>
              </w:rPr>
              <w:t>/1</w:t>
            </w:r>
            <w:r>
              <w:rPr>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6B5777" w:rsidRPr="002F70B5" w:rsidRDefault="006B5777" w:rsidP="006465AF">
            <w:pPr>
              <w:spacing w:after="0"/>
              <w:jc w:val="center"/>
              <w:rPr>
                <w:sz w:val="20"/>
                <w:szCs w:val="20"/>
              </w:rPr>
            </w:pPr>
            <w:r w:rsidRPr="002F70B5">
              <w:rPr>
                <w:sz w:val="20"/>
                <w:szCs w:val="20"/>
              </w:rPr>
              <w:t>1 Apr 201</w:t>
            </w:r>
            <w:r>
              <w:rPr>
                <w:sz w:val="20"/>
                <w:szCs w:val="20"/>
              </w:rPr>
              <w:t>3</w:t>
            </w:r>
            <w:r w:rsidRPr="002F70B5">
              <w:rPr>
                <w:sz w:val="20"/>
                <w:szCs w:val="20"/>
              </w:rPr>
              <w:t xml:space="preserve"> to 31 Mar 201</w:t>
            </w:r>
            <w:r>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6B5777" w:rsidRPr="002F70B5" w:rsidRDefault="006B5777" w:rsidP="006465AF">
            <w:pPr>
              <w:spacing w:after="0"/>
              <w:jc w:val="center"/>
              <w:rPr>
                <w:sz w:val="20"/>
                <w:szCs w:val="20"/>
              </w:rPr>
            </w:pPr>
            <w:r>
              <w:rPr>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6B5777" w:rsidRPr="002F70B5" w:rsidRDefault="006B5777" w:rsidP="006465AF">
            <w:pPr>
              <w:spacing w:after="0"/>
              <w:jc w:val="center"/>
              <w:rPr>
                <w:sz w:val="20"/>
                <w:szCs w:val="20"/>
              </w:rPr>
            </w:pPr>
            <w:r>
              <w:rPr>
                <w:sz w:val="20"/>
                <w:szCs w:val="20"/>
              </w:rPr>
              <w:t>3</w:t>
            </w:r>
          </w:p>
        </w:tc>
        <w:tc>
          <w:tcPr>
            <w:tcW w:w="1346" w:type="dxa"/>
            <w:tcBorders>
              <w:top w:val="single" w:sz="4" w:space="0" w:color="auto"/>
              <w:left w:val="single" w:sz="4" w:space="0" w:color="auto"/>
              <w:bottom w:val="single" w:sz="4" w:space="0" w:color="auto"/>
              <w:right w:val="single" w:sz="4" w:space="0" w:color="auto"/>
            </w:tcBorders>
          </w:tcPr>
          <w:p w:rsidR="006B5777" w:rsidRPr="002F70B5" w:rsidRDefault="006B5777" w:rsidP="006465AF">
            <w:pPr>
              <w:spacing w:after="0"/>
              <w:jc w:val="center"/>
              <w:rPr>
                <w:sz w:val="20"/>
                <w:szCs w:val="20"/>
              </w:rPr>
            </w:pPr>
            <w:r>
              <w:rPr>
                <w:sz w:val="20"/>
                <w:szCs w:val="20"/>
              </w:rPr>
              <w:t>1</w:t>
            </w:r>
          </w:p>
        </w:tc>
        <w:tc>
          <w:tcPr>
            <w:tcW w:w="1930" w:type="dxa"/>
            <w:tcBorders>
              <w:top w:val="single" w:sz="4" w:space="0" w:color="auto"/>
              <w:left w:val="single" w:sz="4" w:space="0" w:color="auto"/>
              <w:bottom w:val="single" w:sz="4" w:space="0" w:color="auto"/>
              <w:right w:val="single" w:sz="4" w:space="0" w:color="auto"/>
            </w:tcBorders>
          </w:tcPr>
          <w:p w:rsidR="006B5777" w:rsidRPr="002F70B5" w:rsidRDefault="006B5777" w:rsidP="006465AF">
            <w:pPr>
              <w:spacing w:after="0"/>
              <w:jc w:val="center"/>
              <w:rPr>
                <w:sz w:val="20"/>
                <w:szCs w:val="20"/>
              </w:rPr>
            </w:pPr>
            <w:r>
              <w:rPr>
                <w:sz w:val="20"/>
                <w:szCs w:val="20"/>
              </w:rPr>
              <w:t>3</w:t>
            </w:r>
          </w:p>
        </w:tc>
      </w:tr>
      <w:tr w:rsidR="002C3CD6" w:rsidRPr="002B6864" w:rsidTr="006B5777">
        <w:tc>
          <w:tcPr>
            <w:tcW w:w="1384" w:type="dxa"/>
            <w:tcBorders>
              <w:top w:val="single" w:sz="4" w:space="0" w:color="auto"/>
              <w:left w:val="single" w:sz="4" w:space="0" w:color="auto"/>
              <w:bottom w:val="single" w:sz="4" w:space="0" w:color="auto"/>
              <w:right w:val="single" w:sz="4" w:space="0" w:color="auto"/>
            </w:tcBorders>
            <w:vAlign w:val="center"/>
          </w:tcPr>
          <w:p w:rsidR="002C3CD6" w:rsidRPr="002F70B5" w:rsidRDefault="002C3CD6" w:rsidP="006B0673">
            <w:pPr>
              <w:spacing w:after="0"/>
              <w:jc w:val="center"/>
              <w:rPr>
                <w:sz w:val="20"/>
                <w:szCs w:val="20"/>
              </w:rPr>
            </w:pPr>
            <w:r>
              <w:rPr>
                <w:sz w:val="20"/>
                <w:szCs w:val="20"/>
              </w:rPr>
              <w:t>1 – 2014</w:t>
            </w:r>
            <w:r w:rsidRPr="002F70B5">
              <w:rPr>
                <w:sz w:val="20"/>
                <w:szCs w:val="20"/>
              </w:rPr>
              <w:t>/1</w:t>
            </w:r>
            <w:r>
              <w:rPr>
                <w:sz w:val="20"/>
                <w:szCs w:val="20"/>
              </w:rPr>
              <w:t>5</w:t>
            </w:r>
          </w:p>
        </w:tc>
        <w:tc>
          <w:tcPr>
            <w:tcW w:w="2693" w:type="dxa"/>
            <w:tcBorders>
              <w:top w:val="single" w:sz="4" w:space="0" w:color="auto"/>
              <w:left w:val="single" w:sz="4" w:space="0" w:color="auto"/>
              <w:bottom w:val="single" w:sz="4" w:space="0" w:color="auto"/>
              <w:right w:val="single" w:sz="4" w:space="0" w:color="auto"/>
            </w:tcBorders>
            <w:vAlign w:val="center"/>
          </w:tcPr>
          <w:p w:rsidR="002C3CD6" w:rsidRPr="002F70B5" w:rsidRDefault="002C3CD6" w:rsidP="006B0673">
            <w:pPr>
              <w:spacing w:after="0"/>
              <w:jc w:val="center"/>
              <w:rPr>
                <w:sz w:val="20"/>
                <w:szCs w:val="20"/>
              </w:rPr>
            </w:pPr>
            <w:r w:rsidRPr="002F70B5">
              <w:rPr>
                <w:sz w:val="20"/>
                <w:szCs w:val="20"/>
              </w:rPr>
              <w:t>1 Jul 201</w:t>
            </w:r>
            <w:r>
              <w:rPr>
                <w:sz w:val="20"/>
                <w:szCs w:val="20"/>
              </w:rPr>
              <w:t>3</w:t>
            </w:r>
            <w:r w:rsidRPr="002F70B5">
              <w:rPr>
                <w:sz w:val="20"/>
                <w:szCs w:val="20"/>
              </w:rPr>
              <w:t xml:space="preserve"> to 30 Jun 201</w:t>
            </w:r>
            <w:r>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2C3CD6" w:rsidRDefault="002C3CD6" w:rsidP="006465AF">
            <w:pPr>
              <w:spacing w:after="0"/>
              <w:jc w:val="center"/>
              <w:rPr>
                <w:sz w:val="20"/>
                <w:szCs w:val="20"/>
              </w:rPr>
            </w:pPr>
            <w:r>
              <w:rPr>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2C3CD6" w:rsidRDefault="002C3CD6" w:rsidP="006465AF">
            <w:pPr>
              <w:spacing w:after="0"/>
              <w:jc w:val="center"/>
              <w:rPr>
                <w:sz w:val="20"/>
                <w:szCs w:val="20"/>
              </w:rPr>
            </w:pPr>
            <w:r>
              <w:rPr>
                <w:sz w:val="20"/>
                <w:szCs w:val="20"/>
              </w:rPr>
              <w:t>5</w:t>
            </w:r>
          </w:p>
        </w:tc>
        <w:tc>
          <w:tcPr>
            <w:tcW w:w="1346" w:type="dxa"/>
            <w:tcBorders>
              <w:top w:val="single" w:sz="4" w:space="0" w:color="auto"/>
              <w:left w:val="single" w:sz="4" w:space="0" w:color="auto"/>
              <w:bottom w:val="single" w:sz="4" w:space="0" w:color="auto"/>
              <w:right w:val="single" w:sz="4" w:space="0" w:color="auto"/>
            </w:tcBorders>
          </w:tcPr>
          <w:p w:rsidR="002C3CD6" w:rsidRDefault="002C3CD6" w:rsidP="006465AF">
            <w:pPr>
              <w:spacing w:after="0"/>
              <w:jc w:val="center"/>
              <w:rPr>
                <w:sz w:val="20"/>
                <w:szCs w:val="20"/>
              </w:rPr>
            </w:pPr>
            <w:r>
              <w:rPr>
                <w:sz w:val="20"/>
                <w:szCs w:val="20"/>
              </w:rPr>
              <w:t>1</w:t>
            </w:r>
          </w:p>
        </w:tc>
        <w:tc>
          <w:tcPr>
            <w:tcW w:w="1930" w:type="dxa"/>
            <w:tcBorders>
              <w:top w:val="single" w:sz="4" w:space="0" w:color="auto"/>
              <w:left w:val="single" w:sz="4" w:space="0" w:color="auto"/>
              <w:bottom w:val="single" w:sz="4" w:space="0" w:color="auto"/>
              <w:right w:val="single" w:sz="4" w:space="0" w:color="auto"/>
            </w:tcBorders>
          </w:tcPr>
          <w:p w:rsidR="002C3CD6" w:rsidRDefault="002C3CD6" w:rsidP="006465AF">
            <w:pPr>
              <w:spacing w:after="0"/>
              <w:jc w:val="center"/>
              <w:rPr>
                <w:sz w:val="20"/>
                <w:szCs w:val="20"/>
              </w:rPr>
            </w:pPr>
            <w:r>
              <w:rPr>
                <w:sz w:val="20"/>
                <w:szCs w:val="20"/>
              </w:rPr>
              <w:t>3</w:t>
            </w:r>
          </w:p>
        </w:tc>
      </w:tr>
      <w:tr w:rsidR="002C3CD6" w:rsidRPr="002B6864" w:rsidTr="006B5777">
        <w:tc>
          <w:tcPr>
            <w:tcW w:w="1384" w:type="dxa"/>
            <w:tcBorders>
              <w:top w:val="single" w:sz="4" w:space="0" w:color="auto"/>
              <w:left w:val="single" w:sz="4" w:space="0" w:color="auto"/>
              <w:bottom w:val="single" w:sz="4" w:space="0" w:color="auto"/>
              <w:right w:val="single" w:sz="4" w:space="0" w:color="auto"/>
            </w:tcBorders>
            <w:vAlign w:val="center"/>
          </w:tcPr>
          <w:p w:rsidR="002C3CD6" w:rsidRPr="002F70B5" w:rsidRDefault="002C3CD6" w:rsidP="006B0673">
            <w:pPr>
              <w:spacing w:after="0"/>
              <w:jc w:val="center"/>
              <w:rPr>
                <w:sz w:val="20"/>
                <w:szCs w:val="20"/>
              </w:rPr>
            </w:pPr>
            <w:r>
              <w:rPr>
                <w:sz w:val="20"/>
                <w:szCs w:val="20"/>
              </w:rPr>
              <w:t>2 – 2014</w:t>
            </w:r>
            <w:r w:rsidRPr="002F70B5">
              <w:rPr>
                <w:sz w:val="20"/>
                <w:szCs w:val="20"/>
              </w:rPr>
              <w:t>/1</w:t>
            </w:r>
            <w:r>
              <w:rPr>
                <w:sz w:val="20"/>
                <w:szCs w:val="20"/>
              </w:rPr>
              <w:t>5</w:t>
            </w:r>
          </w:p>
        </w:tc>
        <w:tc>
          <w:tcPr>
            <w:tcW w:w="2693" w:type="dxa"/>
            <w:tcBorders>
              <w:top w:val="single" w:sz="4" w:space="0" w:color="auto"/>
              <w:left w:val="single" w:sz="4" w:space="0" w:color="auto"/>
              <w:bottom w:val="single" w:sz="4" w:space="0" w:color="auto"/>
              <w:right w:val="single" w:sz="4" w:space="0" w:color="auto"/>
            </w:tcBorders>
            <w:vAlign w:val="center"/>
          </w:tcPr>
          <w:p w:rsidR="002C3CD6" w:rsidRPr="002F70B5" w:rsidRDefault="002C3CD6" w:rsidP="006B0673">
            <w:pPr>
              <w:spacing w:after="0"/>
              <w:jc w:val="center"/>
              <w:rPr>
                <w:sz w:val="20"/>
                <w:szCs w:val="20"/>
              </w:rPr>
            </w:pPr>
            <w:r w:rsidRPr="002F70B5">
              <w:rPr>
                <w:sz w:val="20"/>
                <w:szCs w:val="20"/>
              </w:rPr>
              <w:t>1 Oct 201</w:t>
            </w:r>
            <w:r>
              <w:rPr>
                <w:sz w:val="20"/>
                <w:szCs w:val="20"/>
              </w:rPr>
              <w:t>3</w:t>
            </w:r>
            <w:r w:rsidRPr="002F70B5">
              <w:rPr>
                <w:sz w:val="20"/>
                <w:szCs w:val="20"/>
              </w:rPr>
              <w:t>to 30 Sept 2013</w:t>
            </w:r>
          </w:p>
        </w:tc>
        <w:tc>
          <w:tcPr>
            <w:tcW w:w="1276" w:type="dxa"/>
            <w:tcBorders>
              <w:top w:val="single" w:sz="4" w:space="0" w:color="auto"/>
              <w:left w:val="single" w:sz="4" w:space="0" w:color="auto"/>
              <w:bottom w:val="single" w:sz="4" w:space="0" w:color="auto"/>
              <w:right w:val="single" w:sz="4" w:space="0" w:color="auto"/>
            </w:tcBorders>
          </w:tcPr>
          <w:p w:rsidR="002C3CD6" w:rsidRDefault="002C3CD6" w:rsidP="006465AF">
            <w:pPr>
              <w:spacing w:after="0"/>
              <w:jc w:val="center"/>
              <w:rPr>
                <w:sz w:val="20"/>
                <w:szCs w:val="20"/>
              </w:rPr>
            </w:pPr>
            <w:r>
              <w:rP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2C3CD6" w:rsidRDefault="002C3CD6" w:rsidP="006465AF">
            <w:pPr>
              <w:spacing w:after="0"/>
              <w:jc w:val="center"/>
              <w:rPr>
                <w:sz w:val="20"/>
                <w:szCs w:val="20"/>
              </w:rPr>
            </w:pPr>
            <w:r>
              <w:rPr>
                <w:sz w:val="20"/>
                <w:szCs w:val="20"/>
              </w:rPr>
              <w:t>4</w:t>
            </w:r>
          </w:p>
        </w:tc>
        <w:tc>
          <w:tcPr>
            <w:tcW w:w="1346" w:type="dxa"/>
            <w:tcBorders>
              <w:top w:val="single" w:sz="4" w:space="0" w:color="auto"/>
              <w:left w:val="single" w:sz="4" w:space="0" w:color="auto"/>
              <w:bottom w:val="single" w:sz="4" w:space="0" w:color="auto"/>
              <w:right w:val="single" w:sz="4" w:space="0" w:color="auto"/>
            </w:tcBorders>
          </w:tcPr>
          <w:p w:rsidR="002C3CD6" w:rsidRDefault="002C3CD6" w:rsidP="006465AF">
            <w:pPr>
              <w:spacing w:after="0"/>
              <w:jc w:val="center"/>
              <w:rPr>
                <w:sz w:val="20"/>
                <w:szCs w:val="20"/>
              </w:rPr>
            </w:pPr>
            <w:r>
              <w:rPr>
                <w:sz w:val="20"/>
                <w:szCs w:val="20"/>
              </w:rPr>
              <w:t>6</w:t>
            </w:r>
          </w:p>
        </w:tc>
        <w:tc>
          <w:tcPr>
            <w:tcW w:w="1930" w:type="dxa"/>
            <w:tcBorders>
              <w:top w:val="single" w:sz="4" w:space="0" w:color="auto"/>
              <w:left w:val="single" w:sz="4" w:space="0" w:color="auto"/>
              <w:bottom w:val="single" w:sz="4" w:space="0" w:color="auto"/>
              <w:right w:val="single" w:sz="4" w:space="0" w:color="auto"/>
            </w:tcBorders>
          </w:tcPr>
          <w:p w:rsidR="002C3CD6" w:rsidRDefault="002C3CD6" w:rsidP="006465AF">
            <w:pPr>
              <w:spacing w:after="0"/>
              <w:jc w:val="center"/>
              <w:rPr>
                <w:sz w:val="20"/>
                <w:szCs w:val="20"/>
              </w:rPr>
            </w:pPr>
            <w:r>
              <w:rPr>
                <w:sz w:val="20"/>
                <w:szCs w:val="20"/>
              </w:rPr>
              <w:t>na</w:t>
            </w:r>
          </w:p>
        </w:tc>
      </w:tr>
    </w:tbl>
    <w:p w:rsidR="006B5777" w:rsidRDefault="006B5777" w:rsidP="006B5777">
      <w:pPr>
        <w:spacing w:before="0" w:after="0"/>
        <w:rPr>
          <w:sz w:val="20"/>
          <w:szCs w:val="20"/>
        </w:rPr>
      </w:pPr>
    </w:p>
    <w:p w:rsidR="002F70B5" w:rsidRPr="006B5777" w:rsidRDefault="006B5777" w:rsidP="006B5777">
      <w:pPr>
        <w:spacing w:before="0" w:after="0"/>
        <w:rPr>
          <w:sz w:val="20"/>
          <w:szCs w:val="20"/>
        </w:rPr>
      </w:pPr>
      <w:r w:rsidRPr="006B5777">
        <w:rPr>
          <w:sz w:val="20"/>
          <w:szCs w:val="20"/>
        </w:rPr>
        <w:t>* 2 studies withdrawn by sponsor, 2 did not meet target and are closed to recruitment</w:t>
      </w:r>
    </w:p>
    <w:p w:rsidR="006B5777" w:rsidRPr="006B5777" w:rsidRDefault="006B5777" w:rsidP="006B5777">
      <w:pPr>
        <w:spacing w:before="0" w:after="0"/>
        <w:rPr>
          <w:sz w:val="20"/>
          <w:szCs w:val="20"/>
        </w:rPr>
      </w:pPr>
      <w:r w:rsidRPr="006B5777">
        <w:rPr>
          <w:sz w:val="20"/>
          <w:szCs w:val="20"/>
        </w:rPr>
        <w:t>**1 study withdrawn by sponsor, 3 did not meet the target and are closed to recruitment</w:t>
      </w:r>
    </w:p>
    <w:p w:rsidR="006B5777" w:rsidRPr="00BD4A17" w:rsidRDefault="00BD4A17" w:rsidP="006B5777">
      <w:pPr>
        <w:rPr>
          <w:sz w:val="20"/>
          <w:szCs w:val="20"/>
        </w:rPr>
      </w:pPr>
      <w:r w:rsidRPr="00BD4A17">
        <w:t xml:space="preserve">Over the past year </w:t>
      </w:r>
      <w:r w:rsidR="00236510">
        <w:t xml:space="preserve">the </w:t>
      </w:r>
      <w:r>
        <w:t>R&amp;D</w:t>
      </w:r>
      <w:r w:rsidR="00236510">
        <w:t xml:space="preserve"> department</w:t>
      </w:r>
      <w:r w:rsidRPr="00BD4A17">
        <w:t xml:space="preserve"> </w:t>
      </w:r>
      <w:r w:rsidR="00236510">
        <w:t>have been endeavoring to improve performance</w:t>
      </w:r>
      <w:r w:rsidRPr="00BD4A17">
        <w:t xml:space="preserve"> </w:t>
      </w:r>
      <w:r w:rsidR="00236510">
        <w:t xml:space="preserve">in these metrics </w:t>
      </w:r>
      <w:r w:rsidRPr="00BD4A17">
        <w:t xml:space="preserve">by putting measures in place to ensure that researchers are </w:t>
      </w:r>
      <w:r>
        <w:t>“</w:t>
      </w:r>
      <w:r w:rsidRPr="00BD4A17">
        <w:t>research ready</w:t>
      </w:r>
      <w:r>
        <w:t>”</w:t>
      </w:r>
      <w:r w:rsidRPr="00BD4A17">
        <w:t xml:space="preserve"> to start their study when they submit their SSI forms and that they have realistically estimated the number of participants that can be recruited to studies.  </w:t>
      </w:r>
      <w:r w:rsidR="00236510">
        <w:t xml:space="preserve">The </w:t>
      </w:r>
      <w:r w:rsidRPr="00BD4A17">
        <w:t>R&amp;D</w:t>
      </w:r>
      <w:r w:rsidR="00236510">
        <w:t xml:space="preserve"> department</w:t>
      </w:r>
      <w:r w:rsidRPr="00BD4A17">
        <w:t xml:space="preserve"> ha</w:t>
      </w:r>
      <w:r>
        <w:t>s</w:t>
      </w:r>
      <w:r w:rsidRPr="00BD4A17">
        <w:t xml:space="preserve"> worked hard to liaise and support researcher</w:t>
      </w:r>
      <w:r>
        <w:t>s</w:t>
      </w:r>
      <w:r w:rsidRPr="00BD4A17">
        <w:t>, from both non</w:t>
      </w:r>
      <w:r w:rsidR="00236510">
        <w:t>-</w:t>
      </w:r>
      <w:r w:rsidRPr="00BD4A17">
        <w:t>commercial and commercial sectors</w:t>
      </w:r>
      <w:r w:rsidR="00236510">
        <w:t>,</w:t>
      </w:r>
      <w:r w:rsidRPr="00BD4A17">
        <w:t xml:space="preserve"> to ensure c</w:t>
      </w:r>
      <w:r w:rsidR="00236510">
        <w:t>lear communications and that appropriate</w:t>
      </w:r>
      <w:r w:rsidRPr="00BD4A17">
        <w:t xml:space="preserve"> processes are followed</w:t>
      </w:r>
      <w:r>
        <w:t xml:space="preserve">. More work is required and this is to be addressed at the R&amp;D Strategy Forum in terms of </w:t>
      </w:r>
      <w:r w:rsidR="00236510">
        <w:t xml:space="preserve">further </w:t>
      </w:r>
      <w:r>
        <w:t xml:space="preserve">embedding research into routine clinical practice.  </w:t>
      </w:r>
    </w:p>
    <w:p w:rsidR="00A00087" w:rsidRPr="00E301CB" w:rsidRDefault="00236510" w:rsidP="00A51501">
      <w:pPr>
        <w:pStyle w:val="Heading1"/>
      </w:pPr>
      <w:r w:rsidRPr="00E301CB">
        <w:t>Recent</w:t>
      </w:r>
      <w:r w:rsidR="00A00087" w:rsidRPr="00E301CB">
        <w:t xml:space="preserve"> Research Project</w:t>
      </w:r>
      <w:r w:rsidRPr="00E301CB">
        <w:t xml:space="preserve"> Develo</w:t>
      </w:r>
      <w:r w:rsidR="002F1851" w:rsidRPr="00E301CB">
        <w:t>p</w:t>
      </w:r>
      <w:r w:rsidRPr="00E301CB">
        <w:t>ments</w:t>
      </w:r>
    </w:p>
    <w:p w:rsidR="00E301CB" w:rsidRDefault="00E301CB" w:rsidP="002C3CD6">
      <w:pPr>
        <w:rPr>
          <w:lang w:val="en-GB"/>
        </w:rPr>
      </w:pPr>
      <w:r w:rsidRPr="00E301CB">
        <w:rPr>
          <w:lang w:val="en-GB"/>
        </w:rPr>
        <w:t xml:space="preserve">Integrate </w:t>
      </w:r>
      <w:r>
        <w:rPr>
          <w:lang w:val="en-GB"/>
        </w:rPr>
        <w:t>care home support service (ICHS) is integrating physical and mental health care teams using evidence based research developed by Jane Fossey (Head of Psychological Services) from two previous research studies (FITS Study, on which the WHELD study was based, and CALM AD).  Data from the research was published in 2009 and it has taken five years for the practice to be adopted within the services model.  There is CLAHRC funding to support the evaluation of the ICHS implementation into clinical services.</w:t>
      </w:r>
    </w:p>
    <w:p w:rsidR="002C3CD6" w:rsidRDefault="00E301CB" w:rsidP="002C3CD6">
      <w:pPr>
        <w:rPr>
          <w:lang w:val="en-GB"/>
        </w:rPr>
      </w:pPr>
      <w:r>
        <w:rPr>
          <w:lang w:val="en-GB"/>
        </w:rPr>
        <w:t xml:space="preserve">The WHELD Study (improving well being and health for people with Dementia), has published two papers in July 2014 and the work is being picked up nationally in a variety of ways, including uptake in general hospital settings. </w:t>
      </w:r>
    </w:p>
    <w:p w:rsidR="00745EAC" w:rsidRDefault="00745EAC" w:rsidP="00745EAC">
      <w:r>
        <w:t xml:space="preserve">ReD-KITE: </w:t>
      </w:r>
      <w:r w:rsidRPr="004022B5">
        <w:t>Resistant Depression - Ketamine Infusion Trial Evaluation</w:t>
      </w:r>
      <w:r>
        <w:t xml:space="preserve">: a phase I, dose escalation, safety study has closed to recruitment and data has been analysed to determine </w:t>
      </w:r>
      <w:r>
        <w:lastRenderedPageBreak/>
        <w:t>the safety profile of repeated doses of ketamine infusions and to gain preliminary efficacy data.  The data was published in April 2014 and the Trust are discussing the adoption into clinical practice based on the research study of 18 patients enrolled within Oxford Health NHS FT.</w:t>
      </w:r>
      <w:r w:rsidR="009E475A">
        <w:t xml:space="preserve"> A summary of this is detailed in Appendix D. </w:t>
      </w:r>
    </w:p>
    <w:p w:rsidR="00531617" w:rsidRDefault="009E475A" w:rsidP="002C3CD6">
      <w:pPr>
        <w:rPr>
          <w:lang w:val="en-GB"/>
        </w:rPr>
      </w:pPr>
      <w:r>
        <w:rPr>
          <w:lang w:val="en-GB"/>
        </w:rPr>
        <w:t>The FRIENDS project, led by P</w:t>
      </w:r>
      <w:r w:rsidR="00531617" w:rsidRPr="00531617">
        <w:rPr>
          <w:lang w:val="en-GB"/>
        </w:rPr>
        <w:t>ro</w:t>
      </w:r>
      <w:r w:rsidR="00531617">
        <w:rPr>
          <w:lang w:val="en-GB"/>
        </w:rPr>
        <w:t>f</w:t>
      </w:r>
      <w:r>
        <w:rPr>
          <w:lang w:val="en-GB"/>
        </w:rPr>
        <w:t>essor</w:t>
      </w:r>
      <w:r w:rsidR="00531617" w:rsidRPr="00531617">
        <w:rPr>
          <w:lang w:val="en-GB"/>
        </w:rPr>
        <w:t xml:space="preserve"> Paul Stallard, sponsored by Oxford health NHST and funded by the NIHR Public Health Research Programme award was completed and published in the Lancet Psychiatry in August 2014</w:t>
      </w:r>
      <w:r w:rsidR="00531617">
        <w:rPr>
          <w:lang w:val="en-GB"/>
        </w:rPr>
        <w:t>.  The findings suggest that the delivery of anxiety preventing programmes can be effective when used in schools, although the effectiveness is variable depending upon who delivered them.</w:t>
      </w:r>
    </w:p>
    <w:p w:rsidR="00B46C2E" w:rsidRDefault="00B46C2E" w:rsidP="002C3CD6">
      <w:pPr>
        <w:rPr>
          <w:lang w:val="en-GB"/>
        </w:rPr>
      </w:pPr>
      <w:r>
        <w:rPr>
          <w:lang w:val="en-GB"/>
        </w:rPr>
        <w:t>When research studies that have taken place within the organisation come to an end there can be considerable time before the evidence is translated into practice for patient benefit.  This may take years in some cases.</w:t>
      </w:r>
    </w:p>
    <w:p w:rsidR="001E5A95" w:rsidRDefault="001E5A95" w:rsidP="005840C9">
      <w:pPr>
        <w:pStyle w:val="Heading1"/>
      </w:pPr>
      <w:r>
        <w:t xml:space="preserve">NIHR Oxford cognitive health Clinical Research Facility </w:t>
      </w:r>
      <w:r w:rsidR="00236510">
        <w:t>(CRF)</w:t>
      </w:r>
    </w:p>
    <w:p w:rsidR="00705028" w:rsidRDefault="00705028" w:rsidP="00705028">
      <w:r>
        <w:t xml:space="preserve">The CRF is a joint partnership between Oxford Health NHS FT, Oxford University Hospitals NHS Trust and the University of Oxford.  The annual return required by the NIHR for the CRF award that flows through OUHT reports activity across the four sites of the NIHR CRF (Warneford CRF, Oxford Centre for Anxiety Disorders and Trauma (OxCADAT), the Oxford Cognitive Neuropsychology Centre (CNC) and </w:t>
      </w:r>
      <w:r>
        <w:rPr>
          <w:lang w:eastAsia="en-GB"/>
        </w:rPr>
        <w:t>Charles Wolfson Clinical Neuroscience Facility</w:t>
      </w:r>
      <w:r>
        <w:t>).  Occupancy for the first 8 months of the year for the activity for the Warneford CRF was 44% based on actual half day units (rather than hours), an increased from last year’s 29%</w:t>
      </w:r>
    </w:p>
    <w:p w:rsidR="00705028" w:rsidRDefault="00705028" w:rsidP="00705028">
      <w:r>
        <w:t>Details for the other three sites are not currently available but processes will be in place to capture this data for the annual return.</w:t>
      </w:r>
    </w:p>
    <w:p w:rsidR="00E40938" w:rsidRPr="00245847" w:rsidRDefault="00E40938" w:rsidP="00E40938">
      <w:pPr>
        <w:pStyle w:val="Heading2"/>
      </w:pPr>
      <w:r w:rsidRPr="00245847">
        <w:t>Nursing staff</w:t>
      </w:r>
    </w:p>
    <w:p w:rsidR="00441AEA" w:rsidRPr="00245847" w:rsidRDefault="00441AEA" w:rsidP="00441AEA">
      <w:r w:rsidRPr="00245847">
        <w:t xml:space="preserve">Our skill mix within the CRF has continued to evolve with more nursing staff now joining the team to ensure safe administration of trial medication and professional accountability. We have been mindful to ensure psychometric and global rating assessment skills are treated as equally important to meet the demands our industry partners. </w:t>
      </w:r>
    </w:p>
    <w:p w:rsidR="00E40938" w:rsidRPr="00245847" w:rsidRDefault="00441AEA" w:rsidP="00E40938">
      <w:pPr>
        <w:pStyle w:val="Heading2"/>
      </w:pPr>
      <w:r w:rsidRPr="00245847">
        <w:t xml:space="preserve">Military Nurse: </w:t>
      </w:r>
    </w:p>
    <w:p w:rsidR="00441AEA" w:rsidRDefault="00E40938" w:rsidP="00441AEA">
      <w:r w:rsidRPr="00245847">
        <w:t xml:space="preserve">The lead R&amp;D Nurse and CRF Matron has initiated conversations with the Military of </w:t>
      </w:r>
      <w:r w:rsidR="00DF7751" w:rsidRPr="00245847">
        <w:t>Defense</w:t>
      </w:r>
      <w:r w:rsidRPr="00245847">
        <w:t xml:space="preserve"> regarding the facilitation of collaborative working with the military.  Discussions continue to look at the feasibility and logistics of the proposal.</w:t>
      </w:r>
    </w:p>
    <w:p w:rsidR="009F05D8" w:rsidRDefault="009F05D8" w:rsidP="009F05D8">
      <w:pPr>
        <w:pStyle w:val="Heading1"/>
      </w:pPr>
      <w:r>
        <w:t>Clinical Records Interactive Search</w:t>
      </w:r>
    </w:p>
    <w:p w:rsidR="009F05D8" w:rsidRDefault="009F05D8" w:rsidP="009F05D8">
      <w:r>
        <w:t xml:space="preserve">The use of Electronic Health Records (EHR) makes data extraction feasible.  Clinicians provide much of the information contained in the EHR.  This information consists of both structured and unstructured data proving difficult for analysis and extraction of information.  The richest source of clinical information is more often contained in unstructured fields, such </w:t>
      </w:r>
      <w:r>
        <w:lastRenderedPageBreak/>
        <w:t>as ‘progress notes’ or documents. Traditionally unstructured data by its nature has been very difficult to search.  However, South London and Mausdley NHS FT (SLaM) developed an application</w:t>
      </w:r>
      <w:r>
        <w:rPr>
          <w:b/>
        </w:rPr>
        <w:t xml:space="preserve"> - C</w:t>
      </w:r>
      <w:r>
        <w:t xml:space="preserve">linical </w:t>
      </w:r>
      <w:r>
        <w:rPr>
          <w:b/>
        </w:rPr>
        <w:t>R</w:t>
      </w:r>
      <w:r>
        <w:t xml:space="preserve">ecord </w:t>
      </w:r>
      <w:r>
        <w:rPr>
          <w:b/>
        </w:rPr>
        <w:t>I</w:t>
      </w:r>
      <w:r>
        <w:t xml:space="preserve">nteractive </w:t>
      </w:r>
      <w:r>
        <w:rPr>
          <w:b/>
        </w:rPr>
        <w:t>S</w:t>
      </w:r>
      <w:r>
        <w:t xml:space="preserve">earch (CRIS) - that enables the valuable unstructured information contained in an EHR to be unlocked and transformed so that key clinical data can be interrogated.  </w:t>
      </w:r>
    </w:p>
    <w:p w:rsidR="009F05D8" w:rsidRDefault="009F05D8" w:rsidP="009F05D8">
      <w:r>
        <w:t xml:space="preserve">The CRIS application takes clinical information from the local, Oxford Health NHS FT (OHFT) EHR, removes patient identifiable information and provides searchable and secure access to data for research and audit purposes.  The system allows effective anonymisation and psuedonymisation of data. </w:t>
      </w:r>
    </w:p>
    <w:p w:rsidR="009F05D8" w:rsidRDefault="009F05D8" w:rsidP="009F05D8">
      <w:r>
        <w:t xml:space="preserve">CRIS was designed primarily to support three types of usages: </w:t>
      </w:r>
    </w:p>
    <w:p w:rsidR="009F05D8" w:rsidRDefault="009F05D8" w:rsidP="00765972">
      <w:pPr>
        <w:pStyle w:val="ListParagraph"/>
        <w:numPr>
          <w:ilvl w:val="0"/>
          <w:numId w:val="7"/>
        </w:numPr>
      </w:pPr>
      <w:r>
        <w:t>Type 1: as an anonymised database for secondary analysis</w:t>
      </w:r>
    </w:p>
    <w:p w:rsidR="009F05D8" w:rsidRDefault="009F05D8" w:rsidP="00765972">
      <w:pPr>
        <w:pStyle w:val="ListParagraph"/>
        <w:numPr>
          <w:ilvl w:val="0"/>
          <w:numId w:val="7"/>
        </w:numPr>
      </w:pPr>
      <w:r>
        <w:t xml:space="preserve">Type 2: to identify potential recruits to research projects from the clinical population </w:t>
      </w:r>
    </w:p>
    <w:p w:rsidR="009F05D8" w:rsidRDefault="009F05D8" w:rsidP="00765972">
      <w:pPr>
        <w:pStyle w:val="ListParagraph"/>
        <w:numPr>
          <w:ilvl w:val="0"/>
          <w:numId w:val="7"/>
        </w:numPr>
      </w:pPr>
      <w:r>
        <w:t>Type 3: to provide contextual clinical information for existing research participants</w:t>
      </w:r>
    </w:p>
    <w:p w:rsidR="009F05D8" w:rsidRDefault="009F05D8" w:rsidP="009F05D8">
      <w:pPr>
        <w:rPr>
          <w:lang w:val="en-GB"/>
        </w:rPr>
      </w:pPr>
      <w:r>
        <w:rPr>
          <w:lang w:val="en-GB"/>
        </w:rPr>
        <w:t>The set up and implementation of the CRIS has moved into R&amp;D.  A CRIS Management group has been established to develop key documentation to enable to Trust to submit an ethics application to enable usage within the Trust for research and audit purposes.  The CRIS Management Group will morph into the CRIS Oversight Group who will oversee its usage once ethics approval has been granted.</w:t>
      </w:r>
    </w:p>
    <w:p w:rsidR="00DF7751" w:rsidRPr="00DF7751" w:rsidRDefault="00DF7751" w:rsidP="00DF7751">
      <w:r w:rsidRPr="00DF7751">
        <w:t>The security model and information governance assurance framework document is near completion.  This is a key document</w:t>
      </w:r>
      <w:r>
        <w:t xml:space="preserve"> that will</w:t>
      </w:r>
      <w:r w:rsidRPr="00DF7751">
        <w:t xml:space="preserve"> provide an overview of the specific security model and wider governance framework in OHFT that will maintain the security of clinical information during: the preparation and transfer of the data to CRIS; the transfer of data to NHS Trust partners whilst it’s stored in CRIS; data usage for ongoing audit and research purposes by approved/regulated OHFT staff.  </w:t>
      </w:r>
      <w:r>
        <w:t>This document will provide the framework for the research ethics committee (REC) submission along with patient facing information outlining the CRIS.  It is anticipated that the REC will be submitted early 2015.</w:t>
      </w:r>
    </w:p>
    <w:p w:rsidR="009B51DB" w:rsidRPr="005840C9" w:rsidRDefault="009B51DB" w:rsidP="005840C9">
      <w:pPr>
        <w:pStyle w:val="Heading1"/>
      </w:pPr>
      <w:r w:rsidRPr="00A51501">
        <w:t>Finance</w:t>
      </w:r>
    </w:p>
    <w:p w:rsidR="002F1851" w:rsidRDefault="002F1851" w:rsidP="002F1851">
      <w:pPr>
        <w:rPr>
          <w:lang w:val="en-GB"/>
        </w:rPr>
      </w:pPr>
      <w:r>
        <w:rPr>
          <w:lang w:val="en-GB"/>
        </w:rPr>
        <w:t xml:space="preserve">The Trust receives R&amp;D funding from a number of different sources, primarily derived from: </w:t>
      </w:r>
    </w:p>
    <w:tbl>
      <w:tblPr>
        <w:tblStyle w:val="TableGrid"/>
        <w:tblW w:w="0" w:type="auto"/>
        <w:tblInd w:w="-34" w:type="dxa"/>
        <w:tblLook w:val="04A0" w:firstRow="1" w:lastRow="0" w:firstColumn="1" w:lastColumn="0" w:noHBand="0" w:noVBand="1"/>
      </w:tblPr>
      <w:tblGrid>
        <w:gridCol w:w="7513"/>
        <w:gridCol w:w="2709"/>
      </w:tblGrid>
      <w:tr w:rsidR="002F1851" w:rsidTr="009A591A">
        <w:tc>
          <w:tcPr>
            <w:tcW w:w="7513" w:type="dxa"/>
            <w:shd w:val="clear" w:color="auto" w:fill="8DB3E2" w:themeFill="text2" w:themeFillTint="66"/>
            <w:vAlign w:val="center"/>
          </w:tcPr>
          <w:p w:rsidR="002F1851" w:rsidRPr="00B36329" w:rsidRDefault="002F1851" w:rsidP="002F1851">
            <w:pPr>
              <w:pStyle w:val="ListParagraph"/>
              <w:spacing w:before="0" w:after="0"/>
              <w:ind w:left="0"/>
              <w:jc w:val="left"/>
              <w:rPr>
                <w:b/>
                <w:sz w:val="20"/>
                <w:szCs w:val="20"/>
                <w:lang w:val="en-GB"/>
              </w:rPr>
            </w:pPr>
            <w:r w:rsidRPr="00B36329">
              <w:rPr>
                <w:b/>
                <w:sz w:val="20"/>
                <w:szCs w:val="20"/>
                <w:lang w:val="en-GB"/>
              </w:rPr>
              <w:t>Source</w:t>
            </w:r>
          </w:p>
        </w:tc>
        <w:tc>
          <w:tcPr>
            <w:tcW w:w="2709" w:type="dxa"/>
            <w:shd w:val="clear" w:color="auto" w:fill="8DB3E2" w:themeFill="text2" w:themeFillTint="66"/>
            <w:vAlign w:val="center"/>
          </w:tcPr>
          <w:p w:rsidR="002F1851" w:rsidRPr="00B36329" w:rsidRDefault="002F1851" w:rsidP="002F1851">
            <w:pPr>
              <w:pStyle w:val="ListParagraph"/>
              <w:spacing w:before="0" w:after="0"/>
              <w:ind w:left="0"/>
              <w:jc w:val="center"/>
              <w:rPr>
                <w:b/>
                <w:sz w:val="20"/>
                <w:szCs w:val="20"/>
                <w:lang w:val="en-GB"/>
              </w:rPr>
            </w:pPr>
            <w:r w:rsidRPr="00B36329">
              <w:rPr>
                <w:b/>
                <w:sz w:val="20"/>
                <w:szCs w:val="20"/>
                <w:lang w:val="en-GB"/>
              </w:rPr>
              <w:t>FY15 Budget (£k)</w:t>
            </w:r>
          </w:p>
        </w:tc>
      </w:tr>
      <w:tr w:rsidR="002F1851" w:rsidTr="002F1851">
        <w:tc>
          <w:tcPr>
            <w:tcW w:w="7513" w:type="dxa"/>
            <w:vAlign w:val="center"/>
          </w:tcPr>
          <w:p w:rsidR="002F1851" w:rsidRPr="00B36329" w:rsidRDefault="002F1851" w:rsidP="002F1851">
            <w:pPr>
              <w:spacing w:before="0" w:after="0"/>
              <w:ind w:left="360"/>
              <w:jc w:val="left"/>
              <w:rPr>
                <w:sz w:val="20"/>
                <w:szCs w:val="20"/>
                <w:lang w:val="en-GB"/>
              </w:rPr>
            </w:pPr>
            <w:r w:rsidRPr="00B36329">
              <w:rPr>
                <w:sz w:val="20"/>
                <w:szCs w:val="20"/>
                <w:lang w:val="en-GB"/>
              </w:rPr>
              <w:t>The National Institute for Health Research (NIHR)</w:t>
            </w:r>
          </w:p>
        </w:tc>
        <w:tc>
          <w:tcPr>
            <w:tcW w:w="2709" w:type="dxa"/>
            <w:vAlign w:val="center"/>
          </w:tcPr>
          <w:p w:rsidR="002F1851" w:rsidRPr="00B36329" w:rsidRDefault="002F1851" w:rsidP="002F1851">
            <w:pPr>
              <w:pStyle w:val="ListParagraph"/>
              <w:spacing w:before="0" w:after="0"/>
              <w:ind w:left="0"/>
              <w:jc w:val="center"/>
              <w:rPr>
                <w:sz w:val="20"/>
                <w:szCs w:val="20"/>
                <w:lang w:val="en-GB"/>
              </w:rPr>
            </w:pPr>
            <w:r w:rsidRPr="00B36329">
              <w:rPr>
                <w:sz w:val="20"/>
                <w:szCs w:val="20"/>
                <w:lang w:val="en-GB"/>
              </w:rPr>
              <w:t>4,722</w:t>
            </w:r>
          </w:p>
        </w:tc>
      </w:tr>
      <w:tr w:rsidR="002F1851" w:rsidTr="002F1851">
        <w:tc>
          <w:tcPr>
            <w:tcW w:w="7513" w:type="dxa"/>
            <w:vAlign w:val="center"/>
          </w:tcPr>
          <w:p w:rsidR="002F1851" w:rsidRPr="00B36329" w:rsidRDefault="002F1851" w:rsidP="002F1851">
            <w:pPr>
              <w:spacing w:before="0" w:after="0"/>
              <w:ind w:left="360"/>
              <w:jc w:val="left"/>
              <w:rPr>
                <w:sz w:val="20"/>
                <w:szCs w:val="20"/>
                <w:lang w:val="en-GB"/>
              </w:rPr>
            </w:pPr>
            <w:r w:rsidRPr="00B36329">
              <w:rPr>
                <w:rFonts w:cs="Arial"/>
                <w:color w:val="000000"/>
                <w:sz w:val="20"/>
                <w:szCs w:val="20"/>
              </w:rPr>
              <w:t>Clinical Research Network: Thames Valley and South Midlands (CRN)</w:t>
            </w:r>
          </w:p>
        </w:tc>
        <w:tc>
          <w:tcPr>
            <w:tcW w:w="2709" w:type="dxa"/>
            <w:vAlign w:val="center"/>
          </w:tcPr>
          <w:p w:rsidR="002F1851" w:rsidRPr="00B36329" w:rsidRDefault="002F1851" w:rsidP="002F1851">
            <w:pPr>
              <w:pStyle w:val="ListParagraph"/>
              <w:spacing w:before="0" w:after="0"/>
              <w:ind w:left="0"/>
              <w:jc w:val="center"/>
              <w:rPr>
                <w:sz w:val="20"/>
                <w:szCs w:val="20"/>
                <w:lang w:val="en-GB"/>
              </w:rPr>
            </w:pPr>
            <w:r w:rsidRPr="00B36329">
              <w:rPr>
                <w:sz w:val="20"/>
                <w:szCs w:val="20"/>
                <w:lang w:val="en-GB"/>
              </w:rPr>
              <w:t>1,597</w:t>
            </w:r>
          </w:p>
        </w:tc>
      </w:tr>
      <w:tr w:rsidR="002F1851" w:rsidTr="002F1851">
        <w:tc>
          <w:tcPr>
            <w:tcW w:w="7513" w:type="dxa"/>
            <w:tcBorders>
              <w:bottom w:val="single" w:sz="4" w:space="0" w:color="auto"/>
            </w:tcBorders>
            <w:vAlign w:val="center"/>
          </w:tcPr>
          <w:p w:rsidR="002F1851" w:rsidRPr="00B36329" w:rsidRDefault="002F1851" w:rsidP="002F1851">
            <w:pPr>
              <w:spacing w:before="0" w:after="0"/>
              <w:ind w:left="360"/>
              <w:jc w:val="left"/>
              <w:rPr>
                <w:sz w:val="20"/>
                <w:szCs w:val="20"/>
                <w:lang w:val="en-GB"/>
              </w:rPr>
            </w:pPr>
            <w:r w:rsidRPr="00B36329">
              <w:rPr>
                <w:sz w:val="20"/>
                <w:szCs w:val="20"/>
                <w:lang w:val="en-GB"/>
              </w:rPr>
              <w:t>Non-NIHR and Commercial Income</w:t>
            </w:r>
          </w:p>
        </w:tc>
        <w:tc>
          <w:tcPr>
            <w:tcW w:w="2709" w:type="dxa"/>
            <w:tcBorders>
              <w:bottom w:val="single" w:sz="4" w:space="0" w:color="auto"/>
            </w:tcBorders>
            <w:vAlign w:val="center"/>
          </w:tcPr>
          <w:p w:rsidR="002F1851" w:rsidRPr="00B36329" w:rsidRDefault="002F1851" w:rsidP="002F1851">
            <w:pPr>
              <w:pStyle w:val="ListParagraph"/>
              <w:spacing w:before="0" w:after="0"/>
              <w:ind w:left="0"/>
              <w:jc w:val="center"/>
              <w:rPr>
                <w:sz w:val="20"/>
                <w:szCs w:val="20"/>
                <w:lang w:val="en-GB"/>
              </w:rPr>
            </w:pPr>
            <w:r w:rsidRPr="00B36329">
              <w:rPr>
                <w:sz w:val="20"/>
                <w:szCs w:val="20"/>
                <w:lang w:val="en-GB"/>
              </w:rPr>
              <w:t>303</w:t>
            </w:r>
          </w:p>
        </w:tc>
      </w:tr>
      <w:tr w:rsidR="002F1851" w:rsidTr="009A591A">
        <w:tc>
          <w:tcPr>
            <w:tcW w:w="7513" w:type="dxa"/>
            <w:shd w:val="clear" w:color="auto" w:fill="8DB3E2" w:themeFill="text2" w:themeFillTint="66"/>
            <w:vAlign w:val="center"/>
          </w:tcPr>
          <w:p w:rsidR="002F1851" w:rsidRPr="00B36329" w:rsidRDefault="002F1851" w:rsidP="002F1851">
            <w:pPr>
              <w:spacing w:before="0" w:after="0"/>
              <w:ind w:left="360"/>
              <w:jc w:val="left"/>
              <w:rPr>
                <w:b/>
                <w:sz w:val="20"/>
                <w:szCs w:val="20"/>
                <w:lang w:val="en-GB"/>
              </w:rPr>
            </w:pPr>
            <w:r w:rsidRPr="00B36329">
              <w:rPr>
                <w:b/>
                <w:sz w:val="20"/>
                <w:szCs w:val="20"/>
                <w:lang w:val="en-GB"/>
              </w:rPr>
              <w:t>Total</w:t>
            </w:r>
          </w:p>
        </w:tc>
        <w:tc>
          <w:tcPr>
            <w:tcW w:w="2709" w:type="dxa"/>
            <w:shd w:val="clear" w:color="auto" w:fill="8DB3E2" w:themeFill="text2" w:themeFillTint="66"/>
            <w:vAlign w:val="center"/>
          </w:tcPr>
          <w:p w:rsidR="002F1851" w:rsidRPr="00B36329" w:rsidRDefault="002F1851" w:rsidP="002F1851">
            <w:pPr>
              <w:pStyle w:val="ListParagraph"/>
              <w:spacing w:before="0" w:after="0"/>
              <w:ind w:left="0"/>
              <w:jc w:val="center"/>
              <w:rPr>
                <w:b/>
                <w:sz w:val="20"/>
                <w:szCs w:val="20"/>
                <w:lang w:val="en-GB"/>
              </w:rPr>
            </w:pPr>
            <w:r w:rsidRPr="00B36329">
              <w:rPr>
                <w:b/>
                <w:sz w:val="20"/>
                <w:szCs w:val="20"/>
                <w:lang w:val="en-GB"/>
              </w:rPr>
              <w:t>6,622</w:t>
            </w:r>
          </w:p>
        </w:tc>
      </w:tr>
    </w:tbl>
    <w:p w:rsidR="002F1851" w:rsidRPr="00B36329" w:rsidRDefault="002F1851" w:rsidP="002F1851">
      <w:pPr>
        <w:pStyle w:val="ListParagraph"/>
        <w:spacing w:before="0" w:after="0"/>
        <w:rPr>
          <w:lang w:val="en-GB"/>
        </w:rPr>
      </w:pPr>
    </w:p>
    <w:p w:rsidR="002F1851" w:rsidRDefault="002F1851" w:rsidP="002F1851">
      <w:pPr>
        <w:rPr>
          <w:b/>
          <w:lang w:val="en-GB"/>
        </w:rPr>
      </w:pPr>
      <w:r>
        <w:rPr>
          <w:lang w:val="en-GB"/>
        </w:rPr>
        <w:t>The NIHR and CRN income is expected to be used within year and any underspend returned to the funding organisation.</w:t>
      </w:r>
    </w:p>
    <w:p w:rsidR="002F1851" w:rsidRPr="00B40582" w:rsidRDefault="002F1851" w:rsidP="002F1851">
      <w:pPr>
        <w:pStyle w:val="Heading2"/>
        <w:rPr>
          <w:lang w:val="en-GB"/>
        </w:rPr>
      </w:pPr>
      <w:r w:rsidRPr="00B40582">
        <w:rPr>
          <w:lang w:val="en-GB"/>
        </w:rPr>
        <w:lastRenderedPageBreak/>
        <w:t>Period 7 Year to Date Performance</w:t>
      </w:r>
    </w:p>
    <w:p w:rsidR="002F1851" w:rsidRDefault="002F1851" w:rsidP="002F1851">
      <w:pPr>
        <w:rPr>
          <w:lang w:val="en-GB"/>
        </w:rPr>
      </w:pPr>
      <w:r>
        <w:rPr>
          <w:lang w:val="en-GB"/>
        </w:rPr>
        <w:t>In FY15 R&amp;D are budgeted to make a contribution to overheads of £126k, at the end of the first 7 months a contribution of £213k had been achieved primary due to higher than budgeted non-NIHR (mainly commercial) income. A breakeven position is forecast over the remaining 5 months which will maintain an £87k favourable variance at year-end.</w:t>
      </w:r>
    </w:p>
    <w:tbl>
      <w:tblPr>
        <w:tblStyle w:val="TableGrid"/>
        <w:tblpPr w:leftFromText="180" w:rightFromText="180" w:vertAnchor="page" w:horzAnchor="margin" w:tblpY="7540"/>
        <w:tblW w:w="10065" w:type="dxa"/>
        <w:tblLayout w:type="fixed"/>
        <w:tblLook w:val="04A0" w:firstRow="1" w:lastRow="0" w:firstColumn="1" w:lastColumn="0" w:noHBand="0" w:noVBand="1"/>
      </w:tblPr>
      <w:tblGrid>
        <w:gridCol w:w="3119"/>
        <w:gridCol w:w="992"/>
        <w:gridCol w:w="1211"/>
        <w:gridCol w:w="779"/>
        <w:gridCol w:w="1412"/>
        <w:gridCol w:w="1276"/>
        <w:gridCol w:w="1276"/>
      </w:tblGrid>
      <w:tr w:rsidR="002F1851" w:rsidRPr="004475B9" w:rsidTr="009A591A">
        <w:trPr>
          <w:trHeight w:val="66"/>
        </w:trPr>
        <w:tc>
          <w:tcPr>
            <w:tcW w:w="3119" w:type="dxa"/>
            <w:shd w:val="clear" w:color="auto" w:fill="8DB3E2" w:themeFill="text2" w:themeFillTint="66"/>
          </w:tcPr>
          <w:p w:rsidR="002F1851" w:rsidRPr="00AD7B30" w:rsidRDefault="002F1851" w:rsidP="002F1851">
            <w:pPr>
              <w:spacing w:before="0" w:after="0"/>
              <w:rPr>
                <w:b/>
                <w:sz w:val="20"/>
                <w:szCs w:val="20"/>
              </w:rPr>
            </w:pPr>
            <w:r w:rsidRPr="00AD7B30">
              <w:rPr>
                <w:b/>
                <w:sz w:val="20"/>
                <w:szCs w:val="20"/>
              </w:rPr>
              <w:t>Income and Expenditure (£k)</w:t>
            </w:r>
          </w:p>
        </w:tc>
        <w:tc>
          <w:tcPr>
            <w:tcW w:w="992" w:type="dxa"/>
            <w:shd w:val="clear" w:color="auto" w:fill="8DB3E2" w:themeFill="text2" w:themeFillTint="66"/>
          </w:tcPr>
          <w:p w:rsidR="002F1851" w:rsidRPr="00AD7B30" w:rsidRDefault="002F1851" w:rsidP="002F1851">
            <w:pPr>
              <w:spacing w:before="0" w:after="0"/>
              <w:jc w:val="center"/>
              <w:rPr>
                <w:b/>
                <w:sz w:val="20"/>
                <w:szCs w:val="20"/>
              </w:rPr>
            </w:pPr>
            <w:r w:rsidRPr="00AD7B30">
              <w:rPr>
                <w:b/>
                <w:sz w:val="20"/>
                <w:szCs w:val="20"/>
              </w:rPr>
              <w:t>YTD Budget</w:t>
            </w:r>
          </w:p>
        </w:tc>
        <w:tc>
          <w:tcPr>
            <w:tcW w:w="1211" w:type="dxa"/>
            <w:shd w:val="clear" w:color="auto" w:fill="8DB3E2" w:themeFill="text2" w:themeFillTint="66"/>
          </w:tcPr>
          <w:p w:rsidR="002F1851" w:rsidRPr="00AD7B30" w:rsidRDefault="002F1851" w:rsidP="002F1851">
            <w:pPr>
              <w:spacing w:before="0" w:after="0"/>
              <w:jc w:val="center"/>
              <w:rPr>
                <w:b/>
                <w:sz w:val="20"/>
                <w:szCs w:val="20"/>
              </w:rPr>
            </w:pPr>
            <w:r w:rsidRPr="00AD7B30">
              <w:rPr>
                <w:b/>
                <w:sz w:val="20"/>
                <w:szCs w:val="20"/>
              </w:rPr>
              <w:t>YTD Actual</w:t>
            </w:r>
          </w:p>
        </w:tc>
        <w:tc>
          <w:tcPr>
            <w:tcW w:w="779" w:type="dxa"/>
            <w:shd w:val="clear" w:color="auto" w:fill="8DB3E2" w:themeFill="text2" w:themeFillTint="66"/>
          </w:tcPr>
          <w:p w:rsidR="002F1851" w:rsidRPr="00AD7B30" w:rsidRDefault="002F1851" w:rsidP="002F1851">
            <w:pPr>
              <w:spacing w:before="0" w:after="0"/>
              <w:jc w:val="center"/>
              <w:rPr>
                <w:b/>
                <w:sz w:val="20"/>
                <w:szCs w:val="20"/>
              </w:rPr>
            </w:pPr>
            <w:r w:rsidRPr="00AD7B30">
              <w:rPr>
                <w:b/>
                <w:sz w:val="20"/>
                <w:szCs w:val="20"/>
              </w:rPr>
              <w:t>YTD Var.</w:t>
            </w:r>
          </w:p>
        </w:tc>
        <w:tc>
          <w:tcPr>
            <w:tcW w:w="1412" w:type="dxa"/>
            <w:shd w:val="clear" w:color="auto" w:fill="8DB3E2" w:themeFill="text2" w:themeFillTint="66"/>
          </w:tcPr>
          <w:p w:rsidR="002F1851" w:rsidRPr="00AD7B30" w:rsidRDefault="002F1851" w:rsidP="002F1851">
            <w:pPr>
              <w:spacing w:before="0" w:after="0"/>
              <w:jc w:val="center"/>
              <w:rPr>
                <w:b/>
                <w:sz w:val="20"/>
                <w:szCs w:val="20"/>
              </w:rPr>
            </w:pPr>
            <w:r w:rsidRPr="00AD7B30">
              <w:rPr>
                <w:b/>
                <w:sz w:val="20"/>
                <w:szCs w:val="20"/>
              </w:rPr>
              <w:t>Full Year Budget</w:t>
            </w:r>
          </w:p>
        </w:tc>
        <w:tc>
          <w:tcPr>
            <w:tcW w:w="1276" w:type="dxa"/>
            <w:shd w:val="clear" w:color="auto" w:fill="8DB3E2" w:themeFill="text2" w:themeFillTint="66"/>
          </w:tcPr>
          <w:p w:rsidR="002F1851" w:rsidRPr="00AD7B30" w:rsidRDefault="002F1851" w:rsidP="002F1851">
            <w:pPr>
              <w:spacing w:before="0" w:after="0"/>
              <w:jc w:val="center"/>
              <w:rPr>
                <w:b/>
                <w:sz w:val="20"/>
                <w:szCs w:val="20"/>
              </w:rPr>
            </w:pPr>
            <w:r w:rsidRPr="00AD7B30">
              <w:rPr>
                <w:b/>
                <w:sz w:val="20"/>
                <w:szCs w:val="20"/>
              </w:rPr>
              <w:t xml:space="preserve">Full Year </w:t>
            </w:r>
            <w:r>
              <w:rPr>
                <w:b/>
                <w:sz w:val="20"/>
                <w:szCs w:val="20"/>
              </w:rPr>
              <w:t>Foreast</w:t>
            </w:r>
          </w:p>
        </w:tc>
        <w:tc>
          <w:tcPr>
            <w:tcW w:w="1276" w:type="dxa"/>
            <w:shd w:val="clear" w:color="auto" w:fill="8DB3E2" w:themeFill="text2" w:themeFillTint="66"/>
          </w:tcPr>
          <w:p w:rsidR="002F1851" w:rsidRPr="00AD7B30" w:rsidRDefault="002F1851" w:rsidP="002F1851">
            <w:pPr>
              <w:spacing w:before="0" w:after="0"/>
              <w:jc w:val="center"/>
              <w:rPr>
                <w:b/>
                <w:sz w:val="20"/>
                <w:szCs w:val="20"/>
              </w:rPr>
            </w:pPr>
            <w:r w:rsidRPr="00AD7B30">
              <w:rPr>
                <w:b/>
                <w:sz w:val="20"/>
                <w:szCs w:val="20"/>
              </w:rPr>
              <w:t>Full Year Var.</w:t>
            </w:r>
          </w:p>
        </w:tc>
      </w:tr>
      <w:tr w:rsidR="002F1851" w:rsidRPr="004475B9" w:rsidTr="002F1851">
        <w:trPr>
          <w:trHeight w:val="314"/>
        </w:trPr>
        <w:tc>
          <w:tcPr>
            <w:tcW w:w="3119" w:type="dxa"/>
            <w:vAlign w:val="center"/>
          </w:tcPr>
          <w:p w:rsidR="002F1851" w:rsidRPr="00AD7B30" w:rsidRDefault="002F1851" w:rsidP="002F1851">
            <w:pPr>
              <w:spacing w:before="0" w:after="0"/>
              <w:rPr>
                <w:sz w:val="20"/>
                <w:szCs w:val="20"/>
              </w:rPr>
            </w:pPr>
            <w:r w:rsidRPr="00AD7B30">
              <w:rPr>
                <w:sz w:val="20"/>
                <w:szCs w:val="20"/>
              </w:rPr>
              <w:t>Income</w:t>
            </w:r>
          </w:p>
        </w:tc>
        <w:tc>
          <w:tcPr>
            <w:tcW w:w="992" w:type="dxa"/>
            <w:vAlign w:val="center"/>
          </w:tcPr>
          <w:p w:rsidR="002F1851" w:rsidRPr="00AD7B30" w:rsidRDefault="002F1851" w:rsidP="002F1851">
            <w:pPr>
              <w:spacing w:before="0" w:after="0"/>
              <w:jc w:val="center"/>
              <w:rPr>
                <w:sz w:val="20"/>
                <w:szCs w:val="20"/>
              </w:rPr>
            </w:pPr>
            <w:r w:rsidRPr="00AD7B30">
              <w:rPr>
                <w:sz w:val="20"/>
                <w:szCs w:val="20"/>
              </w:rPr>
              <w:t>3,850</w:t>
            </w:r>
          </w:p>
        </w:tc>
        <w:tc>
          <w:tcPr>
            <w:tcW w:w="1211" w:type="dxa"/>
            <w:vAlign w:val="center"/>
          </w:tcPr>
          <w:p w:rsidR="002F1851" w:rsidRPr="00AD7B30" w:rsidRDefault="002F1851" w:rsidP="002F1851">
            <w:pPr>
              <w:spacing w:before="0" w:after="0"/>
              <w:jc w:val="center"/>
              <w:rPr>
                <w:sz w:val="20"/>
                <w:szCs w:val="20"/>
              </w:rPr>
            </w:pPr>
            <w:r w:rsidRPr="00AD7B30">
              <w:rPr>
                <w:sz w:val="20"/>
                <w:szCs w:val="20"/>
              </w:rPr>
              <w:t>3,312</w:t>
            </w:r>
          </w:p>
        </w:tc>
        <w:tc>
          <w:tcPr>
            <w:tcW w:w="779" w:type="dxa"/>
            <w:vAlign w:val="center"/>
          </w:tcPr>
          <w:p w:rsidR="002F1851" w:rsidRPr="00AD7B30" w:rsidRDefault="002F1851" w:rsidP="002F1851">
            <w:pPr>
              <w:spacing w:before="0" w:after="0"/>
              <w:jc w:val="center"/>
              <w:rPr>
                <w:sz w:val="20"/>
                <w:szCs w:val="20"/>
              </w:rPr>
            </w:pPr>
            <w:r w:rsidRPr="00AD7B30">
              <w:rPr>
                <w:sz w:val="20"/>
                <w:szCs w:val="20"/>
              </w:rPr>
              <w:t>(538)</w:t>
            </w:r>
          </w:p>
        </w:tc>
        <w:tc>
          <w:tcPr>
            <w:tcW w:w="1412" w:type="dxa"/>
            <w:vAlign w:val="center"/>
          </w:tcPr>
          <w:p w:rsidR="002F1851" w:rsidRPr="00AD7B30" w:rsidRDefault="002F1851" w:rsidP="002F1851">
            <w:pPr>
              <w:spacing w:before="0" w:after="0"/>
              <w:jc w:val="center"/>
              <w:rPr>
                <w:sz w:val="20"/>
                <w:szCs w:val="20"/>
              </w:rPr>
            </w:pPr>
            <w:r w:rsidRPr="00AD7B30">
              <w:rPr>
                <w:sz w:val="20"/>
                <w:szCs w:val="20"/>
              </w:rPr>
              <w:t>6,622</w:t>
            </w:r>
          </w:p>
        </w:tc>
        <w:tc>
          <w:tcPr>
            <w:tcW w:w="1276" w:type="dxa"/>
            <w:vAlign w:val="center"/>
          </w:tcPr>
          <w:p w:rsidR="002F1851" w:rsidRPr="00AD7B30" w:rsidRDefault="002F1851" w:rsidP="002F1851">
            <w:pPr>
              <w:spacing w:before="0" w:after="0"/>
              <w:jc w:val="center"/>
              <w:rPr>
                <w:sz w:val="20"/>
                <w:szCs w:val="20"/>
              </w:rPr>
            </w:pPr>
            <w:r w:rsidRPr="00AD7B30">
              <w:rPr>
                <w:sz w:val="20"/>
                <w:szCs w:val="20"/>
              </w:rPr>
              <w:t>6,697</w:t>
            </w:r>
          </w:p>
        </w:tc>
        <w:tc>
          <w:tcPr>
            <w:tcW w:w="1276" w:type="dxa"/>
            <w:vAlign w:val="center"/>
          </w:tcPr>
          <w:p w:rsidR="002F1851" w:rsidRPr="00AD7B30" w:rsidRDefault="002F1851" w:rsidP="002F1851">
            <w:pPr>
              <w:spacing w:before="0" w:after="0"/>
              <w:jc w:val="center"/>
              <w:rPr>
                <w:sz w:val="20"/>
                <w:szCs w:val="20"/>
              </w:rPr>
            </w:pPr>
            <w:r w:rsidRPr="00AD7B30">
              <w:rPr>
                <w:sz w:val="20"/>
                <w:szCs w:val="20"/>
              </w:rPr>
              <w:t>75</w:t>
            </w:r>
          </w:p>
        </w:tc>
      </w:tr>
      <w:tr w:rsidR="002F1851" w:rsidRPr="004475B9" w:rsidTr="002F1851">
        <w:trPr>
          <w:trHeight w:val="66"/>
        </w:trPr>
        <w:tc>
          <w:tcPr>
            <w:tcW w:w="3119" w:type="dxa"/>
            <w:tcBorders>
              <w:bottom w:val="single" w:sz="4" w:space="0" w:color="auto"/>
            </w:tcBorders>
            <w:vAlign w:val="center"/>
          </w:tcPr>
          <w:p w:rsidR="002F1851" w:rsidRPr="00AD7B30" w:rsidRDefault="002F1851" w:rsidP="002F1851">
            <w:pPr>
              <w:spacing w:before="0" w:after="0"/>
              <w:rPr>
                <w:sz w:val="20"/>
                <w:szCs w:val="20"/>
              </w:rPr>
            </w:pPr>
            <w:r w:rsidRPr="00AD7B30">
              <w:rPr>
                <w:sz w:val="20"/>
                <w:szCs w:val="20"/>
              </w:rPr>
              <w:t>Expenditure</w:t>
            </w:r>
          </w:p>
        </w:tc>
        <w:tc>
          <w:tcPr>
            <w:tcW w:w="992" w:type="dxa"/>
            <w:tcBorders>
              <w:bottom w:val="single" w:sz="4" w:space="0" w:color="auto"/>
            </w:tcBorders>
            <w:vAlign w:val="center"/>
          </w:tcPr>
          <w:p w:rsidR="002F1851" w:rsidRPr="00AD7B30" w:rsidRDefault="002F1851" w:rsidP="002F1851">
            <w:pPr>
              <w:spacing w:before="0" w:after="0"/>
              <w:jc w:val="center"/>
              <w:rPr>
                <w:sz w:val="20"/>
                <w:szCs w:val="20"/>
              </w:rPr>
            </w:pPr>
            <w:r w:rsidRPr="00AD7B30">
              <w:rPr>
                <w:sz w:val="20"/>
                <w:szCs w:val="20"/>
              </w:rPr>
              <w:t>(3,777)</w:t>
            </w:r>
          </w:p>
        </w:tc>
        <w:tc>
          <w:tcPr>
            <w:tcW w:w="1211" w:type="dxa"/>
            <w:tcBorders>
              <w:bottom w:val="single" w:sz="4" w:space="0" w:color="auto"/>
            </w:tcBorders>
            <w:vAlign w:val="center"/>
          </w:tcPr>
          <w:p w:rsidR="002F1851" w:rsidRPr="00AD7B30" w:rsidRDefault="002F1851" w:rsidP="002F1851">
            <w:pPr>
              <w:spacing w:before="0" w:after="0"/>
              <w:jc w:val="center"/>
              <w:rPr>
                <w:sz w:val="20"/>
                <w:szCs w:val="20"/>
              </w:rPr>
            </w:pPr>
            <w:r w:rsidRPr="00AD7B30">
              <w:rPr>
                <w:sz w:val="20"/>
                <w:szCs w:val="20"/>
              </w:rPr>
              <w:t>(3,152)</w:t>
            </w:r>
          </w:p>
        </w:tc>
        <w:tc>
          <w:tcPr>
            <w:tcW w:w="779" w:type="dxa"/>
            <w:tcBorders>
              <w:bottom w:val="single" w:sz="4" w:space="0" w:color="auto"/>
            </w:tcBorders>
            <w:vAlign w:val="center"/>
          </w:tcPr>
          <w:p w:rsidR="002F1851" w:rsidRPr="00AD7B30" w:rsidRDefault="002F1851" w:rsidP="002F1851">
            <w:pPr>
              <w:spacing w:before="0" w:after="0"/>
              <w:jc w:val="center"/>
              <w:rPr>
                <w:sz w:val="20"/>
                <w:szCs w:val="20"/>
              </w:rPr>
            </w:pPr>
            <w:r w:rsidRPr="00AD7B30">
              <w:rPr>
                <w:sz w:val="20"/>
                <w:szCs w:val="20"/>
              </w:rPr>
              <w:t>625</w:t>
            </w:r>
          </w:p>
        </w:tc>
        <w:tc>
          <w:tcPr>
            <w:tcW w:w="1412" w:type="dxa"/>
            <w:tcBorders>
              <w:bottom w:val="single" w:sz="4" w:space="0" w:color="auto"/>
            </w:tcBorders>
            <w:vAlign w:val="center"/>
          </w:tcPr>
          <w:p w:rsidR="002F1851" w:rsidRPr="00AD7B30" w:rsidRDefault="002F1851" w:rsidP="002F1851">
            <w:pPr>
              <w:spacing w:before="0" w:after="0"/>
              <w:jc w:val="center"/>
              <w:rPr>
                <w:sz w:val="20"/>
                <w:szCs w:val="20"/>
              </w:rPr>
            </w:pPr>
            <w:r w:rsidRPr="00AD7B30">
              <w:rPr>
                <w:sz w:val="20"/>
                <w:szCs w:val="20"/>
              </w:rPr>
              <w:t>(6,496)</w:t>
            </w:r>
          </w:p>
        </w:tc>
        <w:tc>
          <w:tcPr>
            <w:tcW w:w="1276" w:type="dxa"/>
            <w:tcBorders>
              <w:bottom w:val="single" w:sz="4" w:space="0" w:color="auto"/>
            </w:tcBorders>
            <w:vAlign w:val="center"/>
          </w:tcPr>
          <w:p w:rsidR="002F1851" w:rsidRPr="00AD7B30" w:rsidRDefault="002F1851" w:rsidP="002F1851">
            <w:pPr>
              <w:spacing w:before="0" w:after="0"/>
              <w:jc w:val="center"/>
              <w:rPr>
                <w:sz w:val="20"/>
                <w:szCs w:val="20"/>
              </w:rPr>
            </w:pPr>
            <w:r w:rsidRPr="00AD7B30">
              <w:rPr>
                <w:sz w:val="20"/>
                <w:szCs w:val="20"/>
              </w:rPr>
              <w:t>(6,484)</w:t>
            </w:r>
          </w:p>
        </w:tc>
        <w:tc>
          <w:tcPr>
            <w:tcW w:w="1276" w:type="dxa"/>
            <w:tcBorders>
              <w:bottom w:val="single" w:sz="4" w:space="0" w:color="auto"/>
            </w:tcBorders>
            <w:vAlign w:val="center"/>
          </w:tcPr>
          <w:p w:rsidR="002F1851" w:rsidRPr="00AD7B30" w:rsidRDefault="002F1851" w:rsidP="002F1851">
            <w:pPr>
              <w:spacing w:before="0" w:after="0"/>
              <w:jc w:val="center"/>
              <w:rPr>
                <w:sz w:val="20"/>
                <w:szCs w:val="20"/>
              </w:rPr>
            </w:pPr>
            <w:r w:rsidRPr="00AD7B30">
              <w:rPr>
                <w:sz w:val="20"/>
                <w:szCs w:val="20"/>
              </w:rPr>
              <w:t>12</w:t>
            </w:r>
          </w:p>
        </w:tc>
      </w:tr>
      <w:tr w:rsidR="002F1851" w:rsidRPr="004475B9" w:rsidTr="009A591A">
        <w:trPr>
          <w:trHeight w:val="66"/>
        </w:trPr>
        <w:tc>
          <w:tcPr>
            <w:tcW w:w="3119" w:type="dxa"/>
            <w:tcBorders>
              <w:bottom w:val="single" w:sz="4" w:space="0" w:color="auto"/>
            </w:tcBorders>
            <w:shd w:val="clear" w:color="auto" w:fill="8DB3E2" w:themeFill="text2" w:themeFillTint="66"/>
          </w:tcPr>
          <w:p w:rsidR="002F1851" w:rsidRPr="00AD7B30" w:rsidRDefault="002F1851" w:rsidP="002F1851">
            <w:pPr>
              <w:spacing w:before="0" w:after="0"/>
              <w:rPr>
                <w:b/>
                <w:sz w:val="20"/>
                <w:szCs w:val="20"/>
              </w:rPr>
            </w:pPr>
            <w:r w:rsidRPr="00AD7B30">
              <w:rPr>
                <w:b/>
                <w:sz w:val="20"/>
                <w:szCs w:val="20"/>
              </w:rPr>
              <w:t xml:space="preserve">Net Total </w:t>
            </w:r>
          </w:p>
        </w:tc>
        <w:tc>
          <w:tcPr>
            <w:tcW w:w="992" w:type="dxa"/>
            <w:tcBorders>
              <w:bottom w:val="single" w:sz="4" w:space="0" w:color="auto"/>
            </w:tcBorders>
            <w:shd w:val="clear" w:color="auto" w:fill="8DB3E2" w:themeFill="text2" w:themeFillTint="66"/>
            <w:vAlign w:val="center"/>
          </w:tcPr>
          <w:p w:rsidR="002F1851" w:rsidRPr="00AD7B30" w:rsidRDefault="002F1851" w:rsidP="002F1851">
            <w:pPr>
              <w:spacing w:before="0" w:after="0"/>
              <w:jc w:val="center"/>
              <w:rPr>
                <w:b/>
                <w:sz w:val="20"/>
                <w:szCs w:val="20"/>
              </w:rPr>
            </w:pPr>
            <w:r w:rsidRPr="00AD7B30">
              <w:rPr>
                <w:b/>
                <w:sz w:val="20"/>
                <w:szCs w:val="20"/>
              </w:rPr>
              <w:t>73</w:t>
            </w:r>
          </w:p>
        </w:tc>
        <w:tc>
          <w:tcPr>
            <w:tcW w:w="1211" w:type="dxa"/>
            <w:tcBorders>
              <w:bottom w:val="single" w:sz="4" w:space="0" w:color="auto"/>
            </w:tcBorders>
            <w:shd w:val="clear" w:color="auto" w:fill="8DB3E2" w:themeFill="text2" w:themeFillTint="66"/>
            <w:vAlign w:val="center"/>
          </w:tcPr>
          <w:p w:rsidR="002F1851" w:rsidRPr="00AD7B30" w:rsidRDefault="002F1851" w:rsidP="002F1851">
            <w:pPr>
              <w:spacing w:before="0" w:after="0"/>
              <w:jc w:val="center"/>
              <w:rPr>
                <w:b/>
                <w:sz w:val="20"/>
                <w:szCs w:val="20"/>
              </w:rPr>
            </w:pPr>
            <w:r w:rsidRPr="00AD7B30">
              <w:rPr>
                <w:b/>
                <w:sz w:val="20"/>
                <w:szCs w:val="20"/>
              </w:rPr>
              <w:t>160</w:t>
            </w:r>
          </w:p>
        </w:tc>
        <w:tc>
          <w:tcPr>
            <w:tcW w:w="779" w:type="dxa"/>
            <w:tcBorders>
              <w:bottom w:val="single" w:sz="4" w:space="0" w:color="auto"/>
            </w:tcBorders>
            <w:shd w:val="clear" w:color="auto" w:fill="8DB3E2" w:themeFill="text2" w:themeFillTint="66"/>
            <w:vAlign w:val="center"/>
          </w:tcPr>
          <w:p w:rsidR="002F1851" w:rsidRPr="00AD7B30" w:rsidRDefault="002F1851" w:rsidP="002F1851">
            <w:pPr>
              <w:spacing w:before="0" w:after="0"/>
              <w:jc w:val="center"/>
              <w:rPr>
                <w:b/>
                <w:sz w:val="20"/>
                <w:szCs w:val="20"/>
              </w:rPr>
            </w:pPr>
            <w:r w:rsidRPr="00AD7B30">
              <w:rPr>
                <w:b/>
                <w:sz w:val="20"/>
                <w:szCs w:val="20"/>
              </w:rPr>
              <w:t>87</w:t>
            </w:r>
          </w:p>
        </w:tc>
        <w:tc>
          <w:tcPr>
            <w:tcW w:w="1412" w:type="dxa"/>
            <w:tcBorders>
              <w:bottom w:val="single" w:sz="4" w:space="0" w:color="auto"/>
            </w:tcBorders>
            <w:shd w:val="clear" w:color="auto" w:fill="8DB3E2" w:themeFill="text2" w:themeFillTint="66"/>
            <w:vAlign w:val="center"/>
          </w:tcPr>
          <w:p w:rsidR="002F1851" w:rsidRPr="00AD7B30" w:rsidRDefault="002F1851" w:rsidP="002F1851">
            <w:pPr>
              <w:spacing w:before="0" w:after="0"/>
              <w:jc w:val="center"/>
              <w:rPr>
                <w:b/>
                <w:sz w:val="20"/>
                <w:szCs w:val="20"/>
              </w:rPr>
            </w:pPr>
            <w:r w:rsidRPr="00AD7B30">
              <w:rPr>
                <w:b/>
                <w:sz w:val="20"/>
                <w:szCs w:val="20"/>
              </w:rPr>
              <w:t>126</w:t>
            </w:r>
          </w:p>
        </w:tc>
        <w:tc>
          <w:tcPr>
            <w:tcW w:w="1276" w:type="dxa"/>
            <w:tcBorders>
              <w:bottom w:val="single" w:sz="4" w:space="0" w:color="auto"/>
            </w:tcBorders>
            <w:shd w:val="clear" w:color="auto" w:fill="8DB3E2" w:themeFill="text2" w:themeFillTint="66"/>
            <w:vAlign w:val="center"/>
          </w:tcPr>
          <w:p w:rsidR="002F1851" w:rsidRPr="00AD7B30" w:rsidRDefault="002F1851" w:rsidP="002F1851">
            <w:pPr>
              <w:spacing w:before="0" w:after="0"/>
              <w:jc w:val="center"/>
              <w:rPr>
                <w:b/>
                <w:sz w:val="20"/>
                <w:szCs w:val="20"/>
              </w:rPr>
            </w:pPr>
            <w:r w:rsidRPr="00AD7B30">
              <w:rPr>
                <w:b/>
                <w:sz w:val="20"/>
                <w:szCs w:val="20"/>
              </w:rPr>
              <w:t>213</w:t>
            </w:r>
          </w:p>
        </w:tc>
        <w:tc>
          <w:tcPr>
            <w:tcW w:w="1276" w:type="dxa"/>
            <w:tcBorders>
              <w:bottom w:val="single" w:sz="4" w:space="0" w:color="auto"/>
            </w:tcBorders>
            <w:shd w:val="clear" w:color="auto" w:fill="8DB3E2" w:themeFill="text2" w:themeFillTint="66"/>
          </w:tcPr>
          <w:p w:rsidR="002F1851" w:rsidRPr="00AD7B30" w:rsidRDefault="002F1851" w:rsidP="002F1851">
            <w:pPr>
              <w:spacing w:before="0" w:after="0"/>
              <w:jc w:val="center"/>
              <w:rPr>
                <w:b/>
                <w:sz w:val="20"/>
                <w:szCs w:val="20"/>
              </w:rPr>
            </w:pPr>
            <w:r w:rsidRPr="00AD7B30">
              <w:rPr>
                <w:b/>
                <w:sz w:val="20"/>
                <w:szCs w:val="20"/>
              </w:rPr>
              <w:t>87</w:t>
            </w:r>
          </w:p>
        </w:tc>
      </w:tr>
    </w:tbl>
    <w:p w:rsidR="002F1851" w:rsidRDefault="002F1851" w:rsidP="002F1851">
      <w:r>
        <w:t>The CLRN (via R&amp;D) fund posts within the Pharmacy Department who work on research studies and generate income (at the end of period 7 £6k income was reflected in the accounts). This income is not included in the figures reported above</w:t>
      </w:r>
    </w:p>
    <w:p w:rsidR="002F1851" w:rsidRPr="004022E9" w:rsidRDefault="002F1851" w:rsidP="002F1851">
      <w:pPr>
        <w:pStyle w:val="Heading2"/>
        <w:rPr>
          <w:lang w:val="en-GB"/>
        </w:rPr>
      </w:pPr>
      <w:r w:rsidRPr="004022E9">
        <w:rPr>
          <w:lang w:val="en-GB"/>
        </w:rPr>
        <w:t>National Institute for Health Research (NIHR)</w:t>
      </w:r>
    </w:p>
    <w:p w:rsidR="002F1851" w:rsidRPr="00B36329" w:rsidRDefault="002F1851" w:rsidP="002F1851">
      <w:pPr>
        <w:rPr>
          <w:lang w:val="en-GB"/>
        </w:rPr>
      </w:pPr>
      <w:r>
        <w:rPr>
          <w:lang w:val="en-GB"/>
        </w:rPr>
        <w:t>The NIHR Income is broken down as follows:</w:t>
      </w:r>
    </w:p>
    <w:tbl>
      <w:tblPr>
        <w:tblStyle w:val="TableGrid"/>
        <w:tblW w:w="0" w:type="auto"/>
        <w:tblLook w:val="04A0" w:firstRow="1" w:lastRow="0" w:firstColumn="1" w:lastColumn="0" w:noHBand="0" w:noVBand="1"/>
      </w:tblPr>
      <w:tblGrid>
        <w:gridCol w:w="2093"/>
        <w:gridCol w:w="7689"/>
      </w:tblGrid>
      <w:tr w:rsidR="002F1851" w:rsidRPr="003655A8" w:rsidTr="009A591A">
        <w:trPr>
          <w:trHeight w:val="302"/>
        </w:trPr>
        <w:tc>
          <w:tcPr>
            <w:tcW w:w="2093" w:type="dxa"/>
            <w:shd w:val="clear" w:color="auto" w:fill="8DB3E2" w:themeFill="text2" w:themeFillTint="66"/>
          </w:tcPr>
          <w:p w:rsidR="002F1851" w:rsidRPr="00714BEA" w:rsidRDefault="002F1851" w:rsidP="002F1851">
            <w:pPr>
              <w:spacing w:before="0" w:after="0"/>
              <w:jc w:val="left"/>
              <w:rPr>
                <w:b/>
                <w:sz w:val="20"/>
                <w:szCs w:val="20"/>
              </w:rPr>
            </w:pPr>
            <w:r w:rsidRPr="00714BEA">
              <w:rPr>
                <w:b/>
                <w:sz w:val="20"/>
                <w:szCs w:val="20"/>
              </w:rPr>
              <w:t>FY15 Budget (£k)</w:t>
            </w:r>
          </w:p>
        </w:tc>
        <w:tc>
          <w:tcPr>
            <w:tcW w:w="7689" w:type="dxa"/>
            <w:shd w:val="clear" w:color="auto" w:fill="8DB3E2" w:themeFill="text2" w:themeFillTint="66"/>
          </w:tcPr>
          <w:p w:rsidR="002F1851" w:rsidRPr="00714BEA" w:rsidRDefault="002F1851" w:rsidP="002F1851">
            <w:pPr>
              <w:spacing w:before="0" w:after="0"/>
              <w:jc w:val="left"/>
              <w:rPr>
                <w:b/>
                <w:sz w:val="20"/>
                <w:szCs w:val="20"/>
              </w:rPr>
            </w:pPr>
            <w:r>
              <w:rPr>
                <w:b/>
                <w:sz w:val="20"/>
                <w:szCs w:val="20"/>
              </w:rPr>
              <w:t>Type of Income</w:t>
            </w:r>
          </w:p>
        </w:tc>
      </w:tr>
      <w:tr w:rsidR="002F1851" w:rsidRPr="00923923" w:rsidTr="002F1851">
        <w:trPr>
          <w:trHeight w:val="277"/>
        </w:trPr>
        <w:tc>
          <w:tcPr>
            <w:tcW w:w="2093" w:type="dxa"/>
            <w:vAlign w:val="center"/>
          </w:tcPr>
          <w:p w:rsidR="002F1851" w:rsidRPr="00714BEA" w:rsidRDefault="002F1851" w:rsidP="002F1851">
            <w:pPr>
              <w:spacing w:before="0" w:after="0"/>
              <w:jc w:val="center"/>
              <w:rPr>
                <w:sz w:val="20"/>
                <w:szCs w:val="20"/>
              </w:rPr>
            </w:pPr>
            <w:r w:rsidRPr="00714BEA">
              <w:rPr>
                <w:sz w:val="20"/>
                <w:szCs w:val="20"/>
              </w:rPr>
              <w:t>1,444</w:t>
            </w:r>
          </w:p>
        </w:tc>
        <w:tc>
          <w:tcPr>
            <w:tcW w:w="7689" w:type="dxa"/>
            <w:vAlign w:val="center"/>
          </w:tcPr>
          <w:p w:rsidR="002F1851" w:rsidRPr="00714BEA" w:rsidRDefault="002F1851" w:rsidP="002F1851">
            <w:pPr>
              <w:spacing w:before="0" w:after="0"/>
              <w:jc w:val="left"/>
              <w:rPr>
                <w:sz w:val="20"/>
                <w:szCs w:val="20"/>
              </w:rPr>
            </w:pPr>
            <w:r w:rsidRPr="00714BEA">
              <w:rPr>
                <w:sz w:val="20"/>
                <w:szCs w:val="20"/>
              </w:rPr>
              <w:t>Direct Study Income</w:t>
            </w:r>
            <w:r>
              <w:rPr>
                <w:sz w:val="20"/>
                <w:szCs w:val="20"/>
              </w:rPr>
              <w:t xml:space="preserve"> (full details of the studies is shown in Appendix A)</w:t>
            </w:r>
          </w:p>
        </w:tc>
      </w:tr>
      <w:tr w:rsidR="002F1851" w:rsidRPr="00923923" w:rsidTr="002F1851">
        <w:trPr>
          <w:trHeight w:val="181"/>
        </w:trPr>
        <w:tc>
          <w:tcPr>
            <w:tcW w:w="2093" w:type="dxa"/>
            <w:vAlign w:val="center"/>
          </w:tcPr>
          <w:p w:rsidR="002F1851" w:rsidRPr="00714BEA" w:rsidRDefault="002F1851" w:rsidP="002F1851">
            <w:pPr>
              <w:autoSpaceDE w:val="0"/>
              <w:autoSpaceDN w:val="0"/>
              <w:adjustRightInd w:val="0"/>
              <w:spacing w:before="0" w:after="0"/>
              <w:jc w:val="center"/>
              <w:rPr>
                <w:sz w:val="20"/>
                <w:szCs w:val="20"/>
              </w:rPr>
            </w:pPr>
            <w:r w:rsidRPr="00714BEA">
              <w:rPr>
                <w:sz w:val="20"/>
                <w:szCs w:val="20"/>
              </w:rPr>
              <w:t>108</w:t>
            </w:r>
          </w:p>
        </w:tc>
        <w:tc>
          <w:tcPr>
            <w:tcW w:w="7689" w:type="dxa"/>
            <w:vAlign w:val="center"/>
          </w:tcPr>
          <w:p w:rsidR="002F1851" w:rsidRPr="00714BEA" w:rsidRDefault="002F1851" w:rsidP="002F1851">
            <w:pPr>
              <w:spacing w:before="0" w:after="0"/>
              <w:jc w:val="left"/>
              <w:rPr>
                <w:sz w:val="20"/>
                <w:szCs w:val="20"/>
              </w:rPr>
            </w:pPr>
            <w:r w:rsidRPr="00714BEA">
              <w:rPr>
                <w:sz w:val="20"/>
                <w:szCs w:val="20"/>
              </w:rPr>
              <w:t xml:space="preserve">Sub-Contracted Study Income </w:t>
            </w:r>
            <w:r>
              <w:rPr>
                <w:sz w:val="20"/>
                <w:szCs w:val="20"/>
              </w:rPr>
              <w:t xml:space="preserve">(full details of the studies is shown in Appendix A) </w:t>
            </w:r>
          </w:p>
        </w:tc>
      </w:tr>
      <w:tr w:rsidR="002F1851" w:rsidRPr="00836F05" w:rsidTr="002F1851">
        <w:trPr>
          <w:trHeight w:val="313"/>
        </w:trPr>
        <w:tc>
          <w:tcPr>
            <w:tcW w:w="2093" w:type="dxa"/>
            <w:vAlign w:val="center"/>
          </w:tcPr>
          <w:p w:rsidR="002F1851" w:rsidRPr="00714BEA" w:rsidRDefault="002F1851" w:rsidP="002F1851">
            <w:pPr>
              <w:spacing w:before="0" w:after="0"/>
              <w:jc w:val="center"/>
              <w:rPr>
                <w:sz w:val="20"/>
                <w:szCs w:val="20"/>
              </w:rPr>
            </w:pPr>
            <w:r w:rsidRPr="00714BEA">
              <w:rPr>
                <w:sz w:val="20"/>
                <w:szCs w:val="20"/>
              </w:rPr>
              <w:t>1,112</w:t>
            </w:r>
          </w:p>
        </w:tc>
        <w:tc>
          <w:tcPr>
            <w:tcW w:w="7689" w:type="dxa"/>
            <w:vAlign w:val="center"/>
          </w:tcPr>
          <w:p w:rsidR="002F1851" w:rsidRPr="00714BEA" w:rsidRDefault="002F1851" w:rsidP="002F1851">
            <w:pPr>
              <w:spacing w:before="0" w:after="0"/>
              <w:jc w:val="left"/>
              <w:rPr>
                <w:sz w:val="20"/>
                <w:szCs w:val="20"/>
              </w:rPr>
            </w:pPr>
            <w:r w:rsidRPr="00714BEA">
              <w:rPr>
                <w:sz w:val="20"/>
                <w:szCs w:val="20"/>
              </w:rPr>
              <w:t>Research Capability Funding (RCF)  Dep</w:t>
            </w:r>
            <w:r>
              <w:rPr>
                <w:sz w:val="20"/>
                <w:szCs w:val="20"/>
              </w:rPr>
              <w:t>ar</w:t>
            </w:r>
            <w:r w:rsidRPr="00714BEA">
              <w:rPr>
                <w:sz w:val="20"/>
                <w:szCs w:val="20"/>
              </w:rPr>
              <w:t>t</w:t>
            </w:r>
            <w:r>
              <w:rPr>
                <w:sz w:val="20"/>
                <w:szCs w:val="20"/>
              </w:rPr>
              <w:t xml:space="preserve">ment </w:t>
            </w:r>
            <w:r w:rsidRPr="00714BEA">
              <w:rPr>
                <w:sz w:val="20"/>
                <w:szCs w:val="20"/>
              </w:rPr>
              <w:t xml:space="preserve"> of Psychiatry \ Trust</w:t>
            </w:r>
            <w:r>
              <w:rPr>
                <w:sz w:val="20"/>
                <w:szCs w:val="20"/>
              </w:rPr>
              <w:t xml:space="preserve"> driven</w:t>
            </w:r>
          </w:p>
        </w:tc>
      </w:tr>
      <w:tr w:rsidR="002F1851" w:rsidRPr="00836F05" w:rsidTr="002F1851">
        <w:trPr>
          <w:trHeight w:val="276"/>
        </w:trPr>
        <w:tc>
          <w:tcPr>
            <w:tcW w:w="2093" w:type="dxa"/>
            <w:vAlign w:val="center"/>
          </w:tcPr>
          <w:p w:rsidR="002F1851" w:rsidRPr="00714BEA" w:rsidRDefault="002F1851" w:rsidP="002F1851">
            <w:pPr>
              <w:spacing w:before="0" w:after="0"/>
              <w:jc w:val="center"/>
              <w:rPr>
                <w:sz w:val="20"/>
                <w:szCs w:val="20"/>
              </w:rPr>
            </w:pPr>
            <w:r w:rsidRPr="00714BEA">
              <w:rPr>
                <w:sz w:val="20"/>
                <w:szCs w:val="20"/>
              </w:rPr>
              <w:t>90</w:t>
            </w:r>
          </w:p>
        </w:tc>
        <w:tc>
          <w:tcPr>
            <w:tcW w:w="7689" w:type="dxa"/>
            <w:vAlign w:val="center"/>
          </w:tcPr>
          <w:p w:rsidR="002F1851" w:rsidRPr="00714BEA" w:rsidRDefault="002F1851" w:rsidP="002F1851">
            <w:pPr>
              <w:spacing w:before="0" w:after="0"/>
              <w:jc w:val="left"/>
              <w:rPr>
                <w:i/>
                <w:sz w:val="20"/>
                <w:szCs w:val="20"/>
              </w:rPr>
            </w:pPr>
            <w:r w:rsidRPr="00714BEA">
              <w:rPr>
                <w:sz w:val="20"/>
                <w:szCs w:val="20"/>
              </w:rPr>
              <w:t>Research Capability Funding (RCF)  Dep</w:t>
            </w:r>
            <w:r>
              <w:rPr>
                <w:sz w:val="20"/>
                <w:szCs w:val="20"/>
              </w:rPr>
              <w:t xml:space="preserve">artment of </w:t>
            </w:r>
            <w:r w:rsidRPr="00714BEA">
              <w:rPr>
                <w:sz w:val="20"/>
                <w:szCs w:val="20"/>
              </w:rPr>
              <w:t>Primary Care</w:t>
            </w:r>
            <w:r>
              <w:rPr>
                <w:sz w:val="20"/>
                <w:szCs w:val="20"/>
              </w:rPr>
              <w:t xml:space="preserve"> driven</w:t>
            </w:r>
          </w:p>
        </w:tc>
      </w:tr>
      <w:tr w:rsidR="002F1851" w:rsidRPr="00836F05" w:rsidTr="002F1851">
        <w:trPr>
          <w:trHeight w:val="192"/>
        </w:trPr>
        <w:tc>
          <w:tcPr>
            <w:tcW w:w="2093" w:type="dxa"/>
            <w:tcBorders>
              <w:bottom w:val="single" w:sz="4" w:space="0" w:color="auto"/>
            </w:tcBorders>
            <w:vAlign w:val="center"/>
          </w:tcPr>
          <w:p w:rsidR="002F1851" w:rsidRPr="00714BEA" w:rsidRDefault="002F1851" w:rsidP="002F1851">
            <w:pPr>
              <w:spacing w:before="0" w:after="0"/>
              <w:jc w:val="center"/>
              <w:rPr>
                <w:sz w:val="20"/>
                <w:szCs w:val="20"/>
              </w:rPr>
            </w:pPr>
            <w:r w:rsidRPr="00714BEA">
              <w:rPr>
                <w:sz w:val="20"/>
                <w:szCs w:val="20"/>
              </w:rPr>
              <w:t>717</w:t>
            </w:r>
          </w:p>
        </w:tc>
        <w:tc>
          <w:tcPr>
            <w:tcW w:w="7689" w:type="dxa"/>
            <w:tcBorders>
              <w:bottom w:val="single" w:sz="4" w:space="0" w:color="auto"/>
            </w:tcBorders>
            <w:vAlign w:val="center"/>
          </w:tcPr>
          <w:p w:rsidR="002F1851" w:rsidRPr="00714BEA" w:rsidRDefault="002F1851" w:rsidP="002F1851">
            <w:pPr>
              <w:spacing w:before="0" w:after="0"/>
              <w:jc w:val="left"/>
              <w:rPr>
                <w:sz w:val="20"/>
                <w:szCs w:val="20"/>
              </w:rPr>
            </w:pPr>
            <w:r w:rsidRPr="00714BEA">
              <w:rPr>
                <w:sz w:val="20"/>
                <w:szCs w:val="20"/>
              </w:rPr>
              <w:t>Clinical Research Facility (CRF)</w:t>
            </w:r>
          </w:p>
        </w:tc>
      </w:tr>
      <w:tr w:rsidR="002F1851" w:rsidRPr="00836F05" w:rsidTr="002F1851">
        <w:trPr>
          <w:trHeight w:val="192"/>
        </w:trPr>
        <w:tc>
          <w:tcPr>
            <w:tcW w:w="2093" w:type="dxa"/>
            <w:vAlign w:val="center"/>
          </w:tcPr>
          <w:p w:rsidR="002F1851" w:rsidRPr="00714BEA" w:rsidRDefault="002F1851" w:rsidP="002F1851">
            <w:pPr>
              <w:spacing w:before="0" w:after="0"/>
              <w:jc w:val="center"/>
              <w:rPr>
                <w:sz w:val="20"/>
                <w:szCs w:val="20"/>
              </w:rPr>
            </w:pPr>
            <w:r>
              <w:rPr>
                <w:sz w:val="20"/>
                <w:szCs w:val="20"/>
              </w:rPr>
              <w:t>1,250</w:t>
            </w:r>
          </w:p>
        </w:tc>
        <w:tc>
          <w:tcPr>
            <w:tcW w:w="7689" w:type="dxa"/>
            <w:vAlign w:val="center"/>
          </w:tcPr>
          <w:p w:rsidR="002F1851" w:rsidRPr="00714BEA" w:rsidRDefault="002F1851" w:rsidP="002F1851">
            <w:pPr>
              <w:spacing w:before="0" w:after="0"/>
              <w:jc w:val="left"/>
              <w:rPr>
                <w:sz w:val="20"/>
                <w:szCs w:val="20"/>
              </w:rPr>
            </w:pPr>
            <w:r w:rsidRPr="00A05956">
              <w:rPr>
                <w:sz w:val="20"/>
                <w:szCs w:val="20"/>
              </w:rPr>
              <w:t>Collaboration in Leadership in Applied Health Research and Care (CLAHRC)</w:t>
            </w:r>
          </w:p>
        </w:tc>
      </w:tr>
      <w:tr w:rsidR="002F1851" w:rsidRPr="00923923" w:rsidTr="009A591A">
        <w:trPr>
          <w:trHeight w:val="192"/>
        </w:trPr>
        <w:tc>
          <w:tcPr>
            <w:tcW w:w="2093" w:type="dxa"/>
            <w:shd w:val="clear" w:color="auto" w:fill="8DB3E2" w:themeFill="text2" w:themeFillTint="66"/>
          </w:tcPr>
          <w:p w:rsidR="002F1851" w:rsidRPr="00714BEA" w:rsidRDefault="002F1851" w:rsidP="002F1851">
            <w:pPr>
              <w:spacing w:before="0" w:after="0"/>
              <w:jc w:val="center"/>
              <w:rPr>
                <w:b/>
                <w:sz w:val="20"/>
                <w:szCs w:val="20"/>
              </w:rPr>
            </w:pPr>
            <w:r>
              <w:rPr>
                <w:b/>
                <w:sz w:val="20"/>
                <w:szCs w:val="20"/>
              </w:rPr>
              <w:t>4,722</w:t>
            </w:r>
          </w:p>
        </w:tc>
        <w:tc>
          <w:tcPr>
            <w:tcW w:w="7689" w:type="dxa"/>
            <w:shd w:val="clear" w:color="auto" w:fill="8DB3E2" w:themeFill="text2" w:themeFillTint="66"/>
            <w:vAlign w:val="center"/>
          </w:tcPr>
          <w:p w:rsidR="002F1851" w:rsidRPr="00714BEA" w:rsidRDefault="002F1851" w:rsidP="002F1851">
            <w:pPr>
              <w:spacing w:before="0" w:after="0"/>
              <w:jc w:val="left"/>
              <w:rPr>
                <w:b/>
                <w:sz w:val="20"/>
                <w:szCs w:val="20"/>
              </w:rPr>
            </w:pPr>
            <w:r w:rsidRPr="00714BEA">
              <w:rPr>
                <w:b/>
                <w:sz w:val="20"/>
                <w:szCs w:val="20"/>
              </w:rPr>
              <w:t>Total NIHR Income</w:t>
            </w:r>
          </w:p>
        </w:tc>
      </w:tr>
    </w:tbl>
    <w:p w:rsidR="002F1851" w:rsidRDefault="002F1851" w:rsidP="00160147">
      <w:pPr>
        <w:pStyle w:val="Heading2"/>
        <w:numPr>
          <w:ilvl w:val="0"/>
          <w:numId w:val="0"/>
        </w:numPr>
        <w:ind w:left="576"/>
        <w:rPr>
          <w:rFonts w:eastAsia="Times New Roman" w:cs="Times New Roman"/>
          <w:b w:val="0"/>
          <w:bCs w:val="0"/>
          <w:i w:val="0"/>
          <w:szCs w:val="24"/>
          <w:u w:val="none"/>
          <w:lang w:val="en-GB"/>
        </w:rPr>
      </w:pPr>
    </w:p>
    <w:p w:rsidR="002F1851" w:rsidRPr="002F1851" w:rsidRDefault="002F1851" w:rsidP="002F1851">
      <w:pPr>
        <w:pStyle w:val="Heading2"/>
      </w:pPr>
      <w:r w:rsidRPr="002F1851">
        <w:t>Research Capability Funding (RCF)</w:t>
      </w:r>
    </w:p>
    <w:p w:rsidR="002F1851" w:rsidRDefault="002F1851" w:rsidP="002F1851">
      <w:pPr>
        <w:rPr>
          <w:lang w:val="en-GB"/>
        </w:rPr>
      </w:pPr>
      <w:r>
        <w:rPr>
          <w:lang w:val="en-GB"/>
        </w:rPr>
        <w:t>Research active NHS organisations receive RCF to e</w:t>
      </w:r>
      <w:r w:rsidRPr="00F3204A">
        <w:rPr>
          <w:lang w:val="en-GB"/>
        </w:rPr>
        <w:t>nabl</w:t>
      </w:r>
      <w:r>
        <w:rPr>
          <w:lang w:val="en-GB"/>
        </w:rPr>
        <w:t xml:space="preserve">e them to </w:t>
      </w:r>
      <w:r w:rsidRPr="00F3204A">
        <w:rPr>
          <w:lang w:val="en-GB"/>
        </w:rPr>
        <w:t>meet some, or all</w:t>
      </w:r>
      <w:r>
        <w:rPr>
          <w:lang w:val="en-GB"/>
        </w:rPr>
        <w:t>,</w:t>
      </w:r>
      <w:r w:rsidRPr="00F3204A">
        <w:rPr>
          <w:lang w:val="en-GB"/>
        </w:rPr>
        <w:t xml:space="preserve"> of the research-related component of the salary of their researchers and research support staff working on clinical and applied health research, where that component is not already provided by another funding source</w:t>
      </w:r>
      <w:r>
        <w:rPr>
          <w:lang w:val="en-GB"/>
        </w:rPr>
        <w:t xml:space="preserve">. </w:t>
      </w:r>
    </w:p>
    <w:p w:rsidR="002F1851" w:rsidRDefault="002F1851" w:rsidP="002F1851">
      <w:r>
        <w:t xml:space="preserve">The annual RCF allocation combines a percentage of the NIHR funding received in the previous calendar year with an allowance for each Senior Investigator associated with Trust. </w:t>
      </w:r>
    </w:p>
    <w:p w:rsidR="002F1851" w:rsidRDefault="002F1851" w:rsidP="002F1851">
      <w:pPr>
        <w:rPr>
          <w:color w:val="000000"/>
          <w:lang w:eastAsia="en-GB"/>
        </w:rPr>
      </w:pPr>
      <w:r>
        <w:t xml:space="preserve">In FY15 the Trust is running two schemes, one for RCF generated from </w:t>
      </w:r>
      <w:r>
        <w:rPr>
          <w:color w:val="000000"/>
          <w:lang w:eastAsia="en-GB"/>
        </w:rPr>
        <w:t xml:space="preserve">Department of Psychiatry and Trust based investigators and a new scheme for RCF generated by Department of Primary Care investigators. </w:t>
      </w:r>
    </w:p>
    <w:p w:rsidR="00705028" w:rsidRDefault="00705028" w:rsidP="002F1851">
      <w:pPr>
        <w:rPr>
          <w:color w:val="000000"/>
          <w:lang w:eastAsia="en-GB"/>
        </w:rPr>
      </w:pPr>
    </w:p>
    <w:p w:rsidR="00705028" w:rsidRDefault="00705028" w:rsidP="002F1851"/>
    <w:tbl>
      <w:tblPr>
        <w:tblStyle w:val="TableGrid"/>
        <w:tblW w:w="10251" w:type="dxa"/>
        <w:tblLook w:val="04A0" w:firstRow="1" w:lastRow="0" w:firstColumn="1" w:lastColumn="0" w:noHBand="0" w:noVBand="1"/>
      </w:tblPr>
      <w:tblGrid>
        <w:gridCol w:w="1951"/>
        <w:gridCol w:w="2552"/>
        <w:gridCol w:w="2976"/>
        <w:gridCol w:w="1843"/>
        <w:gridCol w:w="929"/>
      </w:tblGrid>
      <w:tr w:rsidR="002F1851" w:rsidRPr="003F445B" w:rsidTr="009A591A">
        <w:trPr>
          <w:trHeight w:val="619"/>
        </w:trPr>
        <w:tc>
          <w:tcPr>
            <w:tcW w:w="1951" w:type="dxa"/>
            <w:tcBorders>
              <w:top w:val="single" w:sz="12" w:space="0" w:color="auto"/>
              <w:left w:val="single" w:sz="12" w:space="0" w:color="auto"/>
            </w:tcBorders>
            <w:shd w:val="clear" w:color="auto" w:fill="8DB3E2" w:themeFill="text2" w:themeFillTint="66"/>
          </w:tcPr>
          <w:p w:rsidR="002F1851" w:rsidRPr="0028772A" w:rsidRDefault="002F1851" w:rsidP="002F1851">
            <w:pPr>
              <w:spacing w:before="120" w:after="120"/>
              <w:jc w:val="center"/>
              <w:rPr>
                <w:b/>
                <w:sz w:val="18"/>
                <w:szCs w:val="18"/>
              </w:rPr>
            </w:pPr>
          </w:p>
        </w:tc>
        <w:tc>
          <w:tcPr>
            <w:tcW w:w="2552" w:type="dxa"/>
            <w:tcBorders>
              <w:top w:val="single" w:sz="12" w:space="0" w:color="auto"/>
              <w:right w:val="single" w:sz="12" w:space="0" w:color="auto"/>
            </w:tcBorders>
            <w:shd w:val="clear" w:color="auto" w:fill="8DB3E2" w:themeFill="text2" w:themeFillTint="66"/>
          </w:tcPr>
          <w:p w:rsidR="002F1851" w:rsidRPr="0028772A" w:rsidRDefault="002F1851" w:rsidP="002F1851">
            <w:pPr>
              <w:spacing w:before="0"/>
              <w:jc w:val="center"/>
              <w:rPr>
                <w:b/>
                <w:sz w:val="18"/>
                <w:szCs w:val="18"/>
              </w:rPr>
            </w:pPr>
            <w:r w:rsidRPr="0028772A">
              <w:rPr>
                <w:b/>
                <w:sz w:val="18"/>
                <w:szCs w:val="18"/>
              </w:rPr>
              <w:t xml:space="preserve">FY14 </w:t>
            </w:r>
            <w:r w:rsidRPr="0028772A">
              <w:rPr>
                <w:b/>
                <w:bCs/>
                <w:color w:val="000000"/>
                <w:sz w:val="18"/>
                <w:szCs w:val="18"/>
                <w:lang w:eastAsia="en-GB"/>
              </w:rPr>
              <w:t>Dep</w:t>
            </w:r>
            <w:r>
              <w:rPr>
                <w:b/>
                <w:bCs/>
                <w:color w:val="000000"/>
                <w:sz w:val="18"/>
                <w:szCs w:val="18"/>
                <w:lang w:eastAsia="en-GB"/>
              </w:rPr>
              <w:t>artment</w:t>
            </w:r>
            <w:r w:rsidRPr="0028772A">
              <w:rPr>
                <w:b/>
                <w:bCs/>
                <w:color w:val="000000"/>
                <w:sz w:val="18"/>
                <w:szCs w:val="18"/>
                <w:lang w:eastAsia="en-GB"/>
              </w:rPr>
              <w:t xml:space="preserve"> of Psychiatry \ Trust</w:t>
            </w:r>
          </w:p>
        </w:tc>
        <w:tc>
          <w:tcPr>
            <w:tcW w:w="2976" w:type="dxa"/>
            <w:tcBorders>
              <w:top w:val="single" w:sz="12" w:space="0" w:color="auto"/>
              <w:left w:val="single" w:sz="12" w:space="0" w:color="auto"/>
              <w:bottom w:val="single" w:sz="6" w:space="0" w:color="auto"/>
              <w:right w:val="single" w:sz="6" w:space="0" w:color="auto"/>
            </w:tcBorders>
            <w:shd w:val="clear" w:color="auto" w:fill="8DB3E2" w:themeFill="text2" w:themeFillTint="66"/>
          </w:tcPr>
          <w:p w:rsidR="002F1851" w:rsidRPr="0028772A" w:rsidRDefault="002F1851" w:rsidP="002F1851">
            <w:pPr>
              <w:spacing w:before="0"/>
              <w:jc w:val="center"/>
              <w:rPr>
                <w:b/>
                <w:sz w:val="18"/>
                <w:szCs w:val="18"/>
              </w:rPr>
            </w:pPr>
            <w:r w:rsidRPr="0028772A">
              <w:rPr>
                <w:b/>
                <w:sz w:val="18"/>
                <w:szCs w:val="18"/>
              </w:rPr>
              <w:t xml:space="preserve">FY15 </w:t>
            </w:r>
            <w:r w:rsidRPr="0028772A">
              <w:rPr>
                <w:b/>
                <w:bCs/>
                <w:color w:val="000000"/>
                <w:sz w:val="18"/>
                <w:szCs w:val="18"/>
                <w:lang w:eastAsia="en-GB"/>
              </w:rPr>
              <w:t>Dep</w:t>
            </w:r>
            <w:r>
              <w:rPr>
                <w:b/>
                <w:bCs/>
                <w:color w:val="000000"/>
                <w:sz w:val="18"/>
                <w:szCs w:val="18"/>
                <w:lang w:eastAsia="en-GB"/>
              </w:rPr>
              <w:t>artment o</w:t>
            </w:r>
            <w:r w:rsidRPr="0028772A">
              <w:rPr>
                <w:b/>
                <w:bCs/>
                <w:color w:val="000000"/>
                <w:sz w:val="18"/>
                <w:szCs w:val="18"/>
                <w:lang w:eastAsia="en-GB"/>
              </w:rPr>
              <w:t xml:space="preserve">f Psychiatry </w:t>
            </w:r>
            <w:r>
              <w:rPr>
                <w:b/>
                <w:bCs/>
                <w:color w:val="000000"/>
                <w:sz w:val="18"/>
                <w:szCs w:val="18"/>
                <w:lang w:eastAsia="en-GB"/>
              </w:rPr>
              <w:t xml:space="preserve">(DoP) </w:t>
            </w:r>
            <w:r w:rsidRPr="0028772A">
              <w:rPr>
                <w:b/>
                <w:bCs/>
                <w:color w:val="000000"/>
                <w:sz w:val="18"/>
                <w:szCs w:val="18"/>
                <w:lang w:eastAsia="en-GB"/>
              </w:rPr>
              <w:t>\ Trust</w:t>
            </w:r>
          </w:p>
        </w:tc>
        <w:tc>
          <w:tcPr>
            <w:tcW w:w="1843" w:type="dxa"/>
            <w:tcBorders>
              <w:top w:val="single" w:sz="12" w:space="0" w:color="auto"/>
              <w:left w:val="single" w:sz="6" w:space="0" w:color="auto"/>
              <w:bottom w:val="single" w:sz="6" w:space="0" w:color="auto"/>
              <w:right w:val="single" w:sz="6" w:space="0" w:color="auto"/>
            </w:tcBorders>
            <w:shd w:val="clear" w:color="auto" w:fill="8DB3E2" w:themeFill="text2" w:themeFillTint="66"/>
          </w:tcPr>
          <w:p w:rsidR="002F1851" w:rsidRPr="0028772A" w:rsidRDefault="002F1851" w:rsidP="002F1851">
            <w:pPr>
              <w:spacing w:before="0" w:after="0"/>
              <w:jc w:val="center"/>
              <w:rPr>
                <w:b/>
                <w:sz w:val="18"/>
                <w:szCs w:val="18"/>
              </w:rPr>
            </w:pPr>
            <w:r w:rsidRPr="0028772A">
              <w:rPr>
                <w:b/>
                <w:sz w:val="18"/>
                <w:szCs w:val="18"/>
              </w:rPr>
              <w:t>FY15  Dep</w:t>
            </w:r>
            <w:r>
              <w:rPr>
                <w:b/>
                <w:sz w:val="18"/>
                <w:szCs w:val="18"/>
              </w:rPr>
              <w:t>artment</w:t>
            </w:r>
            <w:r w:rsidRPr="0028772A">
              <w:rPr>
                <w:b/>
                <w:sz w:val="18"/>
                <w:szCs w:val="18"/>
              </w:rPr>
              <w:t xml:space="preserve"> of Primary Care</w:t>
            </w:r>
            <w:r>
              <w:rPr>
                <w:b/>
                <w:sz w:val="18"/>
                <w:szCs w:val="18"/>
              </w:rPr>
              <w:t xml:space="preserve"> (PC)</w:t>
            </w:r>
          </w:p>
        </w:tc>
        <w:tc>
          <w:tcPr>
            <w:tcW w:w="929" w:type="dxa"/>
            <w:tcBorders>
              <w:top w:val="single" w:sz="12" w:space="0" w:color="auto"/>
              <w:left w:val="single" w:sz="6" w:space="0" w:color="auto"/>
              <w:bottom w:val="single" w:sz="6" w:space="0" w:color="auto"/>
              <w:right w:val="single" w:sz="12" w:space="0" w:color="auto"/>
            </w:tcBorders>
            <w:shd w:val="clear" w:color="auto" w:fill="8DB3E2" w:themeFill="text2" w:themeFillTint="66"/>
          </w:tcPr>
          <w:p w:rsidR="002F1851" w:rsidRPr="0028772A" w:rsidRDefault="002F1851" w:rsidP="002F1851">
            <w:pPr>
              <w:spacing w:before="0"/>
              <w:jc w:val="center"/>
              <w:rPr>
                <w:b/>
                <w:sz w:val="18"/>
                <w:szCs w:val="18"/>
              </w:rPr>
            </w:pPr>
            <w:r w:rsidRPr="0028772A">
              <w:rPr>
                <w:b/>
                <w:sz w:val="18"/>
                <w:szCs w:val="18"/>
              </w:rPr>
              <w:t>FY15 Total</w:t>
            </w:r>
          </w:p>
        </w:tc>
      </w:tr>
      <w:tr w:rsidR="002F1851" w:rsidRPr="003F445B" w:rsidTr="002F1851">
        <w:trPr>
          <w:trHeight w:val="538"/>
        </w:trPr>
        <w:tc>
          <w:tcPr>
            <w:tcW w:w="1951" w:type="dxa"/>
            <w:tcBorders>
              <w:left w:val="single" w:sz="12" w:space="0" w:color="auto"/>
              <w:bottom w:val="single" w:sz="4" w:space="0" w:color="auto"/>
            </w:tcBorders>
          </w:tcPr>
          <w:p w:rsidR="002F1851" w:rsidRPr="0028772A" w:rsidRDefault="002F1851" w:rsidP="002F1851">
            <w:pPr>
              <w:spacing w:before="0" w:after="0"/>
              <w:rPr>
                <w:color w:val="000000"/>
                <w:sz w:val="18"/>
                <w:szCs w:val="18"/>
                <w:lang w:eastAsia="en-GB"/>
              </w:rPr>
            </w:pPr>
          </w:p>
          <w:p w:rsidR="002F1851" w:rsidRPr="0028772A" w:rsidRDefault="002F1851" w:rsidP="002F1851">
            <w:pPr>
              <w:spacing w:before="0" w:after="0"/>
              <w:rPr>
                <w:color w:val="000000"/>
                <w:sz w:val="18"/>
                <w:szCs w:val="18"/>
                <w:lang w:eastAsia="en-GB"/>
              </w:rPr>
            </w:pPr>
            <w:r w:rsidRPr="0028772A">
              <w:rPr>
                <w:color w:val="000000"/>
                <w:sz w:val="18"/>
                <w:szCs w:val="18"/>
                <w:lang w:eastAsia="en-GB"/>
              </w:rPr>
              <w:t xml:space="preserve">Senior Investigators (SI) </w:t>
            </w:r>
          </w:p>
          <w:p w:rsidR="002F1851" w:rsidRPr="0028772A" w:rsidRDefault="002F1851" w:rsidP="002F1851">
            <w:pPr>
              <w:spacing w:before="0" w:after="0"/>
              <w:rPr>
                <w:sz w:val="18"/>
                <w:szCs w:val="18"/>
              </w:rPr>
            </w:pPr>
          </w:p>
        </w:tc>
        <w:tc>
          <w:tcPr>
            <w:tcW w:w="2552" w:type="dxa"/>
            <w:tcBorders>
              <w:bottom w:val="single" w:sz="4" w:space="0" w:color="auto"/>
              <w:right w:val="single" w:sz="12" w:space="0" w:color="auto"/>
            </w:tcBorders>
          </w:tcPr>
          <w:p w:rsidR="002F1851" w:rsidRPr="0028772A" w:rsidRDefault="002F1851" w:rsidP="002F1851">
            <w:pPr>
              <w:spacing w:before="0" w:after="100" w:afterAutospacing="1"/>
              <w:jc w:val="center"/>
              <w:rPr>
                <w:sz w:val="18"/>
                <w:szCs w:val="18"/>
              </w:rPr>
            </w:pPr>
            <w:r w:rsidRPr="0028772A">
              <w:rPr>
                <w:sz w:val="18"/>
                <w:szCs w:val="18"/>
              </w:rPr>
              <w:t>Keith Hawton, Guy Goodwin, John Geddes, David Clarke, Alastair Gray</w:t>
            </w:r>
          </w:p>
        </w:tc>
        <w:tc>
          <w:tcPr>
            <w:tcW w:w="2976" w:type="dxa"/>
            <w:tcBorders>
              <w:top w:val="single" w:sz="6" w:space="0" w:color="auto"/>
              <w:left w:val="single" w:sz="12" w:space="0" w:color="auto"/>
              <w:bottom w:val="single" w:sz="6" w:space="0" w:color="auto"/>
              <w:right w:val="single" w:sz="6" w:space="0" w:color="auto"/>
            </w:tcBorders>
          </w:tcPr>
          <w:p w:rsidR="002F1851" w:rsidRPr="0028772A" w:rsidRDefault="002F1851" w:rsidP="002F1851">
            <w:pPr>
              <w:spacing w:before="0" w:after="100" w:afterAutospacing="1"/>
              <w:jc w:val="center"/>
              <w:rPr>
                <w:sz w:val="18"/>
                <w:szCs w:val="18"/>
              </w:rPr>
            </w:pPr>
            <w:r w:rsidRPr="0028772A">
              <w:rPr>
                <w:sz w:val="18"/>
                <w:szCs w:val="18"/>
              </w:rPr>
              <w:t>Keith Hawton, Guy Goodwin, John Geddes, David Clarke, Alastair Gray, Charles Vincent, Simon Lovestone</w:t>
            </w:r>
          </w:p>
        </w:tc>
        <w:tc>
          <w:tcPr>
            <w:tcW w:w="1843" w:type="dxa"/>
            <w:tcBorders>
              <w:top w:val="single" w:sz="6" w:space="0" w:color="auto"/>
              <w:left w:val="single" w:sz="6" w:space="0" w:color="auto"/>
              <w:bottom w:val="single" w:sz="6" w:space="0" w:color="auto"/>
              <w:right w:val="single" w:sz="6" w:space="0" w:color="auto"/>
            </w:tcBorders>
          </w:tcPr>
          <w:p w:rsidR="002F1851" w:rsidRPr="0028772A" w:rsidRDefault="002F1851" w:rsidP="002F1851">
            <w:pPr>
              <w:spacing w:before="0" w:after="100" w:afterAutospacing="1"/>
              <w:jc w:val="center"/>
              <w:rPr>
                <w:sz w:val="18"/>
                <w:szCs w:val="18"/>
              </w:rPr>
            </w:pPr>
            <w:r w:rsidRPr="0028772A">
              <w:rPr>
                <w:sz w:val="18"/>
                <w:szCs w:val="18"/>
              </w:rPr>
              <w:t>Sue Ziebland</w:t>
            </w:r>
          </w:p>
        </w:tc>
        <w:tc>
          <w:tcPr>
            <w:tcW w:w="929" w:type="dxa"/>
            <w:tcBorders>
              <w:top w:val="single" w:sz="6" w:space="0" w:color="auto"/>
              <w:left w:val="single" w:sz="6" w:space="0" w:color="auto"/>
              <w:bottom w:val="single" w:sz="6" w:space="0" w:color="auto"/>
              <w:right w:val="single" w:sz="12" w:space="0" w:color="auto"/>
            </w:tcBorders>
          </w:tcPr>
          <w:p w:rsidR="002F1851" w:rsidRPr="0028772A" w:rsidRDefault="002F1851" w:rsidP="002F1851">
            <w:pPr>
              <w:spacing w:after="100" w:afterAutospacing="1"/>
              <w:jc w:val="center"/>
              <w:rPr>
                <w:sz w:val="18"/>
                <w:szCs w:val="18"/>
              </w:rPr>
            </w:pPr>
          </w:p>
        </w:tc>
      </w:tr>
      <w:tr w:rsidR="002F1851" w:rsidRPr="003F445B" w:rsidTr="009A591A">
        <w:trPr>
          <w:trHeight w:val="48"/>
        </w:trPr>
        <w:tc>
          <w:tcPr>
            <w:tcW w:w="1951" w:type="dxa"/>
            <w:tcBorders>
              <w:left w:val="single" w:sz="12" w:space="0" w:color="auto"/>
            </w:tcBorders>
            <w:shd w:val="clear" w:color="auto" w:fill="8DB3E2" w:themeFill="text2" w:themeFillTint="66"/>
          </w:tcPr>
          <w:p w:rsidR="002F1851" w:rsidRPr="0028772A" w:rsidRDefault="002F1851" w:rsidP="002F1851">
            <w:pPr>
              <w:spacing w:before="0" w:after="0"/>
              <w:rPr>
                <w:b/>
                <w:sz w:val="18"/>
                <w:szCs w:val="18"/>
              </w:rPr>
            </w:pPr>
            <w:r w:rsidRPr="0028772A">
              <w:rPr>
                <w:b/>
                <w:sz w:val="18"/>
                <w:szCs w:val="18"/>
              </w:rPr>
              <w:t>SI Funding (£75k)</w:t>
            </w:r>
          </w:p>
        </w:tc>
        <w:tc>
          <w:tcPr>
            <w:tcW w:w="2552" w:type="dxa"/>
            <w:tcBorders>
              <w:right w:val="single" w:sz="12" w:space="0" w:color="auto"/>
            </w:tcBorders>
            <w:shd w:val="clear" w:color="auto" w:fill="8DB3E2" w:themeFill="text2" w:themeFillTint="66"/>
            <w:vAlign w:val="center"/>
          </w:tcPr>
          <w:p w:rsidR="002F1851" w:rsidRPr="0028772A" w:rsidRDefault="002F1851" w:rsidP="002F1851">
            <w:pPr>
              <w:spacing w:before="0" w:after="0"/>
              <w:jc w:val="right"/>
              <w:rPr>
                <w:b/>
                <w:sz w:val="18"/>
                <w:szCs w:val="18"/>
              </w:rPr>
            </w:pPr>
            <w:r w:rsidRPr="0028772A">
              <w:rPr>
                <w:b/>
                <w:sz w:val="18"/>
                <w:szCs w:val="18"/>
              </w:rPr>
              <w:t>£0.375m</w:t>
            </w:r>
          </w:p>
        </w:tc>
        <w:tc>
          <w:tcPr>
            <w:tcW w:w="2976" w:type="dxa"/>
            <w:tcBorders>
              <w:top w:val="single" w:sz="6" w:space="0" w:color="auto"/>
              <w:left w:val="single" w:sz="12" w:space="0" w:color="auto"/>
              <w:bottom w:val="single" w:sz="6" w:space="0" w:color="auto"/>
              <w:right w:val="single" w:sz="6" w:space="0" w:color="auto"/>
            </w:tcBorders>
            <w:shd w:val="clear" w:color="auto" w:fill="8DB3E2" w:themeFill="text2" w:themeFillTint="66"/>
            <w:vAlign w:val="center"/>
          </w:tcPr>
          <w:p w:rsidR="002F1851" w:rsidRPr="0028772A" w:rsidRDefault="002F1851" w:rsidP="002F1851">
            <w:pPr>
              <w:spacing w:before="0" w:after="0"/>
              <w:jc w:val="right"/>
              <w:rPr>
                <w:b/>
                <w:sz w:val="18"/>
                <w:szCs w:val="18"/>
              </w:rPr>
            </w:pPr>
            <w:r w:rsidRPr="0028772A">
              <w:rPr>
                <w:b/>
                <w:sz w:val="18"/>
                <w:szCs w:val="18"/>
              </w:rPr>
              <w:t>£0.525m</w:t>
            </w:r>
          </w:p>
        </w:tc>
        <w:tc>
          <w:tcPr>
            <w:tcW w:w="1843"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2F1851" w:rsidRPr="0028772A" w:rsidRDefault="002F1851" w:rsidP="002F1851">
            <w:pPr>
              <w:spacing w:before="0" w:after="0"/>
              <w:jc w:val="right"/>
              <w:rPr>
                <w:b/>
                <w:sz w:val="18"/>
                <w:szCs w:val="18"/>
              </w:rPr>
            </w:pPr>
            <w:r w:rsidRPr="0028772A">
              <w:rPr>
                <w:b/>
                <w:sz w:val="18"/>
                <w:szCs w:val="18"/>
              </w:rPr>
              <w:t>£0.075m</w:t>
            </w:r>
          </w:p>
        </w:tc>
        <w:tc>
          <w:tcPr>
            <w:tcW w:w="929" w:type="dxa"/>
            <w:tcBorders>
              <w:top w:val="single" w:sz="6" w:space="0" w:color="auto"/>
              <w:left w:val="single" w:sz="6" w:space="0" w:color="auto"/>
              <w:bottom w:val="single" w:sz="6" w:space="0" w:color="auto"/>
              <w:right w:val="single" w:sz="12" w:space="0" w:color="auto"/>
            </w:tcBorders>
            <w:shd w:val="clear" w:color="auto" w:fill="8DB3E2" w:themeFill="text2" w:themeFillTint="66"/>
            <w:vAlign w:val="center"/>
          </w:tcPr>
          <w:p w:rsidR="002F1851" w:rsidRPr="0028772A" w:rsidRDefault="002F1851" w:rsidP="002F1851">
            <w:pPr>
              <w:spacing w:before="0" w:after="0"/>
              <w:jc w:val="right"/>
              <w:rPr>
                <w:b/>
                <w:sz w:val="18"/>
                <w:szCs w:val="18"/>
              </w:rPr>
            </w:pPr>
            <w:r w:rsidRPr="0028772A">
              <w:rPr>
                <w:b/>
                <w:sz w:val="18"/>
                <w:szCs w:val="18"/>
              </w:rPr>
              <w:t>£0.600m</w:t>
            </w:r>
          </w:p>
        </w:tc>
      </w:tr>
      <w:tr w:rsidR="002F1851" w:rsidRPr="0028772A" w:rsidTr="002F1851">
        <w:trPr>
          <w:trHeight w:val="46"/>
        </w:trPr>
        <w:tc>
          <w:tcPr>
            <w:tcW w:w="1951" w:type="dxa"/>
            <w:tcBorders>
              <w:left w:val="single" w:sz="12" w:space="0" w:color="auto"/>
            </w:tcBorders>
          </w:tcPr>
          <w:p w:rsidR="002F1851" w:rsidRPr="0028772A" w:rsidRDefault="002F1851" w:rsidP="002F1851">
            <w:pPr>
              <w:spacing w:before="0" w:after="0"/>
              <w:rPr>
                <w:color w:val="000000"/>
                <w:sz w:val="18"/>
                <w:szCs w:val="18"/>
                <w:lang w:eastAsia="en-GB"/>
              </w:rPr>
            </w:pPr>
            <w:r>
              <w:rPr>
                <w:color w:val="000000"/>
                <w:sz w:val="18"/>
                <w:szCs w:val="18"/>
                <w:lang w:eastAsia="en-GB"/>
              </w:rPr>
              <w:t>St</w:t>
            </w:r>
            <w:r w:rsidRPr="0028772A">
              <w:rPr>
                <w:color w:val="000000"/>
                <w:sz w:val="18"/>
                <w:szCs w:val="18"/>
                <w:lang w:eastAsia="en-GB"/>
              </w:rPr>
              <w:t>udy Income</w:t>
            </w:r>
          </w:p>
        </w:tc>
        <w:tc>
          <w:tcPr>
            <w:tcW w:w="2552" w:type="dxa"/>
            <w:tcBorders>
              <w:right w:val="single" w:sz="12" w:space="0" w:color="auto"/>
            </w:tcBorders>
            <w:vAlign w:val="center"/>
          </w:tcPr>
          <w:p w:rsidR="002F1851" w:rsidRPr="0028772A" w:rsidRDefault="002F1851" w:rsidP="002F1851">
            <w:pPr>
              <w:spacing w:before="0" w:after="0"/>
              <w:jc w:val="left"/>
              <w:rPr>
                <w:sz w:val="18"/>
                <w:szCs w:val="18"/>
              </w:rPr>
            </w:pPr>
            <w:r w:rsidRPr="0028772A">
              <w:rPr>
                <w:sz w:val="18"/>
                <w:szCs w:val="18"/>
              </w:rPr>
              <w:t>£1,592m</w:t>
            </w:r>
          </w:p>
        </w:tc>
        <w:tc>
          <w:tcPr>
            <w:tcW w:w="2976" w:type="dxa"/>
            <w:tcBorders>
              <w:top w:val="single" w:sz="6" w:space="0" w:color="auto"/>
              <w:left w:val="single" w:sz="12" w:space="0" w:color="auto"/>
              <w:bottom w:val="single" w:sz="6" w:space="0" w:color="auto"/>
              <w:right w:val="single" w:sz="6" w:space="0" w:color="auto"/>
            </w:tcBorders>
            <w:vAlign w:val="center"/>
          </w:tcPr>
          <w:p w:rsidR="002F1851" w:rsidRPr="0028772A" w:rsidRDefault="002F1851" w:rsidP="002F1851">
            <w:pPr>
              <w:spacing w:before="0" w:after="0"/>
              <w:jc w:val="left"/>
              <w:rPr>
                <w:sz w:val="18"/>
                <w:szCs w:val="18"/>
              </w:rPr>
            </w:pPr>
            <w:r w:rsidRPr="0028772A">
              <w:rPr>
                <w:sz w:val="18"/>
                <w:szCs w:val="18"/>
              </w:rPr>
              <w:t>£1,338m</w:t>
            </w:r>
          </w:p>
        </w:tc>
        <w:tc>
          <w:tcPr>
            <w:tcW w:w="1843" w:type="dxa"/>
            <w:tcBorders>
              <w:top w:val="single" w:sz="6" w:space="0" w:color="auto"/>
              <w:left w:val="single" w:sz="6" w:space="0" w:color="auto"/>
              <w:bottom w:val="single" w:sz="6" w:space="0" w:color="auto"/>
              <w:right w:val="single" w:sz="6" w:space="0" w:color="auto"/>
            </w:tcBorders>
            <w:vAlign w:val="center"/>
          </w:tcPr>
          <w:p w:rsidR="002F1851" w:rsidRPr="0028772A" w:rsidRDefault="002F1851" w:rsidP="002F1851">
            <w:pPr>
              <w:spacing w:before="0" w:after="0"/>
              <w:jc w:val="left"/>
              <w:rPr>
                <w:sz w:val="18"/>
                <w:szCs w:val="18"/>
              </w:rPr>
            </w:pPr>
            <w:r w:rsidRPr="0028772A">
              <w:rPr>
                <w:sz w:val="18"/>
                <w:szCs w:val="18"/>
              </w:rPr>
              <w:t>£.072m</w:t>
            </w:r>
          </w:p>
        </w:tc>
        <w:tc>
          <w:tcPr>
            <w:tcW w:w="929" w:type="dxa"/>
            <w:tcBorders>
              <w:top w:val="single" w:sz="6" w:space="0" w:color="auto"/>
              <w:left w:val="single" w:sz="6" w:space="0" w:color="auto"/>
              <w:bottom w:val="single" w:sz="6" w:space="0" w:color="auto"/>
              <w:right w:val="single" w:sz="12" w:space="0" w:color="auto"/>
            </w:tcBorders>
            <w:vAlign w:val="center"/>
          </w:tcPr>
          <w:p w:rsidR="002F1851" w:rsidRPr="0028772A" w:rsidRDefault="002F1851" w:rsidP="002F1851">
            <w:pPr>
              <w:spacing w:before="0" w:after="0"/>
              <w:jc w:val="left"/>
              <w:rPr>
                <w:sz w:val="18"/>
                <w:szCs w:val="18"/>
              </w:rPr>
            </w:pPr>
          </w:p>
        </w:tc>
      </w:tr>
      <w:tr w:rsidR="002F1851" w:rsidRPr="003F445B" w:rsidTr="002F1851">
        <w:trPr>
          <w:trHeight w:val="264"/>
        </w:trPr>
        <w:tc>
          <w:tcPr>
            <w:tcW w:w="1951" w:type="dxa"/>
            <w:tcBorders>
              <w:left w:val="single" w:sz="12" w:space="0" w:color="auto"/>
              <w:bottom w:val="single" w:sz="4" w:space="0" w:color="auto"/>
            </w:tcBorders>
            <w:vAlign w:val="center"/>
          </w:tcPr>
          <w:p w:rsidR="002F1851" w:rsidRPr="0028772A" w:rsidRDefault="002F1851" w:rsidP="002F1851">
            <w:pPr>
              <w:spacing w:before="0" w:after="0"/>
              <w:jc w:val="left"/>
              <w:rPr>
                <w:sz w:val="18"/>
                <w:szCs w:val="18"/>
              </w:rPr>
            </w:pPr>
            <w:r w:rsidRPr="00AD7B30">
              <w:rPr>
                <w:sz w:val="18"/>
                <w:szCs w:val="18"/>
              </w:rPr>
              <w:t>Rate</w:t>
            </w:r>
          </w:p>
        </w:tc>
        <w:tc>
          <w:tcPr>
            <w:tcW w:w="2552" w:type="dxa"/>
            <w:tcBorders>
              <w:bottom w:val="single" w:sz="4" w:space="0" w:color="auto"/>
              <w:right w:val="single" w:sz="12" w:space="0" w:color="auto"/>
            </w:tcBorders>
            <w:vAlign w:val="center"/>
          </w:tcPr>
          <w:p w:rsidR="002F1851" w:rsidRPr="0028772A" w:rsidRDefault="002F1851" w:rsidP="002F1851">
            <w:pPr>
              <w:spacing w:before="0" w:after="0"/>
              <w:jc w:val="left"/>
              <w:rPr>
                <w:sz w:val="18"/>
                <w:szCs w:val="18"/>
              </w:rPr>
            </w:pPr>
            <w:r w:rsidRPr="0028772A">
              <w:rPr>
                <w:sz w:val="18"/>
                <w:szCs w:val="18"/>
              </w:rPr>
              <w:t>0.405</w:t>
            </w:r>
          </w:p>
        </w:tc>
        <w:tc>
          <w:tcPr>
            <w:tcW w:w="2976" w:type="dxa"/>
            <w:tcBorders>
              <w:top w:val="single" w:sz="6" w:space="0" w:color="auto"/>
              <w:left w:val="single" w:sz="12" w:space="0" w:color="auto"/>
              <w:bottom w:val="single" w:sz="6" w:space="0" w:color="auto"/>
              <w:right w:val="single" w:sz="6" w:space="0" w:color="auto"/>
            </w:tcBorders>
            <w:vAlign w:val="center"/>
          </w:tcPr>
          <w:p w:rsidR="002F1851" w:rsidRPr="0028772A" w:rsidRDefault="002F1851" w:rsidP="002F1851">
            <w:pPr>
              <w:spacing w:before="0" w:after="0"/>
              <w:jc w:val="left"/>
              <w:rPr>
                <w:sz w:val="18"/>
                <w:szCs w:val="18"/>
              </w:rPr>
            </w:pPr>
            <w:r w:rsidRPr="0028772A">
              <w:rPr>
                <w:sz w:val="18"/>
                <w:szCs w:val="18"/>
              </w:rPr>
              <w:t>0.439</w:t>
            </w:r>
          </w:p>
        </w:tc>
        <w:tc>
          <w:tcPr>
            <w:tcW w:w="1843" w:type="dxa"/>
            <w:tcBorders>
              <w:top w:val="single" w:sz="6" w:space="0" w:color="auto"/>
              <w:left w:val="single" w:sz="6" w:space="0" w:color="auto"/>
              <w:bottom w:val="single" w:sz="6" w:space="0" w:color="auto"/>
              <w:right w:val="single" w:sz="6" w:space="0" w:color="auto"/>
            </w:tcBorders>
            <w:vAlign w:val="center"/>
          </w:tcPr>
          <w:p w:rsidR="002F1851" w:rsidRPr="0028772A" w:rsidRDefault="002F1851" w:rsidP="002F1851">
            <w:pPr>
              <w:spacing w:before="0" w:after="0"/>
              <w:jc w:val="left"/>
              <w:rPr>
                <w:sz w:val="18"/>
                <w:szCs w:val="18"/>
              </w:rPr>
            </w:pPr>
            <w:r w:rsidRPr="0028772A">
              <w:rPr>
                <w:sz w:val="18"/>
                <w:szCs w:val="18"/>
              </w:rPr>
              <w:t>0.20   ##</w:t>
            </w:r>
          </w:p>
        </w:tc>
        <w:tc>
          <w:tcPr>
            <w:tcW w:w="929" w:type="dxa"/>
            <w:tcBorders>
              <w:top w:val="single" w:sz="6" w:space="0" w:color="auto"/>
              <w:left w:val="single" w:sz="6" w:space="0" w:color="auto"/>
              <w:bottom w:val="single" w:sz="6" w:space="0" w:color="auto"/>
              <w:right w:val="single" w:sz="12" w:space="0" w:color="auto"/>
            </w:tcBorders>
            <w:vAlign w:val="center"/>
          </w:tcPr>
          <w:p w:rsidR="002F1851" w:rsidRPr="0028772A" w:rsidRDefault="002F1851" w:rsidP="002F1851">
            <w:pPr>
              <w:spacing w:before="0" w:after="0"/>
              <w:jc w:val="left"/>
              <w:rPr>
                <w:sz w:val="18"/>
                <w:szCs w:val="18"/>
              </w:rPr>
            </w:pPr>
          </w:p>
        </w:tc>
      </w:tr>
      <w:tr w:rsidR="002F1851" w:rsidRPr="0028772A" w:rsidTr="009A591A">
        <w:trPr>
          <w:trHeight w:val="46"/>
        </w:trPr>
        <w:tc>
          <w:tcPr>
            <w:tcW w:w="1951" w:type="dxa"/>
            <w:tcBorders>
              <w:left w:val="single" w:sz="12" w:space="0" w:color="auto"/>
              <w:bottom w:val="single" w:sz="4" w:space="0" w:color="auto"/>
            </w:tcBorders>
            <w:shd w:val="clear" w:color="auto" w:fill="8DB3E2" w:themeFill="text2" w:themeFillTint="66"/>
            <w:vAlign w:val="bottom"/>
          </w:tcPr>
          <w:p w:rsidR="002F1851" w:rsidRPr="0028772A" w:rsidRDefault="002F1851" w:rsidP="002F1851">
            <w:pPr>
              <w:spacing w:before="0" w:after="0"/>
              <w:jc w:val="left"/>
              <w:rPr>
                <w:b/>
                <w:sz w:val="18"/>
                <w:szCs w:val="18"/>
              </w:rPr>
            </w:pPr>
            <w:r w:rsidRPr="0028772A">
              <w:rPr>
                <w:b/>
                <w:sz w:val="18"/>
                <w:szCs w:val="18"/>
              </w:rPr>
              <w:t>Study Related RCF</w:t>
            </w:r>
          </w:p>
        </w:tc>
        <w:tc>
          <w:tcPr>
            <w:tcW w:w="2552" w:type="dxa"/>
            <w:tcBorders>
              <w:bottom w:val="single" w:sz="4" w:space="0" w:color="auto"/>
              <w:right w:val="single" w:sz="12" w:space="0" w:color="auto"/>
            </w:tcBorders>
            <w:shd w:val="clear" w:color="auto" w:fill="8DB3E2" w:themeFill="text2" w:themeFillTint="66"/>
          </w:tcPr>
          <w:p w:rsidR="002F1851" w:rsidRPr="0028772A" w:rsidRDefault="002F1851" w:rsidP="002F1851">
            <w:pPr>
              <w:spacing w:before="0" w:after="0"/>
              <w:jc w:val="right"/>
              <w:rPr>
                <w:b/>
                <w:sz w:val="18"/>
                <w:szCs w:val="18"/>
              </w:rPr>
            </w:pPr>
            <w:r w:rsidRPr="0028772A">
              <w:rPr>
                <w:b/>
                <w:sz w:val="18"/>
                <w:szCs w:val="18"/>
              </w:rPr>
              <w:t>£0.645m</w:t>
            </w:r>
          </w:p>
        </w:tc>
        <w:tc>
          <w:tcPr>
            <w:tcW w:w="2976" w:type="dxa"/>
            <w:tcBorders>
              <w:top w:val="single" w:sz="6" w:space="0" w:color="auto"/>
              <w:left w:val="single" w:sz="12" w:space="0" w:color="auto"/>
              <w:bottom w:val="single" w:sz="6" w:space="0" w:color="auto"/>
              <w:right w:val="single" w:sz="6" w:space="0" w:color="auto"/>
            </w:tcBorders>
            <w:shd w:val="clear" w:color="auto" w:fill="8DB3E2" w:themeFill="text2" w:themeFillTint="66"/>
          </w:tcPr>
          <w:p w:rsidR="002F1851" w:rsidRPr="0028772A" w:rsidRDefault="002F1851" w:rsidP="002F1851">
            <w:pPr>
              <w:spacing w:before="0" w:after="0"/>
              <w:jc w:val="right"/>
              <w:rPr>
                <w:b/>
                <w:sz w:val="18"/>
                <w:szCs w:val="18"/>
              </w:rPr>
            </w:pPr>
            <w:r w:rsidRPr="0028772A">
              <w:rPr>
                <w:b/>
                <w:sz w:val="18"/>
                <w:szCs w:val="18"/>
              </w:rPr>
              <w:t>£0.587m</w:t>
            </w:r>
          </w:p>
        </w:tc>
        <w:tc>
          <w:tcPr>
            <w:tcW w:w="1843" w:type="dxa"/>
            <w:tcBorders>
              <w:top w:val="single" w:sz="6" w:space="0" w:color="auto"/>
              <w:left w:val="single" w:sz="6" w:space="0" w:color="auto"/>
              <w:bottom w:val="single" w:sz="6" w:space="0" w:color="auto"/>
              <w:right w:val="single" w:sz="6" w:space="0" w:color="auto"/>
            </w:tcBorders>
            <w:shd w:val="clear" w:color="auto" w:fill="8DB3E2" w:themeFill="text2" w:themeFillTint="66"/>
          </w:tcPr>
          <w:p w:rsidR="002F1851" w:rsidRPr="0028772A" w:rsidRDefault="002F1851" w:rsidP="002F1851">
            <w:pPr>
              <w:spacing w:before="0" w:after="0"/>
              <w:jc w:val="right"/>
              <w:rPr>
                <w:b/>
                <w:sz w:val="18"/>
                <w:szCs w:val="18"/>
              </w:rPr>
            </w:pPr>
            <w:r w:rsidRPr="0028772A">
              <w:rPr>
                <w:b/>
                <w:sz w:val="18"/>
                <w:szCs w:val="18"/>
              </w:rPr>
              <w:t>£0.015m</w:t>
            </w:r>
          </w:p>
        </w:tc>
        <w:tc>
          <w:tcPr>
            <w:tcW w:w="929" w:type="dxa"/>
            <w:tcBorders>
              <w:top w:val="single" w:sz="6" w:space="0" w:color="auto"/>
              <w:left w:val="single" w:sz="6" w:space="0" w:color="auto"/>
              <w:bottom w:val="single" w:sz="6" w:space="0" w:color="auto"/>
              <w:right w:val="single" w:sz="12" w:space="0" w:color="auto"/>
            </w:tcBorders>
            <w:shd w:val="clear" w:color="auto" w:fill="8DB3E2" w:themeFill="text2" w:themeFillTint="66"/>
          </w:tcPr>
          <w:p w:rsidR="002F1851" w:rsidRPr="0028772A" w:rsidRDefault="002F1851" w:rsidP="002F1851">
            <w:pPr>
              <w:spacing w:before="0" w:after="0"/>
              <w:jc w:val="right"/>
              <w:rPr>
                <w:b/>
                <w:sz w:val="18"/>
                <w:szCs w:val="18"/>
              </w:rPr>
            </w:pPr>
            <w:r w:rsidRPr="0028772A">
              <w:rPr>
                <w:b/>
                <w:sz w:val="18"/>
                <w:szCs w:val="18"/>
              </w:rPr>
              <w:t>£0.602m</w:t>
            </w:r>
          </w:p>
        </w:tc>
      </w:tr>
      <w:tr w:rsidR="002F1851" w:rsidRPr="003F445B" w:rsidTr="009A591A">
        <w:trPr>
          <w:trHeight w:val="48"/>
        </w:trPr>
        <w:tc>
          <w:tcPr>
            <w:tcW w:w="1951" w:type="dxa"/>
            <w:tcBorders>
              <w:left w:val="single" w:sz="12" w:space="0" w:color="auto"/>
              <w:bottom w:val="single" w:sz="12" w:space="0" w:color="auto"/>
            </w:tcBorders>
            <w:shd w:val="clear" w:color="auto" w:fill="8DB3E2" w:themeFill="text2" w:themeFillTint="66"/>
          </w:tcPr>
          <w:p w:rsidR="002F1851" w:rsidRPr="0028772A" w:rsidRDefault="002F1851" w:rsidP="002F1851">
            <w:pPr>
              <w:spacing w:before="0" w:after="0"/>
              <w:rPr>
                <w:b/>
                <w:sz w:val="18"/>
                <w:szCs w:val="18"/>
              </w:rPr>
            </w:pPr>
            <w:r w:rsidRPr="0028772A">
              <w:rPr>
                <w:b/>
                <w:sz w:val="18"/>
                <w:szCs w:val="18"/>
              </w:rPr>
              <w:t>Total RCF</w:t>
            </w:r>
          </w:p>
        </w:tc>
        <w:tc>
          <w:tcPr>
            <w:tcW w:w="2552" w:type="dxa"/>
            <w:tcBorders>
              <w:bottom w:val="single" w:sz="12" w:space="0" w:color="auto"/>
              <w:right w:val="single" w:sz="12" w:space="0" w:color="auto"/>
            </w:tcBorders>
            <w:shd w:val="clear" w:color="auto" w:fill="8DB3E2" w:themeFill="text2" w:themeFillTint="66"/>
          </w:tcPr>
          <w:p w:rsidR="002F1851" w:rsidRPr="0028772A" w:rsidRDefault="002F1851" w:rsidP="002F1851">
            <w:pPr>
              <w:spacing w:before="0" w:after="0"/>
              <w:jc w:val="right"/>
              <w:rPr>
                <w:b/>
                <w:sz w:val="18"/>
                <w:szCs w:val="18"/>
              </w:rPr>
            </w:pPr>
            <w:r w:rsidRPr="0028772A">
              <w:rPr>
                <w:b/>
                <w:sz w:val="18"/>
                <w:szCs w:val="18"/>
              </w:rPr>
              <w:t>£1,020m</w:t>
            </w:r>
          </w:p>
        </w:tc>
        <w:tc>
          <w:tcPr>
            <w:tcW w:w="2976" w:type="dxa"/>
            <w:tcBorders>
              <w:top w:val="single" w:sz="6" w:space="0" w:color="auto"/>
              <w:left w:val="single" w:sz="12" w:space="0" w:color="auto"/>
              <w:bottom w:val="single" w:sz="12" w:space="0" w:color="auto"/>
              <w:right w:val="single" w:sz="6" w:space="0" w:color="auto"/>
            </w:tcBorders>
            <w:shd w:val="clear" w:color="auto" w:fill="8DB3E2" w:themeFill="text2" w:themeFillTint="66"/>
          </w:tcPr>
          <w:p w:rsidR="002F1851" w:rsidRPr="0028772A" w:rsidRDefault="002F1851" w:rsidP="002F1851">
            <w:pPr>
              <w:spacing w:before="0" w:after="0"/>
              <w:jc w:val="right"/>
              <w:rPr>
                <w:b/>
                <w:sz w:val="18"/>
                <w:szCs w:val="18"/>
              </w:rPr>
            </w:pPr>
            <w:r w:rsidRPr="0028772A">
              <w:rPr>
                <w:b/>
                <w:sz w:val="18"/>
                <w:szCs w:val="18"/>
              </w:rPr>
              <w:t>£1,112m</w:t>
            </w:r>
          </w:p>
        </w:tc>
        <w:tc>
          <w:tcPr>
            <w:tcW w:w="1843" w:type="dxa"/>
            <w:tcBorders>
              <w:top w:val="single" w:sz="6" w:space="0" w:color="auto"/>
              <w:left w:val="single" w:sz="6" w:space="0" w:color="auto"/>
              <w:bottom w:val="single" w:sz="12" w:space="0" w:color="auto"/>
              <w:right w:val="single" w:sz="6" w:space="0" w:color="auto"/>
            </w:tcBorders>
            <w:shd w:val="clear" w:color="auto" w:fill="8DB3E2" w:themeFill="text2" w:themeFillTint="66"/>
          </w:tcPr>
          <w:p w:rsidR="002F1851" w:rsidRPr="0028772A" w:rsidRDefault="002F1851" w:rsidP="002F1851">
            <w:pPr>
              <w:spacing w:before="0" w:after="0"/>
              <w:jc w:val="right"/>
              <w:rPr>
                <w:b/>
                <w:sz w:val="18"/>
                <w:szCs w:val="18"/>
              </w:rPr>
            </w:pPr>
            <w:r w:rsidRPr="0028772A">
              <w:rPr>
                <w:b/>
                <w:sz w:val="18"/>
                <w:szCs w:val="18"/>
              </w:rPr>
              <w:t>£0.090m</w:t>
            </w:r>
          </w:p>
        </w:tc>
        <w:tc>
          <w:tcPr>
            <w:tcW w:w="929" w:type="dxa"/>
            <w:tcBorders>
              <w:top w:val="single" w:sz="6" w:space="0" w:color="auto"/>
              <w:left w:val="single" w:sz="6" w:space="0" w:color="auto"/>
              <w:bottom w:val="single" w:sz="12" w:space="0" w:color="auto"/>
              <w:right w:val="single" w:sz="12" w:space="0" w:color="auto"/>
            </w:tcBorders>
            <w:shd w:val="clear" w:color="auto" w:fill="8DB3E2" w:themeFill="text2" w:themeFillTint="66"/>
          </w:tcPr>
          <w:p w:rsidR="002F1851" w:rsidRPr="0028772A" w:rsidRDefault="002F1851" w:rsidP="002F1851">
            <w:pPr>
              <w:spacing w:before="0" w:after="0"/>
              <w:jc w:val="right"/>
              <w:rPr>
                <w:b/>
                <w:sz w:val="18"/>
                <w:szCs w:val="18"/>
              </w:rPr>
            </w:pPr>
            <w:r w:rsidRPr="0028772A">
              <w:rPr>
                <w:b/>
                <w:sz w:val="18"/>
                <w:szCs w:val="18"/>
              </w:rPr>
              <w:t>£1,202m</w:t>
            </w:r>
          </w:p>
        </w:tc>
      </w:tr>
    </w:tbl>
    <w:p w:rsidR="002F1851" w:rsidRPr="008C2B9E" w:rsidRDefault="002F1851" w:rsidP="002F1851">
      <w:pPr>
        <w:spacing w:after="0"/>
        <w:jc w:val="left"/>
        <w:rPr>
          <w:i/>
          <w:sz w:val="16"/>
          <w:szCs w:val="16"/>
        </w:rPr>
      </w:pPr>
      <w:r w:rsidRPr="008C2B9E">
        <w:rPr>
          <w:i/>
          <w:sz w:val="16"/>
          <w:szCs w:val="16"/>
        </w:rPr>
        <w:t>## The DEC study in seen as a Centre and attracts a different RCF weighting</w:t>
      </w:r>
    </w:p>
    <w:p w:rsidR="002F1851" w:rsidRDefault="002F1851" w:rsidP="002F1851">
      <w:r w:rsidRPr="0068138D">
        <w:t>The t</w:t>
      </w:r>
      <w:r>
        <w:t>a</w:t>
      </w:r>
      <w:r w:rsidRPr="0068138D">
        <w:t xml:space="preserve">ble </w:t>
      </w:r>
      <w:r>
        <w:t xml:space="preserve">below </w:t>
      </w:r>
      <w:r w:rsidRPr="0068138D">
        <w:t xml:space="preserve">shows </w:t>
      </w:r>
      <w:r>
        <w:t>the currently proposed FY14 RCF allocation.</w:t>
      </w:r>
    </w:p>
    <w:tbl>
      <w:tblPr>
        <w:tblStyle w:val="TableGrid"/>
        <w:tblW w:w="10491" w:type="dxa"/>
        <w:tblInd w:w="108" w:type="dxa"/>
        <w:tblLayout w:type="fixed"/>
        <w:tblLook w:val="04A0" w:firstRow="1" w:lastRow="0" w:firstColumn="1" w:lastColumn="0" w:noHBand="0" w:noVBand="1"/>
      </w:tblPr>
      <w:tblGrid>
        <w:gridCol w:w="7088"/>
        <w:gridCol w:w="1417"/>
        <w:gridCol w:w="993"/>
        <w:gridCol w:w="993"/>
      </w:tblGrid>
      <w:tr w:rsidR="002F1851" w:rsidRPr="003F445B" w:rsidTr="009A591A">
        <w:trPr>
          <w:trHeight w:val="284"/>
        </w:trPr>
        <w:tc>
          <w:tcPr>
            <w:tcW w:w="7088" w:type="dxa"/>
            <w:shd w:val="clear" w:color="auto" w:fill="8DB3E2" w:themeFill="text2" w:themeFillTint="66"/>
          </w:tcPr>
          <w:p w:rsidR="002F1851" w:rsidRPr="00F00178" w:rsidRDefault="002F1851" w:rsidP="002F1851">
            <w:pPr>
              <w:spacing w:before="120" w:after="0"/>
              <w:rPr>
                <w:b/>
                <w:sz w:val="20"/>
                <w:szCs w:val="20"/>
              </w:rPr>
            </w:pPr>
            <w:r w:rsidRPr="00F00178">
              <w:rPr>
                <w:b/>
                <w:sz w:val="20"/>
                <w:szCs w:val="20"/>
              </w:rPr>
              <w:t>FY1</w:t>
            </w:r>
            <w:r>
              <w:rPr>
                <w:b/>
                <w:sz w:val="20"/>
                <w:szCs w:val="20"/>
              </w:rPr>
              <w:t>5</w:t>
            </w:r>
            <w:r w:rsidRPr="00F00178">
              <w:rPr>
                <w:b/>
                <w:sz w:val="20"/>
                <w:szCs w:val="20"/>
              </w:rPr>
              <w:t xml:space="preserve"> RCF</w:t>
            </w:r>
            <w:r>
              <w:rPr>
                <w:b/>
                <w:sz w:val="20"/>
                <w:szCs w:val="20"/>
              </w:rPr>
              <w:t xml:space="preserve"> (£k)</w:t>
            </w:r>
          </w:p>
        </w:tc>
        <w:tc>
          <w:tcPr>
            <w:tcW w:w="1417" w:type="dxa"/>
            <w:shd w:val="clear" w:color="auto" w:fill="8DB3E2" w:themeFill="text2" w:themeFillTint="66"/>
          </w:tcPr>
          <w:p w:rsidR="002F1851" w:rsidRPr="00F00178" w:rsidRDefault="002F1851" w:rsidP="002F1851">
            <w:pPr>
              <w:spacing w:before="120" w:after="0"/>
              <w:jc w:val="center"/>
              <w:rPr>
                <w:b/>
                <w:sz w:val="20"/>
                <w:szCs w:val="20"/>
              </w:rPr>
            </w:pPr>
            <w:r>
              <w:rPr>
                <w:b/>
                <w:sz w:val="20"/>
                <w:szCs w:val="20"/>
              </w:rPr>
              <w:t>DoP \ Trust</w:t>
            </w:r>
          </w:p>
        </w:tc>
        <w:tc>
          <w:tcPr>
            <w:tcW w:w="993" w:type="dxa"/>
            <w:shd w:val="clear" w:color="auto" w:fill="8DB3E2" w:themeFill="text2" w:themeFillTint="66"/>
          </w:tcPr>
          <w:p w:rsidR="002F1851" w:rsidRPr="00F00178" w:rsidRDefault="002F1851" w:rsidP="002F1851">
            <w:pPr>
              <w:spacing w:before="120" w:after="0"/>
              <w:jc w:val="center"/>
              <w:rPr>
                <w:b/>
                <w:sz w:val="20"/>
                <w:szCs w:val="20"/>
              </w:rPr>
            </w:pPr>
            <w:r>
              <w:rPr>
                <w:b/>
                <w:sz w:val="20"/>
                <w:szCs w:val="20"/>
              </w:rPr>
              <w:t>PC</w:t>
            </w:r>
          </w:p>
        </w:tc>
        <w:tc>
          <w:tcPr>
            <w:tcW w:w="993" w:type="dxa"/>
            <w:shd w:val="clear" w:color="auto" w:fill="8DB3E2" w:themeFill="text2" w:themeFillTint="66"/>
          </w:tcPr>
          <w:p w:rsidR="002F1851" w:rsidRDefault="002F1851" w:rsidP="002F1851">
            <w:pPr>
              <w:spacing w:before="120" w:after="0"/>
              <w:jc w:val="center"/>
              <w:rPr>
                <w:b/>
                <w:sz w:val="20"/>
                <w:szCs w:val="20"/>
              </w:rPr>
            </w:pPr>
            <w:r>
              <w:rPr>
                <w:b/>
                <w:sz w:val="20"/>
                <w:szCs w:val="20"/>
              </w:rPr>
              <w:t>Total</w:t>
            </w:r>
          </w:p>
        </w:tc>
      </w:tr>
      <w:tr w:rsidR="002F1851" w:rsidRPr="003F445B" w:rsidTr="002F1851">
        <w:trPr>
          <w:trHeight w:val="244"/>
        </w:trPr>
        <w:tc>
          <w:tcPr>
            <w:tcW w:w="7088" w:type="dxa"/>
          </w:tcPr>
          <w:p w:rsidR="002F1851" w:rsidRPr="00BB3402" w:rsidRDefault="002F1851" w:rsidP="002F1851">
            <w:pPr>
              <w:spacing w:before="120" w:after="0"/>
              <w:rPr>
                <w:sz w:val="18"/>
                <w:szCs w:val="18"/>
              </w:rPr>
            </w:pPr>
            <w:r w:rsidRPr="00BB3402">
              <w:rPr>
                <w:sz w:val="18"/>
                <w:szCs w:val="18"/>
              </w:rPr>
              <w:t>FY1</w:t>
            </w:r>
            <w:r>
              <w:rPr>
                <w:sz w:val="18"/>
                <w:szCs w:val="18"/>
              </w:rPr>
              <w:t>5</w:t>
            </w:r>
            <w:r w:rsidRPr="00BB3402">
              <w:rPr>
                <w:sz w:val="18"/>
                <w:szCs w:val="18"/>
              </w:rPr>
              <w:t xml:space="preserve"> Award </w:t>
            </w:r>
          </w:p>
        </w:tc>
        <w:tc>
          <w:tcPr>
            <w:tcW w:w="1417" w:type="dxa"/>
          </w:tcPr>
          <w:p w:rsidR="002F1851" w:rsidRPr="00BB3402" w:rsidRDefault="002F1851" w:rsidP="002F1851">
            <w:pPr>
              <w:spacing w:before="120" w:after="0"/>
              <w:jc w:val="center"/>
              <w:rPr>
                <w:sz w:val="18"/>
                <w:szCs w:val="18"/>
              </w:rPr>
            </w:pPr>
            <w:r>
              <w:rPr>
                <w:sz w:val="18"/>
                <w:szCs w:val="18"/>
              </w:rPr>
              <w:t>1,112</w:t>
            </w:r>
          </w:p>
        </w:tc>
        <w:tc>
          <w:tcPr>
            <w:tcW w:w="993" w:type="dxa"/>
          </w:tcPr>
          <w:p w:rsidR="002F1851" w:rsidRDefault="002F1851" w:rsidP="002F1851">
            <w:pPr>
              <w:spacing w:before="120" w:after="0"/>
              <w:jc w:val="center"/>
              <w:rPr>
                <w:sz w:val="18"/>
                <w:szCs w:val="18"/>
              </w:rPr>
            </w:pPr>
            <w:r>
              <w:rPr>
                <w:sz w:val="18"/>
                <w:szCs w:val="18"/>
              </w:rPr>
              <w:t>90</w:t>
            </w:r>
          </w:p>
        </w:tc>
        <w:tc>
          <w:tcPr>
            <w:tcW w:w="993" w:type="dxa"/>
          </w:tcPr>
          <w:p w:rsidR="002F1851" w:rsidRDefault="002F1851" w:rsidP="002F1851">
            <w:pPr>
              <w:spacing w:before="120" w:after="0"/>
              <w:jc w:val="center"/>
              <w:rPr>
                <w:sz w:val="18"/>
                <w:szCs w:val="18"/>
              </w:rPr>
            </w:pPr>
            <w:r>
              <w:rPr>
                <w:sz w:val="18"/>
                <w:szCs w:val="18"/>
              </w:rPr>
              <w:t>1,202</w:t>
            </w:r>
          </w:p>
        </w:tc>
      </w:tr>
      <w:tr w:rsidR="002F1851" w:rsidRPr="003F445B" w:rsidTr="009A591A">
        <w:trPr>
          <w:trHeight w:val="295"/>
        </w:trPr>
        <w:tc>
          <w:tcPr>
            <w:tcW w:w="7088" w:type="dxa"/>
            <w:shd w:val="clear" w:color="auto" w:fill="8DB3E2" w:themeFill="text2" w:themeFillTint="66"/>
          </w:tcPr>
          <w:p w:rsidR="002F1851" w:rsidRPr="00F00178" w:rsidRDefault="002F1851" w:rsidP="002F1851">
            <w:pPr>
              <w:spacing w:before="120" w:after="0"/>
              <w:rPr>
                <w:b/>
                <w:sz w:val="20"/>
                <w:szCs w:val="20"/>
              </w:rPr>
            </w:pPr>
            <w:r w:rsidRPr="00F00178">
              <w:rPr>
                <w:b/>
                <w:sz w:val="20"/>
                <w:szCs w:val="20"/>
              </w:rPr>
              <w:t>C</w:t>
            </w:r>
            <w:r>
              <w:rPr>
                <w:b/>
                <w:sz w:val="20"/>
                <w:szCs w:val="20"/>
              </w:rPr>
              <w:t>urrent c</w:t>
            </w:r>
            <w:r w:rsidRPr="00F00178">
              <w:rPr>
                <w:b/>
                <w:sz w:val="20"/>
                <w:szCs w:val="20"/>
              </w:rPr>
              <w:t>ommitments by RCF category</w:t>
            </w:r>
          </w:p>
        </w:tc>
        <w:tc>
          <w:tcPr>
            <w:tcW w:w="1417" w:type="dxa"/>
            <w:shd w:val="clear" w:color="auto" w:fill="8DB3E2" w:themeFill="text2" w:themeFillTint="66"/>
          </w:tcPr>
          <w:p w:rsidR="002F1851" w:rsidRPr="00F00178" w:rsidRDefault="002F1851" w:rsidP="002F1851">
            <w:pPr>
              <w:spacing w:before="120" w:after="0"/>
              <w:jc w:val="center"/>
              <w:rPr>
                <w:b/>
                <w:sz w:val="20"/>
                <w:szCs w:val="20"/>
              </w:rPr>
            </w:pPr>
          </w:p>
        </w:tc>
        <w:tc>
          <w:tcPr>
            <w:tcW w:w="993" w:type="dxa"/>
            <w:shd w:val="clear" w:color="auto" w:fill="8DB3E2" w:themeFill="text2" w:themeFillTint="66"/>
          </w:tcPr>
          <w:p w:rsidR="002F1851" w:rsidRPr="00F00178" w:rsidRDefault="002F1851" w:rsidP="002F1851">
            <w:pPr>
              <w:spacing w:before="120" w:after="0"/>
              <w:jc w:val="center"/>
              <w:rPr>
                <w:b/>
                <w:sz w:val="20"/>
                <w:szCs w:val="20"/>
              </w:rPr>
            </w:pPr>
          </w:p>
        </w:tc>
        <w:tc>
          <w:tcPr>
            <w:tcW w:w="993" w:type="dxa"/>
            <w:shd w:val="clear" w:color="auto" w:fill="8DB3E2" w:themeFill="text2" w:themeFillTint="66"/>
          </w:tcPr>
          <w:p w:rsidR="002F1851" w:rsidRPr="00F00178" w:rsidRDefault="002F1851" w:rsidP="002F1851">
            <w:pPr>
              <w:spacing w:before="120" w:after="0"/>
              <w:jc w:val="center"/>
              <w:rPr>
                <w:b/>
                <w:sz w:val="20"/>
                <w:szCs w:val="20"/>
              </w:rPr>
            </w:pPr>
          </w:p>
        </w:tc>
      </w:tr>
      <w:tr w:rsidR="002F1851" w:rsidRPr="003F445B" w:rsidTr="002F1851">
        <w:trPr>
          <w:trHeight w:val="362"/>
        </w:trPr>
        <w:tc>
          <w:tcPr>
            <w:tcW w:w="7088" w:type="dxa"/>
          </w:tcPr>
          <w:p w:rsidR="002F1851" w:rsidRPr="00BB3402" w:rsidRDefault="002F1851" w:rsidP="002F1851">
            <w:pPr>
              <w:spacing w:before="120" w:after="0"/>
              <w:rPr>
                <w:sz w:val="18"/>
                <w:szCs w:val="18"/>
              </w:rPr>
            </w:pPr>
            <w:r w:rsidRPr="00BB3402">
              <w:rPr>
                <w:sz w:val="18"/>
                <w:szCs w:val="18"/>
              </w:rPr>
              <w:t>The research-related component of an NIHR Faculty member’s salary, which is not covered by other funding sources</w:t>
            </w:r>
          </w:p>
        </w:tc>
        <w:tc>
          <w:tcPr>
            <w:tcW w:w="1417" w:type="dxa"/>
          </w:tcPr>
          <w:p w:rsidR="002F1851" w:rsidRPr="00BB3402" w:rsidRDefault="002F1851" w:rsidP="002F1851">
            <w:pPr>
              <w:spacing w:before="120" w:after="0"/>
              <w:jc w:val="center"/>
              <w:rPr>
                <w:sz w:val="18"/>
                <w:szCs w:val="18"/>
              </w:rPr>
            </w:pPr>
            <w:r w:rsidRPr="00BB3402">
              <w:rPr>
                <w:sz w:val="18"/>
                <w:szCs w:val="18"/>
              </w:rPr>
              <w:t>(</w:t>
            </w:r>
            <w:r>
              <w:rPr>
                <w:sz w:val="18"/>
                <w:szCs w:val="18"/>
              </w:rPr>
              <w:t>480</w:t>
            </w:r>
            <w:r w:rsidRPr="00BB3402">
              <w:rPr>
                <w:sz w:val="18"/>
                <w:szCs w:val="18"/>
              </w:rPr>
              <w:t>)</w:t>
            </w:r>
          </w:p>
        </w:tc>
        <w:tc>
          <w:tcPr>
            <w:tcW w:w="993" w:type="dxa"/>
          </w:tcPr>
          <w:p w:rsidR="002F1851" w:rsidRPr="00BB3402" w:rsidRDefault="002F1851" w:rsidP="002F1851">
            <w:pPr>
              <w:spacing w:before="120" w:after="0"/>
              <w:jc w:val="center"/>
              <w:rPr>
                <w:sz w:val="18"/>
                <w:szCs w:val="18"/>
              </w:rPr>
            </w:pPr>
            <w:r>
              <w:rPr>
                <w:sz w:val="18"/>
                <w:szCs w:val="18"/>
              </w:rPr>
              <w:t>(90)</w:t>
            </w:r>
          </w:p>
        </w:tc>
        <w:tc>
          <w:tcPr>
            <w:tcW w:w="993" w:type="dxa"/>
          </w:tcPr>
          <w:p w:rsidR="002F1851" w:rsidRDefault="002F1851" w:rsidP="002F1851">
            <w:pPr>
              <w:spacing w:before="120" w:after="0"/>
              <w:jc w:val="center"/>
              <w:rPr>
                <w:sz w:val="18"/>
                <w:szCs w:val="18"/>
              </w:rPr>
            </w:pPr>
            <w:r>
              <w:rPr>
                <w:sz w:val="18"/>
                <w:szCs w:val="18"/>
              </w:rPr>
              <w:t>(570)</w:t>
            </w:r>
          </w:p>
        </w:tc>
      </w:tr>
      <w:tr w:rsidR="002F1851" w:rsidRPr="003F445B" w:rsidTr="002F1851">
        <w:trPr>
          <w:trHeight w:val="56"/>
        </w:trPr>
        <w:tc>
          <w:tcPr>
            <w:tcW w:w="7088" w:type="dxa"/>
          </w:tcPr>
          <w:p w:rsidR="002F1851" w:rsidRPr="00BB3402" w:rsidRDefault="002F1851" w:rsidP="002F1851">
            <w:pPr>
              <w:spacing w:before="120" w:after="0"/>
              <w:rPr>
                <w:i/>
                <w:sz w:val="18"/>
                <w:szCs w:val="18"/>
              </w:rPr>
            </w:pPr>
            <w:r w:rsidRPr="00BB3402">
              <w:rPr>
                <w:sz w:val="18"/>
                <w:szCs w:val="18"/>
              </w:rPr>
              <w:t xml:space="preserve">Meeting the cost of the time of Faculty members in preparing grant proposals </w:t>
            </w:r>
          </w:p>
        </w:tc>
        <w:tc>
          <w:tcPr>
            <w:tcW w:w="1417" w:type="dxa"/>
          </w:tcPr>
          <w:p w:rsidR="002F1851" w:rsidRPr="00BB3402" w:rsidRDefault="002F1851" w:rsidP="002F1851">
            <w:pPr>
              <w:spacing w:before="120" w:after="0"/>
              <w:jc w:val="center"/>
              <w:rPr>
                <w:sz w:val="18"/>
                <w:szCs w:val="18"/>
              </w:rPr>
            </w:pPr>
            <w:r w:rsidRPr="00BB3402">
              <w:rPr>
                <w:sz w:val="18"/>
                <w:szCs w:val="18"/>
              </w:rPr>
              <w:t>(</w:t>
            </w:r>
            <w:r>
              <w:rPr>
                <w:sz w:val="18"/>
                <w:szCs w:val="18"/>
              </w:rPr>
              <w:t>232</w:t>
            </w:r>
            <w:r w:rsidRPr="00BB3402">
              <w:rPr>
                <w:sz w:val="18"/>
                <w:szCs w:val="18"/>
              </w:rPr>
              <w:t>)</w:t>
            </w:r>
          </w:p>
        </w:tc>
        <w:tc>
          <w:tcPr>
            <w:tcW w:w="993" w:type="dxa"/>
          </w:tcPr>
          <w:p w:rsidR="002F1851" w:rsidRPr="00BB3402" w:rsidRDefault="002F1851" w:rsidP="002F1851">
            <w:pPr>
              <w:spacing w:before="120" w:after="0"/>
              <w:jc w:val="center"/>
              <w:rPr>
                <w:sz w:val="18"/>
                <w:szCs w:val="18"/>
              </w:rPr>
            </w:pPr>
            <w:r>
              <w:rPr>
                <w:sz w:val="18"/>
                <w:szCs w:val="18"/>
              </w:rPr>
              <w:t>-</w:t>
            </w:r>
          </w:p>
        </w:tc>
        <w:tc>
          <w:tcPr>
            <w:tcW w:w="993" w:type="dxa"/>
          </w:tcPr>
          <w:p w:rsidR="002F1851" w:rsidRDefault="002F1851" w:rsidP="002F1851">
            <w:pPr>
              <w:spacing w:before="120" w:after="0"/>
              <w:jc w:val="center"/>
              <w:rPr>
                <w:sz w:val="18"/>
                <w:szCs w:val="18"/>
              </w:rPr>
            </w:pPr>
            <w:r>
              <w:rPr>
                <w:sz w:val="18"/>
                <w:szCs w:val="18"/>
              </w:rPr>
              <w:t>(232)</w:t>
            </w:r>
          </w:p>
        </w:tc>
      </w:tr>
      <w:tr w:rsidR="002F1851" w:rsidRPr="003F445B" w:rsidTr="002F1851">
        <w:trPr>
          <w:trHeight w:val="56"/>
        </w:trPr>
        <w:tc>
          <w:tcPr>
            <w:tcW w:w="7088" w:type="dxa"/>
          </w:tcPr>
          <w:p w:rsidR="002F1851" w:rsidRPr="00BB3402" w:rsidRDefault="002F1851" w:rsidP="002F1851">
            <w:pPr>
              <w:spacing w:before="120" w:after="0"/>
              <w:rPr>
                <w:i/>
                <w:sz w:val="18"/>
                <w:szCs w:val="18"/>
              </w:rPr>
            </w:pPr>
            <w:r w:rsidRPr="00BB3402">
              <w:rPr>
                <w:sz w:val="18"/>
                <w:szCs w:val="18"/>
              </w:rPr>
              <w:t>The research-related time of NHS-employed scientific, administrative and secretarial staff who support Faculty members in their NIHR-related work (</w:t>
            </w:r>
            <w:r w:rsidRPr="00BB3402">
              <w:rPr>
                <w:i/>
                <w:sz w:val="18"/>
                <w:szCs w:val="18"/>
              </w:rPr>
              <w:t xml:space="preserve">Includes </w:t>
            </w:r>
            <w:r>
              <w:rPr>
                <w:i/>
                <w:sz w:val="18"/>
                <w:szCs w:val="18"/>
              </w:rPr>
              <w:t>the mitigation of the cost pressures occurring due to the NIHR withholding final study payments)</w:t>
            </w:r>
          </w:p>
        </w:tc>
        <w:tc>
          <w:tcPr>
            <w:tcW w:w="1417" w:type="dxa"/>
          </w:tcPr>
          <w:p w:rsidR="002F1851" w:rsidRPr="00BB3402" w:rsidRDefault="002F1851" w:rsidP="002F1851">
            <w:pPr>
              <w:spacing w:before="120" w:after="0"/>
              <w:jc w:val="center"/>
              <w:rPr>
                <w:sz w:val="18"/>
                <w:szCs w:val="18"/>
              </w:rPr>
            </w:pPr>
            <w:r w:rsidRPr="00BB3402">
              <w:rPr>
                <w:sz w:val="18"/>
                <w:szCs w:val="18"/>
              </w:rPr>
              <w:t>(</w:t>
            </w:r>
            <w:r>
              <w:rPr>
                <w:sz w:val="18"/>
                <w:szCs w:val="18"/>
              </w:rPr>
              <w:t>309</w:t>
            </w:r>
            <w:r w:rsidRPr="00BB3402">
              <w:rPr>
                <w:sz w:val="18"/>
                <w:szCs w:val="18"/>
              </w:rPr>
              <w:t>)</w:t>
            </w:r>
          </w:p>
        </w:tc>
        <w:tc>
          <w:tcPr>
            <w:tcW w:w="993" w:type="dxa"/>
          </w:tcPr>
          <w:p w:rsidR="002F1851" w:rsidRPr="00BB3402" w:rsidRDefault="002F1851" w:rsidP="002F1851">
            <w:pPr>
              <w:spacing w:before="120" w:after="0"/>
              <w:jc w:val="center"/>
              <w:rPr>
                <w:sz w:val="18"/>
                <w:szCs w:val="18"/>
              </w:rPr>
            </w:pPr>
            <w:r>
              <w:rPr>
                <w:sz w:val="18"/>
                <w:szCs w:val="18"/>
              </w:rPr>
              <w:t>-</w:t>
            </w:r>
          </w:p>
        </w:tc>
        <w:tc>
          <w:tcPr>
            <w:tcW w:w="993" w:type="dxa"/>
          </w:tcPr>
          <w:p w:rsidR="002F1851" w:rsidRDefault="002F1851" w:rsidP="002F1851">
            <w:pPr>
              <w:spacing w:before="120" w:after="0"/>
              <w:jc w:val="center"/>
              <w:rPr>
                <w:sz w:val="18"/>
                <w:szCs w:val="18"/>
              </w:rPr>
            </w:pPr>
            <w:r>
              <w:rPr>
                <w:sz w:val="18"/>
                <w:szCs w:val="18"/>
              </w:rPr>
              <w:t>(309)</w:t>
            </w:r>
          </w:p>
        </w:tc>
      </w:tr>
      <w:tr w:rsidR="002F1851" w:rsidRPr="003F445B" w:rsidTr="002F1851">
        <w:trPr>
          <w:trHeight w:val="182"/>
        </w:trPr>
        <w:tc>
          <w:tcPr>
            <w:tcW w:w="7088" w:type="dxa"/>
          </w:tcPr>
          <w:p w:rsidR="002F1851" w:rsidRPr="00BB3402" w:rsidRDefault="002F1851" w:rsidP="002F1851">
            <w:pPr>
              <w:spacing w:before="120" w:after="0"/>
              <w:rPr>
                <w:sz w:val="18"/>
                <w:szCs w:val="18"/>
              </w:rPr>
            </w:pPr>
            <w:r w:rsidRPr="00BB3402">
              <w:rPr>
                <w:sz w:val="18"/>
                <w:szCs w:val="18"/>
              </w:rPr>
              <w:t>Accommodation costs, finance management costs, and human resource management cost incurred in hosting NIHR-funded research</w:t>
            </w:r>
          </w:p>
        </w:tc>
        <w:tc>
          <w:tcPr>
            <w:tcW w:w="1417" w:type="dxa"/>
          </w:tcPr>
          <w:p w:rsidR="002F1851" w:rsidRPr="00BB3402" w:rsidRDefault="002F1851" w:rsidP="002F1851">
            <w:pPr>
              <w:spacing w:before="120" w:after="0"/>
              <w:jc w:val="center"/>
              <w:rPr>
                <w:sz w:val="18"/>
                <w:szCs w:val="18"/>
              </w:rPr>
            </w:pPr>
            <w:r w:rsidRPr="00BB3402">
              <w:rPr>
                <w:sz w:val="18"/>
                <w:szCs w:val="18"/>
              </w:rPr>
              <w:t>(</w:t>
            </w:r>
            <w:r>
              <w:rPr>
                <w:sz w:val="18"/>
                <w:szCs w:val="18"/>
              </w:rPr>
              <w:t>91</w:t>
            </w:r>
            <w:r w:rsidRPr="00BB3402">
              <w:rPr>
                <w:sz w:val="18"/>
                <w:szCs w:val="18"/>
              </w:rPr>
              <w:t>)</w:t>
            </w:r>
          </w:p>
        </w:tc>
        <w:tc>
          <w:tcPr>
            <w:tcW w:w="993" w:type="dxa"/>
          </w:tcPr>
          <w:p w:rsidR="002F1851" w:rsidRPr="00BB3402" w:rsidRDefault="002F1851" w:rsidP="002F1851">
            <w:pPr>
              <w:spacing w:before="120" w:after="0"/>
              <w:jc w:val="center"/>
              <w:rPr>
                <w:sz w:val="18"/>
                <w:szCs w:val="18"/>
              </w:rPr>
            </w:pPr>
            <w:r>
              <w:rPr>
                <w:sz w:val="18"/>
                <w:szCs w:val="18"/>
              </w:rPr>
              <w:t>-</w:t>
            </w:r>
          </w:p>
        </w:tc>
        <w:tc>
          <w:tcPr>
            <w:tcW w:w="993" w:type="dxa"/>
          </w:tcPr>
          <w:p w:rsidR="002F1851" w:rsidRDefault="002F1851" w:rsidP="002F1851">
            <w:pPr>
              <w:spacing w:before="120" w:after="0"/>
              <w:jc w:val="center"/>
              <w:rPr>
                <w:sz w:val="18"/>
                <w:szCs w:val="18"/>
              </w:rPr>
            </w:pPr>
            <w:r>
              <w:rPr>
                <w:sz w:val="18"/>
                <w:szCs w:val="18"/>
              </w:rPr>
              <w:t>(91)</w:t>
            </w:r>
          </w:p>
        </w:tc>
      </w:tr>
      <w:tr w:rsidR="002F1851" w:rsidRPr="003F445B" w:rsidTr="009A591A">
        <w:trPr>
          <w:trHeight w:val="164"/>
        </w:trPr>
        <w:tc>
          <w:tcPr>
            <w:tcW w:w="7088" w:type="dxa"/>
            <w:shd w:val="clear" w:color="auto" w:fill="8DB3E2" w:themeFill="text2" w:themeFillTint="66"/>
          </w:tcPr>
          <w:p w:rsidR="002F1851" w:rsidRPr="00BB3402" w:rsidRDefault="002F1851" w:rsidP="002F1851">
            <w:pPr>
              <w:spacing w:before="120" w:after="0"/>
              <w:rPr>
                <w:b/>
                <w:sz w:val="18"/>
                <w:szCs w:val="18"/>
              </w:rPr>
            </w:pPr>
            <w:r w:rsidRPr="00BB3402">
              <w:rPr>
                <w:b/>
                <w:sz w:val="18"/>
                <w:szCs w:val="18"/>
              </w:rPr>
              <w:t>Total</w:t>
            </w:r>
          </w:p>
        </w:tc>
        <w:tc>
          <w:tcPr>
            <w:tcW w:w="1417" w:type="dxa"/>
            <w:shd w:val="clear" w:color="auto" w:fill="8DB3E2" w:themeFill="text2" w:themeFillTint="66"/>
          </w:tcPr>
          <w:p w:rsidR="002F1851" w:rsidRPr="00BB3402" w:rsidRDefault="002F1851" w:rsidP="002F1851">
            <w:pPr>
              <w:spacing w:before="120" w:after="0"/>
              <w:jc w:val="center"/>
              <w:rPr>
                <w:b/>
                <w:sz w:val="18"/>
                <w:szCs w:val="18"/>
              </w:rPr>
            </w:pPr>
            <w:r>
              <w:rPr>
                <w:b/>
                <w:sz w:val="18"/>
                <w:szCs w:val="18"/>
              </w:rPr>
              <w:t>-</w:t>
            </w:r>
          </w:p>
        </w:tc>
        <w:tc>
          <w:tcPr>
            <w:tcW w:w="993" w:type="dxa"/>
            <w:shd w:val="clear" w:color="auto" w:fill="8DB3E2" w:themeFill="text2" w:themeFillTint="66"/>
          </w:tcPr>
          <w:p w:rsidR="002F1851" w:rsidRPr="00BB3402" w:rsidRDefault="002F1851" w:rsidP="002F1851">
            <w:pPr>
              <w:spacing w:before="120" w:after="0"/>
              <w:jc w:val="center"/>
              <w:rPr>
                <w:b/>
                <w:sz w:val="18"/>
                <w:szCs w:val="18"/>
              </w:rPr>
            </w:pPr>
            <w:r>
              <w:rPr>
                <w:b/>
                <w:sz w:val="18"/>
                <w:szCs w:val="18"/>
              </w:rPr>
              <w:t>-</w:t>
            </w:r>
          </w:p>
        </w:tc>
        <w:tc>
          <w:tcPr>
            <w:tcW w:w="993" w:type="dxa"/>
            <w:shd w:val="clear" w:color="auto" w:fill="8DB3E2" w:themeFill="text2" w:themeFillTint="66"/>
          </w:tcPr>
          <w:p w:rsidR="002F1851" w:rsidRDefault="002F1851" w:rsidP="002F1851">
            <w:pPr>
              <w:spacing w:before="120" w:after="0"/>
              <w:jc w:val="center"/>
              <w:rPr>
                <w:b/>
                <w:sz w:val="18"/>
                <w:szCs w:val="18"/>
              </w:rPr>
            </w:pPr>
            <w:r>
              <w:rPr>
                <w:b/>
                <w:sz w:val="18"/>
                <w:szCs w:val="18"/>
              </w:rPr>
              <w:t>-</w:t>
            </w:r>
          </w:p>
        </w:tc>
      </w:tr>
    </w:tbl>
    <w:p w:rsidR="002F1851" w:rsidRDefault="002F1851" w:rsidP="006D305A">
      <w:r w:rsidRPr="006C31E0">
        <w:t>The use and allocation of RCF is reviewed on a regular basis by the Director of R&amp;D before approval by the R&amp;D Governance Committee. In recent years the drive has been to use RCF strategically for the benefit of research across the Trust, this continue</w:t>
      </w:r>
      <w:r>
        <w:t>d</w:t>
      </w:r>
      <w:r w:rsidRPr="006C31E0">
        <w:t xml:space="preserve"> in FY15 but</w:t>
      </w:r>
      <w:r>
        <w:t>,</w:t>
      </w:r>
      <w:r w:rsidRPr="006C31E0">
        <w:t xml:space="preserve"> in addition</w:t>
      </w:r>
      <w:r>
        <w:t>,</w:t>
      </w:r>
      <w:r w:rsidRPr="006C31E0">
        <w:t xml:space="preserve"> individuals were </w:t>
      </w:r>
      <w:r>
        <w:t>i</w:t>
      </w:r>
      <w:r w:rsidRPr="006C31E0">
        <w:t>nvited to apply for RCF to support research activities</w:t>
      </w:r>
      <w:r>
        <w:t xml:space="preserve"> and as a result </w:t>
      </w:r>
      <w:r w:rsidRPr="006C31E0">
        <w:t xml:space="preserve">4 applications </w:t>
      </w:r>
      <w:r>
        <w:t>were successful receiving a total allocation £</w:t>
      </w:r>
      <w:r w:rsidRPr="006C31E0">
        <w:t>79k</w:t>
      </w:r>
      <w:r>
        <w:t xml:space="preserve">. This year RCF is being used to </w:t>
      </w:r>
      <w:r w:rsidRPr="00E95386">
        <w:t>the mitigation of the cost pressures occurring due to the NIHR withholding final study payments</w:t>
      </w:r>
      <w:r>
        <w:t xml:space="preserve"> (mentioned below under Potential Financial Impacts).</w:t>
      </w:r>
    </w:p>
    <w:p w:rsidR="002F1851" w:rsidRDefault="002F1851" w:rsidP="002F1851">
      <w:pPr>
        <w:pStyle w:val="Heading2"/>
      </w:pPr>
      <w:r w:rsidRPr="00B06F85">
        <w:t>Clinical Research Facility</w:t>
      </w:r>
      <w:r>
        <w:t xml:space="preserve"> (CRF)</w:t>
      </w:r>
    </w:p>
    <w:p w:rsidR="002F1851" w:rsidRPr="003A47FB" w:rsidRDefault="002F1851" w:rsidP="002F1851">
      <w:pPr>
        <w:spacing w:after="0"/>
      </w:pPr>
      <w:r w:rsidRPr="00C223D9">
        <w:t xml:space="preserve">The CRF reporting is split between </w:t>
      </w:r>
      <w:r>
        <w:t xml:space="preserve">NIHR and </w:t>
      </w:r>
      <w:r w:rsidRPr="00C223D9">
        <w:t>non-</w:t>
      </w:r>
      <w:r>
        <w:t xml:space="preserve">NIHR </w:t>
      </w:r>
      <w:r w:rsidRPr="00C223D9">
        <w:t>due to its origins and funding sources</w:t>
      </w:r>
      <w:r>
        <w:t xml:space="preserve">. On the Warneford site the CRF </w:t>
      </w:r>
      <w:r w:rsidRPr="00C223D9">
        <w:t xml:space="preserve">operates as one unit containing 8 clinical rooms, pharmacy, a meeting room and associated office space. </w:t>
      </w:r>
      <w:r>
        <w:t xml:space="preserve">The NIHR CRF encompasses activities taking place at the </w:t>
      </w:r>
      <w:r w:rsidRPr="003A47FB">
        <w:t xml:space="preserve">Department of Experimental Psychology (OxCADAT and OxCNC) and the Charles Wolfson Clinical Neuroscience Facility </w:t>
      </w:r>
      <w:r>
        <w:t xml:space="preserve">at the </w:t>
      </w:r>
      <w:r w:rsidRPr="003A47FB">
        <w:t xml:space="preserve">John Radcliffe Hospital as well as </w:t>
      </w:r>
      <w:r>
        <w:t xml:space="preserve">those </w:t>
      </w:r>
      <w:r w:rsidRPr="003A47FB">
        <w:t>on the Warneford site.</w:t>
      </w:r>
    </w:p>
    <w:p w:rsidR="002F1851" w:rsidRDefault="002F1851" w:rsidP="002F1851">
      <w:pPr>
        <w:spacing w:after="0"/>
      </w:pPr>
      <w:r>
        <w:t>F</w:t>
      </w:r>
      <w:r w:rsidRPr="00C223D9">
        <w:t>unding for the unit comes from the NIHR, CLRN and Commercial income.</w:t>
      </w:r>
      <w:r>
        <w:t xml:space="preserve"> </w:t>
      </w:r>
      <w:r w:rsidRPr="00C223D9">
        <w:t>The FY1</w:t>
      </w:r>
      <w:r>
        <w:t>5</w:t>
      </w:r>
      <w:r w:rsidRPr="00C223D9">
        <w:t xml:space="preserve"> </w:t>
      </w:r>
      <w:r>
        <w:t xml:space="preserve">budget and forecast outturn position </w:t>
      </w:r>
      <w:r w:rsidRPr="00C223D9">
        <w:t>is detailed in the table below.</w:t>
      </w:r>
      <w:r>
        <w:t xml:space="preserve"> </w:t>
      </w:r>
    </w:p>
    <w:tbl>
      <w:tblPr>
        <w:tblStyle w:val="TableGrid"/>
        <w:tblpPr w:leftFromText="180" w:rightFromText="180" w:vertAnchor="text" w:horzAnchor="margin" w:tblpY="334"/>
        <w:tblW w:w="10245" w:type="dxa"/>
        <w:tblLayout w:type="fixed"/>
        <w:tblLook w:val="04A0" w:firstRow="1" w:lastRow="0" w:firstColumn="1" w:lastColumn="0" w:noHBand="0" w:noVBand="1"/>
      </w:tblPr>
      <w:tblGrid>
        <w:gridCol w:w="6345"/>
        <w:gridCol w:w="1171"/>
        <w:gridCol w:w="1368"/>
        <w:gridCol w:w="1361"/>
      </w:tblGrid>
      <w:tr w:rsidR="002F1851" w:rsidTr="009A591A">
        <w:trPr>
          <w:trHeight w:val="374"/>
        </w:trPr>
        <w:tc>
          <w:tcPr>
            <w:tcW w:w="6345" w:type="dxa"/>
            <w:tcBorders>
              <w:bottom w:val="single" w:sz="4" w:space="0" w:color="auto"/>
            </w:tcBorders>
            <w:shd w:val="clear" w:color="auto" w:fill="8DB3E2" w:themeFill="text2" w:themeFillTint="66"/>
          </w:tcPr>
          <w:p w:rsidR="002F1851" w:rsidRPr="00BB3402" w:rsidRDefault="002F1851" w:rsidP="002F1851">
            <w:pPr>
              <w:jc w:val="center"/>
              <w:rPr>
                <w:b/>
                <w:sz w:val="18"/>
                <w:szCs w:val="18"/>
              </w:rPr>
            </w:pPr>
          </w:p>
        </w:tc>
        <w:tc>
          <w:tcPr>
            <w:tcW w:w="1171" w:type="dxa"/>
            <w:tcBorders>
              <w:bottom w:val="single" w:sz="4" w:space="0" w:color="auto"/>
            </w:tcBorders>
            <w:shd w:val="clear" w:color="auto" w:fill="8DB3E2" w:themeFill="text2" w:themeFillTint="66"/>
          </w:tcPr>
          <w:p w:rsidR="002F1851" w:rsidRPr="009B202E" w:rsidRDefault="002F1851" w:rsidP="002F1851">
            <w:pPr>
              <w:spacing w:before="0" w:after="0"/>
              <w:jc w:val="center"/>
              <w:rPr>
                <w:b/>
                <w:sz w:val="20"/>
                <w:szCs w:val="20"/>
              </w:rPr>
            </w:pPr>
            <w:r w:rsidRPr="009B202E">
              <w:rPr>
                <w:b/>
                <w:sz w:val="20"/>
                <w:szCs w:val="20"/>
              </w:rPr>
              <w:t>FY15 Budget</w:t>
            </w:r>
          </w:p>
        </w:tc>
        <w:tc>
          <w:tcPr>
            <w:tcW w:w="1368" w:type="dxa"/>
            <w:tcBorders>
              <w:bottom w:val="single" w:sz="4" w:space="0" w:color="auto"/>
            </w:tcBorders>
            <w:shd w:val="clear" w:color="auto" w:fill="8DB3E2" w:themeFill="text2" w:themeFillTint="66"/>
          </w:tcPr>
          <w:p w:rsidR="002F1851" w:rsidRPr="009B202E" w:rsidRDefault="002F1851" w:rsidP="002F1851">
            <w:pPr>
              <w:spacing w:before="0" w:after="0"/>
              <w:jc w:val="center"/>
              <w:rPr>
                <w:b/>
                <w:sz w:val="20"/>
                <w:szCs w:val="20"/>
              </w:rPr>
            </w:pPr>
            <w:r>
              <w:rPr>
                <w:b/>
                <w:sz w:val="20"/>
                <w:szCs w:val="20"/>
              </w:rPr>
              <w:t xml:space="preserve">FY15 </w:t>
            </w:r>
            <w:r w:rsidRPr="009B202E">
              <w:rPr>
                <w:b/>
                <w:sz w:val="20"/>
                <w:szCs w:val="20"/>
              </w:rPr>
              <w:t>Forecast</w:t>
            </w:r>
          </w:p>
        </w:tc>
        <w:tc>
          <w:tcPr>
            <w:tcW w:w="1361" w:type="dxa"/>
            <w:tcBorders>
              <w:bottom w:val="single" w:sz="4" w:space="0" w:color="auto"/>
            </w:tcBorders>
            <w:shd w:val="clear" w:color="auto" w:fill="8DB3E2" w:themeFill="text2" w:themeFillTint="66"/>
          </w:tcPr>
          <w:p w:rsidR="002F1851" w:rsidRPr="009B202E" w:rsidRDefault="002F1851" w:rsidP="002F1851">
            <w:pPr>
              <w:spacing w:before="0"/>
              <w:jc w:val="center"/>
              <w:rPr>
                <w:b/>
                <w:sz w:val="20"/>
                <w:szCs w:val="20"/>
              </w:rPr>
            </w:pPr>
            <w:r w:rsidRPr="009B202E">
              <w:rPr>
                <w:b/>
                <w:sz w:val="20"/>
                <w:szCs w:val="20"/>
              </w:rPr>
              <w:t>Variance</w:t>
            </w:r>
          </w:p>
        </w:tc>
      </w:tr>
      <w:tr w:rsidR="002F1851" w:rsidTr="009A591A">
        <w:trPr>
          <w:trHeight w:val="264"/>
        </w:trPr>
        <w:tc>
          <w:tcPr>
            <w:tcW w:w="6345" w:type="dxa"/>
            <w:shd w:val="clear" w:color="auto" w:fill="8DB3E2" w:themeFill="text2" w:themeFillTint="66"/>
          </w:tcPr>
          <w:p w:rsidR="002F1851" w:rsidRPr="00903674" w:rsidRDefault="002F1851" w:rsidP="002F1851">
            <w:pPr>
              <w:spacing w:before="120" w:after="120"/>
              <w:rPr>
                <w:b/>
                <w:sz w:val="20"/>
                <w:szCs w:val="20"/>
              </w:rPr>
            </w:pPr>
            <w:r w:rsidRPr="00903674">
              <w:rPr>
                <w:b/>
                <w:sz w:val="20"/>
                <w:szCs w:val="20"/>
              </w:rPr>
              <w:t>Expenditure</w:t>
            </w:r>
          </w:p>
        </w:tc>
        <w:tc>
          <w:tcPr>
            <w:tcW w:w="1171" w:type="dxa"/>
            <w:tcBorders>
              <w:right w:val="single" w:sz="4" w:space="0" w:color="auto"/>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(954)</w:t>
            </w:r>
          </w:p>
        </w:tc>
        <w:tc>
          <w:tcPr>
            <w:tcW w:w="1368" w:type="dxa"/>
            <w:tcBorders>
              <w:left w:val="single" w:sz="4" w:space="0" w:color="auto"/>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(954)</w:t>
            </w:r>
          </w:p>
        </w:tc>
        <w:tc>
          <w:tcPr>
            <w:tcW w:w="1361" w:type="dxa"/>
            <w:tcBorders>
              <w:left w:val="nil"/>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w:t>
            </w:r>
          </w:p>
        </w:tc>
      </w:tr>
      <w:tr w:rsidR="002F1851" w:rsidTr="002F1851">
        <w:trPr>
          <w:trHeight w:val="205"/>
        </w:trPr>
        <w:tc>
          <w:tcPr>
            <w:tcW w:w="6345" w:type="dxa"/>
          </w:tcPr>
          <w:p w:rsidR="002F1851" w:rsidRPr="00903674" w:rsidRDefault="002F1851" w:rsidP="002F1851">
            <w:pPr>
              <w:rPr>
                <w:sz w:val="20"/>
                <w:szCs w:val="20"/>
              </w:rPr>
            </w:pPr>
            <w:r w:rsidRPr="00903674">
              <w:rPr>
                <w:sz w:val="20"/>
                <w:szCs w:val="20"/>
              </w:rPr>
              <w:t>NIHR Funding (funding in place until Mar 2017)</w:t>
            </w:r>
          </w:p>
        </w:tc>
        <w:tc>
          <w:tcPr>
            <w:tcW w:w="1171" w:type="dxa"/>
            <w:tcBorders>
              <w:right w:val="single" w:sz="4" w:space="0" w:color="auto"/>
            </w:tcBorders>
            <w:vAlign w:val="center"/>
          </w:tcPr>
          <w:p w:rsidR="002F1851" w:rsidRPr="00903674" w:rsidRDefault="002F1851" w:rsidP="002F1851">
            <w:pPr>
              <w:jc w:val="center"/>
              <w:rPr>
                <w:sz w:val="20"/>
                <w:szCs w:val="20"/>
              </w:rPr>
            </w:pPr>
            <w:r w:rsidRPr="00903674">
              <w:rPr>
                <w:sz w:val="20"/>
                <w:szCs w:val="20"/>
              </w:rPr>
              <w:t>717</w:t>
            </w:r>
          </w:p>
        </w:tc>
        <w:tc>
          <w:tcPr>
            <w:tcW w:w="1368" w:type="dxa"/>
            <w:tcBorders>
              <w:left w:val="single" w:sz="4" w:space="0" w:color="auto"/>
            </w:tcBorders>
            <w:vAlign w:val="center"/>
          </w:tcPr>
          <w:p w:rsidR="002F1851" w:rsidRPr="00903674" w:rsidRDefault="002F1851" w:rsidP="002F1851">
            <w:pPr>
              <w:jc w:val="center"/>
              <w:rPr>
                <w:sz w:val="20"/>
                <w:szCs w:val="20"/>
              </w:rPr>
            </w:pPr>
            <w:r w:rsidRPr="00903674">
              <w:rPr>
                <w:sz w:val="20"/>
                <w:szCs w:val="20"/>
              </w:rPr>
              <w:t>717</w:t>
            </w:r>
          </w:p>
        </w:tc>
        <w:tc>
          <w:tcPr>
            <w:tcW w:w="1361" w:type="dxa"/>
            <w:tcBorders>
              <w:left w:val="nil"/>
            </w:tcBorders>
            <w:vAlign w:val="center"/>
          </w:tcPr>
          <w:p w:rsidR="002F1851" w:rsidRPr="00903674" w:rsidRDefault="002F1851" w:rsidP="002F1851">
            <w:pPr>
              <w:jc w:val="center"/>
              <w:rPr>
                <w:sz w:val="20"/>
                <w:szCs w:val="20"/>
              </w:rPr>
            </w:pPr>
            <w:r w:rsidRPr="00903674">
              <w:rPr>
                <w:sz w:val="20"/>
                <w:szCs w:val="20"/>
              </w:rPr>
              <w:t>-</w:t>
            </w:r>
          </w:p>
        </w:tc>
      </w:tr>
      <w:tr w:rsidR="002F1851" w:rsidTr="002F1851">
        <w:trPr>
          <w:trHeight w:val="205"/>
        </w:trPr>
        <w:tc>
          <w:tcPr>
            <w:tcW w:w="6345" w:type="dxa"/>
            <w:tcBorders>
              <w:bottom w:val="single" w:sz="4" w:space="0" w:color="auto"/>
            </w:tcBorders>
          </w:tcPr>
          <w:p w:rsidR="002F1851" w:rsidRPr="00903674" w:rsidRDefault="002F1851" w:rsidP="002F1851">
            <w:pPr>
              <w:rPr>
                <w:sz w:val="20"/>
                <w:szCs w:val="20"/>
              </w:rPr>
            </w:pPr>
            <w:r w:rsidRPr="00903674">
              <w:rPr>
                <w:sz w:val="20"/>
                <w:szCs w:val="20"/>
              </w:rPr>
              <w:t xml:space="preserve">CRN: TV SM Funding </w:t>
            </w:r>
            <w:r>
              <w:rPr>
                <w:sz w:val="20"/>
                <w:szCs w:val="20"/>
              </w:rPr>
              <w:t>(f</w:t>
            </w:r>
            <w:r w:rsidRPr="00903674">
              <w:rPr>
                <w:sz w:val="20"/>
                <w:szCs w:val="20"/>
              </w:rPr>
              <w:t>unding allocated each year as part of the annual CRN TV SM budget process</w:t>
            </w:r>
            <w:r>
              <w:rPr>
                <w:sz w:val="20"/>
                <w:szCs w:val="20"/>
              </w:rPr>
              <w:t>)</w:t>
            </w:r>
          </w:p>
        </w:tc>
        <w:tc>
          <w:tcPr>
            <w:tcW w:w="1171" w:type="dxa"/>
            <w:tcBorders>
              <w:bottom w:val="single" w:sz="4" w:space="0" w:color="auto"/>
              <w:right w:val="single" w:sz="4" w:space="0" w:color="auto"/>
            </w:tcBorders>
            <w:vAlign w:val="center"/>
          </w:tcPr>
          <w:p w:rsidR="002F1851" w:rsidRPr="00903674" w:rsidRDefault="002F1851" w:rsidP="002F1851">
            <w:pPr>
              <w:jc w:val="center"/>
              <w:rPr>
                <w:sz w:val="20"/>
                <w:szCs w:val="20"/>
              </w:rPr>
            </w:pPr>
            <w:r w:rsidRPr="00903674">
              <w:rPr>
                <w:sz w:val="20"/>
                <w:szCs w:val="20"/>
              </w:rPr>
              <w:t>204</w:t>
            </w:r>
          </w:p>
        </w:tc>
        <w:tc>
          <w:tcPr>
            <w:tcW w:w="1368" w:type="dxa"/>
            <w:tcBorders>
              <w:left w:val="single" w:sz="4" w:space="0" w:color="auto"/>
              <w:bottom w:val="single" w:sz="4" w:space="0" w:color="auto"/>
            </w:tcBorders>
            <w:vAlign w:val="center"/>
          </w:tcPr>
          <w:p w:rsidR="002F1851" w:rsidRPr="00903674" w:rsidRDefault="002F1851" w:rsidP="002F1851">
            <w:pPr>
              <w:jc w:val="center"/>
              <w:rPr>
                <w:sz w:val="20"/>
                <w:szCs w:val="20"/>
              </w:rPr>
            </w:pPr>
            <w:r w:rsidRPr="00903674">
              <w:rPr>
                <w:sz w:val="20"/>
                <w:szCs w:val="20"/>
              </w:rPr>
              <w:t>204</w:t>
            </w:r>
          </w:p>
        </w:tc>
        <w:tc>
          <w:tcPr>
            <w:tcW w:w="1361" w:type="dxa"/>
            <w:tcBorders>
              <w:left w:val="nil"/>
              <w:bottom w:val="single" w:sz="4" w:space="0" w:color="auto"/>
            </w:tcBorders>
            <w:vAlign w:val="center"/>
          </w:tcPr>
          <w:p w:rsidR="002F1851" w:rsidRPr="00903674" w:rsidRDefault="002F1851" w:rsidP="002F1851">
            <w:pPr>
              <w:jc w:val="center"/>
              <w:rPr>
                <w:sz w:val="20"/>
                <w:szCs w:val="20"/>
              </w:rPr>
            </w:pPr>
            <w:r w:rsidRPr="00903674">
              <w:rPr>
                <w:sz w:val="20"/>
                <w:szCs w:val="20"/>
              </w:rPr>
              <w:t>-</w:t>
            </w:r>
          </w:p>
        </w:tc>
      </w:tr>
      <w:tr w:rsidR="002F1851" w:rsidRPr="00C27D45" w:rsidTr="002F1851">
        <w:trPr>
          <w:trHeight w:val="205"/>
        </w:trPr>
        <w:tc>
          <w:tcPr>
            <w:tcW w:w="6345" w:type="dxa"/>
            <w:tcBorders>
              <w:bottom w:val="nil"/>
            </w:tcBorders>
          </w:tcPr>
          <w:p w:rsidR="002F1851" w:rsidRPr="00903674" w:rsidRDefault="002F1851" w:rsidP="002F1851">
            <w:pPr>
              <w:spacing w:before="120"/>
              <w:rPr>
                <w:rFonts w:cs="Arial"/>
                <w:b/>
                <w:sz w:val="20"/>
                <w:szCs w:val="20"/>
                <w:lang w:eastAsia="en-GB"/>
              </w:rPr>
            </w:pPr>
            <w:r w:rsidRPr="00903674">
              <w:rPr>
                <w:b/>
                <w:sz w:val="20"/>
                <w:szCs w:val="20"/>
              </w:rPr>
              <w:t xml:space="preserve">Non-NIHR </w:t>
            </w:r>
            <w:r>
              <w:rPr>
                <w:b/>
                <w:sz w:val="20"/>
                <w:szCs w:val="20"/>
              </w:rPr>
              <w:t xml:space="preserve">Study </w:t>
            </w:r>
            <w:r w:rsidRPr="00903674">
              <w:rPr>
                <w:b/>
                <w:sz w:val="20"/>
                <w:szCs w:val="20"/>
              </w:rPr>
              <w:t>Income</w:t>
            </w:r>
          </w:p>
        </w:tc>
        <w:tc>
          <w:tcPr>
            <w:tcW w:w="1171" w:type="dxa"/>
            <w:tcBorders>
              <w:bottom w:val="nil"/>
              <w:right w:val="single" w:sz="4" w:space="0" w:color="auto"/>
            </w:tcBorders>
            <w:vAlign w:val="center"/>
          </w:tcPr>
          <w:p w:rsidR="002F1851" w:rsidRPr="00903674" w:rsidRDefault="002F1851" w:rsidP="002F1851">
            <w:pPr>
              <w:spacing w:before="120"/>
              <w:jc w:val="center"/>
              <w:rPr>
                <w:b/>
                <w:sz w:val="20"/>
                <w:szCs w:val="20"/>
              </w:rPr>
            </w:pPr>
          </w:p>
        </w:tc>
        <w:tc>
          <w:tcPr>
            <w:tcW w:w="1368" w:type="dxa"/>
            <w:tcBorders>
              <w:left w:val="single" w:sz="4" w:space="0" w:color="auto"/>
              <w:bottom w:val="nil"/>
            </w:tcBorders>
            <w:vAlign w:val="center"/>
          </w:tcPr>
          <w:p w:rsidR="002F1851" w:rsidRPr="00903674" w:rsidRDefault="002F1851" w:rsidP="002F1851">
            <w:pPr>
              <w:spacing w:before="120"/>
              <w:jc w:val="center"/>
              <w:rPr>
                <w:b/>
                <w:sz w:val="20"/>
                <w:szCs w:val="20"/>
              </w:rPr>
            </w:pPr>
          </w:p>
        </w:tc>
        <w:tc>
          <w:tcPr>
            <w:tcW w:w="1361" w:type="dxa"/>
            <w:tcBorders>
              <w:left w:val="nil"/>
              <w:bottom w:val="nil"/>
            </w:tcBorders>
            <w:vAlign w:val="center"/>
          </w:tcPr>
          <w:p w:rsidR="002F1851" w:rsidRPr="00903674" w:rsidRDefault="002F1851" w:rsidP="002F1851">
            <w:pPr>
              <w:spacing w:before="120"/>
              <w:jc w:val="center"/>
              <w:rPr>
                <w:b/>
                <w:sz w:val="20"/>
                <w:szCs w:val="20"/>
              </w:rPr>
            </w:pPr>
          </w:p>
        </w:tc>
      </w:tr>
      <w:tr w:rsidR="002F1851" w:rsidTr="002F1851">
        <w:trPr>
          <w:trHeight w:val="1436"/>
        </w:trPr>
        <w:tc>
          <w:tcPr>
            <w:tcW w:w="6345" w:type="dxa"/>
            <w:tcBorders>
              <w:top w:val="nil"/>
              <w:bottom w:val="nil"/>
            </w:tcBorders>
          </w:tcPr>
          <w:p w:rsidR="002F1851" w:rsidRPr="00903674" w:rsidRDefault="002F1851" w:rsidP="00765972">
            <w:pPr>
              <w:pStyle w:val="ListParagraph"/>
              <w:numPr>
                <w:ilvl w:val="0"/>
                <w:numId w:val="4"/>
              </w:numPr>
              <w:spacing w:before="0" w:after="0"/>
              <w:contextualSpacing/>
              <w:jc w:val="left"/>
              <w:rPr>
                <w:sz w:val="20"/>
                <w:szCs w:val="20"/>
              </w:rPr>
            </w:pPr>
            <w:r w:rsidRPr="00903674">
              <w:rPr>
                <w:sz w:val="20"/>
                <w:szCs w:val="20"/>
              </w:rPr>
              <w:t xml:space="preserve">Roche </w:t>
            </w:r>
          </w:p>
          <w:p w:rsidR="002F1851" w:rsidRPr="00903674" w:rsidRDefault="002F1851" w:rsidP="00765972">
            <w:pPr>
              <w:pStyle w:val="ListParagraph"/>
              <w:numPr>
                <w:ilvl w:val="0"/>
                <w:numId w:val="4"/>
              </w:numPr>
              <w:spacing w:before="0" w:after="0"/>
              <w:contextualSpacing/>
              <w:jc w:val="left"/>
              <w:rPr>
                <w:sz w:val="20"/>
                <w:szCs w:val="20"/>
              </w:rPr>
            </w:pPr>
            <w:r w:rsidRPr="00903674">
              <w:rPr>
                <w:sz w:val="20"/>
                <w:szCs w:val="20"/>
              </w:rPr>
              <w:t>Lundbeck</w:t>
            </w:r>
          </w:p>
          <w:p w:rsidR="002F1851" w:rsidRPr="00903674" w:rsidRDefault="002F1851" w:rsidP="00765972">
            <w:pPr>
              <w:pStyle w:val="ListParagraph"/>
              <w:numPr>
                <w:ilvl w:val="0"/>
                <w:numId w:val="4"/>
              </w:numPr>
              <w:spacing w:before="0" w:after="0"/>
              <w:contextualSpacing/>
              <w:jc w:val="left"/>
              <w:rPr>
                <w:sz w:val="20"/>
                <w:szCs w:val="20"/>
              </w:rPr>
            </w:pPr>
            <w:r w:rsidRPr="00903674">
              <w:rPr>
                <w:sz w:val="20"/>
                <w:szCs w:val="20"/>
              </w:rPr>
              <w:t>Abbvie</w:t>
            </w:r>
          </w:p>
          <w:p w:rsidR="002F1851" w:rsidRPr="00903674" w:rsidRDefault="002F1851" w:rsidP="00765972">
            <w:pPr>
              <w:pStyle w:val="ListParagraph"/>
              <w:numPr>
                <w:ilvl w:val="0"/>
                <w:numId w:val="4"/>
              </w:numPr>
              <w:spacing w:before="0" w:after="0"/>
              <w:contextualSpacing/>
              <w:jc w:val="left"/>
              <w:rPr>
                <w:sz w:val="20"/>
                <w:szCs w:val="20"/>
              </w:rPr>
            </w:pPr>
            <w:r w:rsidRPr="00903674">
              <w:rPr>
                <w:sz w:val="20"/>
                <w:szCs w:val="20"/>
              </w:rPr>
              <w:t>StemBancc</w:t>
            </w:r>
          </w:p>
          <w:p w:rsidR="002F1851" w:rsidRPr="00903674" w:rsidRDefault="002F1851" w:rsidP="00765972">
            <w:pPr>
              <w:pStyle w:val="ListParagraph"/>
              <w:numPr>
                <w:ilvl w:val="0"/>
                <w:numId w:val="4"/>
              </w:numPr>
              <w:spacing w:before="0" w:after="0"/>
              <w:contextualSpacing/>
              <w:jc w:val="left"/>
              <w:rPr>
                <w:sz w:val="20"/>
                <w:szCs w:val="20"/>
              </w:rPr>
            </w:pPr>
            <w:r w:rsidRPr="00903674">
              <w:rPr>
                <w:sz w:val="20"/>
                <w:szCs w:val="20"/>
              </w:rPr>
              <w:t>Tak</w:t>
            </w:r>
          </w:p>
          <w:p w:rsidR="002F1851" w:rsidRPr="00903674" w:rsidRDefault="002F1851" w:rsidP="00765972">
            <w:pPr>
              <w:pStyle w:val="ListParagraph"/>
              <w:numPr>
                <w:ilvl w:val="0"/>
                <w:numId w:val="4"/>
              </w:numPr>
              <w:spacing w:before="0" w:after="0"/>
              <w:contextualSpacing/>
              <w:jc w:val="left"/>
              <w:rPr>
                <w:sz w:val="20"/>
                <w:szCs w:val="20"/>
              </w:rPr>
            </w:pPr>
            <w:r w:rsidRPr="00903674">
              <w:rPr>
                <w:sz w:val="20"/>
                <w:szCs w:val="20"/>
              </w:rPr>
              <w:t>Sunovion</w:t>
            </w:r>
          </w:p>
          <w:p w:rsidR="002F1851" w:rsidRPr="00903674" w:rsidRDefault="002F1851" w:rsidP="00765972">
            <w:pPr>
              <w:pStyle w:val="ListParagraph"/>
              <w:numPr>
                <w:ilvl w:val="0"/>
                <w:numId w:val="4"/>
              </w:numPr>
              <w:spacing w:before="0" w:after="0"/>
              <w:contextualSpacing/>
              <w:jc w:val="left"/>
              <w:rPr>
                <w:sz w:val="20"/>
                <w:szCs w:val="20"/>
              </w:rPr>
            </w:pPr>
            <w:r w:rsidRPr="00903674">
              <w:rPr>
                <w:sz w:val="20"/>
                <w:szCs w:val="20"/>
              </w:rPr>
              <w:t>Actions</w:t>
            </w:r>
          </w:p>
        </w:tc>
        <w:tc>
          <w:tcPr>
            <w:tcW w:w="1171" w:type="dxa"/>
            <w:tcBorders>
              <w:top w:val="nil"/>
              <w:bottom w:val="nil"/>
              <w:right w:val="single" w:sz="4" w:space="0" w:color="auto"/>
            </w:tcBorders>
            <w:vAlign w:val="center"/>
          </w:tcPr>
          <w:p w:rsidR="002F1851" w:rsidRPr="00903674" w:rsidRDefault="002F1851" w:rsidP="002F1851">
            <w:pPr>
              <w:jc w:val="center"/>
              <w:rPr>
                <w:sz w:val="20"/>
                <w:szCs w:val="20"/>
              </w:rPr>
            </w:pPr>
          </w:p>
        </w:tc>
        <w:tc>
          <w:tcPr>
            <w:tcW w:w="1368" w:type="dxa"/>
            <w:tcBorders>
              <w:top w:val="nil"/>
              <w:left w:val="single" w:sz="4" w:space="0" w:color="auto"/>
              <w:bottom w:val="nil"/>
            </w:tcBorders>
            <w:vAlign w:val="center"/>
          </w:tcPr>
          <w:p w:rsidR="002F1851" w:rsidRPr="00903674" w:rsidRDefault="002F1851" w:rsidP="002F1851">
            <w:pPr>
              <w:jc w:val="center"/>
              <w:rPr>
                <w:sz w:val="20"/>
                <w:szCs w:val="20"/>
              </w:rPr>
            </w:pPr>
          </w:p>
        </w:tc>
        <w:tc>
          <w:tcPr>
            <w:tcW w:w="1361" w:type="dxa"/>
            <w:tcBorders>
              <w:top w:val="nil"/>
              <w:left w:val="nil"/>
              <w:bottom w:val="nil"/>
            </w:tcBorders>
            <w:vAlign w:val="center"/>
          </w:tcPr>
          <w:p w:rsidR="002F1851" w:rsidRPr="00903674" w:rsidRDefault="002F1851" w:rsidP="002F1851">
            <w:pPr>
              <w:jc w:val="center"/>
              <w:rPr>
                <w:sz w:val="20"/>
                <w:szCs w:val="20"/>
              </w:rPr>
            </w:pPr>
          </w:p>
        </w:tc>
      </w:tr>
      <w:tr w:rsidR="002F1851" w:rsidTr="002F1851">
        <w:trPr>
          <w:trHeight w:val="205"/>
        </w:trPr>
        <w:tc>
          <w:tcPr>
            <w:tcW w:w="6345" w:type="dxa"/>
            <w:tcBorders>
              <w:top w:val="nil"/>
            </w:tcBorders>
          </w:tcPr>
          <w:p w:rsidR="002F1851" w:rsidRPr="00903674" w:rsidRDefault="002F1851" w:rsidP="002F1851">
            <w:pPr>
              <w:spacing w:after="0"/>
              <w:rPr>
                <w:b/>
                <w:sz w:val="20"/>
                <w:szCs w:val="20"/>
              </w:rPr>
            </w:pPr>
            <w:r w:rsidRPr="00903674">
              <w:rPr>
                <w:b/>
                <w:sz w:val="20"/>
                <w:szCs w:val="20"/>
              </w:rPr>
              <w:t>Total Non-NIHR income</w:t>
            </w:r>
          </w:p>
        </w:tc>
        <w:tc>
          <w:tcPr>
            <w:tcW w:w="1171" w:type="dxa"/>
            <w:tcBorders>
              <w:top w:val="nil"/>
              <w:right w:val="single" w:sz="4" w:space="0" w:color="auto"/>
            </w:tcBorders>
            <w:vAlign w:val="center"/>
          </w:tcPr>
          <w:p w:rsidR="002F1851" w:rsidRPr="00903674" w:rsidRDefault="002F1851" w:rsidP="002F1851">
            <w:pPr>
              <w:spacing w:after="0"/>
              <w:jc w:val="center"/>
              <w:rPr>
                <w:b/>
                <w:sz w:val="20"/>
                <w:szCs w:val="20"/>
              </w:rPr>
            </w:pPr>
            <w:r w:rsidRPr="00903674">
              <w:rPr>
                <w:b/>
                <w:sz w:val="20"/>
                <w:szCs w:val="20"/>
              </w:rPr>
              <w:t>92</w:t>
            </w:r>
          </w:p>
        </w:tc>
        <w:tc>
          <w:tcPr>
            <w:tcW w:w="1368" w:type="dxa"/>
            <w:tcBorders>
              <w:top w:val="nil"/>
              <w:left w:val="single" w:sz="4" w:space="0" w:color="auto"/>
            </w:tcBorders>
            <w:vAlign w:val="center"/>
          </w:tcPr>
          <w:p w:rsidR="002F1851" w:rsidRPr="00903674" w:rsidRDefault="002F1851" w:rsidP="002F1851">
            <w:pPr>
              <w:spacing w:after="0"/>
              <w:jc w:val="center"/>
              <w:rPr>
                <w:b/>
                <w:sz w:val="20"/>
                <w:szCs w:val="20"/>
              </w:rPr>
            </w:pPr>
            <w:r w:rsidRPr="00903674">
              <w:rPr>
                <w:b/>
                <w:sz w:val="20"/>
                <w:szCs w:val="20"/>
              </w:rPr>
              <w:t>167</w:t>
            </w:r>
          </w:p>
        </w:tc>
        <w:tc>
          <w:tcPr>
            <w:tcW w:w="1361" w:type="dxa"/>
            <w:tcBorders>
              <w:top w:val="nil"/>
              <w:left w:val="nil"/>
            </w:tcBorders>
            <w:vAlign w:val="center"/>
          </w:tcPr>
          <w:p w:rsidR="002F1851" w:rsidRPr="00903674" w:rsidRDefault="002F1851" w:rsidP="002F1851">
            <w:pPr>
              <w:spacing w:after="0"/>
              <w:jc w:val="center"/>
              <w:rPr>
                <w:b/>
                <w:sz w:val="20"/>
                <w:szCs w:val="20"/>
              </w:rPr>
            </w:pPr>
            <w:r w:rsidRPr="00903674">
              <w:rPr>
                <w:b/>
                <w:sz w:val="20"/>
                <w:szCs w:val="20"/>
              </w:rPr>
              <w:t>75</w:t>
            </w:r>
          </w:p>
        </w:tc>
      </w:tr>
      <w:tr w:rsidR="002F1851" w:rsidTr="009A591A">
        <w:trPr>
          <w:trHeight w:val="205"/>
        </w:trPr>
        <w:tc>
          <w:tcPr>
            <w:tcW w:w="6345" w:type="dxa"/>
            <w:shd w:val="clear" w:color="auto" w:fill="8DB3E2" w:themeFill="text2" w:themeFillTint="66"/>
          </w:tcPr>
          <w:p w:rsidR="002F1851" w:rsidRPr="00903674" w:rsidRDefault="002F1851" w:rsidP="002F1851">
            <w:pPr>
              <w:spacing w:before="120" w:after="120"/>
              <w:rPr>
                <w:b/>
                <w:sz w:val="20"/>
                <w:szCs w:val="20"/>
              </w:rPr>
            </w:pPr>
            <w:r w:rsidRPr="00903674">
              <w:rPr>
                <w:b/>
                <w:sz w:val="20"/>
                <w:szCs w:val="20"/>
              </w:rPr>
              <w:t>Total Income</w:t>
            </w:r>
          </w:p>
        </w:tc>
        <w:tc>
          <w:tcPr>
            <w:tcW w:w="1171" w:type="dxa"/>
            <w:tcBorders>
              <w:right w:val="single" w:sz="4" w:space="0" w:color="auto"/>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1,013</w:t>
            </w:r>
          </w:p>
        </w:tc>
        <w:tc>
          <w:tcPr>
            <w:tcW w:w="1368" w:type="dxa"/>
            <w:tcBorders>
              <w:left w:val="single" w:sz="4" w:space="0" w:color="auto"/>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1,088</w:t>
            </w:r>
          </w:p>
        </w:tc>
        <w:tc>
          <w:tcPr>
            <w:tcW w:w="1361" w:type="dxa"/>
            <w:tcBorders>
              <w:left w:val="nil"/>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75</w:t>
            </w:r>
          </w:p>
        </w:tc>
      </w:tr>
      <w:tr w:rsidR="002F1851" w:rsidTr="009A591A">
        <w:trPr>
          <w:trHeight w:val="205"/>
        </w:trPr>
        <w:tc>
          <w:tcPr>
            <w:tcW w:w="6345" w:type="dxa"/>
            <w:shd w:val="clear" w:color="auto" w:fill="8DB3E2" w:themeFill="text2" w:themeFillTint="66"/>
          </w:tcPr>
          <w:p w:rsidR="002F1851" w:rsidRPr="00903674" w:rsidRDefault="002F1851" w:rsidP="002F1851">
            <w:pPr>
              <w:spacing w:before="120" w:after="120"/>
              <w:rPr>
                <w:b/>
                <w:sz w:val="20"/>
                <w:szCs w:val="20"/>
              </w:rPr>
            </w:pPr>
            <w:r w:rsidRPr="00903674">
              <w:rPr>
                <w:b/>
                <w:sz w:val="20"/>
                <w:szCs w:val="20"/>
              </w:rPr>
              <w:t>Contribution to overheads</w:t>
            </w:r>
          </w:p>
        </w:tc>
        <w:tc>
          <w:tcPr>
            <w:tcW w:w="1171" w:type="dxa"/>
            <w:tcBorders>
              <w:right w:val="single" w:sz="4" w:space="0" w:color="auto"/>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59</w:t>
            </w:r>
          </w:p>
        </w:tc>
        <w:tc>
          <w:tcPr>
            <w:tcW w:w="1368" w:type="dxa"/>
            <w:tcBorders>
              <w:left w:val="single" w:sz="4" w:space="0" w:color="auto"/>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134</w:t>
            </w:r>
          </w:p>
        </w:tc>
        <w:tc>
          <w:tcPr>
            <w:tcW w:w="1361" w:type="dxa"/>
            <w:tcBorders>
              <w:left w:val="nil"/>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75</w:t>
            </w:r>
          </w:p>
        </w:tc>
      </w:tr>
      <w:tr w:rsidR="002F1851" w:rsidTr="009A591A">
        <w:trPr>
          <w:trHeight w:val="205"/>
        </w:trPr>
        <w:tc>
          <w:tcPr>
            <w:tcW w:w="6345" w:type="dxa"/>
            <w:shd w:val="clear" w:color="auto" w:fill="8DB3E2" w:themeFill="text2" w:themeFillTint="66"/>
          </w:tcPr>
          <w:p w:rsidR="002F1851" w:rsidRPr="00903674" w:rsidRDefault="002F1851" w:rsidP="002F1851">
            <w:pPr>
              <w:spacing w:before="120" w:after="120"/>
              <w:rPr>
                <w:b/>
                <w:sz w:val="20"/>
                <w:szCs w:val="20"/>
              </w:rPr>
            </w:pPr>
            <w:r w:rsidRPr="00903674">
              <w:rPr>
                <w:b/>
                <w:sz w:val="20"/>
                <w:szCs w:val="20"/>
              </w:rPr>
              <w:t>Margin after recover of</w:t>
            </w:r>
            <w:r>
              <w:rPr>
                <w:b/>
                <w:sz w:val="20"/>
                <w:szCs w:val="20"/>
              </w:rPr>
              <w:t xml:space="preserve"> CRF </w:t>
            </w:r>
            <w:r w:rsidRPr="00903674">
              <w:rPr>
                <w:b/>
                <w:sz w:val="20"/>
                <w:szCs w:val="20"/>
              </w:rPr>
              <w:t xml:space="preserve">Accommodation and Finance Costs </w:t>
            </w:r>
          </w:p>
        </w:tc>
        <w:tc>
          <w:tcPr>
            <w:tcW w:w="1171" w:type="dxa"/>
            <w:tcBorders>
              <w:right w:val="single" w:sz="4" w:space="0" w:color="auto"/>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6%</w:t>
            </w:r>
          </w:p>
        </w:tc>
        <w:tc>
          <w:tcPr>
            <w:tcW w:w="1368" w:type="dxa"/>
            <w:tcBorders>
              <w:left w:val="single" w:sz="4" w:space="0" w:color="auto"/>
            </w:tcBorders>
            <w:shd w:val="clear" w:color="auto" w:fill="8DB3E2" w:themeFill="text2" w:themeFillTint="66"/>
            <w:vAlign w:val="center"/>
          </w:tcPr>
          <w:p w:rsidR="002F1851" w:rsidRPr="00903674" w:rsidRDefault="002F1851" w:rsidP="002F1851">
            <w:pPr>
              <w:spacing w:before="120" w:after="120"/>
              <w:jc w:val="center"/>
              <w:rPr>
                <w:b/>
                <w:sz w:val="20"/>
                <w:szCs w:val="20"/>
              </w:rPr>
            </w:pPr>
            <w:r w:rsidRPr="00903674">
              <w:rPr>
                <w:b/>
                <w:sz w:val="20"/>
                <w:szCs w:val="20"/>
              </w:rPr>
              <w:t>12%</w:t>
            </w:r>
          </w:p>
        </w:tc>
        <w:tc>
          <w:tcPr>
            <w:tcW w:w="1361" w:type="dxa"/>
            <w:tcBorders>
              <w:left w:val="nil"/>
            </w:tcBorders>
            <w:shd w:val="clear" w:color="auto" w:fill="8DB3E2" w:themeFill="text2" w:themeFillTint="66"/>
            <w:vAlign w:val="center"/>
          </w:tcPr>
          <w:p w:rsidR="002F1851" w:rsidRPr="00903674" w:rsidRDefault="002F1851" w:rsidP="002F1851">
            <w:pPr>
              <w:spacing w:before="120" w:after="120"/>
              <w:jc w:val="center"/>
              <w:rPr>
                <w:b/>
                <w:sz w:val="20"/>
                <w:szCs w:val="20"/>
              </w:rPr>
            </w:pPr>
          </w:p>
        </w:tc>
      </w:tr>
    </w:tbl>
    <w:p w:rsidR="002F1851" w:rsidRPr="00B76764" w:rsidRDefault="002F1851" w:rsidP="002F1851">
      <w:r w:rsidRPr="00C223D9">
        <w:t>Commercial price negotiations involve the Head of R&amp;D and the Head of R&amp;D Finance with the final sign-off governed by authorisation limits agreed by the Director of Finance</w:t>
      </w:r>
      <w:r>
        <w:t>.</w:t>
      </w:r>
    </w:p>
    <w:p w:rsidR="002F1851" w:rsidRPr="002F1851" w:rsidRDefault="002F1851" w:rsidP="002F1851">
      <w:pPr>
        <w:pStyle w:val="Heading2"/>
      </w:pPr>
      <w:r w:rsidRPr="002F1851">
        <w:t>Non-NIHR Research Study Income</w:t>
      </w:r>
    </w:p>
    <w:p w:rsidR="002F1851" w:rsidRDefault="002F1851" w:rsidP="002F1851">
      <w:r>
        <w:t>The table below shows research income reported from non-NIHR studies ongoing in the first 7 months of FY15.</w:t>
      </w:r>
      <w:r w:rsidRPr="00C60A2E">
        <w:rPr>
          <w:sz w:val="22"/>
          <w:szCs w:val="22"/>
        </w:rPr>
        <w:t xml:space="preserve"> </w:t>
      </w:r>
    </w:p>
    <w:tbl>
      <w:tblPr>
        <w:tblW w:w="9640" w:type="dxa"/>
        <w:tblInd w:w="-34" w:type="dxa"/>
        <w:tblLook w:val="04A0" w:firstRow="1" w:lastRow="0" w:firstColumn="1" w:lastColumn="0" w:noHBand="0" w:noVBand="1"/>
      </w:tblPr>
      <w:tblGrid>
        <w:gridCol w:w="5671"/>
        <w:gridCol w:w="1984"/>
        <w:gridCol w:w="702"/>
        <w:gridCol w:w="1283"/>
      </w:tblGrid>
      <w:tr w:rsidR="002F1851" w:rsidRPr="003F445B" w:rsidTr="009A591A">
        <w:trPr>
          <w:trHeight w:val="511"/>
        </w:trPr>
        <w:tc>
          <w:tcPr>
            <w:tcW w:w="56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2F1851" w:rsidRPr="003B7C0D" w:rsidRDefault="002F1851" w:rsidP="002F1851">
            <w:pPr>
              <w:spacing w:before="0" w:after="0"/>
              <w:jc w:val="center"/>
              <w:rPr>
                <w:rFonts w:cs="Arial"/>
                <w:b/>
                <w:bCs/>
                <w:color w:val="000000"/>
                <w:sz w:val="18"/>
                <w:szCs w:val="18"/>
                <w:lang w:val="en-GB" w:eastAsia="en-GB"/>
              </w:rPr>
            </w:pPr>
            <w:r w:rsidRPr="003B7C0D">
              <w:rPr>
                <w:rFonts w:cs="Arial"/>
                <w:b/>
                <w:bCs/>
                <w:color w:val="000000"/>
                <w:sz w:val="18"/>
                <w:szCs w:val="18"/>
                <w:lang w:val="en-GB" w:eastAsia="en-GB"/>
              </w:rPr>
              <w:t>Study</w:t>
            </w:r>
          </w:p>
        </w:tc>
        <w:tc>
          <w:tcPr>
            <w:tcW w:w="198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2F1851" w:rsidRPr="003B7C0D" w:rsidRDefault="002F1851" w:rsidP="002F1851">
            <w:pPr>
              <w:spacing w:before="0" w:after="0"/>
              <w:jc w:val="center"/>
              <w:rPr>
                <w:rFonts w:cs="Arial"/>
                <w:b/>
                <w:bCs/>
                <w:color w:val="000000"/>
                <w:sz w:val="18"/>
                <w:szCs w:val="18"/>
                <w:lang w:val="en-GB" w:eastAsia="en-GB"/>
              </w:rPr>
            </w:pPr>
            <w:r w:rsidRPr="003B7C0D">
              <w:rPr>
                <w:rFonts w:cs="Arial"/>
                <w:b/>
                <w:bCs/>
                <w:color w:val="000000"/>
                <w:sz w:val="18"/>
                <w:szCs w:val="18"/>
                <w:lang w:val="en-GB" w:eastAsia="en-GB"/>
              </w:rPr>
              <w:t>Sponsor/Clinical Research Organisation</w:t>
            </w:r>
          </w:p>
        </w:tc>
        <w:tc>
          <w:tcPr>
            <w:tcW w:w="702" w:type="dxa"/>
            <w:tcBorders>
              <w:top w:val="single" w:sz="4" w:space="0" w:color="auto"/>
              <w:left w:val="nil"/>
              <w:bottom w:val="single" w:sz="4" w:space="0" w:color="auto"/>
              <w:right w:val="single" w:sz="4" w:space="0" w:color="auto"/>
            </w:tcBorders>
            <w:shd w:val="clear" w:color="auto" w:fill="8DB3E2" w:themeFill="text2" w:themeFillTint="66"/>
            <w:vAlign w:val="center"/>
          </w:tcPr>
          <w:p w:rsidR="002F1851" w:rsidRPr="003B7C0D" w:rsidRDefault="002F1851" w:rsidP="002F1851">
            <w:pPr>
              <w:spacing w:before="0" w:after="0"/>
              <w:jc w:val="center"/>
              <w:rPr>
                <w:rFonts w:cs="Arial"/>
                <w:b/>
                <w:bCs/>
                <w:color w:val="000000"/>
                <w:sz w:val="18"/>
                <w:szCs w:val="18"/>
                <w:lang w:val="en-GB" w:eastAsia="en-GB"/>
              </w:rPr>
            </w:pPr>
            <w:r w:rsidRPr="003B7C0D">
              <w:rPr>
                <w:rFonts w:cs="Arial"/>
                <w:b/>
                <w:bCs/>
                <w:color w:val="000000"/>
                <w:sz w:val="18"/>
                <w:szCs w:val="18"/>
                <w:lang w:val="en-GB" w:eastAsia="en-GB"/>
              </w:rPr>
              <w:t>£k</w:t>
            </w:r>
          </w:p>
        </w:tc>
        <w:tc>
          <w:tcPr>
            <w:tcW w:w="1283" w:type="dxa"/>
            <w:tcBorders>
              <w:top w:val="single" w:sz="4" w:space="0" w:color="auto"/>
              <w:left w:val="nil"/>
              <w:bottom w:val="single" w:sz="4" w:space="0" w:color="auto"/>
              <w:right w:val="single" w:sz="4" w:space="0" w:color="auto"/>
            </w:tcBorders>
            <w:shd w:val="clear" w:color="auto" w:fill="8DB3E2" w:themeFill="text2" w:themeFillTint="66"/>
          </w:tcPr>
          <w:p w:rsidR="002F1851" w:rsidRPr="003B7C0D" w:rsidRDefault="002F1851" w:rsidP="002F1851">
            <w:pPr>
              <w:spacing w:before="0" w:after="0"/>
              <w:jc w:val="center"/>
              <w:rPr>
                <w:rFonts w:cs="Arial"/>
                <w:b/>
                <w:bCs/>
                <w:color w:val="000000"/>
                <w:sz w:val="18"/>
                <w:szCs w:val="18"/>
                <w:lang w:val="en-GB" w:eastAsia="en-GB"/>
              </w:rPr>
            </w:pPr>
            <w:r>
              <w:rPr>
                <w:rFonts w:cs="Arial"/>
                <w:b/>
                <w:bCs/>
                <w:color w:val="000000"/>
                <w:sz w:val="18"/>
                <w:szCs w:val="18"/>
                <w:lang w:val="en-GB" w:eastAsia="en-GB"/>
              </w:rPr>
              <w:t>Funding</w:t>
            </w:r>
          </w:p>
        </w:tc>
      </w:tr>
      <w:tr w:rsidR="002F1851" w:rsidRPr="003F445B" w:rsidTr="002F1851">
        <w:trPr>
          <w:trHeight w:val="810"/>
        </w:trPr>
        <w:tc>
          <w:tcPr>
            <w:tcW w:w="5671" w:type="dxa"/>
            <w:tcBorders>
              <w:top w:val="nil"/>
              <w:left w:val="single" w:sz="4" w:space="0" w:color="auto"/>
              <w:bottom w:val="single" w:sz="4" w:space="0" w:color="auto"/>
              <w:right w:val="single" w:sz="4" w:space="0" w:color="auto"/>
            </w:tcBorders>
            <w:shd w:val="clear" w:color="auto" w:fill="auto"/>
            <w:vAlign w:val="center"/>
          </w:tcPr>
          <w:p w:rsidR="002F1851" w:rsidRPr="004E1342" w:rsidRDefault="009A591A" w:rsidP="002F1851">
            <w:pPr>
              <w:jc w:val="left"/>
              <w:rPr>
                <w:rFonts w:cs="Arial"/>
                <w:color w:val="000000"/>
                <w:sz w:val="18"/>
                <w:szCs w:val="18"/>
                <w:highlight w:val="yellow"/>
                <w:lang w:val="en-GB" w:eastAsia="en-GB"/>
              </w:rPr>
            </w:pPr>
            <w:r w:rsidRPr="001D75F8">
              <w:rPr>
                <w:rFonts w:cs="Arial"/>
                <w:sz w:val="18"/>
                <w:szCs w:val="18"/>
              </w:rPr>
              <w:t>FLASHYLYTE RO4917838 in stable patients with persistent, predominant negative symptoms of schizophrenia treated with antipsychotics - Protocol No. NN25310</w:t>
            </w:r>
          </w:p>
        </w:tc>
        <w:tc>
          <w:tcPr>
            <w:tcW w:w="1984" w:type="dxa"/>
            <w:tcBorders>
              <w:top w:val="nil"/>
              <w:left w:val="nil"/>
              <w:bottom w:val="single" w:sz="4" w:space="0" w:color="auto"/>
              <w:right w:val="single" w:sz="4" w:space="0" w:color="auto"/>
            </w:tcBorders>
            <w:shd w:val="clear" w:color="auto" w:fill="auto"/>
            <w:vAlign w:val="center"/>
            <w:hideMark/>
          </w:tcPr>
          <w:p w:rsidR="002F1851" w:rsidRPr="003B7C0D" w:rsidRDefault="002F1851" w:rsidP="002F1851">
            <w:pPr>
              <w:spacing w:before="0" w:after="0"/>
              <w:jc w:val="center"/>
              <w:rPr>
                <w:rFonts w:cs="Arial"/>
                <w:color w:val="000000"/>
                <w:sz w:val="18"/>
                <w:szCs w:val="18"/>
                <w:lang w:val="en-GB" w:eastAsia="en-GB"/>
              </w:rPr>
            </w:pPr>
            <w:r w:rsidRPr="003B7C0D">
              <w:rPr>
                <w:rFonts w:cs="Arial"/>
                <w:color w:val="000000"/>
                <w:sz w:val="18"/>
                <w:szCs w:val="18"/>
                <w:lang w:val="en-GB" w:eastAsia="en-GB"/>
              </w:rPr>
              <w:t xml:space="preserve">Roche </w:t>
            </w:r>
          </w:p>
        </w:tc>
        <w:tc>
          <w:tcPr>
            <w:tcW w:w="702" w:type="dxa"/>
            <w:tcBorders>
              <w:top w:val="single" w:sz="4" w:space="0" w:color="auto"/>
              <w:left w:val="nil"/>
              <w:bottom w:val="single" w:sz="4" w:space="0" w:color="auto"/>
              <w:right w:val="single" w:sz="4" w:space="0" w:color="auto"/>
            </w:tcBorders>
            <w:vAlign w:val="center"/>
          </w:tcPr>
          <w:p w:rsidR="002F1851" w:rsidRPr="003B7C0D" w:rsidRDefault="002F1851" w:rsidP="002F1851">
            <w:pPr>
              <w:spacing w:before="0" w:after="0"/>
              <w:jc w:val="center"/>
              <w:rPr>
                <w:rFonts w:cs="Arial"/>
                <w:color w:val="000000"/>
                <w:sz w:val="18"/>
                <w:szCs w:val="18"/>
                <w:lang w:val="en-GB" w:eastAsia="en-GB"/>
              </w:rPr>
            </w:pPr>
            <w:r>
              <w:rPr>
                <w:rFonts w:cs="Arial"/>
                <w:color w:val="000000"/>
                <w:sz w:val="18"/>
                <w:szCs w:val="18"/>
                <w:lang w:val="en-GB" w:eastAsia="en-GB"/>
              </w:rPr>
              <w:t>22</w:t>
            </w:r>
          </w:p>
        </w:tc>
        <w:tc>
          <w:tcPr>
            <w:tcW w:w="1283" w:type="dxa"/>
            <w:tcBorders>
              <w:top w:val="single" w:sz="4" w:space="0" w:color="auto"/>
              <w:left w:val="nil"/>
              <w:bottom w:val="single" w:sz="4" w:space="0" w:color="auto"/>
              <w:right w:val="single" w:sz="4" w:space="0" w:color="auto"/>
            </w:tcBorders>
            <w:vAlign w:val="center"/>
          </w:tcPr>
          <w:p w:rsidR="002F1851" w:rsidRPr="003B7C0D" w:rsidRDefault="002F1851" w:rsidP="002F1851">
            <w:pPr>
              <w:spacing w:before="100" w:beforeAutospacing="1" w:after="0"/>
              <w:jc w:val="center"/>
              <w:rPr>
                <w:rFonts w:cs="Arial"/>
                <w:color w:val="000000"/>
                <w:sz w:val="18"/>
                <w:szCs w:val="18"/>
                <w:lang w:val="en-GB" w:eastAsia="en-GB"/>
              </w:rPr>
            </w:pPr>
            <w:r w:rsidRPr="003B7C0D">
              <w:rPr>
                <w:rFonts w:cs="Arial"/>
                <w:color w:val="000000"/>
                <w:sz w:val="18"/>
                <w:szCs w:val="18"/>
              </w:rPr>
              <w:t>Industry Contract</w:t>
            </w:r>
          </w:p>
        </w:tc>
      </w:tr>
      <w:tr w:rsidR="002F1851" w:rsidRPr="003F445B" w:rsidTr="002F1851">
        <w:trPr>
          <w:trHeight w:val="527"/>
        </w:trPr>
        <w:tc>
          <w:tcPr>
            <w:tcW w:w="5671" w:type="dxa"/>
            <w:tcBorders>
              <w:top w:val="nil"/>
              <w:left w:val="single" w:sz="4" w:space="0" w:color="auto"/>
              <w:bottom w:val="single" w:sz="4" w:space="0" w:color="auto"/>
              <w:right w:val="single" w:sz="4" w:space="0" w:color="auto"/>
            </w:tcBorders>
            <w:shd w:val="clear" w:color="auto" w:fill="auto"/>
            <w:vAlign w:val="center"/>
          </w:tcPr>
          <w:p w:rsidR="002F1851" w:rsidRPr="004E1342" w:rsidRDefault="009A591A" w:rsidP="002F1851">
            <w:pPr>
              <w:jc w:val="left"/>
              <w:rPr>
                <w:rFonts w:cs="Arial"/>
                <w:color w:val="000000"/>
                <w:sz w:val="18"/>
                <w:szCs w:val="18"/>
                <w:highlight w:val="yellow"/>
              </w:rPr>
            </w:pPr>
            <w:r w:rsidRPr="001D75F8">
              <w:rPr>
                <w:rFonts w:cs="Arial"/>
                <w:sz w:val="18"/>
                <w:szCs w:val="18"/>
              </w:rPr>
              <w:t>Interventional randomised, double-blind, parallel-group, placebo-controlled, exploratory study investigating the effects of LuAA21004 on cognition and BOLD fMRI signals in subjects remitted from depression and controls</w:t>
            </w:r>
          </w:p>
        </w:tc>
        <w:tc>
          <w:tcPr>
            <w:tcW w:w="1984" w:type="dxa"/>
            <w:tcBorders>
              <w:top w:val="nil"/>
              <w:left w:val="nil"/>
              <w:bottom w:val="single" w:sz="4" w:space="0" w:color="auto"/>
              <w:right w:val="single" w:sz="4" w:space="0" w:color="auto"/>
            </w:tcBorders>
            <w:shd w:val="clear" w:color="auto" w:fill="auto"/>
            <w:vAlign w:val="center"/>
          </w:tcPr>
          <w:p w:rsidR="002F1851" w:rsidRPr="003B7C0D" w:rsidRDefault="002F1851" w:rsidP="002F1851">
            <w:pPr>
              <w:spacing w:before="0" w:after="0"/>
              <w:jc w:val="center"/>
              <w:rPr>
                <w:rFonts w:cs="Arial"/>
                <w:color w:val="000000"/>
                <w:sz w:val="18"/>
                <w:szCs w:val="18"/>
              </w:rPr>
            </w:pPr>
            <w:r>
              <w:rPr>
                <w:rFonts w:cs="Arial"/>
                <w:color w:val="000000"/>
                <w:sz w:val="18"/>
                <w:szCs w:val="18"/>
              </w:rPr>
              <w:t>Lundbeck</w:t>
            </w:r>
          </w:p>
        </w:tc>
        <w:tc>
          <w:tcPr>
            <w:tcW w:w="702" w:type="dxa"/>
            <w:tcBorders>
              <w:top w:val="single" w:sz="4" w:space="0" w:color="auto"/>
              <w:left w:val="nil"/>
              <w:bottom w:val="single" w:sz="4" w:space="0" w:color="auto"/>
              <w:right w:val="single" w:sz="4" w:space="0" w:color="auto"/>
            </w:tcBorders>
            <w:vAlign w:val="center"/>
          </w:tcPr>
          <w:p w:rsidR="002F1851" w:rsidRPr="003B7C0D" w:rsidRDefault="002F1851" w:rsidP="002F1851">
            <w:pPr>
              <w:spacing w:before="0" w:after="0"/>
              <w:jc w:val="center"/>
              <w:rPr>
                <w:rFonts w:cs="Arial"/>
                <w:color w:val="000000"/>
                <w:sz w:val="18"/>
                <w:szCs w:val="18"/>
                <w:lang w:val="en-GB" w:eastAsia="en-GB"/>
              </w:rPr>
            </w:pPr>
            <w:r>
              <w:rPr>
                <w:rFonts w:cs="Arial"/>
                <w:color w:val="000000"/>
                <w:sz w:val="18"/>
                <w:szCs w:val="18"/>
                <w:lang w:val="en-GB" w:eastAsia="en-GB"/>
              </w:rPr>
              <w:t>1</w:t>
            </w:r>
          </w:p>
        </w:tc>
        <w:tc>
          <w:tcPr>
            <w:tcW w:w="1283" w:type="dxa"/>
            <w:tcBorders>
              <w:top w:val="single" w:sz="4" w:space="0" w:color="auto"/>
              <w:left w:val="nil"/>
              <w:bottom w:val="single" w:sz="4" w:space="0" w:color="auto"/>
              <w:right w:val="single" w:sz="4" w:space="0" w:color="auto"/>
            </w:tcBorders>
            <w:vAlign w:val="center"/>
          </w:tcPr>
          <w:p w:rsidR="002F1851" w:rsidRPr="003B7C0D" w:rsidRDefault="002F1851" w:rsidP="002F1851">
            <w:pPr>
              <w:spacing w:before="100" w:beforeAutospacing="1" w:after="0"/>
              <w:jc w:val="center"/>
              <w:rPr>
                <w:rFonts w:cs="Arial"/>
                <w:color w:val="000000"/>
                <w:sz w:val="18"/>
                <w:szCs w:val="18"/>
              </w:rPr>
            </w:pPr>
            <w:r w:rsidRPr="003B7C0D">
              <w:rPr>
                <w:rFonts w:cs="Arial"/>
                <w:color w:val="000000"/>
                <w:sz w:val="18"/>
                <w:szCs w:val="18"/>
              </w:rPr>
              <w:t>Industry Contract</w:t>
            </w:r>
          </w:p>
        </w:tc>
      </w:tr>
      <w:tr w:rsidR="009A591A" w:rsidRPr="003F445B" w:rsidTr="002F1851">
        <w:trPr>
          <w:trHeight w:val="988"/>
        </w:trPr>
        <w:tc>
          <w:tcPr>
            <w:tcW w:w="5671" w:type="dxa"/>
            <w:tcBorders>
              <w:top w:val="nil"/>
              <w:left w:val="single" w:sz="4" w:space="0" w:color="auto"/>
              <w:bottom w:val="single" w:sz="4" w:space="0" w:color="auto"/>
              <w:right w:val="single" w:sz="4" w:space="0" w:color="auto"/>
            </w:tcBorders>
            <w:shd w:val="clear" w:color="auto" w:fill="auto"/>
            <w:vAlign w:val="center"/>
          </w:tcPr>
          <w:p w:rsidR="009A591A" w:rsidRPr="001D75F8" w:rsidRDefault="009A591A" w:rsidP="00FF7691">
            <w:pPr>
              <w:spacing w:before="0" w:after="0"/>
              <w:jc w:val="left"/>
              <w:rPr>
                <w:rFonts w:cs="Arial"/>
                <w:sz w:val="18"/>
                <w:szCs w:val="18"/>
                <w:lang w:val="en-GB" w:eastAsia="en-GB"/>
              </w:rPr>
            </w:pPr>
            <w:r w:rsidRPr="001D75F8">
              <w:rPr>
                <w:rFonts w:cs="Arial"/>
                <w:sz w:val="18"/>
                <w:szCs w:val="18"/>
              </w:rPr>
              <w:t>Long-term safety and efficacy of ABT-126 in subjects with schizophrenia: a double blind extension study for subjects completing study M10-855</w:t>
            </w:r>
          </w:p>
        </w:tc>
        <w:tc>
          <w:tcPr>
            <w:tcW w:w="1984" w:type="dxa"/>
            <w:tcBorders>
              <w:top w:val="nil"/>
              <w:left w:val="nil"/>
              <w:bottom w:val="single" w:sz="4" w:space="0" w:color="auto"/>
              <w:right w:val="single" w:sz="4" w:space="0" w:color="auto"/>
            </w:tcBorders>
            <w:shd w:val="clear" w:color="auto" w:fill="auto"/>
            <w:vAlign w:val="center"/>
          </w:tcPr>
          <w:p w:rsidR="009A591A" w:rsidRPr="003B7C0D" w:rsidRDefault="009A591A" w:rsidP="002F1851">
            <w:pPr>
              <w:spacing w:before="0" w:after="0"/>
              <w:jc w:val="center"/>
              <w:rPr>
                <w:rFonts w:cs="Arial"/>
                <w:color w:val="000000"/>
                <w:sz w:val="18"/>
                <w:szCs w:val="18"/>
              </w:rPr>
            </w:pPr>
            <w:r w:rsidRPr="003B7C0D">
              <w:rPr>
                <w:rFonts w:cs="Arial"/>
                <w:color w:val="000000"/>
                <w:sz w:val="18"/>
                <w:szCs w:val="18"/>
              </w:rPr>
              <w:t xml:space="preserve">AbbVie </w:t>
            </w:r>
          </w:p>
          <w:p w:rsidR="009A591A" w:rsidRPr="003B7C0D" w:rsidRDefault="009A591A" w:rsidP="002F1851">
            <w:pPr>
              <w:spacing w:before="0" w:after="0"/>
              <w:jc w:val="center"/>
              <w:rPr>
                <w:rFonts w:cs="Arial"/>
                <w:color w:val="000000"/>
                <w:sz w:val="18"/>
                <w:szCs w:val="18"/>
                <w:lang w:val="en-GB" w:eastAsia="en-GB"/>
              </w:rPr>
            </w:pPr>
          </w:p>
        </w:tc>
        <w:tc>
          <w:tcPr>
            <w:tcW w:w="702" w:type="dxa"/>
            <w:tcBorders>
              <w:top w:val="single" w:sz="4" w:space="0" w:color="auto"/>
              <w:left w:val="nil"/>
              <w:bottom w:val="single" w:sz="4" w:space="0" w:color="auto"/>
              <w:right w:val="single" w:sz="4" w:space="0" w:color="auto"/>
            </w:tcBorders>
            <w:vAlign w:val="center"/>
          </w:tcPr>
          <w:p w:rsidR="009A591A" w:rsidRPr="003B7C0D" w:rsidRDefault="009A591A" w:rsidP="002F1851">
            <w:pPr>
              <w:spacing w:before="0" w:after="0"/>
              <w:jc w:val="center"/>
              <w:rPr>
                <w:rFonts w:cs="Arial"/>
                <w:color w:val="000000"/>
                <w:sz w:val="18"/>
                <w:szCs w:val="18"/>
                <w:lang w:val="en-GB" w:eastAsia="en-GB"/>
              </w:rPr>
            </w:pPr>
            <w:r>
              <w:rPr>
                <w:rFonts w:cs="Arial"/>
                <w:color w:val="000000"/>
                <w:sz w:val="18"/>
                <w:szCs w:val="18"/>
                <w:lang w:val="en-GB" w:eastAsia="en-GB"/>
              </w:rPr>
              <w:t>25</w:t>
            </w:r>
          </w:p>
        </w:tc>
        <w:tc>
          <w:tcPr>
            <w:tcW w:w="1283" w:type="dxa"/>
            <w:tcBorders>
              <w:top w:val="single" w:sz="4" w:space="0" w:color="auto"/>
              <w:left w:val="nil"/>
              <w:bottom w:val="single" w:sz="4" w:space="0" w:color="auto"/>
              <w:right w:val="single" w:sz="4" w:space="0" w:color="auto"/>
            </w:tcBorders>
            <w:vAlign w:val="center"/>
          </w:tcPr>
          <w:p w:rsidR="009A591A" w:rsidRPr="003B7C0D" w:rsidRDefault="009A591A" w:rsidP="002F1851">
            <w:pPr>
              <w:spacing w:before="100" w:beforeAutospacing="1" w:after="0"/>
              <w:jc w:val="center"/>
              <w:rPr>
                <w:rFonts w:cs="Arial"/>
                <w:color w:val="000000"/>
                <w:sz w:val="18"/>
                <w:szCs w:val="18"/>
                <w:lang w:val="en-GB" w:eastAsia="en-GB"/>
              </w:rPr>
            </w:pPr>
            <w:r w:rsidRPr="003B7C0D">
              <w:rPr>
                <w:rFonts w:cs="Arial"/>
                <w:color w:val="000000"/>
                <w:sz w:val="18"/>
                <w:szCs w:val="18"/>
              </w:rPr>
              <w:t>Industry Contract</w:t>
            </w:r>
          </w:p>
        </w:tc>
      </w:tr>
      <w:tr w:rsidR="002F1851" w:rsidRPr="003F445B" w:rsidTr="002F1851">
        <w:trPr>
          <w:trHeight w:val="693"/>
        </w:trPr>
        <w:tc>
          <w:tcPr>
            <w:tcW w:w="5671" w:type="dxa"/>
            <w:tcBorders>
              <w:top w:val="nil"/>
              <w:left w:val="single" w:sz="4" w:space="0" w:color="auto"/>
              <w:bottom w:val="single" w:sz="4" w:space="0" w:color="auto"/>
              <w:right w:val="single" w:sz="4" w:space="0" w:color="auto"/>
            </w:tcBorders>
            <w:shd w:val="clear" w:color="auto" w:fill="auto"/>
            <w:vAlign w:val="center"/>
          </w:tcPr>
          <w:p w:rsidR="002F1851" w:rsidRPr="004E1342" w:rsidRDefault="009A591A" w:rsidP="002F1851">
            <w:pPr>
              <w:jc w:val="left"/>
              <w:rPr>
                <w:rFonts w:cs="Arial"/>
                <w:color w:val="000000"/>
                <w:sz w:val="18"/>
                <w:szCs w:val="18"/>
                <w:highlight w:val="yellow"/>
                <w:lang w:val="en-GB" w:eastAsia="en-GB"/>
              </w:rPr>
            </w:pPr>
            <w:r w:rsidRPr="001D75F8">
              <w:rPr>
                <w:rFonts w:cs="Arial"/>
                <w:sz w:val="18"/>
                <w:szCs w:val="18"/>
              </w:rPr>
              <w:lastRenderedPageBreak/>
              <w:t>Stem cells for Biological Assays of Novel drugs and predictive toxicology (STEMBANCC</w:t>
            </w:r>
          </w:p>
        </w:tc>
        <w:tc>
          <w:tcPr>
            <w:tcW w:w="1984" w:type="dxa"/>
            <w:tcBorders>
              <w:top w:val="nil"/>
              <w:left w:val="nil"/>
              <w:bottom w:val="single" w:sz="4" w:space="0" w:color="auto"/>
              <w:right w:val="single" w:sz="4" w:space="0" w:color="auto"/>
            </w:tcBorders>
            <w:shd w:val="clear" w:color="auto" w:fill="auto"/>
            <w:vAlign w:val="center"/>
          </w:tcPr>
          <w:p w:rsidR="002F1851" w:rsidRPr="003B7C0D" w:rsidRDefault="002F1851" w:rsidP="002F1851">
            <w:pPr>
              <w:spacing w:before="0" w:after="0"/>
              <w:jc w:val="center"/>
              <w:rPr>
                <w:rFonts w:cs="Arial"/>
                <w:color w:val="000000"/>
                <w:sz w:val="18"/>
                <w:szCs w:val="18"/>
              </w:rPr>
            </w:pPr>
            <w:r w:rsidRPr="003B7C0D">
              <w:rPr>
                <w:rFonts w:cs="Arial"/>
                <w:color w:val="000000"/>
                <w:sz w:val="18"/>
                <w:szCs w:val="18"/>
              </w:rPr>
              <w:t>University of Oxford</w:t>
            </w:r>
          </w:p>
          <w:p w:rsidR="002F1851" w:rsidRPr="003B7C0D" w:rsidRDefault="002F1851" w:rsidP="002F1851">
            <w:pPr>
              <w:spacing w:before="0" w:after="0"/>
              <w:jc w:val="center"/>
              <w:rPr>
                <w:rFonts w:cs="Arial"/>
                <w:color w:val="000000"/>
                <w:sz w:val="18"/>
                <w:szCs w:val="18"/>
                <w:lang w:val="en-GB" w:eastAsia="en-GB"/>
              </w:rPr>
            </w:pPr>
          </w:p>
        </w:tc>
        <w:tc>
          <w:tcPr>
            <w:tcW w:w="702" w:type="dxa"/>
            <w:tcBorders>
              <w:top w:val="single" w:sz="4" w:space="0" w:color="auto"/>
              <w:left w:val="nil"/>
              <w:bottom w:val="single" w:sz="4" w:space="0" w:color="auto"/>
              <w:right w:val="single" w:sz="4" w:space="0" w:color="auto"/>
            </w:tcBorders>
            <w:vAlign w:val="center"/>
          </w:tcPr>
          <w:p w:rsidR="002F1851" w:rsidRPr="003B7C0D" w:rsidRDefault="002F1851" w:rsidP="002F1851">
            <w:pPr>
              <w:spacing w:before="0" w:after="0"/>
              <w:jc w:val="center"/>
              <w:rPr>
                <w:rFonts w:cs="Arial"/>
                <w:color w:val="000000"/>
                <w:sz w:val="18"/>
                <w:szCs w:val="18"/>
                <w:lang w:val="en-GB" w:eastAsia="en-GB"/>
              </w:rPr>
            </w:pPr>
            <w:r>
              <w:rPr>
                <w:rFonts w:cs="Arial"/>
                <w:color w:val="000000"/>
                <w:sz w:val="18"/>
                <w:szCs w:val="18"/>
                <w:lang w:val="en-GB" w:eastAsia="en-GB"/>
              </w:rPr>
              <w:t>17</w:t>
            </w:r>
          </w:p>
        </w:tc>
        <w:tc>
          <w:tcPr>
            <w:tcW w:w="1283" w:type="dxa"/>
            <w:tcBorders>
              <w:top w:val="single" w:sz="4" w:space="0" w:color="auto"/>
              <w:left w:val="nil"/>
              <w:bottom w:val="single" w:sz="4" w:space="0" w:color="auto"/>
              <w:right w:val="single" w:sz="4" w:space="0" w:color="auto"/>
            </w:tcBorders>
            <w:vAlign w:val="center"/>
          </w:tcPr>
          <w:p w:rsidR="002F1851" w:rsidRPr="003B7C0D" w:rsidRDefault="002F1851" w:rsidP="002F1851">
            <w:pPr>
              <w:spacing w:before="100" w:beforeAutospacing="1" w:after="0"/>
              <w:jc w:val="center"/>
              <w:rPr>
                <w:rFonts w:cs="Arial"/>
                <w:color w:val="000000"/>
                <w:sz w:val="18"/>
                <w:szCs w:val="18"/>
                <w:lang w:val="en-GB" w:eastAsia="en-GB"/>
              </w:rPr>
            </w:pPr>
            <w:r w:rsidRPr="003B7C0D">
              <w:rPr>
                <w:rFonts w:cs="Arial"/>
                <w:color w:val="000000"/>
                <w:sz w:val="18"/>
                <w:szCs w:val="18"/>
                <w:lang w:val="en-GB" w:eastAsia="en-GB"/>
              </w:rPr>
              <w:t>Non-Commercial</w:t>
            </w:r>
          </w:p>
        </w:tc>
      </w:tr>
      <w:tr w:rsidR="002F1851" w:rsidRPr="003F445B" w:rsidTr="002F1851">
        <w:trPr>
          <w:trHeight w:val="1411"/>
        </w:trPr>
        <w:tc>
          <w:tcPr>
            <w:tcW w:w="5671" w:type="dxa"/>
            <w:tcBorders>
              <w:top w:val="nil"/>
              <w:left w:val="single" w:sz="4" w:space="0" w:color="auto"/>
              <w:bottom w:val="single" w:sz="4" w:space="0" w:color="auto"/>
              <w:right w:val="single" w:sz="4" w:space="0" w:color="auto"/>
            </w:tcBorders>
            <w:shd w:val="clear" w:color="auto" w:fill="auto"/>
            <w:vAlign w:val="center"/>
          </w:tcPr>
          <w:p w:rsidR="002F1851" w:rsidRPr="004E1342" w:rsidRDefault="009A591A" w:rsidP="002F1851">
            <w:pPr>
              <w:jc w:val="left"/>
              <w:rPr>
                <w:rFonts w:cs="Arial"/>
                <w:color w:val="000000"/>
                <w:sz w:val="18"/>
                <w:szCs w:val="18"/>
                <w:highlight w:val="yellow"/>
                <w:lang w:val="en-GB" w:eastAsia="en-GB"/>
              </w:rPr>
            </w:pPr>
            <w:r w:rsidRPr="001D75F8">
              <w:rPr>
                <w:rFonts w:cs="Arial"/>
                <w:sz w:val="18"/>
                <w:szCs w:val="18"/>
              </w:rPr>
              <w:t>A randomised, double-blind, placebo- controlled, phase 3 study to evaluate the efficacy and safety of once a day, TAK-375 (Ramelteon) tablet for sublingual administration (TAK-375SL tablet) 0.1mg and 0.4mg as an adjunctive therapy in the treatment of acute depressive episodes associated with bipolar 1 disorder in adult subjects (TAK_301)</w:t>
            </w:r>
          </w:p>
        </w:tc>
        <w:tc>
          <w:tcPr>
            <w:tcW w:w="1984" w:type="dxa"/>
            <w:tcBorders>
              <w:top w:val="nil"/>
              <w:left w:val="nil"/>
              <w:bottom w:val="single" w:sz="4" w:space="0" w:color="auto"/>
              <w:right w:val="single" w:sz="4" w:space="0" w:color="auto"/>
            </w:tcBorders>
            <w:shd w:val="clear" w:color="auto" w:fill="auto"/>
            <w:vAlign w:val="center"/>
          </w:tcPr>
          <w:p w:rsidR="002F1851" w:rsidRPr="003B7C0D" w:rsidRDefault="002F1851" w:rsidP="002F1851">
            <w:pPr>
              <w:spacing w:before="0" w:after="0"/>
              <w:jc w:val="center"/>
              <w:rPr>
                <w:rFonts w:cs="Arial"/>
                <w:color w:val="000000"/>
                <w:sz w:val="18"/>
                <w:szCs w:val="18"/>
              </w:rPr>
            </w:pPr>
            <w:r w:rsidRPr="003B7C0D">
              <w:rPr>
                <w:rFonts w:cs="Arial"/>
                <w:color w:val="000000"/>
                <w:sz w:val="18"/>
                <w:szCs w:val="18"/>
              </w:rPr>
              <w:t>Takeda</w:t>
            </w:r>
          </w:p>
          <w:p w:rsidR="002F1851" w:rsidRPr="003B7C0D" w:rsidRDefault="002F1851" w:rsidP="002F1851">
            <w:pPr>
              <w:spacing w:before="0" w:after="0"/>
              <w:jc w:val="center"/>
              <w:rPr>
                <w:rFonts w:cs="Arial"/>
                <w:color w:val="000000"/>
                <w:sz w:val="18"/>
                <w:szCs w:val="18"/>
                <w:lang w:val="en-GB" w:eastAsia="en-GB"/>
              </w:rPr>
            </w:pPr>
          </w:p>
        </w:tc>
        <w:tc>
          <w:tcPr>
            <w:tcW w:w="702" w:type="dxa"/>
            <w:tcBorders>
              <w:top w:val="single" w:sz="4" w:space="0" w:color="auto"/>
              <w:left w:val="nil"/>
              <w:bottom w:val="single" w:sz="4" w:space="0" w:color="auto"/>
              <w:right w:val="single" w:sz="4" w:space="0" w:color="auto"/>
            </w:tcBorders>
            <w:vAlign w:val="center"/>
          </w:tcPr>
          <w:p w:rsidR="002F1851" w:rsidRPr="003B7C0D" w:rsidRDefault="002F1851" w:rsidP="002F1851">
            <w:pPr>
              <w:spacing w:before="0" w:after="0"/>
              <w:jc w:val="center"/>
              <w:rPr>
                <w:rFonts w:cs="Arial"/>
                <w:color w:val="000000"/>
                <w:sz w:val="18"/>
                <w:szCs w:val="18"/>
                <w:lang w:val="en-GB" w:eastAsia="en-GB"/>
              </w:rPr>
            </w:pPr>
            <w:r>
              <w:rPr>
                <w:rFonts w:cs="Arial"/>
                <w:color w:val="000000"/>
                <w:sz w:val="18"/>
                <w:szCs w:val="18"/>
                <w:lang w:val="en-GB" w:eastAsia="en-GB"/>
              </w:rPr>
              <w:t>5</w:t>
            </w:r>
          </w:p>
        </w:tc>
        <w:tc>
          <w:tcPr>
            <w:tcW w:w="1283" w:type="dxa"/>
            <w:tcBorders>
              <w:top w:val="single" w:sz="4" w:space="0" w:color="auto"/>
              <w:left w:val="nil"/>
              <w:bottom w:val="single" w:sz="4" w:space="0" w:color="auto"/>
              <w:right w:val="single" w:sz="4" w:space="0" w:color="auto"/>
            </w:tcBorders>
            <w:vAlign w:val="center"/>
          </w:tcPr>
          <w:p w:rsidR="002F1851" w:rsidRPr="003B7C0D" w:rsidRDefault="002F1851" w:rsidP="002F1851">
            <w:pPr>
              <w:spacing w:before="100" w:beforeAutospacing="1" w:after="0"/>
              <w:jc w:val="center"/>
              <w:rPr>
                <w:rFonts w:cs="Arial"/>
                <w:color w:val="000000"/>
                <w:sz w:val="18"/>
                <w:szCs w:val="18"/>
                <w:lang w:val="en-GB" w:eastAsia="en-GB"/>
              </w:rPr>
            </w:pPr>
            <w:r w:rsidRPr="003B7C0D">
              <w:rPr>
                <w:rFonts w:cs="Arial"/>
                <w:color w:val="000000"/>
                <w:sz w:val="18"/>
                <w:szCs w:val="18"/>
              </w:rPr>
              <w:t>Industry Contract</w:t>
            </w:r>
          </w:p>
        </w:tc>
      </w:tr>
      <w:tr w:rsidR="002F1851" w:rsidRPr="003F445B" w:rsidTr="002F1851">
        <w:trPr>
          <w:trHeight w:val="481"/>
        </w:trPr>
        <w:tc>
          <w:tcPr>
            <w:tcW w:w="5671" w:type="dxa"/>
            <w:tcBorders>
              <w:top w:val="nil"/>
              <w:left w:val="single" w:sz="4" w:space="0" w:color="auto"/>
              <w:bottom w:val="single" w:sz="4" w:space="0" w:color="auto"/>
              <w:right w:val="single" w:sz="4" w:space="0" w:color="auto"/>
            </w:tcBorders>
            <w:shd w:val="clear" w:color="auto" w:fill="auto"/>
            <w:vAlign w:val="center"/>
          </w:tcPr>
          <w:p w:rsidR="002F1851" w:rsidRPr="003B7C0D" w:rsidRDefault="009A591A" w:rsidP="002F1851">
            <w:pPr>
              <w:jc w:val="left"/>
              <w:rPr>
                <w:rFonts w:cs="Arial"/>
                <w:color w:val="000000"/>
                <w:sz w:val="18"/>
                <w:szCs w:val="18"/>
              </w:rPr>
            </w:pPr>
            <w:r w:rsidRPr="001D75F8">
              <w:rPr>
                <w:rFonts w:cs="Arial"/>
                <w:sz w:val="18"/>
                <w:szCs w:val="18"/>
              </w:rPr>
              <w:t>A randomised, double-blind, placebo-controlled, single-dose, study of the efects of SEP 363856 and Amisulprode on bold-FMRI signal in healthy male and female volunteers with high or low schizotype characteristics</w:t>
            </w:r>
          </w:p>
        </w:tc>
        <w:tc>
          <w:tcPr>
            <w:tcW w:w="1984" w:type="dxa"/>
            <w:tcBorders>
              <w:top w:val="nil"/>
              <w:left w:val="nil"/>
              <w:bottom w:val="single" w:sz="4" w:space="0" w:color="auto"/>
              <w:right w:val="single" w:sz="4" w:space="0" w:color="auto"/>
            </w:tcBorders>
            <w:shd w:val="clear" w:color="auto" w:fill="auto"/>
            <w:vAlign w:val="center"/>
          </w:tcPr>
          <w:p w:rsidR="002F1851" w:rsidRPr="003B7C0D" w:rsidRDefault="002F1851" w:rsidP="002F1851">
            <w:pPr>
              <w:spacing w:before="0" w:after="0"/>
              <w:jc w:val="center"/>
              <w:rPr>
                <w:rFonts w:cs="Arial"/>
                <w:color w:val="000000"/>
                <w:sz w:val="18"/>
                <w:szCs w:val="18"/>
              </w:rPr>
            </w:pPr>
            <w:r>
              <w:rPr>
                <w:rFonts w:cs="Arial"/>
                <w:color w:val="000000"/>
                <w:sz w:val="18"/>
                <w:szCs w:val="18"/>
              </w:rPr>
              <w:t>Sunovion</w:t>
            </w:r>
          </w:p>
        </w:tc>
        <w:tc>
          <w:tcPr>
            <w:tcW w:w="702" w:type="dxa"/>
            <w:tcBorders>
              <w:top w:val="single" w:sz="4" w:space="0" w:color="auto"/>
              <w:left w:val="nil"/>
              <w:bottom w:val="single" w:sz="4" w:space="0" w:color="auto"/>
              <w:right w:val="single" w:sz="4" w:space="0" w:color="auto"/>
            </w:tcBorders>
            <w:vAlign w:val="center"/>
          </w:tcPr>
          <w:p w:rsidR="002F1851" w:rsidRPr="003B7C0D" w:rsidRDefault="002F1851" w:rsidP="002F1851">
            <w:pPr>
              <w:spacing w:before="0" w:after="0"/>
              <w:jc w:val="center"/>
              <w:rPr>
                <w:rFonts w:cs="Arial"/>
                <w:color w:val="000000"/>
                <w:sz w:val="18"/>
                <w:szCs w:val="18"/>
                <w:lang w:val="en-GB" w:eastAsia="en-GB"/>
              </w:rPr>
            </w:pPr>
            <w:r>
              <w:rPr>
                <w:rFonts w:cs="Arial"/>
                <w:color w:val="000000"/>
                <w:sz w:val="18"/>
                <w:szCs w:val="18"/>
                <w:lang w:val="en-GB" w:eastAsia="en-GB"/>
              </w:rPr>
              <w:t>38</w:t>
            </w:r>
          </w:p>
        </w:tc>
        <w:tc>
          <w:tcPr>
            <w:tcW w:w="1283" w:type="dxa"/>
            <w:tcBorders>
              <w:top w:val="single" w:sz="4" w:space="0" w:color="auto"/>
              <w:left w:val="nil"/>
              <w:bottom w:val="single" w:sz="4" w:space="0" w:color="auto"/>
              <w:right w:val="single" w:sz="4" w:space="0" w:color="auto"/>
            </w:tcBorders>
            <w:vAlign w:val="center"/>
          </w:tcPr>
          <w:p w:rsidR="002F1851" w:rsidRPr="003B7C0D" w:rsidRDefault="002F1851" w:rsidP="002F1851">
            <w:pPr>
              <w:spacing w:before="100" w:beforeAutospacing="1" w:after="0"/>
              <w:jc w:val="center"/>
              <w:rPr>
                <w:rFonts w:cs="Arial"/>
                <w:color w:val="000000"/>
                <w:sz w:val="18"/>
                <w:szCs w:val="18"/>
              </w:rPr>
            </w:pPr>
            <w:r w:rsidRPr="003B7C0D">
              <w:rPr>
                <w:rFonts w:cs="Arial"/>
                <w:color w:val="000000"/>
                <w:sz w:val="18"/>
                <w:szCs w:val="18"/>
              </w:rPr>
              <w:t>Industry Contract</w:t>
            </w:r>
          </w:p>
        </w:tc>
      </w:tr>
      <w:tr w:rsidR="009A591A" w:rsidRPr="003F445B" w:rsidTr="002F1851">
        <w:trPr>
          <w:trHeight w:val="507"/>
        </w:trPr>
        <w:tc>
          <w:tcPr>
            <w:tcW w:w="5671" w:type="dxa"/>
            <w:tcBorders>
              <w:top w:val="nil"/>
              <w:left w:val="single" w:sz="4" w:space="0" w:color="auto"/>
              <w:bottom w:val="single" w:sz="4" w:space="0" w:color="auto"/>
              <w:right w:val="single" w:sz="4" w:space="0" w:color="auto"/>
            </w:tcBorders>
            <w:shd w:val="clear" w:color="auto" w:fill="auto"/>
            <w:vAlign w:val="center"/>
          </w:tcPr>
          <w:p w:rsidR="009A591A" w:rsidRPr="001D75F8" w:rsidRDefault="009A591A" w:rsidP="00FF7691">
            <w:pPr>
              <w:spacing w:before="0" w:after="0"/>
              <w:jc w:val="left"/>
              <w:rPr>
                <w:rFonts w:cs="Arial"/>
                <w:sz w:val="18"/>
                <w:szCs w:val="18"/>
              </w:rPr>
            </w:pPr>
            <w:r w:rsidRPr="001D75F8">
              <w:rPr>
                <w:rFonts w:cs="Arial"/>
                <w:sz w:val="18"/>
                <w:szCs w:val="18"/>
              </w:rPr>
              <w:t>Antidepressant controlled trial for negative symptoms in schizophrenia (ACTIONS)</w:t>
            </w:r>
          </w:p>
        </w:tc>
        <w:tc>
          <w:tcPr>
            <w:tcW w:w="1984" w:type="dxa"/>
            <w:tcBorders>
              <w:top w:val="nil"/>
              <w:left w:val="nil"/>
              <w:bottom w:val="single" w:sz="4" w:space="0" w:color="auto"/>
              <w:right w:val="single" w:sz="4" w:space="0" w:color="auto"/>
            </w:tcBorders>
            <w:shd w:val="clear" w:color="auto" w:fill="auto"/>
            <w:vAlign w:val="center"/>
          </w:tcPr>
          <w:p w:rsidR="009A591A" w:rsidRDefault="009A591A" w:rsidP="002F1851">
            <w:pPr>
              <w:spacing w:before="0" w:after="0"/>
              <w:jc w:val="center"/>
              <w:rPr>
                <w:rFonts w:cs="Arial"/>
                <w:color w:val="000000"/>
                <w:sz w:val="18"/>
                <w:szCs w:val="18"/>
              </w:rPr>
            </w:pPr>
            <w:r w:rsidRPr="003B7C0D">
              <w:rPr>
                <w:rFonts w:cs="Arial"/>
                <w:color w:val="000000"/>
                <w:sz w:val="18"/>
                <w:szCs w:val="18"/>
              </w:rPr>
              <w:t>University of Oxford</w:t>
            </w:r>
          </w:p>
        </w:tc>
        <w:tc>
          <w:tcPr>
            <w:tcW w:w="702" w:type="dxa"/>
            <w:tcBorders>
              <w:top w:val="single" w:sz="4" w:space="0" w:color="auto"/>
              <w:left w:val="nil"/>
              <w:bottom w:val="single" w:sz="4" w:space="0" w:color="auto"/>
              <w:right w:val="single" w:sz="4" w:space="0" w:color="auto"/>
            </w:tcBorders>
            <w:vAlign w:val="center"/>
          </w:tcPr>
          <w:p w:rsidR="009A591A" w:rsidRDefault="009A591A" w:rsidP="002F1851">
            <w:pPr>
              <w:spacing w:before="0" w:after="0"/>
              <w:jc w:val="center"/>
              <w:rPr>
                <w:rFonts w:cs="Arial"/>
                <w:color w:val="000000"/>
                <w:sz w:val="18"/>
                <w:szCs w:val="18"/>
                <w:lang w:val="en-GB" w:eastAsia="en-GB"/>
              </w:rPr>
            </w:pPr>
            <w:r>
              <w:rPr>
                <w:rFonts w:cs="Arial"/>
                <w:color w:val="000000"/>
                <w:sz w:val="18"/>
                <w:szCs w:val="18"/>
                <w:lang w:val="en-GB" w:eastAsia="en-GB"/>
              </w:rPr>
              <w:t>22</w:t>
            </w:r>
          </w:p>
        </w:tc>
        <w:tc>
          <w:tcPr>
            <w:tcW w:w="1283" w:type="dxa"/>
            <w:tcBorders>
              <w:top w:val="single" w:sz="4" w:space="0" w:color="auto"/>
              <w:left w:val="nil"/>
              <w:bottom w:val="single" w:sz="4" w:space="0" w:color="auto"/>
              <w:right w:val="single" w:sz="4" w:space="0" w:color="auto"/>
            </w:tcBorders>
            <w:vAlign w:val="center"/>
          </w:tcPr>
          <w:p w:rsidR="009A591A" w:rsidRPr="003B7C0D" w:rsidRDefault="009A591A" w:rsidP="002F1851">
            <w:pPr>
              <w:spacing w:before="100" w:beforeAutospacing="1" w:after="0"/>
              <w:jc w:val="center"/>
              <w:rPr>
                <w:rFonts w:cs="Arial"/>
                <w:color w:val="000000"/>
                <w:sz w:val="18"/>
                <w:szCs w:val="18"/>
              </w:rPr>
            </w:pPr>
            <w:r w:rsidRPr="003B7C0D">
              <w:rPr>
                <w:rFonts w:cs="Arial"/>
                <w:color w:val="000000"/>
                <w:sz w:val="18"/>
                <w:szCs w:val="18"/>
                <w:lang w:val="en-GB" w:eastAsia="en-GB"/>
              </w:rPr>
              <w:t>Non-Commercial</w:t>
            </w:r>
          </w:p>
        </w:tc>
      </w:tr>
      <w:tr w:rsidR="002F1851" w:rsidRPr="003F445B" w:rsidTr="009A591A">
        <w:trPr>
          <w:trHeight w:val="255"/>
        </w:trPr>
        <w:tc>
          <w:tcPr>
            <w:tcW w:w="5671" w:type="dxa"/>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2F1851" w:rsidRPr="003B7C0D" w:rsidRDefault="002F1851" w:rsidP="002F1851">
            <w:pPr>
              <w:spacing w:before="0" w:after="0"/>
              <w:jc w:val="left"/>
              <w:rPr>
                <w:rFonts w:cs="Arial"/>
                <w:color w:val="000000"/>
                <w:sz w:val="18"/>
                <w:szCs w:val="18"/>
                <w:lang w:val="en-GB" w:eastAsia="en-GB"/>
              </w:rPr>
            </w:pPr>
            <w:r w:rsidRPr="003B7C0D">
              <w:rPr>
                <w:rFonts w:cs="Arial"/>
                <w:color w:val="000000"/>
                <w:sz w:val="18"/>
                <w:szCs w:val="18"/>
                <w:lang w:val="en-GB" w:eastAsia="en-GB"/>
              </w:rPr>
              <w:t> </w:t>
            </w:r>
          </w:p>
        </w:tc>
        <w:tc>
          <w:tcPr>
            <w:tcW w:w="1984" w:type="dxa"/>
            <w:tcBorders>
              <w:top w:val="nil"/>
              <w:left w:val="nil"/>
              <w:bottom w:val="single" w:sz="4" w:space="0" w:color="auto"/>
              <w:right w:val="single" w:sz="4" w:space="0" w:color="auto"/>
            </w:tcBorders>
            <w:shd w:val="clear" w:color="auto" w:fill="8DB3E2" w:themeFill="text2" w:themeFillTint="66"/>
            <w:noWrap/>
            <w:vAlign w:val="center"/>
            <w:hideMark/>
          </w:tcPr>
          <w:p w:rsidR="002F1851" w:rsidRPr="003B7C0D" w:rsidRDefault="002F1851" w:rsidP="002F1851">
            <w:pPr>
              <w:spacing w:before="0" w:after="0"/>
              <w:jc w:val="center"/>
              <w:rPr>
                <w:rFonts w:cs="Arial"/>
                <w:b/>
                <w:bCs/>
                <w:color w:val="000000"/>
                <w:sz w:val="18"/>
                <w:szCs w:val="18"/>
                <w:lang w:val="en-GB" w:eastAsia="en-GB"/>
              </w:rPr>
            </w:pPr>
            <w:r w:rsidRPr="003B7C0D">
              <w:rPr>
                <w:rFonts w:cs="Arial"/>
                <w:b/>
                <w:bCs/>
                <w:color w:val="000000"/>
                <w:sz w:val="18"/>
                <w:szCs w:val="18"/>
                <w:lang w:val="en-GB" w:eastAsia="en-GB"/>
              </w:rPr>
              <w:t>TOTAL</w:t>
            </w:r>
          </w:p>
        </w:tc>
        <w:tc>
          <w:tcPr>
            <w:tcW w:w="702" w:type="dxa"/>
            <w:tcBorders>
              <w:top w:val="single" w:sz="4" w:space="0" w:color="auto"/>
              <w:left w:val="nil"/>
              <w:bottom w:val="single" w:sz="4" w:space="0" w:color="auto"/>
              <w:right w:val="single" w:sz="4" w:space="0" w:color="auto"/>
            </w:tcBorders>
            <w:shd w:val="clear" w:color="auto" w:fill="8DB3E2" w:themeFill="text2" w:themeFillTint="66"/>
          </w:tcPr>
          <w:p w:rsidR="002F1851" w:rsidRPr="003B7C0D" w:rsidRDefault="002F1851" w:rsidP="002F1851">
            <w:pPr>
              <w:spacing w:before="0" w:after="0"/>
              <w:jc w:val="center"/>
              <w:rPr>
                <w:rFonts w:cs="Arial"/>
                <w:b/>
                <w:bCs/>
                <w:color w:val="000000"/>
                <w:sz w:val="18"/>
                <w:szCs w:val="18"/>
                <w:lang w:val="en-GB" w:eastAsia="en-GB"/>
              </w:rPr>
            </w:pPr>
            <w:r>
              <w:rPr>
                <w:rFonts w:cs="Arial"/>
                <w:b/>
                <w:bCs/>
                <w:color w:val="000000"/>
                <w:sz w:val="18"/>
                <w:szCs w:val="18"/>
                <w:lang w:val="en-GB" w:eastAsia="en-GB"/>
              </w:rPr>
              <w:t>130</w:t>
            </w:r>
          </w:p>
        </w:tc>
        <w:tc>
          <w:tcPr>
            <w:tcW w:w="1283" w:type="dxa"/>
            <w:tcBorders>
              <w:top w:val="single" w:sz="4" w:space="0" w:color="auto"/>
              <w:left w:val="nil"/>
              <w:bottom w:val="single" w:sz="4" w:space="0" w:color="auto"/>
              <w:right w:val="single" w:sz="4" w:space="0" w:color="auto"/>
            </w:tcBorders>
            <w:shd w:val="clear" w:color="auto" w:fill="8DB3E2" w:themeFill="text2" w:themeFillTint="66"/>
          </w:tcPr>
          <w:p w:rsidR="002F1851" w:rsidRPr="003B7C0D" w:rsidRDefault="002F1851" w:rsidP="002F1851">
            <w:pPr>
              <w:spacing w:before="0" w:after="0"/>
              <w:jc w:val="center"/>
              <w:rPr>
                <w:rFonts w:cs="Arial"/>
                <w:b/>
                <w:bCs/>
                <w:color w:val="000000"/>
                <w:sz w:val="18"/>
                <w:szCs w:val="18"/>
                <w:lang w:val="en-GB" w:eastAsia="en-GB"/>
              </w:rPr>
            </w:pPr>
          </w:p>
        </w:tc>
      </w:tr>
    </w:tbl>
    <w:p w:rsidR="002F1851" w:rsidRDefault="002F1851" w:rsidP="002F1851">
      <w:pPr>
        <w:spacing w:before="0" w:after="0"/>
        <w:rPr>
          <w:i/>
          <w:sz w:val="22"/>
          <w:szCs w:val="22"/>
        </w:rPr>
      </w:pPr>
      <w:r w:rsidRPr="008C1316">
        <w:rPr>
          <w:i/>
          <w:sz w:val="22"/>
          <w:szCs w:val="22"/>
        </w:rPr>
        <w:t xml:space="preserve">A full list of currently active </w:t>
      </w:r>
      <w:r>
        <w:rPr>
          <w:i/>
          <w:sz w:val="22"/>
          <w:szCs w:val="22"/>
        </w:rPr>
        <w:t xml:space="preserve">CRF </w:t>
      </w:r>
      <w:r w:rsidRPr="008C1316">
        <w:rPr>
          <w:i/>
          <w:sz w:val="22"/>
          <w:szCs w:val="22"/>
        </w:rPr>
        <w:t xml:space="preserve">studies is shown in Appendix </w:t>
      </w:r>
      <w:r>
        <w:rPr>
          <w:i/>
          <w:sz w:val="22"/>
          <w:szCs w:val="22"/>
        </w:rPr>
        <w:t>B</w:t>
      </w:r>
      <w:r w:rsidRPr="008C1316">
        <w:rPr>
          <w:i/>
          <w:sz w:val="22"/>
          <w:szCs w:val="22"/>
        </w:rPr>
        <w:t>.</w:t>
      </w:r>
    </w:p>
    <w:p w:rsidR="00B46C2E" w:rsidRDefault="00B46C2E" w:rsidP="002F1851">
      <w:pPr>
        <w:spacing w:before="0" w:after="0"/>
        <w:rPr>
          <w:i/>
          <w:sz w:val="22"/>
          <w:szCs w:val="22"/>
        </w:rPr>
      </w:pPr>
    </w:p>
    <w:p w:rsidR="00B46C2E" w:rsidRDefault="00B46C2E" w:rsidP="002F1851">
      <w:pPr>
        <w:spacing w:before="0" w:after="0"/>
        <w:rPr>
          <w:i/>
          <w:sz w:val="22"/>
          <w:szCs w:val="22"/>
        </w:rPr>
      </w:pPr>
    </w:p>
    <w:p w:rsidR="002F1851" w:rsidRPr="004F496B" w:rsidRDefault="002F1851" w:rsidP="002F1851">
      <w:pPr>
        <w:pStyle w:val="Heading2"/>
      </w:pPr>
      <w:r w:rsidRPr="004F496B">
        <w:t>Clinical Research Network: Thames Valley and South Midlands (CRN)</w:t>
      </w:r>
    </w:p>
    <w:p w:rsidR="002F1851" w:rsidRPr="004F496B" w:rsidRDefault="002F1851" w:rsidP="002F1851">
      <w:r>
        <w:t>The FY15 Income from the CRN is budgeted to be £1,597 which is broken down is the table below, from which a £62k contribution to overheads is expected.</w:t>
      </w:r>
    </w:p>
    <w:tbl>
      <w:tblPr>
        <w:tblStyle w:val="TableGrid"/>
        <w:tblW w:w="0" w:type="auto"/>
        <w:tblInd w:w="108" w:type="dxa"/>
        <w:tblLayout w:type="fixed"/>
        <w:tblLook w:val="04A0" w:firstRow="1" w:lastRow="0" w:firstColumn="1" w:lastColumn="0" w:noHBand="0" w:noVBand="1"/>
      </w:tblPr>
      <w:tblGrid>
        <w:gridCol w:w="2835"/>
        <w:gridCol w:w="1276"/>
        <w:gridCol w:w="5954"/>
      </w:tblGrid>
      <w:tr w:rsidR="002F1851" w:rsidRPr="003F445B" w:rsidTr="009A591A">
        <w:trPr>
          <w:trHeight w:val="624"/>
        </w:trPr>
        <w:tc>
          <w:tcPr>
            <w:tcW w:w="2835" w:type="dxa"/>
            <w:shd w:val="clear" w:color="auto" w:fill="8DB3E2" w:themeFill="text2" w:themeFillTint="66"/>
          </w:tcPr>
          <w:p w:rsidR="002F1851" w:rsidRPr="00CD1982" w:rsidRDefault="002F1851" w:rsidP="002F1851">
            <w:pPr>
              <w:spacing w:before="120" w:after="0"/>
              <w:rPr>
                <w:b/>
                <w:sz w:val="18"/>
                <w:szCs w:val="18"/>
              </w:rPr>
            </w:pPr>
            <w:r w:rsidRPr="00CD1982">
              <w:rPr>
                <w:b/>
                <w:sz w:val="18"/>
                <w:szCs w:val="18"/>
              </w:rPr>
              <w:t xml:space="preserve">Type </w:t>
            </w:r>
          </w:p>
        </w:tc>
        <w:tc>
          <w:tcPr>
            <w:tcW w:w="1276" w:type="dxa"/>
            <w:shd w:val="clear" w:color="auto" w:fill="8DB3E2" w:themeFill="text2" w:themeFillTint="66"/>
          </w:tcPr>
          <w:p w:rsidR="002F1851" w:rsidRPr="00CD1982" w:rsidRDefault="002F1851" w:rsidP="002F1851">
            <w:pPr>
              <w:spacing w:before="120" w:after="0"/>
              <w:jc w:val="center"/>
              <w:rPr>
                <w:b/>
                <w:sz w:val="18"/>
                <w:szCs w:val="18"/>
              </w:rPr>
            </w:pPr>
            <w:r w:rsidRPr="00CD1982">
              <w:rPr>
                <w:b/>
                <w:sz w:val="18"/>
                <w:szCs w:val="18"/>
              </w:rPr>
              <w:t>FY15 Budget (£k)</w:t>
            </w:r>
          </w:p>
        </w:tc>
        <w:tc>
          <w:tcPr>
            <w:tcW w:w="5954" w:type="dxa"/>
            <w:shd w:val="clear" w:color="auto" w:fill="8DB3E2" w:themeFill="text2" w:themeFillTint="66"/>
          </w:tcPr>
          <w:p w:rsidR="002F1851" w:rsidRPr="00CD1982" w:rsidRDefault="002F1851" w:rsidP="002F1851">
            <w:pPr>
              <w:spacing w:before="120" w:after="0"/>
              <w:rPr>
                <w:b/>
                <w:sz w:val="18"/>
                <w:szCs w:val="18"/>
              </w:rPr>
            </w:pPr>
            <w:r w:rsidRPr="00CD1982">
              <w:rPr>
                <w:b/>
                <w:sz w:val="18"/>
                <w:szCs w:val="18"/>
              </w:rPr>
              <w:t>Comments</w:t>
            </w:r>
          </w:p>
        </w:tc>
      </w:tr>
      <w:tr w:rsidR="002F1851" w:rsidRPr="003F445B" w:rsidTr="002F1851">
        <w:trPr>
          <w:trHeight w:val="592"/>
        </w:trPr>
        <w:tc>
          <w:tcPr>
            <w:tcW w:w="2835" w:type="dxa"/>
            <w:vAlign w:val="center"/>
          </w:tcPr>
          <w:p w:rsidR="002F1851" w:rsidRPr="00CD1982" w:rsidRDefault="002F1851" w:rsidP="002F1851">
            <w:pPr>
              <w:spacing w:before="120" w:after="0"/>
              <w:jc w:val="left"/>
              <w:rPr>
                <w:sz w:val="18"/>
                <w:szCs w:val="18"/>
              </w:rPr>
            </w:pPr>
            <w:r w:rsidRPr="00CD1982">
              <w:rPr>
                <w:sz w:val="18"/>
                <w:szCs w:val="18"/>
              </w:rPr>
              <w:t xml:space="preserve">Mental Health \ R&amp;D </w:t>
            </w:r>
          </w:p>
        </w:tc>
        <w:tc>
          <w:tcPr>
            <w:tcW w:w="1276" w:type="dxa"/>
            <w:vAlign w:val="center"/>
          </w:tcPr>
          <w:p w:rsidR="002F1851" w:rsidRPr="00CD1982" w:rsidRDefault="002F1851" w:rsidP="002F1851">
            <w:pPr>
              <w:spacing w:before="120" w:after="0"/>
              <w:jc w:val="center"/>
              <w:rPr>
                <w:sz w:val="18"/>
                <w:szCs w:val="18"/>
              </w:rPr>
            </w:pPr>
            <w:r w:rsidRPr="00CD1982">
              <w:rPr>
                <w:sz w:val="18"/>
                <w:szCs w:val="18"/>
              </w:rPr>
              <w:t>340</w:t>
            </w:r>
          </w:p>
        </w:tc>
        <w:tc>
          <w:tcPr>
            <w:tcW w:w="5954" w:type="dxa"/>
            <w:vAlign w:val="center"/>
          </w:tcPr>
          <w:p w:rsidR="002F1851" w:rsidRPr="00CD1982" w:rsidRDefault="002F1851" w:rsidP="002F1851">
            <w:pPr>
              <w:spacing w:before="120" w:after="0"/>
              <w:jc w:val="left"/>
              <w:rPr>
                <w:sz w:val="18"/>
                <w:szCs w:val="18"/>
              </w:rPr>
            </w:pPr>
            <w:r w:rsidRPr="00CD1982">
              <w:rPr>
                <w:sz w:val="18"/>
                <w:szCs w:val="18"/>
              </w:rPr>
              <w:t>Trust Governance and support staff and research active individuals within the Trust</w:t>
            </w:r>
          </w:p>
        </w:tc>
      </w:tr>
      <w:tr w:rsidR="002F1851" w:rsidRPr="003F445B" w:rsidTr="002F1851">
        <w:trPr>
          <w:trHeight w:val="391"/>
        </w:trPr>
        <w:tc>
          <w:tcPr>
            <w:tcW w:w="2835" w:type="dxa"/>
            <w:vAlign w:val="center"/>
          </w:tcPr>
          <w:p w:rsidR="002F1851" w:rsidRPr="004863F4" w:rsidRDefault="002F1851" w:rsidP="002F1851">
            <w:pPr>
              <w:spacing w:before="120" w:after="0"/>
              <w:jc w:val="left"/>
              <w:rPr>
                <w:rFonts w:cs="Arial"/>
                <w:color w:val="000000"/>
                <w:sz w:val="18"/>
                <w:szCs w:val="18"/>
              </w:rPr>
            </w:pPr>
            <w:r w:rsidRPr="004863F4">
              <w:rPr>
                <w:rFonts w:cs="Arial"/>
                <w:color w:val="000000"/>
                <w:sz w:val="18"/>
                <w:szCs w:val="18"/>
              </w:rPr>
              <w:t>Clinical Research Facility (CRF)</w:t>
            </w:r>
          </w:p>
        </w:tc>
        <w:tc>
          <w:tcPr>
            <w:tcW w:w="1276" w:type="dxa"/>
            <w:vAlign w:val="center"/>
          </w:tcPr>
          <w:p w:rsidR="002F1851" w:rsidRPr="00CD1982" w:rsidRDefault="002F1851" w:rsidP="002F1851">
            <w:pPr>
              <w:spacing w:before="120" w:after="0"/>
              <w:jc w:val="center"/>
              <w:rPr>
                <w:sz w:val="18"/>
                <w:szCs w:val="18"/>
              </w:rPr>
            </w:pPr>
            <w:r w:rsidRPr="00CD1982">
              <w:rPr>
                <w:sz w:val="18"/>
                <w:szCs w:val="18"/>
              </w:rPr>
              <w:t>374</w:t>
            </w:r>
          </w:p>
        </w:tc>
        <w:tc>
          <w:tcPr>
            <w:tcW w:w="5954" w:type="dxa"/>
            <w:vAlign w:val="center"/>
          </w:tcPr>
          <w:p w:rsidR="002F1851" w:rsidRPr="00CD1982" w:rsidRDefault="002F1851" w:rsidP="002F1851">
            <w:pPr>
              <w:spacing w:before="120" w:after="0"/>
              <w:jc w:val="left"/>
              <w:rPr>
                <w:sz w:val="18"/>
                <w:szCs w:val="18"/>
              </w:rPr>
            </w:pPr>
            <w:r w:rsidRPr="00CD1982">
              <w:rPr>
                <w:sz w:val="18"/>
                <w:szCs w:val="18"/>
              </w:rPr>
              <w:t>Medical and nursing staff employed within the CRF</w:t>
            </w:r>
          </w:p>
        </w:tc>
      </w:tr>
      <w:tr w:rsidR="002F1851" w:rsidRPr="003F445B" w:rsidTr="002F1851">
        <w:trPr>
          <w:trHeight w:val="561"/>
        </w:trPr>
        <w:tc>
          <w:tcPr>
            <w:tcW w:w="2835" w:type="dxa"/>
            <w:vAlign w:val="center"/>
          </w:tcPr>
          <w:p w:rsidR="002F1851" w:rsidRPr="004863F4" w:rsidRDefault="002F1851" w:rsidP="002F1851">
            <w:pPr>
              <w:spacing w:before="120" w:after="0"/>
              <w:jc w:val="left"/>
              <w:rPr>
                <w:rFonts w:cs="Arial"/>
                <w:color w:val="000000"/>
                <w:sz w:val="18"/>
                <w:szCs w:val="18"/>
              </w:rPr>
            </w:pPr>
            <w:r>
              <w:rPr>
                <w:rFonts w:cs="Arial"/>
                <w:color w:val="000000"/>
                <w:sz w:val="18"/>
                <w:szCs w:val="18"/>
              </w:rPr>
              <w:t>DeNDRoN</w:t>
            </w:r>
            <w:r w:rsidRPr="004863F4">
              <w:rPr>
                <w:rFonts w:cs="Arial"/>
                <w:color w:val="000000"/>
                <w:sz w:val="18"/>
                <w:szCs w:val="18"/>
              </w:rPr>
              <w:t xml:space="preserve"> (CRN Division 4)</w:t>
            </w:r>
          </w:p>
        </w:tc>
        <w:tc>
          <w:tcPr>
            <w:tcW w:w="1276" w:type="dxa"/>
            <w:vAlign w:val="center"/>
          </w:tcPr>
          <w:p w:rsidR="002F1851" w:rsidRPr="00CD1982" w:rsidRDefault="002F1851" w:rsidP="002F1851">
            <w:pPr>
              <w:spacing w:before="120" w:after="0"/>
              <w:jc w:val="center"/>
              <w:rPr>
                <w:sz w:val="18"/>
                <w:szCs w:val="18"/>
              </w:rPr>
            </w:pPr>
            <w:r w:rsidRPr="00CD1982">
              <w:rPr>
                <w:sz w:val="18"/>
                <w:szCs w:val="18"/>
              </w:rPr>
              <w:t>245</w:t>
            </w:r>
          </w:p>
        </w:tc>
        <w:tc>
          <w:tcPr>
            <w:tcW w:w="5954" w:type="dxa"/>
            <w:vAlign w:val="center"/>
          </w:tcPr>
          <w:p w:rsidR="002F1851" w:rsidRPr="00CD1982" w:rsidRDefault="002F1851" w:rsidP="002F1851">
            <w:pPr>
              <w:spacing w:before="120" w:after="0"/>
              <w:jc w:val="left"/>
              <w:rPr>
                <w:sz w:val="18"/>
                <w:szCs w:val="18"/>
              </w:rPr>
            </w:pPr>
            <w:r>
              <w:rPr>
                <w:sz w:val="18"/>
                <w:szCs w:val="18"/>
              </w:rPr>
              <w:t>CRN:TV SM Division 4</w:t>
            </w:r>
            <w:r w:rsidRPr="00CD1982">
              <w:rPr>
                <w:sz w:val="18"/>
                <w:szCs w:val="18"/>
              </w:rPr>
              <w:t xml:space="preserve"> staff employed by the Trust </w:t>
            </w:r>
          </w:p>
        </w:tc>
      </w:tr>
      <w:tr w:rsidR="002F1851" w:rsidRPr="003F445B" w:rsidTr="002F1851">
        <w:trPr>
          <w:trHeight w:val="433"/>
        </w:trPr>
        <w:tc>
          <w:tcPr>
            <w:tcW w:w="2835" w:type="dxa"/>
            <w:vAlign w:val="center"/>
          </w:tcPr>
          <w:p w:rsidR="002F1851" w:rsidRPr="00CD1982" w:rsidRDefault="002F1851" w:rsidP="002F1851">
            <w:pPr>
              <w:spacing w:before="120" w:after="0"/>
              <w:jc w:val="left"/>
              <w:rPr>
                <w:sz w:val="18"/>
                <w:szCs w:val="18"/>
              </w:rPr>
            </w:pPr>
            <w:r w:rsidRPr="00CD1982">
              <w:rPr>
                <w:sz w:val="18"/>
                <w:szCs w:val="18"/>
              </w:rPr>
              <w:t>Network Staff Hosted by OH</w:t>
            </w:r>
          </w:p>
        </w:tc>
        <w:tc>
          <w:tcPr>
            <w:tcW w:w="1276" w:type="dxa"/>
            <w:vAlign w:val="center"/>
          </w:tcPr>
          <w:p w:rsidR="002F1851" w:rsidRPr="00CD1982" w:rsidRDefault="002F1851" w:rsidP="002F1851">
            <w:pPr>
              <w:spacing w:before="120" w:after="0"/>
              <w:jc w:val="center"/>
              <w:rPr>
                <w:sz w:val="18"/>
                <w:szCs w:val="18"/>
              </w:rPr>
            </w:pPr>
            <w:r w:rsidRPr="00CD1982">
              <w:rPr>
                <w:sz w:val="18"/>
                <w:szCs w:val="18"/>
              </w:rPr>
              <w:t>262</w:t>
            </w:r>
          </w:p>
        </w:tc>
        <w:tc>
          <w:tcPr>
            <w:tcW w:w="5954" w:type="dxa"/>
            <w:vAlign w:val="center"/>
          </w:tcPr>
          <w:p w:rsidR="002F1851" w:rsidRPr="00CD1982" w:rsidRDefault="002F1851" w:rsidP="002F1851">
            <w:pPr>
              <w:spacing w:before="120" w:after="0"/>
              <w:jc w:val="left"/>
              <w:rPr>
                <w:sz w:val="18"/>
                <w:szCs w:val="18"/>
              </w:rPr>
            </w:pPr>
            <w:r w:rsidRPr="00CD1982">
              <w:rPr>
                <w:sz w:val="18"/>
                <w:szCs w:val="18"/>
              </w:rPr>
              <w:t>CRN Network staff employed by the Trust</w:t>
            </w:r>
          </w:p>
        </w:tc>
      </w:tr>
      <w:tr w:rsidR="002F1851" w:rsidRPr="003F445B" w:rsidTr="002F1851">
        <w:trPr>
          <w:trHeight w:val="392"/>
        </w:trPr>
        <w:tc>
          <w:tcPr>
            <w:tcW w:w="2835" w:type="dxa"/>
            <w:vAlign w:val="center"/>
          </w:tcPr>
          <w:p w:rsidR="002F1851" w:rsidRPr="00CD1982" w:rsidRDefault="002F1851" w:rsidP="002F1851">
            <w:pPr>
              <w:spacing w:before="120" w:after="0"/>
              <w:jc w:val="left"/>
              <w:rPr>
                <w:sz w:val="18"/>
                <w:szCs w:val="18"/>
              </w:rPr>
            </w:pPr>
            <w:r w:rsidRPr="00CD1982">
              <w:rPr>
                <w:sz w:val="18"/>
                <w:szCs w:val="18"/>
              </w:rPr>
              <w:t>Community Staff</w:t>
            </w:r>
          </w:p>
        </w:tc>
        <w:tc>
          <w:tcPr>
            <w:tcW w:w="1276" w:type="dxa"/>
            <w:vAlign w:val="center"/>
          </w:tcPr>
          <w:p w:rsidR="002F1851" w:rsidRPr="00CD1982" w:rsidRDefault="002F1851" w:rsidP="002F1851">
            <w:pPr>
              <w:spacing w:before="120" w:after="0"/>
              <w:jc w:val="center"/>
              <w:rPr>
                <w:sz w:val="18"/>
                <w:szCs w:val="18"/>
              </w:rPr>
            </w:pPr>
            <w:r w:rsidRPr="00CD1982">
              <w:rPr>
                <w:sz w:val="18"/>
                <w:szCs w:val="18"/>
              </w:rPr>
              <w:t>87</w:t>
            </w:r>
          </w:p>
        </w:tc>
        <w:tc>
          <w:tcPr>
            <w:tcW w:w="5954" w:type="dxa"/>
            <w:vAlign w:val="center"/>
          </w:tcPr>
          <w:p w:rsidR="002F1851" w:rsidRPr="00CD1982" w:rsidRDefault="002F1851" w:rsidP="002F1851">
            <w:pPr>
              <w:spacing w:before="120" w:after="0"/>
              <w:jc w:val="left"/>
              <w:rPr>
                <w:sz w:val="18"/>
                <w:szCs w:val="18"/>
              </w:rPr>
            </w:pPr>
            <w:r w:rsidRPr="00CD1982">
              <w:rPr>
                <w:sz w:val="18"/>
                <w:szCs w:val="18"/>
              </w:rPr>
              <w:t>Community Research Nurses employed by the Trust</w:t>
            </w:r>
          </w:p>
        </w:tc>
      </w:tr>
      <w:tr w:rsidR="002F1851" w:rsidRPr="003F445B" w:rsidTr="002F1851">
        <w:trPr>
          <w:trHeight w:val="630"/>
        </w:trPr>
        <w:tc>
          <w:tcPr>
            <w:tcW w:w="2835" w:type="dxa"/>
            <w:tcBorders>
              <w:bottom w:val="single" w:sz="4" w:space="0" w:color="auto"/>
            </w:tcBorders>
            <w:vAlign w:val="center"/>
          </w:tcPr>
          <w:p w:rsidR="002F1851" w:rsidRPr="00CD1982" w:rsidRDefault="002F1851" w:rsidP="002F1851">
            <w:pPr>
              <w:spacing w:before="120" w:after="0"/>
              <w:jc w:val="left"/>
              <w:rPr>
                <w:sz w:val="18"/>
                <w:szCs w:val="18"/>
              </w:rPr>
            </w:pPr>
            <w:r w:rsidRPr="00CD1982">
              <w:rPr>
                <w:sz w:val="18"/>
                <w:szCs w:val="18"/>
              </w:rPr>
              <w:t xml:space="preserve">Thames Valley Primary Care </w:t>
            </w:r>
          </w:p>
        </w:tc>
        <w:tc>
          <w:tcPr>
            <w:tcW w:w="1276" w:type="dxa"/>
            <w:tcBorders>
              <w:bottom w:val="single" w:sz="4" w:space="0" w:color="auto"/>
            </w:tcBorders>
            <w:vAlign w:val="center"/>
          </w:tcPr>
          <w:p w:rsidR="002F1851" w:rsidRPr="00CD1982" w:rsidRDefault="002F1851" w:rsidP="002F1851">
            <w:pPr>
              <w:spacing w:before="120" w:after="0"/>
              <w:jc w:val="center"/>
              <w:rPr>
                <w:sz w:val="18"/>
                <w:szCs w:val="18"/>
              </w:rPr>
            </w:pPr>
            <w:r w:rsidRPr="00CD1982">
              <w:rPr>
                <w:sz w:val="18"/>
                <w:szCs w:val="18"/>
              </w:rPr>
              <w:t>288</w:t>
            </w:r>
          </w:p>
        </w:tc>
        <w:tc>
          <w:tcPr>
            <w:tcW w:w="5954" w:type="dxa"/>
            <w:tcBorders>
              <w:bottom w:val="single" w:sz="4" w:space="0" w:color="auto"/>
            </w:tcBorders>
            <w:vAlign w:val="center"/>
          </w:tcPr>
          <w:p w:rsidR="002F1851" w:rsidRPr="00CD1982" w:rsidRDefault="002F1851" w:rsidP="002F1851">
            <w:pPr>
              <w:spacing w:before="120" w:after="0"/>
              <w:jc w:val="left"/>
              <w:rPr>
                <w:sz w:val="18"/>
                <w:szCs w:val="18"/>
              </w:rPr>
            </w:pPr>
            <w:r w:rsidRPr="00CD1982">
              <w:rPr>
                <w:sz w:val="18"/>
                <w:szCs w:val="18"/>
              </w:rPr>
              <w:t xml:space="preserve">Thames Valley </w:t>
            </w:r>
            <w:r>
              <w:rPr>
                <w:sz w:val="18"/>
                <w:szCs w:val="18"/>
              </w:rPr>
              <w:t xml:space="preserve">Primary Care </w:t>
            </w:r>
            <w:r w:rsidRPr="00CD1982">
              <w:rPr>
                <w:sz w:val="18"/>
                <w:szCs w:val="18"/>
              </w:rPr>
              <w:t>Governance and support staff employed by the Trust</w:t>
            </w:r>
          </w:p>
        </w:tc>
      </w:tr>
      <w:tr w:rsidR="002F1851" w:rsidRPr="003F445B" w:rsidTr="009A591A">
        <w:trPr>
          <w:trHeight w:val="346"/>
        </w:trPr>
        <w:tc>
          <w:tcPr>
            <w:tcW w:w="2835" w:type="dxa"/>
            <w:shd w:val="clear" w:color="auto" w:fill="8DB3E2" w:themeFill="text2" w:themeFillTint="66"/>
          </w:tcPr>
          <w:p w:rsidR="002F1851" w:rsidRPr="00CD1982" w:rsidRDefault="002F1851" w:rsidP="002F1851">
            <w:pPr>
              <w:spacing w:before="120" w:after="120"/>
              <w:rPr>
                <w:b/>
                <w:sz w:val="18"/>
                <w:szCs w:val="18"/>
              </w:rPr>
            </w:pPr>
            <w:r w:rsidRPr="00CD1982">
              <w:rPr>
                <w:b/>
                <w:sz w:val="18"/>
                <w:szCs w:val="18"/>
              </w:rPr>
              <w:t>Total</w:t>
            </w:r>
          </w:p>
        </w:tc>
        <w:tc>
          <w:tcPr>
            <w:tcW w:w="1276" w:type="dxa"/>
            <w:shd w:val="clear" w:color="auto" w:fill="8DB3E2" w:themeFill="text2" w:themeFillTint="66"/>
          </w:tcPr>
          <w:p w:rsidR="002F1851" w:rsidRPr="00CD1982" w:rsidRDefault="002F1851" w:rsidP="002F1851">
            <w:pPr>
              <w:spacing w:before="120" w:after="120"/>
              <w:jc w:val="center"/>
              <w:rPr>
                <w:b/>
                <w:sz w:val="18"/>
                <w:szCs w:val="18"/>
              </w:rPr>
            </w:pPr>
            <w:r w:rsidRPr="00CD1982">
              <w:rPr>
                <w:b/>
                <w:sz w:val="18"/>
                <w:szCs w:val="18"/>
              </w:rPr>
              <w:t>1,59</w:t>
            </w:r>
            <w:r>
              <w:rPr>
                <w:b/>
                <w:sz w:val="18"/>
                <w:szCs w:val="18"/>
              </w:rPr>
              <w:t>7</w:t>
            </w:r>
          </w:p>
        </w:tc>
        <w:tc>
          <w:tcPr>
            <w:tcW w:w="5954" w:type="dxa"/>
            <w:shd w:val="clear" w:color="auto" w:fill="8DB3E2" w:themeFill="text2" w:themeFillTint="66"/>
          </w:tcPr>
          <w:p w:rsidR="002F1851" w:rsidRPr="00CD1982" w:rsidRDefault="002F1851" w:rsidP="002F1851">
            <w:pPr>
              <w:spacing w:before="120" w:after="120"/>
              <w:rPr>
                <w:b/>
                <w:sz w:val="18"/>
                <w:szCs w:val="18"/>
              </w:rPr>
            </w:pPr>
          </w:p>
        </w:tc>
      </w:tr>
    </w:tbl>
    <w:p w:rsidR="002F1851" w:rsidRDefault="002F1851" w:rsidP="006D305A">
      <w:pPr>
        <w:pStyle w:val="Heading2"/>
        <w:numPr>
          <w:ilvl w:val="0"/>
          <w:numId w:val="0"/>
        </w:numPr>
        <w:ind w:left="576"/>
        <w:rPr>
          <w:lang w:val="en-GB"/>
        </w:rPr>
      </w:pPr>
    </w:p>
    <w:p w:rsidR="002F1851" w:rsidRDefault="002F1851" w:rsidP="002F1851">
      <w:pPr>
        <w:pStyle w:val="Heading2"/>
      </w:pPr>
      <w:r w:rsidRPr="00F377B7">
        <w:t xml:space="preserve">Potential </w:t>
      </w:r>
      <w:r>
        <w:t>Financial Risks</w:t>
      </w:r>
    </w:p>
    <w:p w:rsidR="002F1851" w:rsidRPr="006D305A" w:rsidRDefault="002F1851" w:rsidP="006D305A">
      <w:pPr>
        <w:pStyle w:val="Heading3"/>
      </w:pPr>
      <w:r w:rsidRPr="006D305A">
        <w:t>R&amp;D Income Summary FY12-FY17</w:t>
      </w:r>
    </w:p>
    <w:p w:rsidR="002F1851" w:rsidRDefault="002F1851" w:rsidP="002F1851">
      <w:pPr>
        <w:spacing w:after="0"/>
      </w:pPr>
      <w:r w:rsidRPr="005569FD">
        <w:t xml:space="preserve">The </w:t>
      </w:r>
      <w:r>
        <w:t>level of research funding is predicted to drop next year from its currently forecast level of £6,697k to £6,230k. One of the main areas of concern is the lower RCF in FY17 which would reduce the Trusts flexibility and ability to potentially pump-prime certain areas of research.</w:t>
      </w:r>
    </w:p>
    <w:p w:rsidR="002F1851" w:rsidRDefault="002F1851" w:rsidP="002F1851">
      <w:pPr>
        <w:spacing w:before="0" w:after="0"/>
      </w:pPr>
    </w:p>
    <w:tbl>
      <w:tblPr>
        <w:tblStyle w:val="TableGrid"/>
        <w:tblpPr w:leftFromText="180" w:rightFromText="180" w:vertAnchor="text" w:horzAnchor="margin" w:tblpXSpec="center" w:tblpY="48"/>
        <w:tblW w:w="10290" w:type="dxa"/>
        <w:tblLook w:val="04A0" w:firstRow="1" w:lastRow="0" w:firstColumn="1" w:lastColumn="0" w:noHBand="0" w:noVBand="1"/>
      </w:tblPr>
      <w:tblGrid>
        <w:gridCol w:w="934"/>
        <w:gridCol w:w="4178"/>
        <w:gridCol w:w="740"/>
        <w:gridCol w:w="740"/>
        <w:gridCol w:w="739"/>
        <w:gridCol w:w="740"/>
        <w:gridCol w:w="740"/>
        <w:gridCol w:w="740"/>
        <w:gridCol w:w="739"/>
      </w:tblGrid>
      <w:tr w:rsidR="002F1851" w:rsidTr="009A591A">
        <w:trPr>
          <w:trHeight w:val="245"/>
        </w:trPr>
        <w:tc>
          <w:tcPr>
            <w:tcW w:w="934" w:type="dxa"/>
            <w:shd w:val="clear" w:color="auto" w:fill="8DB3E2" w:themeFill="text2" w:themeFillTint="66"/>
          </w:tcPr>
          <w:p w:rsidR="002F1851" w:rsidRPr="005B0B50" w:rsidRDefault="002F1851" w:rsidP="002F1851">
            <w:pPr>
              <w:spacing w:before="120" w:after="120"/>
              <w:rPr>
                <w:b/>
                <w:sz w:val="20"/>
                <w:szCs w:val="20"/>
              </w:rPr>
            </w:pPr>
            <w:r w:rsidRPr="005B0B50">
              <w:rPr>
                <w:b/>
                <w:sz w:val="20"/>
                <w:szCs w:val="20"/>
              </w:rPr>
              <w:t>Source</w:t>
            </w:r>
          </w:p>
        </w:tc>
        <w:tc>
          <w:tcPr>
            <w:tcW w:w="4178" w:type="dxa"/>
            <w:shd w:val="clear" w:color="auto" w:fill="8DB3E2" w:themeFill="text2" w:themeFillTint="66"/>
          </w:tcPr>
          <w:p w:rsidR="002F1851" w:rsidRPr="005B0B50" w:rsidRDefault="002F1851" w:rsidP="002F1851">
            <w:pPr>
              <w:spacing w:before="120" w:after="120"/>
              <w:rPr>
                <w:b/>
                <w:sz w:val="20"/>
                <w:szCs w:val="20"/>
              </w:rPr>
            </w:pPr>
            <w:r w:rsidRPr="005B0B50">
              <w:rPr>
                <w:b/>
                <w:sz w:val="20"/>
                <w:szCs w:val="20"/>
              </w:rPr>
              <w:t>Type</w:t>
            </w:r>
          </w:p>
        </w:tc>
        <w:tc>
          <w:tcPr>
            <w:tcW w:w="740" w:type="dxa"/>
            <w:shd w:val="clear" w:color="auto" w:fill="8DB3E2" w:themeFill="text2" w:themeFillTint="66"/>
          </w:tcPr>
          <w:p w:rsidR="002F1851" w:rsidRPr="00AB79DF" w:rsidRDefault="002F1851" w:rsidP="002F1851">
            <w:pPr>
              <w:spacing w:before="120" w:after="120"/>
              <w:jc w:val="center"/>
              <w:rPr>
                <w:rFonts w:ascii="Calibri" w:hAnsi="Calibri" w:cs="Calibri"/>
                <w:b/>
                <w:bCs/>
                <w:color w:val="000000"/>
                <w:sz w:val="20"/>
                <w:szCs w:val="20"/>
                <w:lang w:eastAsia="en-GB"/>
              </w:rPr>
            </w:pPr>
            <w:r w:rsidRPr="00AB79DF">
              <w:rPr>
                <w:rFonts w:ascii="Calibri" w:hAnsi="Calibri" w:cs="Calibri"/>
                <w:b/>
                <w:bCs/>
                <w:color w:val="000000"/>
                <w:sz w:val="20"/>
                <w:szCs w:val="20"/>
                <w:lang w:eastAsia="en-GB"/>
              </w:rPr>
              <w:t>FY12</w:t>
            </w:r>
          </w:p>
        </w:tc>
        <w:tc>
          <w:tcPr>
            <w:tcW w:w="740" w:type="dxa"/>
            <w:shd w:val="clear" w:color="auto" w:fill="8DB3E2" w:themeFill="text2" w:themeFillTint="66"/>
          </w:tcPr>
          <w:p w:rsidR="002F1851" w:rsidRPr="00AB79DF" w:rsidRDefault="002F1851" w:rsidP="002F1851">
            <w:pPr>
              <w:spacing w:before="120" w:after="120"/>
              <w:jc w:val="center"/>
              <w:rPr>
                <w:rFonts w:ascii="Calibri" w:hAnsi="Calibri" w:cs="Calibri"/>
                <w:b/>
                <w:bCs/>
                <w:color w:val="000000"/>
                <w:sz w:val="20"/>
                <w:szCs w:val="20"/>
                <w:lang w:eastAsia="en-GB"/>
              </w:rPr>
            </w:pPr>
            <w:r w:rsidRPr="00AB79DF">
              <w:rPr>
                <w:rFonts w:ascii="Calibri" w:hAnsi="Calibri" w:cs="Calibri"/>
                <w:b/>
                <w:bCs/>
                <w:color w:val="000000"/>
                <w:sz w:val="20"/>
                <w:szCs w:val="20"/>
                <w:lang w:eastAsia="en-GB"/>
              </w:rPr>
              <w:t>FY13</w:t>
            </w:r>
          </w:p>
        </w:tc>
        <w:tc>
          <w:tcPr>
            <w:tcW w:w="739" w:type="dxa"/>
            <w:shd w:val="clear" w:color="auto" w:fill="8DB3E2" w:themeFill="text2" w:themeFillTint="66"/>
          </w:tcPr>
          <w:p w:rsidR="002F1851" w:rsidRPr="00AB79DF" w:rsidRDefault="002F1851" w:rsidP="002F1851">
            <w:pPr>
              <w:spacing w:before="120" w:after="120"/>
              <w:jc w:val="center"/>
              <w:rPr>
                <w:rFonts w:ascii="Calibri" w:hAnsi="Calibri" w:cs="Calibri"/>
                <w:b/>
                <w:bCs/>
                <w:color w:val="000000"/>
                <w:sz w:val="20"/>
                <w:szCs w:val="20"/>
                <w:lang w:eastAsia="en-GB"/>
              </w:rPr>
            </w:pPr>
            <w:r w:rsidRPr="00AB79DF">
              <w:rPr>
                <w:rFonts w:ascii="Calibri" w:hAnsi="Calibri" w:cs="Calibri"/>
                <w:b/>
                <w:bCs/>
                <w:color w:val="000000"/>
                <w:sz w:val="20"/>
                <w:szCs w:val="20"/>
                <w:lang w:eastAsia="en-GB"/>
              </w:rPr>
              <w:t>FY14</w:t>
            </w:r>
          </w:p>
        </w:tc>
        <w:tc>
          <w:tcPr>
            <w:tcW w:w="740" w:type="dxa"/>
            <w:shd w:val="clear" w:color="auto" w:fill="8DB3E2" w:themeFill="text2" w:themeFillTint="66"/>
          </w:tcPr>
          <w:p w:rsidR="002F1851" w:rsidRPr="00AB79DF" w:rsidRDefault="002F1851" w:rsidP="002F1851">
            <w:pPr>
              <w:spacing w:before="120" w:after="120"/>
              <w:jc w:val="center"/>
              <w:rPr>
                <w:rFonts w:ascii="Calibri" w:hAnsi="Calibri" w:cs="Calibri"/>
                <w:b/>
                <w:bCs/>
                <w:color w:val="000000"/>
                <w:sz w:val="20"/>
                <w:szCs w:val="20"/>
                <w:lang w:eastAsia="en-GB"/>
              </w:rPr>
            </w:pPr>
            <w:r w:rsidRPr="00AB79DF">
              <w:rPr>
                <w:rFonts w:ascii="Calibri" w:hAnsi="Calibri" w:cs="Calibri"/>
                <w:b/>
                <w:bCs/>
                <w:color w:val="000000"/>
                <w:sz w:val="20"/>
                <w:szCs w:val="20"/>
                <w:lang w:eastAsia="en-GB"/>
              </w:rPr>
              <w:t>FY15</w:t>
            </w:r>
          </w:p>
        </w:tc>
        <w:tc>
          <w:tcPr>
            <w:tcW w:w="740" w:type="dxa"/>
            <w:shd w:val="clear" w:color="auto" w:fill="8DB3E2" w:themeFill="text2" w:themeFillTint="66"/>
          </w:tcPr>
          <w:p w:rsidR="002F1851" w:rsidRPr="00AB79DF" w:rsidRDefault="002F1851" w:rsidP="002F1851">
            <w:pPr>
              <w:spacing w:before="120" w:after="120"/>
              <w:jc w:val="center"/>
              <w:rPr>
                <w:rFonts w:ascii="Calibri" w:hAnsi="Calibri" w:cs="Calibri"/>
                <w:b/>
                <w:bCs/>
                <w:color w:val="000000"/>
                <w:sz w:val="20"/>
                <w:szCs w:val="20"/>
                <w:lang w:eastAsia="en-GB"/>
              </w:rPr>
            </w:pPr>
            <w:r w:rsidRPr="00AB79DF">
              <w:rPr>
                <w:rFonts w:ascii="Calibri" w:hAnsi="Calibri" w:cs="Calibri"/>
                <w:b/>
                <w:bCs/>
                <w:color w:val="000000"/>
                <w:sz w:val="20"/>
                <w:szCs w:val="20"/>
                <w:lang w:eastAsia="en-GB"/>
              </w:rPr>
              <w:t>FY16</w:t>
            </w:r>
          </w:p>
        </w:tc>
        <w:tc>
          <w:tcPr>
            <w:tcW w:w="740" w:type="dxa"/>
            <w:shd w:val="clear" w:color="auto" w:fill="8DB3E2" w:themeFill="text2" w:themeFillTint="66"/>
          </w:tcPr>
          <w:p w:rsidR="002F1851" w:rsidRPr="00AB79DF" w:rsidRDefault="002F1851" w:rsidP="002F1851">
            <w:pPr>
              <w:spacing w:before="120" w:after="120"/>
              <w:jc w:val="center"/>
              <w:rPr>
                <w:rFonts w:ascii="Calibri" w:hAnsi="Calibri" w:cs="Calibri"/>
                <w:b/>
                <w:bCs/>
                <w:color w:val="000000"/>
                <w:sz w:val="20"/>
                <w:szCs w:val="20"/>
                <w:lang w:eastAsia="en-GB"/>
              </w:rPr>
            </w:pPr>
            <w:r w:rsidRPr="00AB79DF">
              <w:rPr>
                <w:rFonts w:ascii="Calibri" w:hAnsi="Calibri" w:cs="Calibri"/>
                <w:b/>
                <w:bCs/>
                <w:color w:val="000000"/>
                <w:sz w:val="20"/>
                <w:szCs w:val="20"/>
                <w:lang w:eastAsia="en-GB"/>
              </w:rPr>
              <w:t>FY17</w:t>
            </w:r>
          </w:p>
        </w:tc>
        <w:tc>
          <w:tcPr>
            <w:tcW w:w="739" w:type="dxa"/>
            <w:shd w:val="clear" w:color="auto" w:fill="8DB3E2" w:themeFill="text2" w:themeFillTint="66"/>
          </w:tcPr>
          <w:p w:rsidR="002F1851" w:rsidRPr="00526AAE" w:rsidRDefault="002F1851" w:rsidP="002F1851">
            <w:pPr>
              <w:spacing w:before="120" w:after="120"/>
              <w:rPr>
                <w:b/>
                <w:sz w:val="16"/>
                <w:szCs w:val="16"/>
              </w:rPr>
            </w:pPr>
            <w:r w:rsidRPr="00526AAE">
              <w:rPr>
                <w:b/>
                <w:sz w:val="16"/>
                <w:szCs w:val="16"/>
              </w:rPr>
              <w:t>Notes</w:t>
            </w:r>
          </w:p>
        </w:tc>
      </w:tr>
      <w:tr w:rsidR="002F1851" w:rsidTr="002F1851">
        <w:trPr>
          <w:trHeight w:val="245"/>
        </w:trPr>
        <w:tc>
          <w:tcPr>
            <w:tcW w:w="934" w:type="dxa"/>
          </w:tcPr>
          <w:p w:rsidR="002F1851" w:rsidRPr="005B0B50" w:rsidRDefault="002F1851" w:rsidP="002F1851">
            <w:pPr>
              <w:spacing w:before="0" w:after="0"/>
              <w:jc w:val="center"/>
              <w:rPr>
                <w:b/>
                <w:sz w:val="20"/>
                <w:szCs w:val="20"/>
              </w:rPr>
            </w:pPr>
            <w:r w:rsidRPr="00AB79DF">
              <w:rPr>
                <w:rFonts w:ascii="Calibri" w:hAnsi="Calibri" w:cs="Calibri"/>
                <w:color w:val="000000"/>
                <w:sz w:val="20"/>
                <w:szCs w:val="20"/>
                <w:lang w:eastAsia="en-GB"/>
              </w:rPr>
              <w:t>NIHR</w:t>
            </w:r>
          </w:p>
        </w:tc>
        <w:tc>
          <w:tcPr>
            <w:tcW w:w="4178" w:type="dxa"/>
          </w:tcPr>
          <w:p w:rsidR="002F1851" w:rsidRPr="005B0B50" w:rsidRDefault="002F1851" w:rsidP="002F1851">
            <w:pPr>
              <w:spacing w:before="0" w:after="0"/>
              <w:rPr>
                <w:b/>
                <w:sz w:val="20"/>
                <w:szCs w:val="20"/>
              </w:rPr>
            </w:pPr>
            <w:r w:rsidRPr="00AB79DF">
              <w:rPr>
                <w:rFonts w:ascii="Calibri" w:hAnsi="Calibri" w:cs="Calibri"/>
                <w:color w:val="000000"/>
                <w:sz w:val="20"/>
                <w:szCs w:val="20"/>
                <w:lang w:eastAsia="en-GB"/>
              </w:rPr>
              <w:t>Study income Dep</w:t>
            </w:r>
            <w:r>
              <w:rPr>
                <w:rFonts w:ascii="Calibri" w:hAnsi="Calibri" w:cs="Calibri"/>
                <w:color w:val="000000"/>
                <w:sz w:val="20"/>
                <w:szCs w:val="20"/>
                <w:lang w:eastAsia="en-GB"/>
              </w:rPr>
              <w:t>ar</w:t>
            </w:r>
            <w:r w:rsidRPr="00AB79DF">
              <w:rPr>
                <w:rFonts w:ascii="Calibri" w:hAnsi="Calibri" w:cs="Calibri"/>
                <w:color w:val="000000"/>
                <w:sz w:val="20"/>
                <w:szCs w:val="20"/>
                <w:lang w:eastAsia="en-GB"/>
              </w:rPr>
              <w:t>t</w:t>
            </w:r>
            <w:r>
              <w:rPr>
                <w:rFonts w:ascii="Calibri" w:hAnsi="Calibri" w:cs="Calibri"/>
                <w:color w:val="000000"/>
                <w:sz w:val="20"/>
                <w:szCs w:val="20"/>
                <w:lang w:eastAsia="en-GB"/>
              </w:rPr>
              <w:t>ment</w:t>
            </w:r>
            <w:r w:rsidRPr="00AB79DF">
              <w:rPr>
                <w:rFonts w:ascii="Calibri" w:hAnsi="Calibri" w:cs="Calibri"/>
                <w:color w:val="000000"/>
                <w:sz w:val="20"/>
                <w:szCs w:val="20"/>
                <w:lang w:eastAsia="en-GB"/>
              </w:rPr>
              <w:t xml:space="preserve"> of Psychiatry &amp; Trust</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1,605</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1,768</w:t>
            </w:r>
          </w:p>
        </w:tc>
        <w:tc>
          <w:tcPr>
            <w:tcW w:w="739"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1,827</w:t>
            </w:r>
          </w:p>
        </w:tc>
        <w:tc>
          <w:tcPr>
            <w:tcW w:w="740" w:type="dxa"/>
          </w:tcPr>
          <w:p w:rsidR="002F1851" w:rsidRPr="00AB79DF" w:rsidRDefault="002F1851" w:rsidP="002F1851">
            <w:pPr>
              <w:spacing w:before="0" w:after="0"/>
              <w:jc w:val="center"/>
              <w:rPr>
                <w:rFonts w:ascii="Calibri" w:hAnsi="Calibri" w:cs="Calibri"/>
                <w:b/>
                <w:color w:val="000000"/>
                <w:sz w:val="20"/>
                <w:szCs w:val="20"/>
                <w:lang w:eastAsia="en-GB"/>
              </w:rPr>
            </w:pPr>
            <w:r w:rsidRPr="00AB79DF">
              <w:rPr>
                <w:rFonts w:ascii="Calibri" w:hAnsi="Calibri" w:cs="Calibri"/>
                <w:b/>
                <w:color w:val="000000"/>
                <w:sz w:val="20"/>
                <w:szCs w:val="20"/>
                <w:lang w:eastAsia="en-GB"/>
              </w:rPr>
              <w:t>1,164</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w:t>
            </w:r>
          </w:p>
        </w:tc>
        <w:tc>
          <w:tcPr>
            <w:tcW w:w="739" w:type="dxa"/>
          </w:tcPr>
          <w:p w:rsidR="002F1851" w:rsidRPr="005B0B50" w:rsidRDefault="002F1851" w:rsidP="002F1851">
            <w:pPr>
              <w:spacing w:before="0" w:after="0"/>
              <w:jc w:val="center"/>
              <w:rPr>
                <w:b/>
                <w:sz w:val="20"/>
                <w:szCs w:val="20"/>
              </w:rPr>
            </w:pPr>
          </w:p>
        </w:tc>
      </w:tr>
      <w:tr w:rsidR="002F1851" w:rsidTr="002F1851">
        <w:trPr>
          <w:trHeight w:val="234"/>
        </w:trPr>
        <w:tc>
          <w:tcPr>
            <w:tcW w:w="934" w:type="dxa"/>
          </w:tcPr>
          <w:p w:rsidR="002F1851" w:rsidRPr="005B0B50" w:rsidRDefault="002F1851" w:rsidP="002F1851">
            <w:pPr>
              <w:spacing w:before="0" w:after="0"/>
              <w:jc w:val="center"/>
              <w:rPr>
                <w:b/>
                <w:sz w:val="20"/>
                <w:szCs w:val="20"/>
              </w:rPr>
            </w:pPr>
            <w:r w:rsidRPr="00AB79DF">
              <w:rPr>
                <w:rFonts w:ascii="Calibri" w:hAnsi="Calibri" w:cs="Calibri"/>
                <w:color w:val="000000"/>
                <w:sz w:val="20"/>
                <w:szCs w:val="20"/>
                <w:lang w:eastAsia="en-GB"/>
              </w:rPr>
              <w:t>NIHR</w:t>
            </w:r>
          </w:p>
        </w:tc>
        <w:tc>
          <w:tcPr>
            <w:tcW w:w="4178" w:type="dxa"/>
          </w:tcPr>
          <w:p w:rsidR="002F1851" w:rsidRPr="00AB79DF" w:rsidRDefault="002F1851" w:rsidP="002F1851">
            <w:pPr>
              <w:spacing w:before="0" w:after="0"/>
              <w:rPr>
                <w:rFonts w:ascii="Calibri" w:hAnsi="Calibri" w:cs="Calibri"/>
                <w:color w:val="000000"/>
                <w:sz w:val="20"/>
                <w:szCs w:val="20"/>
                <w:lang w:eastAsia="en-GB"/>
              </w:rPr>
            </w:pPr>
            <w:r w:rsidRPr="00AB79DF">
              <w:rPr>
                <w:rFonts w:ascii="Calibri" w:hAnsi="Calibri" w:cs="Calibri"/>
                <w:color w:val="000000"/>
                <w:sz w:val="20"/>
                <w:szCs w:val="20"/>
                <w:lang w:eastAsia="en-GB"/>
              </w:rPr>
              <w:t>Study income Dep</w:t>
            </w:r>
            <w:r>
              <w:rPr>
                <w:rFonts w:ascii="Calibri" w:hAnsi="Calibri" w:cs="Calibri"/>
                <w:color w:val="000000"/>
                <w:sz w:val="20"/>
                <w:szCs w:val="20"/>
                <w:lang w:eastAsia="en-GB"/>
              </w:rPr>
              <w:t>artment</w:t>
            </w:r>
            <w:r w:rsidRPr="00AB79DF">
              <w:rPr>
                <w:rFonts w:ascii="Calibri" w:hAnsi="Calibri" w:cs="Calibri"/>
                <w:color w:val="000000"/>
                <w:sz w:val="20"/>
                <w:szCs w:val="20"/>
                <w:lang w:eastAsia="en-GB"/>
              </w:rPr>
              <w:t xml:space="preserve"> of Primary Care</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w:t>
            </w:r>
          </w:p>
        </w:tc>
        <w:tc>
          <w:tcPr>
            <w:tcW w:w="739"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106</w:t>
            </w:r>
          </w:p>
        </w:tc>
        <w:tc>
          <w:tcPr>
            <w:tcW w:w="740" w:type="dxa"/>
          </w:tcPr>
          <w:p w:rsidR="002F1851" w:rsidRPr="00AB79DF" w:rsidRDefault="002F1851" w:rsidP="002F1851">
            <w:pPr>
              <w:spacing w:before="0" w:after="0"/>
              <w:jc w:val="center"/>
              <w:rPr>
                <w:rFonts w:ascii="Calibri" w:hAnsi="Calibri" w:cs="Calibri"/>
                <w:b/>
                <w:color w:val="000000"/>
                <w:sz w:val="20"/>
                <w:szCs w:val="20"/>
                <w:lang w:eastAsia="en-GB"/>
              </w:rPr>
            </w:pPr>
            <w:r w:rsidRPr="00AB79DF">
              <w:rPr>
                <w:rFonts w:ascii="Calibri" w:hAnsi="Calibri" w:cs="Calibri"/>
                <w:b/>
                <w:color w:val="000000"/>
                <w:sz w:val="20"/>
                <w:szCs w:val="20"/>
                <w:lang w:eastAsia="en-GB"/>
              </w:rPr>
              <w:t>280</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243</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243</w:t>
            </w:r>
          </w:p>
        </w:tc>
        <w:tc>
          <w:tcPr>
            <w:tcW w:w="739" w:type="dxa"/>
          </w:tcPr>
          <w:p w:rsidR="002F1851" w:rsidRPr="005B0B50" w:rsidRDefault="002F1851" w:rsidP="002F1851">
            <w:pPr>
              <w:spacing w:before="0" w:after="0"/>
              <w:jc w:val="center"/>
              <w:rPr>
                <w:b/>
                <w:sz w:val="20"/>
                <w:szCs w:val="20"/>
              </w:rPr>
            </w:pPr>
          </w:p>
        </w:tc>
      </w:tr>
      <w:tr w:rsidR="002F1851" w:rsidTr="002F1851">
        <w:trPr>
          <w:trHeight w:val="245"/>
        </w:trPr>
        <w:tc>
          <w:tcPr>
            <w:tcW w:w="934" w:type="dxa"/>
          </w:tcPr>
          <w:p w:rsidR="002F1851" w:rsidRPr="005B0B50" w:rsidRDefault="002F1851" w:rsidP="002F1851">
            <w:pPr>
              <w:spacing w:before="0" w:after="0"/>
              <w:jc w:val="center"/>
              <w:rPr>
                <w:b/>
                <w:sz w:val="20"/>
                <w:szCs w:val="20"/>
              </w:rPr>
            </w:pPr>
            <w:r w:rsidRPr="00AB79DF">
              <w:rPr>
                <w:rFonts w:ascii="Calibri" w:hAnsi="Calibri" w:cs="Calibri"/>
                <w:color w:val="000000"/>
                <w:sz w:val="20"/>
                <w:szCs w:val="20"/>
                <w:lang w:eastAsia="en-GB"/>
              </w:rPr>
              <w:t>NIHR</w:t>
            </w:r>
          </w:p>
        </w:tc>
        <w:tc>
          <w:tcPr>
            <w:tcW w:w="4178" w:type="dxa"/>
          </w:tcPr>
          <w:p w:rsidR="002F1851" w:rsidRPr="00AB79DF" w:rsidRDefault="002F1851" w:rsidP="002F1851">
            <w:pPr>
              <w:spacing w:before="0" w:after="0"/>
              <w:rPr>
                <w:rFonts w:ascii="Calibri" w:hAnsi="Calibri" w:cs="Calibri"/>
                <w:color w:val="000000"/>
                <w:sz w:val="20"/>
                <w:szCs w:val="20"/>
                <w:lang w:eastAsia="en-GB"/>
              </w:rPr>
            </w:pPr>
            <w:r w:rsidRPr="00AB79DF">
              <w:rPr>
                <w:rFonts w:ascii="Calibri" w:hAnsi="Calibri" w:cs="Calibri"/>
                <w:color w:val="000000"/>
                <w:sz w:val="20"/>
                <w:szCs w:val="20"/>
                <w:lang w:eastAsia="en-GB"/>
              </w:rPr>
              <w:t>Sub-Contracted Study income</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284</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85</w:t>
            </w:r>
          </w:p>
        </w:tc>
        <w:tc>
          <w:tcPr>
            <w:tcW w:w="739"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389</w:t>
            </w:r>
          </w:p>
        </w:tc>
        <w:tc>
          <w:tcPr>
            <w:tcW w:w="740" w:type="dxa"/>
          </w:tcPr>
          <w:p w:rsidR="002F1851" w:rsidRPr="00AB79DF" w:rsidRDefault="002F1851" w:rsidP="002F1851">
            <w:pPr>
              <w:spacing w:before="0" w:after="0"/>
              <w:jc w:val="center"/>
              <w:rPr>
                <w:rFonts w:ascii="Calibri" w:hAnsi="Calibri" w:cs="Calibri"/>
                <w:b/>
                <w:color w:val="000000"/>
                <w:sz w:val="20"/>
                <w:szCs w:val="20"/>
                <w:lang w:eastAsia="en-GB"/>
              </w:rPr>
            </w:pPr>
            <w:r w:rsidRPr="00AB79DF">
              <w:rPr>
                <w:rFonts w:ascii="Calibri" w:hAnsi="Calibri" w:cs="Calibri"/>
                <w:b/>
                <w:color w:val="000000"/>
                <w:sz w:val="20"/>
                <w:szCs w:val="20"/>
                <w:lang w:eastAsia="en-GB"/>
              </w:rPr>
              <w:t>114</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97</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92</w:t>
            </w:r>
          </w:p>
        </w:tc>
        <w:tc>
          <w:tcPr>
            <w:tcW w:w="739" w:type="dxa"/>
          </w:tcPr>
          <w:p w:rsidR="002F1851" w:rsidRPr="005B0B50" w:rsidRDefault="002F1851" w:rsidP="002F1851">
            <w:pPr>
              <w:spacing w:before="0" w:after="0"/>
              <w:jc w:val="center"/>
              <w:rPr>
                <w:b/>
                <w:sz w:val="20"/>
                <w:szCs w:val="20"/>
              </w:rPr>
            </w:pPr>
          </w:p>
        </w:tc>
      </w:tr>
      <w:tr w:rsidR="002F1851" w:rsidTr="002F1851">
        <w:trPr>
          <w:trHeight w:val="245"/>
        </w:trPr>
        <w:tc>
          <w:tcPr>
            <w:tcW w:w="934" w:type="dxa"/>
          </w:tcPr>
          <w:p w:rsidR="002F1851" w:rsidRPr="005B0B50" w:rsidRDefault="002F1851" w:rsidP="002F1851">
            <w:pPr>
              <w:spacing w:before="0" w:after="0"/>
              <w:jc w:val="center"/>
              <w:rPr>
                <w:b/>
                <w:sz w:val="20"/>
                <w:szCs w:val="20"/>
              </w:rPr>
            </w:pPr>
            <w:r w:rsidRPr="00AB79DF">
              <w:rPr>
                <w:rFonts w:ascii="Calibri" w:hAnsi="Calibri" w:cs="Calibri"/>
                <w:color w:val="000000"/>
                <w:sz w:val="20"/>
                <w:szCs w:val="20"/>
                <w:lang w:eastAsia="en-GB"/>
              </w:rPr>
              <w:t>NIHR</w:t>
            </w:r>
          </w:p>
        </w:tc>
        <w:tc>
          <w:tcPr>
            <w:tcW w:w="4178" w:type="dxa"/>
          </w:tcPr>
          <w:p w:rsidR="002F1851" w:rsidRPr="00AB79DF" w:rsidRDefault="002F1851" w:rsidP="002F1851">
            <w:pPr>
              <w:spacing w:before="0" w:after="0"/>
              <w:rPr>
                <w:rFonts w:ascii="Calibri" w:hAnsi="Calibri" w:cs="Calibri"/>
                <w:color w:val="000000"/>
                <w:sz w:val="20"/>
                <w:szCs w:val="20"/>
                <w:lang w:eastAsia="en-GB"/>
              </w:rPr>
            </w:pPr>
            <w:r w:rsidRPr="00AB79DF">
              <w:rPr>
                <w:rFonts w:ascii="Calibri" w:hAnsi="Calibri" w:cs="Calibri"/>
                <w:color w:val="000000"/>
                <w:sz w:val="20"/>
                <w:szCs w:val="20"/>
                <w:lang w:eastAsia="en-GB"/>
              </w:rPr>
              <w:t>Clinical Research Facility</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426</w:t>
            </w:r>
          </w:p>
        </w:tc>
        <w:tc>
          <w:tcPr>
            <w:tcW w:w="739"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718</w:t>
            </w:r>
          </w:p>
        </w:tc>
        <w:tc>
          <w:tcPr>
            <w:tcW w:w="740" w:type="dxa"/>
          </w:tcPr>
          <w:p w:rsidR="002F1851" w:rsidRPr="00AB79DF" w:rsidRDefault="002F1851" w:rsidP="002F1851">
            <w:pPr>
              <w:spacing w:before="0" w:after="0"/>
              <w:jc w:val="center"/>
              <w:rPr>
                <w:rFonts w:ascii="Calibri" w:hAnsi="Calibri" w:cs="Calibri"/>
                <w:b/>
                <w:color w:val="000000"/>
                <w:sz w:val="20"/>
                <w:szCs w:val="20"/>
                <w:lang w:eastAsia="en-GB"/>
              </w:rPr>
            </w:pPr>
            <w:r w:rsidRPr="00AB79DF">
              <w:rPr>
                <w:rFonts w:ascii="Calibri" w:hAnsi="Calibri" w:cs="Calibri"/>
                <w:b/>
                <w:color w:val="000000"/>
                <w:sz w:val="20"/>
                <w:szCs w:val="20"/>
                <w:lang w:eastAsia="en-GB"/>
              </w:rPr>
              <w:t>718</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718</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718</w:t>
            </w:r>
          </w:p>
        </w:tc>
        <w:tc>
          <w:tcPr>
            <w:tcW w:w="739" w:type="dxa"/>
          </w:tcPr>
          <w:p w:rsidR="002F1851" w:rsidRPr="005B0B50" w:rsidRDefault="002F1851" w:rsidP="002F1851">
            <w:pPr>
              <w:spacing w:before="0" w:after="0"/>
              <w:jc w:val="center"/>
              <w:rPr>
                <w:b/>
                <w:sz w:val="20"/>
                <w:szCs w:val="20"/>
              </w:rPr>
            </w:pPr>
          </w:p>
        </w:tc>
      </w:tr>
      <w:tr w:rsidR="002F1851" w:rsidTr="002F1851">
        <w:trPr>
          <w:trHeight w:val="234"/>
        </w:trPr>
        <w:tc>
          <w:tcPr>
            <w:tcW w:w="934" w:type="dxa"/>
          </w:tcPr>
          <w:p w:rsidR="002F1851" w:rsidRPr="005B0B50"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NIHR</w:t>
            </w:r>
          </w:p>
        </w:tc>
        <w:tc>
          <w:tcPr>
            <w:tcW w:w="4178" w:type="dxa"/>
          </w:tcPr>
          <w:p w:rsidR="002F1851" w:rsidRPr="00AB79DF" w:rsidRDefault="002F1851" w:rsidP="002F1851">
            <w:pPr>
              <w:spacing w:before="0" w:after="0"/>
              <w:rPr>
                <w:rFonts w:ascii="Calibri" w:hAnsi="Calibri" w:cs="Calibri"/>
                <w:color w:val="000000"/>
                <w:sz w:val="20"/>
                <w:szCs w:val="20"/>
                <w:lang w:eastAsia="en-GB"/>
              </w:rPr>
            </w:pPr>
            <w:r w:rsidRPr="00AB79DF">
              <w:rPr>
                <w:rFonts w:ascii="Calibri" w:hAnsi="Calibri" w:cs="Calibri"/>
                <w:color w:val="000000"/>
                <w:sz w:val="20"/>
                <w:szCs w:val="20"/>
                <w:lang w:eastAsia="en-GB"/>
              </w:rPr>
              <w:t>RCF - Dep</w:t>
            </w:r>
            <w:r>
              <w:rPr>
                <w:rFonts w:ascii="Calibri" w:hAnsi="Calibri" w:cs="Calibri"/>
                <w:color w:val="000000"/>
                <w:sz w:val="20"/>
                <w:szCs w:val="20"/>
                <w:lang w:eastAsia="en-GB"/>
              </w:rPr>
              <w:t>ar</w:t>
            </w:r>
            <w:r w:rsidRPr="00AB79DF">
              <w:rPr>
                <w:rFonts w:ascii="Calibri" w:hAnsi="Calibri" w:cs="Calibri"/>
                <w:color w:val="000000"/>
                <w:sz w:val="20"/>
                <w:szCs w:val="20"/>
                <w:lang w:eastAsia="en-GB"/>
              </w:rPr>
              <w:t>t</w:t>
            </w:r>
            <w:r>
              <w:rPr>
                <w:rFonts w:ascii="Calibri" w:hAnsi="Calibri" w:cs="Calibri"/>
                <w:color w:val="000000"/>
                <w:sz w:val="20"/>
                <w:szCs w:val="20"/>
                <w:lang w:eastAsia="en-GB"/>
              </w:rPr>
              <w:t>ment</w:t>
            </w:r>
            <w:r w:rsidRPr="00AB79DF">
              <w:rPr>
                <w:rFonts w:ascii="Calibri" w:hAnsi="Calibri" w:cs="Calibri"/>
                <w:color w:val="000000"/>
                <w:sz w:val="20"/>
                <w:szCs w:val="20"/>
                <w:lang w:eastAsia="en-GB"/>
              </w:rPr>
              <w:t xml:space="preserve"> of Psychiatry \ Trust</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67</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925</w:t>
            </w:r>
          </w:p>
        </w:tc>
        <w:tc>
          <w:tcPr>
            <w:tcW w:w="739"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990</w:t>
            </w:r>
          </w:p>
        </w:tc>
        <w:tc>
          <w:tcPr>
            <w:tcW w:w="740" w:type="dxa"/>
          </w:tcPr>
          <w:p w:rsidR="002F1851" w:rsidRPr="00AB79DF" w:rsidRDefault="002F1851" w:rsidP="002F1851">
            <w:pPr>
              <w:spacing w:before="0" w:after="0"/>
              <w:jc w:val="center"/>
              <w:rPr>
                <w:rFonts w:ascii="Calibri" w:hAnsi="Calibri" w:cs="Calibri"/>
                <w:b/>
                <w:color w:val="000000"/>
                <w:sz w:val="20"/>
                <w:szCs w:val="20"/>
                <w:lang w:eastAsia="en-GB"/>
              </w:rPr>
            </w:pPr>
            <w:r w:rsidRPr="00AB79DF">
              <w:rPr>
                <w:rFonts w:ascii="Calibri" w:hAnsi="Calibri" w:cs="Calibri"/>
                <w:b/>
                <w:color w:val="000000"/>
                <w:sz w:val="20"/>
                <w:szCs w:val="20"/>
                <w:lang w:eastAsia="en-GB"/>
              </w:rPr>
              <w:t>1,112</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1,118</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632</w:t>
            </w:r>
          </w:p>
        </w:tc>
        <w:tc>
          <w:tcPr>
            <w:tcW w:w="739" w:type="dxa"/>
          </w:tcPr>
          <w:p w:rsidR="002F1851" w:rsidRPr="005B0B50" w:rsidRDefault="002F1851" w:rsidP="002F1851">
            <w:pPr>
              <w:spacing w:before="0" w:after="0"/>
              <w:jc w:val="center"/>
              <w:rPr>
                <w:rFonts w:ascii="Calibri" w:hAnsi="Calibri" w:cs="Calibri"/>
                <w:color w:val="000000"/>
                <w:sz w:val="20"/>
                <w:szCs w:val="20"/>
                <w:lang w:eastAsia="en-GB"/>
              </w:rPr>
            </w:pPr>
            <w:r w:rsidRPr="005B0B50">
              <w:rPr>
                <w:rFonts w:ascii="Calibri" w:hAnsi="Calibri" w:cs="Calibri"/>
                <w:color w:val="000000"/>
                <w:sz w:val="20"/>
                <w:szCs w:val="20"/>
                <w:lang w:eastAsia="en-GB"/>
              </w:rPr>
              <w:t>1</w:t>
            </w:r>
          </w:p>
        </w:tc>
      </w:tr>
      <w:tr w:rsidR="002F1851" w:rsidTr="002F1851">
        <w:trPr>
          <w:trHeight w:val="245"/>
        </w:trPr>
        <w:tc>
          <w:tcPr>
            <w:tcW w:w="934" w:type="dxa"/>
            <w:tcBorders>
              <w:bottom w:val="single" w:sz="4" w:space="0" w:color="auto"/>
            </w:tcBorders>
          </w:tcPr>
          <w:p w:rsidR="002F1851" w:rsidRPr="005B0B50" w:rsidRDefault="002F1851" w:rsidP="002F1851">
            <w:pPr>
              <w:spacing w:before="0" w:after="0"/>
              <w:jc w:val="center"/>
              <w:rPr>
                <w:rFonts w:ascii="Calibri" w:hAnsi="Calibri" w:cs="Calibri"/>
                <w:color w:val="000000"/>
                <w:sz w:val="20"/>
                <w:szCs w:val="20"/>
                <w:lang w:eastAsia="en-GB"/>
              </w:rPr>
            </w:pPr>
            <w:r w:rsidRPr="005B0B50">
              <w:rPr>
                <w:rFonts w:ascii="Calibri" w:hAnsi="Calibri" w:cs="Calibri"/>
                <w:color w:val="000000"/>
                <w:sz w:val="20"/>
                <w:szCs w:val="20"/>
                <w:lang w:eastAsia="en-GB"/>
              </w:rPr>
              <w:t>NIHR</w:t>
            </w:r>
          </w:p>
        </w:tc>
        <w:tc>
          <w:tcPr>
            <w:tcW w:w="4178" w:type="dxa"/>
            <w:tcBorders>
              <w:bottom w:val="single" w:sz="4" w:space="0" w:color="auto"/>
            </w:tcBorders>
          </w:tcPr>
          <w:p w:rsidR="002F1851" w:rsidRPr="00AB79DF" w:rsidRDefault="002F1851" w:rsidP="002F1851">
            <w:pPr>
              <w:spacing w:before="0" w:after="0"/>
              <w:rPr>
                <w:rFonts w:ascii="Calibri" w:hAnsi="Calibri" w:cs="Calibri"/>
                <w:color w:val="000000"/>
                <w:sz w:val="20"/>
                <w:szCs w:val="20"/>
                <w:lang w:eastAsia="en-GB"/>
              </w:rPr>
            </w:pPr>
            <w:r w:rsidRPr="00AB79DF">
              <w:rPr>
                <w:rFonts w:ascii="Calibri" w:hAnsi="Calibri" w:cs="Calibri"/>
                <w:color w:val="000000"/>
                <w:sz w:val="20"/>
                <w:szCs w:val="20"/>
                <w:lang w:eastAsia="en-GB"/>
              </w:rPr>
              <w:t>RCF - Dep</w:t>
            </w:r>
            <w:r>
              <w:rPr>
                <w:rFonts w:ascii="Calibri" w:hAnsi="Calibri" w:cs="Calibri"/>
                <w:color w:val="000000"/>
                <w:sz w:val="20"/>
                <w:szCs w:val="20"/>
                <w:lang w:eastAsia="en-GB"/>
              </w:rPr>
              <w:t>ar</w:t>
            </w:r>
            <w:r w:rsidRPr="00AB79DF">
              <w:rPr>
                <w:rFonts w:ascii="Calibri" w:hAnsi="Calibri" w:cs="Calibri"/>
                <w:color w:val="000000"/>
                <w:sz w:val="20"/>
                <w:szCs w:val="20"/>
                <w:lang w:eastAsia="en-GB"/>
              </w:rPr>
              <w:t>t</w:t>
            </w:r>
            <w:r>
              <w:rPr>
                <w:rFonts w:ascii="Calibri" w:hAnsi="Calibri" w:cs="Calibri"/>
                <w:color w:val="000000"/>
                <w:sz w:val="20"/>
                <w:szCs w:val="20"/>
                <w:lang w:eastAsia="en-GB"/>
              </w:rPr>
              <w:t>ment</w:t>
            </w:r>
            <w:r w:rsidRPr="00AB79DF">
              <w:rPr>
                <w:rFonts w:ascii="Calibri" w:hAnsi="Calibri" w:cs="Calibri"/>
                <w:color w:val="000000"/>
                <w:sz w:val="20"/>
                <w:szCs w:val="20"/>
                <w:lang w:eastAsia="en-GB"/>
              </w:rPr>
              <w:t xml:space="preserve"> of Primary Care</w:t>
            </w:r>
          </w:p>
        </w:tc>
        <w:tc>
          <w:tcPr>
            <w:tcW w:w="740" w:type="dxa"/>
            <w:tcBorders>
              <w:bottom w:val="single" w:sz="4" w:space="0" w:color="auto"/>
            </w:tcBorders>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w:t>
            </w:r>
          </w:p>
        </w:tc>
        <w:tc>
          <w:tcPr>
            <w:tcW w:w="740" w:type="dxa"/>
            <w:tcBorders>
              <w:bottom w:val="single" w:sz="4" w:space="0" w:color="auto"/>
            </w:tcBorders>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w:t>
            </w:r>
          </w:p>
        </w:tc>
        <w:tc>
          <w:tcPr>
            <w:tcW w:w="739" w:type="dxa"/>
            <w:tcBorders>
              <w:bottom w:val="single" w:sz="4" w:space="0" w:color="auto"/>
            </w:tcBorders>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w:t>
            </w:r>
          </w:p>
        </w:tc>
        <w:tc>
          <w:tcPr>
            <w:tcW w:w="740" w:type="dxa"/>
            <w:tcBorders>
              <w:bottom w:val="single" w:sz="4" w:space="0" w:color="auto"/>
            </w:tcBorders>
          </w:tcPr>
          <w:p w:rsidR="002F1851" w:rsidRPr="00AB79DF" w:rsidRDefault="002F1851" w:rsidP="002F1851">
            <w:pPr>
              <w:spacing w:before="0" w:after="0"/>
              <w:jc w:val="center"/>
              <w:rPr>
                <w:rFonts w:ascii="Calibri" w:hAnsi="Calibri" w:cs="Calibri"/>
                <w:b/>
                <w:color w:val="000000"/>
                <w:sz w:val="20"/>
                <w:szCs w:val="20"/>
                <w:lang w:eastAsia="en-GB"/>
              </w:rPr>
            </w:pPr>
            <w:r w:rsidRPr="00AB79DF">
              <w:rPr>
                <w:rFonts w:ascii="Calibri" w:hAnsi="Calibri" w:cs="Calibri"/>
                <w:b/>
                <w:color w:val="000000"/>
                <w:sz w:val="20"/>
                <w:szCs w:val="20"/>
                <w:lang w:eastAsia="en-GB"/>
              </w:rPr>
              <w:t>90</w:t>
            </w:r>
          </w:p>
        </w:tc>
        <w:tc>
          <w:tcPr>
            <w:tcW w:w="740" w:type="dxa"/>
            <w:tcBorders>
              <w:bottom w:val="single" w:sz="4" w:space="0" w:color="auto"/>
            </w:tcBorders>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124</w:t>
            </w:r>
          </w:p>
        </w:tc>
        <w:tc>
          <w:tcPr>
            <w:tcW w:w="740" w:type="dxa"/>
            <w:tcBorders>
              <w:bottom w:val="single" w:sz="4" w:space="0" w:color="auto"/>
            </w:tcBorders>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122</w:t>
            </w:r>
          </w:p>
        </w:tc>
        <w:tc>
          <w:tcPr>
            <w:tcW w:w="739" w:type="dxa"/>
            <w:tcBorders>
              <w:bottom w:val="single" w:sz="4" w:space="0" w:color="auto"/>
            </w:tcBorders>
          </w:tcPr>
          <w:p w:rsidR="002F1851" w:rsidRPr="005B0B50" w:rsidRDefault="002F1851" w:rsidP="002F1851">
            <w:pPr>
              <w:spacing w:before="0" w:after="0"/>
              <w:jc w:val="center"/>
              <w:rPr>
                <w:rFonts w:ascii="Calibri" w:hAnsi="Calibri" w:cs="Calibri"/>
                <w:color w:val="000000"/>
                <w:sz w:val="20"/>
                <w:szCs w:val="20"/>
                <w:lang w:eastAsia="en-GB"/>
              </w:rPr>
            </w:pPr>
            <w:r w:rsidRPr="005B0B50">
              <w:rPr>
                <w:rFonts w:ascii="Calibri" w:hAnsi="Calibri" w:cs="Calibri"/>
                <w:color w:val="000000"/>
                <w:sz w:val="20"/>
                <w:szCs w:val="20"/>
                <w:lang w:eastAsia="en-GB"/>
              </w:rPr>
              <w:t>1</w:t>
            </w:r>
          </w:p>
        </w:tc>
      </w:tr>
      <w:tr w:rsidR="002F1851" w:rsidRPr="00673AD2" w:rsidTr="009A591A">
        <w:trPr>
          <w:trHeight w:val="245"/>
        </w:trPr>
        <w:tc>
          <w:tcPr>
            <w:tcW w:w="934"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sidRPr="00673AD2">
              <w:rPr>
                <w:rFonts w:ascii="Calibri" w:hAnsi="Calibri" w:cs="Calibri"/>
                <w:b/>
                <w:color w:val="000000"/>
                <w:sz w:val="20"/>
                <w:szCs w:val="20"/>
                <w:lang w:eastAsia="en-GB"/>
              </w:rPr>
              <w:t>NIHR</w:t>
            </w:r>
          </w:p>
        </w:tc>
        <w:tc>
          <w:tcPr>
            <w:tcW w:w="4178" w:type="dxa"/>
            <w:shd w:val="clear" w:color="auto" w:fill="8DB3E2" w:themeFill="text2" w:themeFillTint="66"/>
          </w:tcPr>
          <w:p w:rsidR="002F1851" w:rsidRPr="00673AD2" w:rsidRDefault="002F1851" w:rsidP="002F1851">
            <w:pPr>
              <w:spacing w:before="0" w:after="0"/>
              <w:rPr>
                <w:rFonts w:ascii="Calibri" w:hAnsi="Calibri" w:cs="Calibri"/>
                <w:b/>
                <w:color w:val="000000"/>
                <w:sz w:val="20"/>
                <w:szCs w:val="20"/>
                <w:lang w:eastAsia="en-GB"/>
              </w:rPr>
            </w:pPr>
            <w:r w:rsidRPr="00673AD2">
              <w:rPr>
                <w:rFonts w:ascii="Calibri" w:hAnsi="Calibri" w:cs="Calibri"/>
                <w:b/>
                <w:color w:val="000000"/>
                <w:sz w:val="20"/>
                <w:szCs w:val="20"/>
                <w:lang w:eastAsia="en-GB"/>
              </w:rPr>
              <w:t>Total</w:t>
            </w:r>
          </w:p>
        </w:tc>
        <w:tc>
          <w:tcPr>
            <w:tcW w:w="740"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sidRPr="00673AD2">
              <w:rPr>
                <w:rFonts w:ascii="Calibri" w:hAnsi="Calibri" w:cs="Calibri"/>
                <w:b/>
                <w:color w:val="000000"/>
                <w:sz w:val="20"/>
                <w:szCs w:val="20"/>
                <w:lang w:eastAsia="en-GB"/>
              </w:rPr>
              <w:t>1,956</w:t>
            </w:r>
          </w:p>
        </w:tc>
        <w:tc>
          <w:tcPr>
            <w:tcW w:w="740"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sidRPr="00673AD2">
              <w:rPr>
                <w:rFonts w:ascii="Calibri" w:hAnsi="Calibri" w:cs="Calibri"/>
                <w:b/>
                <w:color w:val="000000"/>
                <w:sz w:val="20"/>
                <w:szCs w:val="20"/>
                <w:lang w:eastAsia="en-GB"/>
              </w:rPr>
              <w:t>3,204</w:t>
            </w:r>
          </w:p>
        </w:tc>
        <w:tc>
          <w:tcPr>
            <w:tcW w:w="739"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sidRPr="00673AD2">
              <w:rPr>
                <w:rFonts w:ascii="Calibri" w:hAnsi="Calibri" w:cs="Calibri"/>
                <w:b/>
                <w:color w:val="000000"/>
                <w:sz w:val="20"/>
                <w:szCs w:val="20"/>
                <w:lang w:eastAsia="en-GB"/>
              </w:rPr>
              <w:t>4,281</w:t>
            </w:r>
          </w:p>
        </w:tc>
        <w:tc>
          <w:tcPr>
            <w:tcW w:w="740"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sidRPr="00673AD2">
              <w:rPr>
                <w:rFonts w:ascii="Calibri" w:hAnsi="Calibri" w:cs="Calibri"/>
                <w:b/>
                <w:color w:val="000000"/>
                <w:sz w:val="20"/>
                <w:szCs w:val="20"/>
                <w:lang w:eastAsia="en-GB"/>
              </w:rPr>
              <w:t>4,721</w:t>
            </w:r>
          </w:p>
        </w:tc>
        <w:tc>
          <w:tcPr>
            <w:tcW w:w="740"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sidRPr="00673AD2">
              <w:rPr>
                <w:rFonts w:ascii="Calibri" w:hAnsi="Calibri" w:cs="Calibri"/>
                <w:b/>
                <w:color w:val="000000"/>
                <w:sz w:val="20"/>
                <w:szCs w:val="20"/>
                <w:lang w:eastAsia="en-GB"/>
              </w:rPr>
              <w:t>4,490</w:t>
            </w:r>
          </w:p>
        </w:tc>
        <w:tc>
          <w:tcPr>
            <w:tcW w:w="740"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sidRPr="00673AD2">
              <w:rPr>
                <w:rFonts w:ascii="Calibri" w:hAnsi="Calibri" w:cs="Calibri"/>
                <w:b/>
                <w:color w:val="000000"/>
                <w:sz w:val="20"/>
                <w:szCs w:val="20"/>
                <w:lang w:eastAsia="en-GB"/>
              </w:rPr>
              <w:t>4,186</w:t>
            </w:r>
          </w:p>
        </w:tc>
        <w:tc>
          <w:tcPr>
            <w:tcW w:w="739"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p>
        </w:tc>
      </w:tr>
      <w:tr w:rsidR="002F1851" w:rsidTr="002F1851">
        <w:trPr>
          <w:trHeight w:val="245"/>
        </w:trPr>
        <w:tc>
          <w:tcPr>
            <w:tcW w:w="934" w:type="dxa"/>
          </w:tcPr>
          <w:p w:rsidR="002F1851" w:rsidRPr="005B0B50" w:rsidRDefault="002F1851" w:rsidP="002F1851">
            <w:pPr>
              <w:spacing w:before="0" w:after="0"/>
              <w:jc w:val="center"/>
              <w:rPr>
                <w:rFonts w:ascii="Calibri" w:hAnsi="Calibri" w:cs="Calibri"/>
                <w:color w:val="000000"/>
                <w:sz w:val="20"/>
                <w:szCs w:val="20"/>
                <w:lang w:eastAsia="en-GB"/>
              </w:rPr>
            </w:pPr>
            <w:r w:rsidRPr="005B0B50">
              <w:rPr>
                <w:rFonts w:ascii="Calibri" w:hAnsi="Calibri" w:cs="Calibri"/>
                <w:color w:val="000000"/>
                <w:sz w:val="20"/>
                <w:szCs w:val="20"/>
                <w:lang w:eastAsia="en-GB"/>
              </w:rPr>
              <w:t>CRN</w:t>
            </w:r>
          </w:p>
        </w:tc>
        <w:tc>
          <w:tcPr>
            <w:tcW w:w="4178" w:type="dxa"/>
          </w:tcPr>
          <w:p w:rsidR="002F1851" w:rsidRPr="00AB79DF" w:rsidRDefault="002F1851" w:rsidP="002F1851">
            <w:pPr>
              <w:spacing w:before="0" w:after="0"/>
              <w:rPr>
                <w:rFonts w:ascii="Calibri" w:hAnsi="Calibri" w:cs="Calibri"/>
                <w:color w:val="000000"/>
                <w:sz w:val="20"/>
                <w:szCs w:val="20"/>
                <w:lang w:eastAsia="en-GB"/>
              </w:rPr>
            </w:pPr>
            <w:r>
              <w:rPr>
                <w:rFonts w:ascii="Calibri" w:hAnsi="Calibri" w:cs="Calibri"/>
                <w:color w:val="000000"/>
                <w:sz w:val="20"/>
                <w:szCs w:val="20"/>
                <w:lang w:eastAsia="en-GB"/>
              </w:rPr>
              <w:t>T</w:t>
            </w:r>
            <w:r w:rsidRPr="00AB79DF">
              <w:rPr>
                <w:rFonts w:ascii="Calibri" w:hAnsi="Calibri" w:cs="Calibri"/>
                <w:color w:val="000000"/>
                <w:sz w:val="20"/>
                <w:szCs w:val="20"/>
                <w:lang w:eastAsia="en-GB"/>
              </w:rPr>
              <w:t>VCLRN \ CRN</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873</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944</w:t>
            </w:r>
          </w:p>
        </w:tc>
        <w:tc>
          <w:tcPr>
            <w:tcW w:w="739"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2,023</w:t>
            </w:r>
          </w:p>
        </w:tc>
        <w:tc>
          <w:tcPr>
            <w:tcW w:w="740" w:type="dxa"/>
          </w:tcPr>
          <w:p w:rsidR="002F1851" w:rsidRPr="00AB79DF" w:rsidRDefault="002F1851" w:rsidP="002F1851">
            <w:pPr>
              <w:spacing w:before="0" w:after="0"/>
              <w:jc w:val="center"/>
              <w:rPr>
                <w:rFonts w:ascii="Calibri" w:hAnsi="Calibri" w:cs="Calibri"/>
                <w:b/>
                <w:color w:val="000000"/>
                <w:sz w:val="20"/>
                <w:szCs w:val="20"/>
                <w:lang w:eastAsia="en-GB"/>
              </w:rPr>
            </w:pPr>
            <w:r w:rsidRPr="00AB79DF">
              <w:rPr>
                <w:rFonts w:ascii="Calibri" w:hAnsi="Calibri" w:cs="Calibri"/>
                <w:b/>
                <w:color w:val="000000"/>
                <w:sz w:val="20"/>
                <w:szCs w:val="20"/>
                <w:lang w:eastAsia="en-GB"/>
              </w:rPr>
              <w:t>1,597</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1,535</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1,535</w:t>
            </w:r>
          </w:p>
        </w:tc>
        <w:tc>
          <w:tcPr>
            <w:tcW w:w="739" w:type="dxa"/>
          </w:tcPr>
          <w:p w:rsidR="002F1851" w:rsidRPr="005B0B50" w:rsidRDefault="002F1851" w:rsidP="002F1851">
            <w:pPr>
              <w:spacing w:before="0" w:after="0"/>
              <w:jc w:val="center"/>
              <w:rPr>
                <w:rFonts w:ascii="Calibri" w:hAnsi="Calibri" w:cs="Calibri"/>
                <w:color w:val="000000"/>
                <w:sz w:val="20"/>
                <w:szCs w:val="20"/>
                <w:lang w:eastAsia="en-GB"/>
              </w:rPr>
            </w:pPr>
          </w:p>
        </w:tc>
      </w:tr>
      <w:tr w:rsidR="002F1851" w:rsidTr="002F1851">
        <w:trPr>
          <w:trHeight w:val="234"/>
        </w:trPr>
        <w:tc>
          <w:tcPr>
            <w:tcW w:w="934" w:type="dxa"/>
          </w:tcPr>
          <w:p w:rsidR="002F1851" w:rsidRPr="005B0B50" w:rsidRDefault="002F1851" w:rsidP="002F1851">
            <w:pPr>
              <w:spacing w:before="0" w:after="0"/>
              <w:jc w:val="center"/>
              <w:rPr>
                <w:rFonts w:ascii="Calibri" w:hAnsi="Calibri" w:cs="Calibri"/>
                <w:color w:val="000000"/>
                <w:sz w:val="20"/>
                <w:szCs w:val="20"/>
                <w:lang w:eastAsia="en-GB"/>
              </w:rPr>
            </w:pPr>
            <w:r w:rsidRPr="005B0B50">
              <w:rPr>
                <w:rFonts w:ascii="Calibri" w:hAnsi="Calibri" w:cs="Calibri"/>
                <w:color w:val="000000"/>
                <w:sz w:val="20"/>
                <w:szCs w:val="20"/>
                <w:lang w:eastAsia="en-GB"/>
              </w:rPr>
              <w:t>Other</w:t>
            </w:r>
          </w:p>
        </w:tc>
        <w:tc>
          <w:tcPr>
            <w:tcW w:w="4178" w:type="dxa"/>
          </w:tcPr>
          <w:p w:rsidR="002F1851" w:rsidRPr="00AB79DF" w:rsidRDefault="002F1851" w:rsidP="002F1851">
            <w:pPr>
              <w:spacing w:before="0" w:after="0"/>
              <w:rPr>
                <w:rFonts w:ascii="Calibri" w:hAnsi="Calibri" w:cs="Calibri"/>
                <w:color w:val="000000"/>
                <w:sz w:val="20"/>
                <w:szCs w:val="20"/>
                <w:lang w:eastAsia="en-GB"/>
              </w:rPr>
            </w:pPr>
            <w:r w:rsidRPr="00AB79DF">
              <w:rPr>
                <w:rFonts w:ascii="Calibri" w:hAnsi="Calibri" w:cs="Calibri"/>
                <w:color w:val="000000"/>
                <w:sz w:val="20"/>
                <w:szCs w:val="20"/>
                <w:lang w:eastAsia="en-GB"/>
              </w:rPr>
              <w:t>Dendron</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159</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132</w:t>
            </w:r>
          </w:p>
        </w:tc>
        <w:tc>
          <w:tcPr>
            <w:tcW w:w="739"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81</w:t>
            </w:r>
          </w:p>
        </w:tc>
        <w:tc>
          <w:tcPr>
            <w:tcW w:w="740" w:type="dxa"/>
          </w:tcPr>
          <w:p w:rsidR="002F1851" w:rsidRPr="00AB79DF" w:rsidRDefault="002F1851" w:rsidP="002F1851">
            <w:pPr>
              <w:spacing w:before="0" w:after="0"/>
              <w:jc w:val="center"/>
              <w:rPr>
                <w:rFonts w:ascii="Calibri" w:hAnsi="Calibri" w:cs="Calibri"/>
                <w:b/>
                <w:color w:val="000000"/>
                <w:sz w:val="20"/>
                <w:szCs w:val="20"/>
                <w:lang w:eastAsia="en-GB"/>
              </w:rPr>
            </w:pPr>
            <w:r w:rsidRPr="00AB79DF">
              <w:rPr>
                <w:rFonts w:ascii="Calibri" w:hAnsi="Calibri" w:cs="Calibri"/>
                <w:b/>
                <w:color w:val="000000"/>
                <w:sz w:val="20"/>
                <w:szCs w:val="20"/>
                <w:lang w:eastAsia="en-GB"/>
              </w:rPr>
              <w:t>10</w:t>
            </w:r>
            <w:r>
              <w:rPr>
                <w:rFonts w:ascii="Calibri" w:hAnsi="Calibri" w:cs="Calibri"/>
                <w:b/>
                <w:color w:val="000000"/>
                <w:sz w:val="20"/>
                <w:szCs w:val="20"/>
                <w:lang w:eastAsia="en-GB"/>
              </w:rPr>
              <w:t>6</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113</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23</w:t>
            </w:r>
          </w:p>
        </w:tc>
        <w:tc>
          <w:tcPr>
            <w:tcW w:w="739" w:type="dxa"/>
          </w:tcPr>
          <w:p w:rsidR="002F1851" w:rsidRPr="005B0B50" w:rsidRDefault="002F1851" w:rsidP="002F1851">
            <w:pPr>
              <w:spacing w:before="0" w:after="0"/>
              <w:jc w:val="center"/>
              <w:rPr>
                <w:rFonts w:ascii="Calibri" w:hAnsi="Calibri" w:cs="Calibri"/>
                <w:color w:val="000000"/>
                <w:sz w:val="20"/>
                <w:szCs w:val="20"/>
                <w:lang w:eastAsia="en-GB"/>
              </w:rPr>
            </w:pPr>
          </w:p>
        </w:tc>
      </w:tr>
      <w:tr w:rsidR="002F1851" w:rsidTr="002F1851">
        <w:trPr>
          <w:trHeight w:val="245"/>
        </w:trPr>
        <w:tc>
          <w:tcPr>
            <w:tcW w:w="934" w:type="dxa"/>
          </w:tcPr>
          <w:p w:rsidR="002F1851" w:rsidRPr="005B0B50" w:rsidRDefault="002F1851" w:rsidP="002F1851">
            <w:pPr>
              <w:spacing w:before="0" w:after="0"/>
              <w:jc w:val="center"/>
              <w:rPr>
                <w:rFonts w:ascii="Calibri" w:hAnsi="Calibri" w:cs="Calibri"/>
                <w:color w:val="000000"/>
                <w:sz w:val="20"/>
                <w:szCs w:val="20"/>
                <w:lang w:eastAsia="en-GB"/>
              </w:rPr>
            </w:pPr>
            <w:r w:rsidRPr="005B0B50">
              <w:rPr>
                <w:rFonts w:ascii="Calibri" w:hAnsi="Calibri" w:cs="Calibri"/>
                <w:color w:val="000000"/>
                <w:sz w:val="20"/>
                <w:szCs w:val="20"/>
                <w:lang w:eastAsia="en-GB"/>
              </w:rPr>
              <w:t>Other</w:t>
            </w:r>
          </w:p>
        </w:tc>
        <w:tc>
          <w:tcPr>
            <w:tcW w:w="4178" w:type="dxa"/>
          </w:tcPr>
          <w:p w:rsidR="002F1851" w:rsidRPr="00AB79DF" w:rsidRDefault="002F1851" w:rsidP="002F1851">
            <w:pPr>
              <w:spacing w:before="0" w:after="0"/>
              <w:rPr>
                <w:rFonts w:ascii="Calibri" w:hAnsi="Calibri" w:cs="Calibri"/>
                <w:color w:val="000000"/>
                <w:sz w:val="20"/>
                <w:szCs w:val="20"/>
                <w:lang w:eastAsia="en-GB"/>
              </w:rPr>
            </w:pPr>
            <w:r w:rsidRPr="00AB79DF">
              <w:rPr>
                <w:rFonts w:ascii="Calibri" w:hAnsi="Calibri" w:cs="Calibri"/>
                <w:color w:val="000000"/>
                <w:sz w:val="20"/>
                <w:szCs w:val="20"/>
                <w:lang w:eastAsia="en-GB"/>
              </w:rPr>
              <w:t>Non-NIHR CRF income</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191</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191</w:t>
            </w:r>
          </w:p>
        </w:tc>
        <w:tc>
          <w:tcPr>
            <w:tcW w:w="739" w:type="dxa"/>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150</w:t>
            </w:r>
          </w:p>
        </w:tc>
        <w:tc>
          <w:tcPr>
            <w:tcW w:w="740" w:type="dxa"/>
          </w:tcPr>
          <w:p w:rsidR="002F1851" w:rsidRPr="00AB79DF" w:rsidRDefault="002F1851" w:rsidP="002F1851">
            <w:pPr>
              <w:spacing w:before="0" w:after="0"/>
              <w:jc w:val="center"/>
              <w:rPr>
                <w:rFonts w:ascii="Calibri" w:hAnsi="Calibri" w:cs="Calibri"/>
                <w:b/>
                <w:color w:val="000000"/>
                <w:sz w:val="20"/>
                <w:szCs w:val="20"/>
                <w:lang w:eastAsia="en-GB"/>
              </w:rPr>
            </w:pPr>
            <w:r>
              <w:rPr>
                <w:rFonts w:ascii="Calibri" w:hAnsi="Calibri" w:cs="Calibri"/>
                <w:b/>
                <w:color w:val="000000"/>
                <w:sz w:val="20"/>
                <w:szCs w:val="20"/>
                <w:lang w:eastAsia="en-GB"/>
              </w:rPr>
              <w:t>167</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Pr>
                <w:rFonts w:ascii="Calibri" w:hAnsi="Calibri" w:cs="Calibri"/>
                <w:color w:val="000000"/>
                <w:sz w:val="20"/>
                <w:szCs w:val="20"/>
                <w:lang w:eastAsia="en-GB"/>
              </w:rPr>
              <w:t>92</w:t>
            </w:r>
          </w:p>
        </w:tc>
        <w:tc>
          <w:tcPr>
            <w:tcW w:w="740" w:type="dxa"/>
          </w:tcPr>
          <w:p w:rsidR="002F1851" w:rsidRPr="00AB79DF" w:rsidRDefault="002F1851" w:rsidP="002F1851">
            <w:pPr>
              <w:spacing w:before="0" w:after="0"/>
              <w:jc w:val="center"/>
              <w:rPr>
                <w:rFonts w:ascii="Calibri" w:hAnsi="Calibri" w:cs="Calibri"/>
                <w:color w:val="000000"/>
                <w:sz w:val="20"/>
                <w:szCs w:val="20"/>
                <w:lang w:eastAsia="en-GB"/>
              </w:rPr>
            </w:pPr>
            <w:r>
              <w:rPr>
                <w:rFonts w:ascii="Calibri" w:hAnsi="Calibri" w:cs="Calibri"/>
                <w:color w:val="000000"/>
                <w:sz w:val="20"/>
                <w:szCs w:val="20"/>
                <w:lang w:eastAsia="en-GB"/>
              </w:rPr>
              <w:t>92</w:t>
            </w:r>
          </w:p>
        </w:tc>
        <w:tc>
          <w:tcPr>
            <w:tcW w:w="739" w:type="dxa"/>
          </w:tcPr>
          <w:p w:rsidR="002F1851" w:rsidRPr="005B0B50" w:rsidRDefault="002F1851" w:rsidP="002F1851">
            <w:pPr>
              <w:spacing w:before="0" w:after="0"/>
              <w:jc w:val="center"/>
              <w:rPr>
                <w:rFonts w:ascii="Calibri" w:hAnsi="Calibri" w:cs="Calibri"/>
                <w:color w:val="000000"/>
                <w:sz w:val="20"/>
                <w:szCs w:val="20"/>
                <w:lang w:eastAsia="en-GB"/>
              </w:rPr>
            </w:pPr>
            <w:r w:rsidRPr="005B0B50">
              <w:rPr>
                <w:rFonts w:ascii="Calibri" w:hAnsi="Calibri" w:cs="Calibri"/>
                <w:color w:val="000000"/>
                <w:sz w:val="20"/>
                <w:szCs w:val="20"/>
                <w:lang w:eastAsia="en-GB"/>
              </w:rPr>
              <w:t>2</w:t>
            </w:r>
          </w:p>
        </w:tc>
      </w:tr>
      <w:tr w:rsidR="002F1851" w:rsidTr="002F1851">
        <w:trPr>
          <w:trHeight w:val="245"/>
        </w:trPr>
        <w:tc>
          <w:tcPr>
            <w:tcW w:w="934" w:type="dxa"/>
            <w:tcBorders>
              <w:bottom w:val="single" w:sz="4" w:space="0" w:color="auto"/>
            </w:tcBorders>
          </w:tcPr>
          <w:p w:rsidR="002F1851" w:rsidRPr="005B0B50" w:rsidRDefault="002F1851" w:rsidP="002F1851">
            <w:pPr>
              <w:spacing w:before="0" w:after="0"/>
              <w:jc w:val="center"/>
              <w:rPr>
                <w:rFonts w:ascii="Calibri" w:hAnsi="Calibri" w:cs="Calibri"/>
                <w:color w:val="000000"/>
                <w:sz w:val="20"/>
                <w:szCs w:val="20"/>
                <w:lang w:eastAsia="en-GB"/>
              </w:rPr>
            </w:pPr>
            <w:r w:rsidRPr="005B0B50">
              <w:rPr>
                <w:rFonts w:ascii="Calibri" w:hAnsi="Calibri" w:cs="Calibri"/>
                <w:color w:val="000000"/>
                <w:sz w:val="20"/>
                <w:szCs w:val="20"/>
                <w:lang w:eastAsia="en-GB"/>
              </w:rPr>
              <w:t>Other</w:t>
            </w:r>
          </w:p>
        </w:tc>
        <w:tc>
          <w:tcPr>
            <w:tcW w:w="4178" w:type="dxa"/>
            <w:tcBorders>
              <w:bottom w:val="single" w:sz="4" w:space="0" w:color="auto"/>
            </w:tcBorders>
          </w:tcPr>
          <w:p w:rsidR="002F1851" w:rsidRPr="00AB79DF" w:rsidRDefault="002F1851" w:rsidP="002F1851">
            <w:pPr>
              <w:spacing w:before="0" w:after="0"/>
              <w:rPr>
                <w:rFonts w:ascii="Calibri" w:hAnsi="Calibri" w:cs="Calibri"/>
                <w:color w:val="000000"/>
                <w:sz w:val="20"/>
                <w:szCs w:val="20"/>
                <w:lang w:eastAsia="en-GB"/>
              </w:rPr>
            </w:pPr>
            <w:r w:rsidRPr="00AB79DF">
              <w:rPr>
                <w:rFonts w:ascii="Calibri" w:hAnsi="Calibri" w:cs="Calibri"/>
                <w:color w:val="000000"/>
                <w:sz w:val="20"/>
                <w:szCs w:val="20"/>
                <w:lang w:eastAsia="en-GB"/>
              </w:rPr>
              <w:t>Non-NIHR Study income</w:t>
            </w:r>
          </w:p>
        </w:tc>
        <w:tc>
          <w:tcPr>
            <w:tcW w:w="740" w:type="dxa"/>
            <w:tcBorders>
              <w:bottom w:val="single" w:sz="4" w:space="0" w:color="auto"/>
            </w:tcBorders>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509</w:t>
            </w:r>
          </w:p>
        </w:tc>
        <w:tc>
          <w:tcPr>
            <w:tcW w:w="740" w:type="dxa"/>
            <w:tcBorders>
              <w:bottom w:val="single" w:sz="4" w:space="0" w:color="auto"/>
            </w:tcBorders>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176</w:t>
            </w:r>
          </w:p>
        </w:tc>
        <w:tc>
          <w:tcPr>
            <w:tcW w:w="739" w:type="dxa"/>
            <w:tcBorders>
              <w:bottom w:val="single" w:sz="4" w:space="0" w:color="auto"/>
            </w:tcBorders>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90</w:t>
            </w:r>
          </w:p>
        </w:tc>
        <w:tc>
          <w:tcPr>
            <w:tcW w:w="740" w:type="dxa"/>
            <w:tcBorders>
              <w:bottom w:val="single" w:sz="4" w:space="0" w:color="auto"/>
            </w:tcBorders>
          </w:tcPr>
          <w:p w:rsidR="002F1851" w:rsidRPr="00AB79DF" w:rsidRDefault="002F1851" w:rsidP="002F1851">
            <w:pPr>
              <w:spacing w:before="0" w:after="0"/>
              <w:jc w:val="center"/>
              <w:rPr>
                <w:rFonts w:ascii="Calibri" w:hAnsi="Calibri" w:cs="Calibri"/>
                <w:b/>
                <w:color w:val="000000"/>
                <w:sz w:val="20"/>
                <w:szCs w:val="20"/>
                <w:lang w:eastAsia="en-GB"/>
              </w:rPr>
            </w:pPr>
            <w:r w:rsidRPr="00AB79DF">
              <w:rPr>
                <w:rFonts w:ascii="Calibri" w:hAnsi="Calibri" w:cs="Calibri"/>
                <w:b/>
                <w:color w:val="000000"/>
                <w:sz w:val="20"/>
                <w:szCs w:val="20"/>
                <w:lang w:eastAsia="en-GB"/>
              </w:rPr>
              <w:t>105</w:t>
            </w:r>
          </w:p>
        </w:tc>
        <w:tc>
          <w:tcPr>
            <w:tcW w:w="740" w:type="dxa"/>
            <w:tcBorders>
              <w:bottom w:val="single" w:sz="4" w:space="0" w:color="auto"/>
            </w:tcBorders>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w:t>
            </w:r>
          </w:p>
        </w:tc>
        <w:tc>
          <w:tcPr>
            <w:tcW w:w="740" w:type="dxa"/>
            <w:tcBorders>
              <w:bottom w:val="single" w:sz="4" w:space="0" w:color="auto"/>
            </w:tcBorders>
          </w:tcPr>
          <w:p w:rsidR="002F1851" w:rsidRPr="00AB79DF" w:rsidRDefault="002F1851" w:rsidP="002F1851">
            <w:pPr>
              <w:spacing w:before="0" w:after="0"/>
              <w:jc w:val="center"/>
              <w:rPr>
                <w:rFonts w:ascii="Calibri" w:hAnsi="Calibri" w:cs="Calibri"/>
                <w:color w:val="000000"/>
                <w:sz w:val="20"/>
                <w:szCs w:val="20"/>
                <w:lang w:eastAsia="en-GB"/>
              </w:rPr>
            </w:pPr>
            <w:r w:rsidRPr="00AB79DF">
              <w:rPr>
                <w:rFonts w:ascii="Calibri" w:hAnsi="Calibri" w:cs="Calibri"/>
                <w:color w:val="000000"/>
                <w:sz w:val="20"/>
                <w:szCs w:val="20"/>
                <w:lang w:eastAsia="en-GB"/>
              </w:rPr>
              <w:t>-</w:t>
            </w:r>
          </w:p>
        </w:tc>
        <w:tc>
          <w:tcPr>
            <w:tcW w:w="739" w:type="dxa"/>
            <w:tcBorders>
              <w:bottom w:val="single" w:sz="4" w:space="0" w:color="auto"/>
            </w:tcBorders>
          </w:tcPr>
          <w:p w:rsidR="002F1851" w:rsidRPr="005B0B50" w:rsidRDefault="002F1851" w:rsidP="002F1851">
            <w:pPr>
              <w:spacing w:before="0" w:after="0"/>
              <w:jc w:val="center"/>
              <w:rPr>
                <w:rFonts w:ascii="Calibri" w:hAnsi="Calibri" w:cs="Calibri"/>
                <w:color w:val="000000"/>
                <w:sz w:val="20"/>
                <w:szCs w:val="20"/>
                <w:lang w:eastAsia="en-GB"/>
              </w:rPr>
            </w:pPr>
            <w:r w:rsidRPr="005B0B50">
              <w:rPr>
                <w:rFonts w:ascii="Calibri" w:hAnsi="Calibri" w:cs="Calibri"/>
                <w:color w:val="000000"/>
                <w:sz w:val="20"/>
                <w:szCs w:val="20"/>
                <w:lang w:eastAsia="en-GB"/>
              </w:rPr>
              <w:t>2</w:t>
            </w:r>
          </w:p>
        </w:tc>
      </w:tr>
      <w:tr w:rsidR="002F1851" w:rsidTr="009A591A">
        <w:trPr>
          <w:trHeight w:val="245"/>
        </w:trPr>
        <w:tc>
          <w:tcPr>
            <w:tcW w:w="934"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p>
        </w:tc>
        <w:tc>
          <w:tcPr>
            <w:tcW w:w="4178" w:type="dxa"/>
            <w:shd w:val="clear" w:color="auto" w:fill="8DB3E2" w:themeFill="text2" w:themeFillTint="66"/>
          </w:tcPr>
          <w:p w:rsidR="002F1851" w:rsidRPr="00673AD2" w:rsidRDefault="002F1851" w:rsidP="002F1851">
            <w:pPr>
              <w:spacing w:before="0" w:after="0"/>
              <w:rPr>
                <w:rFonts w:ascii="Calibri" w:hAnsi="Calibri" w:cs="Calibri"/>
                <w:b/>
                <w:color w:val="000000"/>
                <w:sz w:val="20"/>
                <w:szCs w:val="20"/>
                <w:lang w:eastAsia="en-GB"/>
              </w:rPr>
            </w:pPr>
            <w:r w:rsidRPr="00673AD2">
              <w:rPr>
                <w:rFonts w:ascii="Calibri" w:hAnsi="Calibri" w:cs="Calibri"/>
                <w:b/>
                <w:color w:val="000000"/>
                <w:sz w:val="20"/>
                <w:szCs w:val="20"/>
                <w:lang w:eastAsia="en-GB"/>
              </w:rPr>
              <w:t>Total</w:t>
            </w:r>
          </w:p>
        </w:tc>
        <w:tc>
          <w:tcPr>
            <w:tcW w:w="740"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sidRPr="00673AD2">
              <w:rPr>
                <w:rFonts w:ascii="Calibri" w:hAnsi="Calibri" w:cs="Calibri"/>
                <w:b/>
                <w:color w:val="000000"/>
                <w:sz w:val="20"/>
                <w:szCs w:val="20"/>
                <w:lang w:eastAsia="en-GB"/>
              </w:rPr>
              <w:t>3,687</w:t>
            </w:r>
          </w:p>
        </w:tc>
        <w:tc>
          <w:tcPr>
            <w:tcW w:w="740"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sidRPr="00673AD2">
              <w:rPr>
                <w:rFonts w:ascii="Calibri" w:hAnsi="Calibri" w:cs="Calibri"/>
                <w:b/>
                <w:color w:val="000000"/>
                <w:sz w:val="20"/>
                <w:szCs w:val="20"/>
                <w:lang w:eastAsia="en-GB"/>
              </w:rPr>
              <w:t>4,647</w:t>
            </w:r>
          </w:p>
        </w:tc>
        <w:tc>
          <w:tcPr>
            <w:tcW w:w="739"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sidRPr="00673AD2">
              <w:rPr>
                <w:rFonts w:ascii="Calibri" w:hAnsi="Calibri" w:cs="Calibri"/>
                <w:b/>
                <w:color w:val="000000"/>
                <w:sz w:val="20"/>
                <w:szCs w:val="20"/>
                <w:lang w:eastAsia="en-GB"/>
              </w:rPr>
              <w:t>6,373</w:t>
            </w:r>
          </w:p>
        </w:tc>
        <w:tc>
          <w:tcPr>
            <w:tcW w:w="740"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Pr>
                <w:rFonts w:ascii="Calibri" w:hAnsi="Calibri" w:cs="Calibri"/>
                <w:b/>
                <w:color w:val="000000"/>
                <w:sz w:val="20"/>
                <w:szCs w:val="20"/>
                <w:lang w:eastAsia="en-GB"/>
              </w:rPr>
              <w:t>6,697</w:t>
            </w:r>
          </w:p>
        </w:tc>
        <w:tc>
          <w:tcPr>
            <w:tcW w:w="740"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Pr>
                <w:rFonts w:ascii="Calibri" w:hAnsi="Calibri" w:cs="Calibri"/>
                <w:b/>
                <w:color w:val="000000"/>
                <w:sz w:val="20"/>
                <w:szCs w:val="20"/>
                <w:lang w:eastAsia="en-GB"/>
              </w:rPr>
              <w:t>6,230</w:t>
            </w:r>
          </w:p>
        </w:tc>
        <w:tc>
          <w:tcPr>
            <w:tcW w:w="740"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r>
              <w:rPr>
                <w:rFonts w:ascii="Calibri" w:hAnsi="Calibri" w:cs="Calibri"/>
                <w:b/>
                <w:color w:val="000000"/>
                <w:sz w:val="20"/>
                <w:szCs w:val="20"/>
                <w:lang w:eastAsia="en-GB"/>
              </w:rPr>
              <w:t>5,836</w:t>
            </w:r>
          </w:p>
        </w:tc>
        <w:tc>
          <w:tcPr>
            <w:tcW w:w="739" w:type="dxa"/>
            <w:shd w:val="clear" w:color="auto" w:fill="8DB3E2" w:themeFill="text2" w:themeFillTint="66"/>
          </w:tcPr>
          <w:p w:rsidR="002F1851" w:rsidRPr="00673AD2" w:rsidRDefault="002F1851" w:rsidP="002F1851">
            <w:pPr>
              <w:spacing w:before="0" w:after="0"/>
              <w:jc w:val="center"/>
              <w:rPr>
                <w:rFonts w:ascii="Calibri" w:hAnsi="Calibri" w:cs="Calibri"/>
                <w:b/>
                <w:color w:val="000000"/>
                <w:sz w:val="20"/>
                <w:szCs w:val="20"/>
                <w:lang w:eastAsia="en-GB"/>
              </w:rPr>
            </w:pPr>
          </w:p>
        </w:tc>
      </w:tr>
    </w:tbl>
    <w:p w:rsidR="002F1851" w:rsidRPr="005B0B50" w:rsidRDefault="002F1851" w:rsidP="002F1851">
      <w:pPr>
        <w:spacing w:after="0"/>
        <w:rPr>
          <w:sz w:val="20"/>
          <w:szCs w:val="20"/>
        </w:rPr>
      </w:pPr>
      <w:r>
        <w:rPr>
          <w:sz w:val="20"/>
          <w:szCs w:val="20"/>
        </w:rPr>
        <w:t>N</w:t>
      </w:r>
      <w:r w:rsidRPr="005B0B50">
        <w:rPr>
          <w:sz w:val="20"/>
          <w:szCs w:val="20"/>
        </w:rPr>
        <w:t>otes</w:t>
      </w:r>
      <w:r>
        <w:rPr>
          <w:sz w:val="20"/>
          <w:szCs w:val="20"/>
        </w:rPr>
        <w:tab/>
      </w:r>
      <w:r w:rsidRPr="005B0B50">
        <w:rPr>
          <w:sz w:val="20"/>
          <w:szCs w:val="20"/>
        </w:rPr>
        <w:t>1</w:t>
      </w:r>
      <w:r w:rsidRPr="005B0B50">
        <w:rPr>
          <w:sz w:val="20"/>
          <w:szCs w:val="20"/>
        </w:rPr>
        <w:tab/>
        <w:t>Assumes</w:t>
      </w:r>
      <w:r>
        <w:rPr>
          <w:sz w:val="20"/>
          <w:szCs w:val="20"/>
        </w:rPr>
        <w:t xml:space="preserve"> </w:t>
      </w:r>
      <w:r w:rsidRPr="005B0B50">
        <w:rPr>
          <w:sz w:val="20"/>
          <w:szCs w:val="20"/>
        </w:rPr>
        <w:t>similar RCF rates and number of Senior Investigators</w:t>
      </w:r>
    </w:p>
    <w:p w:rsidR="002F1851" w:rsidRPr="005B0B50" w:rsidRDefault="002F1851" w:rsidP="002F1851">
      <w:pPr>
        <w:spacing w:after="0"/>
        <w:ind w:left="1440" w:hanging="720"/>
        <w:rPr>
          <w:sz w:val="20"/>
          <w:szCs w:val="20"/>
        </w:rPr>
      </w:pPr>
      <w:r w:rsidRPr="005B0B50">
        <w:rPr>
          <w:sz w:val="20"/>
          <w:szCs w:val="20"/>
        </w:rPr>
        <w:t>2</w:t>
      </w:r>
      <w:r w:rsidRPr="005B0B50">
        <w:rPr>
          <w:sz w:val="20"/>
          <w:szCs w:val="20"/>
        </w:rPr>
        <w:tab/>
      </w:r>
      <w:r>
        <w:rPr>
          <w:sz w:val="20"/>
          <w:szCs w:val="20"/>
        </w:rPr>
        <w:t xml:space="preserve">FY15 based on forecast, FY16 and FY17 based on the FY15 budget. </w:t>
      </w:r>
      <w:r w:rsidRPr="005B0B50">
        <w:rPr>
          <w:sz w:val="20"/>
          <w:szCs w:val="20"/>
        </w:rPr>
        <w:t>Forecasts are being worked on and will be added once agreed</w:t>
      </w:r>
      <w:r>
        <w:rPr>
          <w:sz w:val="20"/>
          <w:szCs w:val="20"/>
        </w:rPr>
        <w:tab/>
      </w:r>
      <w:r>
        <w:rPr>
          <w:sz w:val="20"/>
          <w:szCs w:val="20"/>
        </w:rPr>
        <w:tab/>
      </w:r>
    </w:p>
    <w:p w:rsidR="002F1851" w:rsidRDefault="002F1851" w:rsidP="002F1851">
      <w:pPr>
        <w:pStyle w:val="Heading2"/>
      </w:pPr>
      <w:r w:rsidRPr="00182306">
        <w:t>Contribution to Overheads</w:t>
      </w:r>
    </w:p>
    <w:p w:rsidR="002F1851" w:rsidRDefault="002F1851" w:rsidP="002F1851">
      <w:pPr>
        <w:spacing w:after="0"/>
      </w:pPr>
      <w:r>
        <w:t>The budgeted contribution to overheads has remained static over the past few years. This will become a challenge to R&amp;D as the funding associated with studies providing generous overhead allowances start to come to an end as illustrated in the Income Summary FY12-FY17 and the flexibility within R&amp;D funding in relation to overheads which existed previously becomes tighter due to new reporting requirements. Overheads from new studies are expected to be covered by a more modest allocation from RCF</w:t>
      </w:r>
      <w:r w:rsidRPr="00FC0C06">
        <w:t xml:space="preserve">. </w:t>
      </w:r>
      <w:r>
        <w:t xml:space="preserve"> </w:t>
      </w:r>
      <w:r w:rsidRPr="00FC0C06">
        <w:t xml:space="preserve">Work will take place to identify </w:t>
      </w:r>
      <w:r>
        <w:t>the forecast contribution to overheads over the next few years.</w:t>
      </w:r>
    </w:p>
    <w:p w:rsidR="002F1851" w:rsidRPr="00FA1E4A" w:rsidRDefault="002F1851" w:rsidP="002F1851">
      <w:pPr>
        <w:pStyle w:val="Heading2"/>
      </w:pPr>
      <w:r w:rsidRPr="00FA1E4A">
        <w:t>Redundancy Costs</w:t>
      </w:r>
    </w:p>
    <w:p w:rsidR="002F1851" w:rsidRPr="00FA1E4A" w:rsidRDefault="002F1851" w:rsidP="002F1851">
      <w:pPr>
        <w:spacing w:after="0"/>
      </w:pPr>
      <w:r w:rsidRPr="00FA1E4A">
        <w:t>There are a few members of staff employed on studies which are coming to an end. This could generate redundancy payments which will not be chargeable to the study. These are being identified and mitigation sought on a</w:t>
      </w:r>
      <w:r>
        <w:t xml:space="preserve"> case-by-case </w:t>
      </w:r>
      <w:r w:rsidRPr="00FA1E4A">
        <w:t>basis.</w:t>
      </w:r>
    </w:p>
    <w:p w:rsidR="002F1851" w:rsidRDefault="002F1851" w:rsidP="002F1851">
      <w:pPr>
        <w:pStyle w:val="Heading2"/>
      </w:pPr>
      <w:r>
        <w:t>RCF Funding Scenarios</w:t>
      </w:r>
    </w:p>
    <w:p w:rsidR="002F1851" w:rsidRPr="005569FD" w:rsidRDefault="002F1851" w:rsidP="002F1851">
      <w:pPr>
        <w:spacing w:after="0"/>
      </w:pPr>
      <w:r w:rsidRPr="005569FD">
        <w:t xml:space="preserve">There have been a number of discussions recently concerning the potential reductions in research funding. One of the most vulnerable sources of income is RCF because unlike the </w:t>
      </w:r>
      <w:r w:rsidRPr="005569FD">
        <w:lastRenderedPageBreak/>
        <w:t>infrastructure and grant awards it is based on an annual allocation.  For illustrative purposes two scenarios are shown in the table below:</w:t>
      </w:r>
    </w:p>
    <w:p w:rsidR="002F1851" w:rsidRPr="005569FD" w:rsidRDefault="002F1851" w:rsidP="00765972">
      <w:pPr>
        <w:pStyle w:val="ListParagraph"/>
        <w:numPr>
          <w:ilvl w:val="0"/>
          <w:numId w:val="5"/>
        </w:numPr>
        <w:spacing w:before="0" w:after="0" w:line="276" w:lineRule="auto"/>
        <w:contextualSpacing/>
        <w:jc w:val="left"/>
      </w:pPr>
      <w:r w:rsidRPr="005569FD">
        <w:t>A 50% blanket reduction</w:t>
      </w:r>
    </w:p>
    <w:p w:rsidR="002F1851" w:rsidRDefault="002F1851" w:rsidP="00765972">
      <w:pPr>
        <w:pStyle w:val="ListParagraph"/>
        <w:numPr>
          <w:ilvl w:val="0"/>
          <w:numId w:val="5"/>
        </w:numPr>
        <w:spacing w:before="0" w:after="0" w:line="276" w:lineRule="auto"/>
        <w:contextualSpacing/>
        <w:jc w:val="left"/>
      </w:pPr>
      <w:r w:rsidRPr="005569FD">
        <w:t xml:space="preserve">Reductions of 20p on study related RCF, 19p (100%) on infrastructure related and £25,000 per senior investigator. </w:t>
      </w:r>
    </w:p>
    <w:p w:rsidR="002F1851" w:rsidRDefault="002F1851" w:rsidP="002F1851">
      <w:pPr>
        <w:spacing w:after="0"/>
        <w:rPr>
          <w:b/>
          <w:sz w:val="20"/>
          <w:szCs w:val="20"/>
        </w:rPr>
      </w:pPr>
    </w:p>
    <w:tbl>
      <w:tblPr>
        <w:tblStyle w:val="TableGrid"/>
        <w:tblW w:w="10065" w:type="dxa"/>
        <w:tblInd w:w="108" w:type="dxa"/>
        <w:tblLook w:val="04A0" w:firstRow="1" w:lastRow="0" w:firstColumn="1" w:lastColumn="0" w:noHBand="0" w:noVBand="1"/>
      </w:tblPr>
      <w:tblGrid>
        <w:gridCol w:w="2127"/>
        <w:gridCol w:w="1119"/>
        <w:gridCol w:w="912"/>
        <w:gridCol w:w="1133"/>
        <w:gridCol w:w="2146"/>
        <w:gridCol w:w="1244"/>
        <w:gridCol w:w="1384"/>
      </w:tblGrid>
      <w:tr w:rsidR="002F1851" w:rsidTr="009A591A">
        <w:trPr>
          <w:trHeight w:val="660"/>
        </w:trPr>
        <w:tc>
          <w:tcPr>
            <w:tcW w:w="2127" w:type="dxa"/>
            <w:tcBorders>
              <w:top w:val="single" w:sz="18" w:space="0" w:color="auto"/>
              <w:left w:val="single" w:sz="18" w:space="0" w:color="auto"/>
            </w:tcBorders>
            <w:shd w:val="clear" w:color="auto" w:fill="8DB3E2" w:themeFill="text2" w:themeFillTint="66"/>
          </w:tcPr>
          <w:p w:rsidR="002F1851" w:rsidRPr="007A1A4B" w:rsidRDefault="002F1851" w:rsidP="002F1851">
            <w:pPr>
              <w:jc w:val="center"/>
              <w:rPr>
                <w:rFonts w:ascii="Calibri" w:hAnsi="Calibri" w:cs="Calibri"/>
                <w:b/>
                <w:bCs/>
                <w:color w:val="000000"/>
                <w:sz w:val="22"/>
                <w:szCs w:val="22"/>
                <w:lang w:eastAsia="en-GB"/>
              </w:rPr>
            </w:pPr>
            <w:r w:rsidRPr="007A1A4B">
              <w:rPr>
                <w:rFonts w:ascii="Calibri" w:hAnsi="Calibri" w:cs="Calibri"/>
                <w:b/>
                <w:bCs/>
                <w:color w:val="000000"/>
                <w:sz w:val="22"/>
                <w:szCs w:val="22"/>
                <w:lang w:eastAsia="en-GB"/>
              </w:rPr>
              <w:t>Type</w:t>
            </w:r>
          </w:p>
        </w:tc>
        <w:tc>
          <w:tcPr>
            <w:tcW w:w="1119" w:type="dxa"/>
            <w:tcBorders>
              <w:top w:val="single" w:sz="18" w:space="0" w:color="auto"/>
            </w:tcBorders>
            <w:shd w:val="clear" w:color="auto" w:fill="8DB3E2" w:themeFill="text2" w:themeFillTint="66"/>
          </w:tcPr>
          <w:p w:rsidR="002F1851" w:rsidRPr="007A1A4B" w:rsidRDefault="002F1851" w:rsidP="002F1851">
            <w:pPr>
              <w:jc w:val="center"/>
              <w:rPr>
                <w:rFonts w:ascii="Calibri" w:hAnsi="Calibri" w:cs="Calibri"/>
                <w:b/>
                <w:bCs/>
                <w:color w:val="000000"/>
                <w:sz w:val="22"/>
                <w:szCs w:val="22"/>
                <w:lang w:eastAsia="en-GB"/>
              </w:rPr>
            </w:pPr>
            <w:r w:rsidRPr="007A1A4B">
              <w:rPr>
                <w:rFonts w:ascii="Calibri" w:hAnsi="Calibri" w:cs="Calibri"/>
                <w:b/>
                <w:bCs/>
                <w:color w:val="000000"/>
                <w:sz w:val="22"/>
                <w:szCs w:val="22"/>
                <w:lang w:eastAsia="en-GB"/>
              </w:rPr>
              <w:t>Basis</w:t>
            </w:r>
          </w:p>
        </w:tc>
        <w:tc>
          <w:tcPr>
            <w:tcW w:w="912" w:type="dxa"/>
            <w:tcBorders>
              <w:top w:val="single" w:sz="18" w:space="0" w:color="auto"/>
            </w:tcBorders>
            <w:shd w:val="clear" w:color="auto" w:fill="8DB3E2" w:themeFill="text2" w:themeFillTint="66"/>
          </w:tcPr>
          <w:p w:rsidR="002F1851" w:rsidRPr="007A1A4B" w:rsidRDefault="002F1851" w:rsidP="002F1851">
            <w:pPr>
              <w:spacing w:before="0"/>
              <w:jc w:val="center"/>
              <w:rPr>
                <w:rFonts w:ascii="Calibri" w:hAnsi="Calibri" w:cs="Calibri"/>
                <w:b/>
                <w:bCs/>
                <w:color w:val="000000"/>
                <w:sz w:val="22"/>
                <w:szCs w:val="22"/>
                <w:lang w:eastAsia="en-GB"/>
              </w:rPr>
            </w:pPr>
            <w:r w:rsidRPr="007A1A4B">
              <w:rPr>
                <w:rFonts w:ascii="Calibri" w:hAnsi="Calibri" w:cs="Calibri"/>
                <w:b/>
                <w:bCs/>
                <w:color w:val="000000"/>
                <w:sz w:val="22"/>
                <w:szCs w:val="22"/>
                <w:lang w:eastAsia="en-GB"/>
              </w:rPr>
              <w:t>Current Rate</w:t>
            </w:r>
          </w:p>
        </w:tc>
        <w:tc>
          <w:tcPr>
            <w:tcW w:w="1133" w:type="dxa"/>
            <w:tcBorders>
              <w:top w:val="single" w:sz="18" w:space="0" w:color="auto"/>
              <w:right w:val="single" w:sz="18" w:space="0" w:color="auto"/>
            </w:tcBorders>
            <w:shd w:val="clear" w:color="auto" w:fill="8DB3E2" w:themeFill="text2" w:themeFillTint="66"/>
          </w:tcPr>
          <w:p w:rsidR="002F1851" w:rsidRPr="007A1A4B" w:rsidRDefault="002F1851" w:rsidP="002F1851">
            <w:pPr>
              <w:jc w:val="center"/>
              <w:rPr>
                <w:rFonts w:ascii="Calibri" w:hAnsi="Calibri" w:cs="Calibri"/>
                <w:b/>
                <w:bCs/>
                <w:color w:val="000000"/>
                <w:sz w:val="22"/>
                <w:szCs w:val="22"/>
                <w:lang w:eastAsia="en-GB"/>
              </w:rPr>
            </w:pPr>
            <w:r w:rsidRPr="007A1A4B">
              <w:rPr>
                <w:rFonts w:ascii="Calibri" w:hAnsi="Calibri" w:cs="Calibri"/>
                <w:b/>
                <w:bCs/>
                <w:color w:val="000000"/>
                <w:sz w:val="22"/>
                <w:szCs w:val="22"/>
                <w:lang w:eastAsia="en-GB"/>
              </w:rPr>
              <w:t>Total (£)</w:t>
            </w:r>
          </w:p>
        </w:tc>
        <w:tc>
          <w:tcPr>
            <w:tcW w:w="2146" w:type="dxa"/>
            <w:tcBorders>
              <w:top w:val="single" w:sz="18" w:space="0" w:color="auto"/>
              <w:left w:val="single" w:sz="18" w:space="0" w:color="auto"/>
              <w:right w:val="single" w:sz="18" w:space="0" w:color="auto"/>
            </w:tcBorders>
            <w:shd w:val="clear" w:color="auto" w:fill="8DB3E2" w:themeFill="text2" w:themeFillTint="66"/>
          </w:tcPr>
          <w:p w:rsidR="002F1851" w:rsidRPr="007A1A4B" w:rsidRDefault="002F1851" w:rsidP="002F1851">
            <w:pPr>
              <w:jc w:val="center"/>
              <w:rPr>
                <w:rFonts w:ascii="Calibri" w:hAnsi="Calibri" w:cs="Calibri"/>
                <w:b/>
                <w:bCs/>
                <w:color w:val="000000"/>
                <w:sz w:val="22"/>
                <w:szCs w:val="22"/>
                <w:lang w:eastAsia="en-GB"/>
              </w:rPr>
            </w:pPr>
            <w:r w:rsidRPr="007A1A4B">
              <w:rPr>
                <w:rFonts w:ascii="Calibri" w:hAnsi="Calibri" w:cs="Calibri"/>
                <w:b/>
                <w:bCs/>
                <w:color w:val="000000"/>
                <w:sz w:val="22"/>
                <w:szCs w:val="22"/>
                <w:lang w:eastAsia="en-GB"/>
              </w:rPr>
              <w:t>Scenario 1 - Blanket 50%</w:t>
            </w:r>
          </w:p>
        </w:tc>
        <w:tc>
          <w:tcPr>
            <w:tcW w:w="2628" w:type="dxa"/>
            <w:gridSpan w:val="2"/>
            <w:tcBorders>
              <w:top w:val="single" w:sz="18" w:space="0" w:color="auto"/>
              <w:left w:val="single" w:sz="18" w:space="0" w:color="auto"/>
              <w:bottom w:val="single" w:sz="4" w:space="0" w:color="auto"/>
              <w:right w:val="single" w:sz="18" w:space="0" w:color="auto"/>
            </w:tcBorders>
            <w:shd w:val="clear" w:color="auto" w:fill="8DB3E2" w:themeFill="text2" w:themeFillTint="66"/>
          </w:tcPr>
          <w:p w:rsidR="002F1851" w:rsidRPr="007A1A4B" w:rsidRDefault="002F1851" w:rsidP="002F1851">
            <w:pPr>
              <w:jc w:val="center"/>
              <w:rPr>
                <w:b/>
                <w:sz w:val="22"/>
                <w:szCs w:val="22"/>
              </w:rPr>
            </w:pPr>
            <w:r w:rsidRPr="007A1A4B">
              <w:rPr>
                <w:rFonts w:ascii="Calibri" w:hAnsi="Calibri" w:cs="Calibri"/>
                <w:b/>
                <w:bCs/>
                <w:color w:val="000000"/>
                <w:sz w:val="22"/>
                <w:szCs w:val="22"/>
                <w:lang w:eastAsia="en-GB"/>
              </w:rPr>
              <w:t>Scenario 2 - Rate Reduction</w:t>
            </w:r>
          </w:p>
        </w:tc>
      </w:tr>
      <w:tr w:rsidR="002F1851" w:rsidTr="002F1851">
        <w:trPr>
          <w:trHeight w:val="407"/>
        </w:trPr>
        <w:tc>
          <w:tcPr>
            <w:tcW w:w="2127" w:type="dxa"/>
            <w:tcBorders>
              <w:left w:val="single" w:sz="18" w:space="0" w:color="auto"/>
            </w:tcBorders>
            <w:vAlign w:val="center"/>
          </w:tcPr>
          <w:p w:rsidR="002F1851" w:rsidRPr="007A1A4B" w:rsidRDefault="002F1851" w:rsidP="002F1851">
            <w:pPr>
              <w:spacing w:before="0" w:after="0"/>
              <w:jc w:val="left"/>
              <w:rPr>
                <w:rFonts w:ascii="Calibri" w:hAnsi="Calibri" w:cs="Calibri"/>
                <w:color w:val="000000"/>
                <w:sz w:val="22"/>
                <w:szCs w:val="22"/>
                <w:lang w:eastAsia="en-GB"/>
              </w:rPr>
            </w:pPr>
            <w:r w:rsidRPr="007A1A4B">
              <w:rPr>
                <w:rFonts w:ascii="Calibri" w:hAnsi="Calibri" w:cs="Calibri"/>
                <w:color w:val="000000"/>
                <w:sz w:val="22"/>
                <w:szCs w:val="22"/>
                <w:lang w:eastAsia="en-GB"/>
              </w:rPr>
              <w:t>Studies</w:t>
            </w:r>
          </w:p>
        </w:tc>
        <w:tc>
          <w:tcPr>
            <w:tcW w:w="1119" w:type="dxa"/>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1,446,186</w:t>
            </w:r>
          </w:p>
        </w:tc>
        <w:tc>
          <w:tcPr>
            <w:tcW w:w="912" w:type="dxa"/>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0.41</w:t>
            </w:r>
          </w:p>
        </w:tc>
        <w:tc>
          <w:tcPr>
            <w:tcW w:w="1133" w:type="dxa"/>
            <w:tcBorders>
              <w:right w:val="single" w:sz="18"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592,936</w:t>
            </w:r>
          </w:p>
        </w:tc>
        <w:tc>
          <w:tcPr>
            <w:tcW w:w="2146" w:type="dxa"/>
            <w:tcBorders>
              <w:left w:val="single" w:sz="18" w:space="0" w:color="auto"/>
              <w:right w:val="single" w:sz="18"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       296,468</w:t>
            </w:r>
          </w:p>
        </w:tc>
        <w:tc>
          <w:tcPr>
            <w:tcW w:w="1244" w:type="dxa"/>
            <w:tcBorders>
              <w:left w:val="single" w:sz="18" w:space="0" w:color="auto"/>
              <w:right w:val="single" w:sz="4"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w:t>
            </w:r>
            <w:r>
              <w:rPr>
                <w:rFonts w:ascii="Calibri" w:hAnsi="Calibri" w:cs="Calibri"/>
                <w:color w:val="000000"/>
                <w:sz w:val="22"/>
                <w:szCs w:val="22"/>
                <w:lang w:eastAsia="en-GB"/>
              </w:rPr>
              <w:t>0.20</w:t>
            </w:r>
          </w:p>
        </w:tc>
        <w:tc>
          <w:tcPr>
            <w:tcW w:w="1384" w:type="dxa"/>
            <w:tcBorders>
              <w:left w:val="single" w:sz="4" w:space="0" w:color="auto"/>
              <w:right w:val="single" w:sz="18"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       289,237</w:t>
            </w:r>
          </w:p>
        </w:tc>
      </w:tr>
      <w:tr w:rsidR="002F1851" w:rsidTr="002F1851">
        <w:trPr>
          <w:trHeight w:val="359"/>
        </w:trPr>
        <w:tc>
          <w:tcPr>
            <w:tcW w:w="2127" w:type="dxa"/>
            <w:tcBorders>
              <w:left w:val="single" w:sz="18" w:space="0" w:color="auto"/>
            </w:tcBorders>
            <w:vAlign w:val="center"/>
          </w:tcPr>
          <w:p w:rsidR="002F1851" w:rsidRPr="007A1A4B" w:rsidRDefault="002F1851" w:rsidP="002F1851">
            <w:pPr>
              <w:spacing w:before="0" w:after="0"/>
              <w:jc w:val="left"/>
              <w:rPr>
                <w:rFonts w:ascii="Calibri" w:hAnsi="Calibri" w:cs="Calibri"/>
                <w:color w:val="000000"/>
                <w:sz w:val="22"/>
                <w:szCs w:val="22"/>
                <w:lang w:eastAsia="en-GB"/>
              </w:rPr>
            </w:pPr>
            <w:r w:rsidRPr="007A1A4B">
              <w:rPr>
                <w:rFonts w:ascii="Calibri" w:hAnsi="Calibri" w:cs="Calibri"/>
                <w:color w:val="000000"/>
                <w:sz w:val="22"/>
                <w:szCs w:val="22"/>
                <w:lang w:eastAsia="en-GB"/>
              </w:rPr>
              <w:t>Infrastructure</w:t>
            </w:r>
          </w:p>
        </w:tc>
        <w:tc>
          <w:tcPr>
            <w:tcW w:w="1119" w:type="dxa"/>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257,449</w:t>
            </w:r>
          </w:p>
        </w:tc>
        <w:tc>
          <w:tcPr>
            <w:tcW w:w="912" w:type="dxa"/>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0.19</w:t>
            </w:r>
          </w:p>
        </w:tc>
        <w:tc>
          <w:tcPr>
            <w:tcW w:w="1133" w:type="dxa"/>
            <w:tcBorders>
              <w:right w:val="single" w:sz="18"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48,915</w:t>
            </w:r>
          </w:p>
        </w:tc>
        <w:tc>
          <w:tcPr>
            <w:tcW w:w="2146" w:type="dxa"/>
            <w:tcBorders>
              <w:left w:val="single" w:sz="18" w:space="0" w:color="auto"/>
              <w:right w:val="single" w:sz="18"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         24,458</w:t>
            </w:r>
          </w:p>
        </w:tc>
        <w:tc>
          <w:tcPr>
            <w:tcW w:w="1244" w:type="dxa"/>
            <w:tcBorders>
              <w:left w:val="single" w:sz="18" w:space="0" w:color="auto"/>
              <w:right w:val="single" w:sz="4"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Pr>
                <w:rFonts w:ascii="Calibri" w:hAnsi="Calibri" w:cs="Calibri"/>
                <w:color w:val="000000"/>
                <w:sz w:val="22"/>
                <w:szCs w:val="22"/>
                <w:lang w:eastAsia="en-GB"/>
              </w:rPr>
              <w:t>-0.19</w:t>
            </w:r>
          </w:p>
        </w:tc>
        <w:tc>
          <w:tcPr>
            <w:tcW w:w="1384" w:type="dxa"/>
            <w:tcBorders>
              <w:left w:val="single" w:sz="4" w:space="0" w:color="auto"/>
              <w:right w:val="single" w:sz="18"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         48,915</w:t>
            </w:r>
          </w:p>
        </w:tc>
      </w:tr>
      <w:tr w:rsidR="002F1851" w:rsidTr="002F1851">
        <w:trPr>
          <w:trHeight w:val="311"/>
        </w:trPr>
        <w:tc>
          <w:tcPr>
            <w:tcW w:w="2127" w:type="dxa"/>
            <w:tcBorders>
              <w:left w:val="single" w:sz="18" w:space="0" w:color="auto"/>
            </w:tcBorders>
            <w:vAlign w:val="center"/>
          </w:tcPr>
          <w:p w:rsidR="002F1851" w:rsidRPr="007A1A4B" w:rsidRDefault="002F1851" w:rsidP="002F1851">
            <w:pPr>
              <w:spacing w:before="0" w:after="0"/>
              <w:jc w:val="left"/>
              <w:rPr>
                <w:rFonts w:ascii="Calibri" w:hAnsi="Calibri" w:cs="Calibri"/>
                <w:color w:val="000000"/>
                <w:sz w:val="22"/>
                <w:szCs w:val="22"/>
                <w:lang w:eastAsia="en-GB"/>
              </w:rPr>
            </w:pPr>
            <w:r w:rsidRPr="007A1A4B">
              <w:rPr>
                <w:rFonts w:ascii="Calibri" w:hAnsi="Calibri" w:cs="Calibri"/>
                <w:color w:val="000000"/>
                <w:sz w:val="22"/>
                <w:szCs w:val="22"/>
                <w:lang w:eastAsia="en-GB"/>
              </w:rPr>
              <w:t>Senior Investigators</w:t>
            </w:r>
          </w:p>
        </w:tc>
        <w:tc>
          <w:tcPr>
            <w:tcW w:w="1119" w:type="dxa"/>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8</w:t>
            </w:r>
          </w:p>
        </w:tc>
        <w:tc>
          <w:tcPr>
            <w:tcW w:w="912" w:type="dxa"/>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75,000</w:t>
            </w:r>
          </w:p>
        </w:tc>
        <w:tc>
          <w:tcPr>
            <w:tcW w:w="1133" w:type="dxa"/>
            <w:tcBorders>
              <w:right w:val="single" w:sz="18"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600,000</w:t>
            </w:r>
          </w:p>
        </w:tc>
        <w:tc>
          <w:tcPr>
            <w:tcW w:w="2146" w:type="dxa"/>
            <w:tcBorders>
              <w:left w:val="single" w:sz="18" w:space="0" w:color="auto"/>
              <w:right w:val="single" w:sz="18"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       300,000</w:t>
            </w:r>
          </w:p>
        </w:tc>
        <w:tc>
          <w:tcPr>
            <w:tcW w:w="1244" w:type="dxa"/>
            <w:tcBorders>
              <w:left w:val="single" w:sz="18" w:space="0" w:color="auto"/>
              <w:right w:val="single" w:sz="4"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Pr>
                <w:rFonts w:ascii="Calibri" w:hAnsi="Calibri" w:cs="Calibri"/>
                <w:color w:val="000000"/>
                <w:sz w:val="22"/>
                <w:szCs w:val="22"/>
                <w:lang w:eastAsia="en-GB"/>
              </w:rPr>
              <w:t>-25,000</w:t>
            </w:r>
          </w:p>
        </w:tc>
        <w:tc>
          <w:tcPr>
            <w:tcW w:w="1384" w:type="dxa"/>
            <w:tcBorders>
              <w:left w:val="single" w:sz="4" w:space="0" w:color="auto"/>
              <w:right w:val="single" w:sz="18" w:space="0" w:color="auto"/>
            </w:tcBorders>
            <w:vAlign w:val="center"/>
          </w:tcPr>
          <w:p w:rsidR="002F1851" w:rsidRPr="007A1A4B" w:rsidRDefault="002F1851" w:rsidP="002F1851">
            <w:pPr>
              <w:spacing w:before="0" w:after="0"/>
              <w:jc w:val="center"/>
              <w:rPr>
                <w:rFonts w:ascii="Calibri" w:hAnsi="Calibri" w:cs="Calibri"/>
                <w:color w:val="000000"/>
                <w:sz w:val="22"/>
                <w:szCs w:val="22"/>
                <w:lang w:eastAsia="en-GB"/>
              </w:rPr>
            </w:pPr>
            <w:r w:rsidRPr="007A1A4B">
              <w:rPr>
                <w:rFonts w:ascii="Calibri" w:hAnsi="Calibri" w:cs="Calibri"/>
                <w:color w:val="000000"/>
                <w:sz w:val="22"/>
                <w:szCs w:val="22"/>
                <w:lang w:eastAsia="en-GB"/>
              </w:rPr>
              <w:t>-       200,000</w:t>
            </w:r>
          </w:p>
        </w:tc>
      </w:tr>
      <w:tr w:rsidR="002F1851" w:rsidTr="009A591A">
        <w:trPr>
          <w:trHeight w:val="344"/>
        </w:trPr>
        <w:tc>
          <w:tcPr>
            <w:tcW w:w="2127" w:type="dxa"/>
            <w:tcBorders>
              <w:left w:val="single" w:sz="18" w:space="0" w:color="auto"/>
              <w:bottom w:val="single" w:sz="18" w:space="0" w:color="auto"/>
            </w:tcBorders>
            <w:shd w:val="clear" w:color="auto" w:fill="8DB3E2" w:themeFill="text2" w:themeFillTint="66"/>
            <w:vAlign w:val="bottom"/>
          </w:tcPr>
          <w:p w:rsidR="002F1851" w:rsidRPr="007A1A4B" w:rsidRDefault="002F1851" w:rsidP="002F1851">
            <w:pPr>
              <w:spacing w:before="120" w:after="0"/>
              <w:rPr>
                <w:rFonts w:ascii="Calibri" w:hAnsi="Calibri" w:cs="Calibri"/>
                <w:b/>
                <w:bCs/>
                <w:color w:val="000000"/>
                <w:sz w:val="22"/>
                <w:szCs w:val="22"/>
                <w:lang w:eastAsia="en-GB"/>
              </w:rPr>
            </w:pPr>
            <w:r w:rsidRPr="007A1A4B">
              <w:rPr>
                <w:rFonts w:ascii="Calibri" w:hAnsi="Calibri" w:cs="Calibri"/>
                <w:b/>
                <w:bCs/>
                <w:color w:val="000000"/>
                <w:sz w:val="22"/>
                <w:szCs w:val="22"/>
                <w:lang w:eastAsia="en-GB"/>
              </w:rPr>
              <w:t>Total</w:t>
            </w:r>
          </w:p>
        </w:tc>
        <w:tc>
          <w:tcPr>
            <w:tcW w:w="1119" w:type="dxa"/>
            <w:tcBorders>
              <w:bottom w:val="single" w:sz="18" w:space="0" w:color="auto"/>
            </w:tcBorders>
            <w:shd w:val="clear" w:color="auto" w:fill="8DB3E2" w:themeFill="text2" w:themeFillTint="66"/>
            <w:vAlign w:val="bottom"/>
          </w:tcPr>
          <w:p w:rsidR="002F1851" w:rsidRPr="007A1A4B" w:rsidRDefault="002F1851" w:rsidP="002F1851">
            <w:pPr>
              <w:spacing w:before="120" w:after="0"/>
              <w:jc w:val="center"/>
              <w:rPr>
                <w:rFonts w:ascii="Calibri" w:hAnsi="Calibri" w:cs="Calibri"/>
                <w:b/>
                <w:bCs/>
                <w:color w:val="000000"/>
                <w:sz w:val="22"/>
                <w:szCs w:val="22"/>
                <w:lang w:eastAsia="en-GB"/>
              </w:rPr>
            </w:pPr>
          </w:p>
        </w:tc>
        <w:tc>
          <w:tcPr>
            <w:tcW w:w="912" w:type="dxa"/>
            <w:tcBorders>
              <w:bottom w:val="single" w:sz="18" w:space="0" w:color="auto"/>
            </w:tcBorders>
            <w:shd w:val="clear" w:color="auto" w:fill="8DB3E2" w:themeFill="text2" w:themeFillTint="66"/>
            <w:vAlign w:val="bottom"/>
          </w:tcPr>
          <w:p w:rsidR="002F1851" w:rsidRPr="007A1A4B" w:rsidRDefault="002F1851" w:rsidP="002F1851">
            <w:pPr>
              <w:spacing w:before="120" w:after="0"/>
              <w:jc w:val="center"/>
              <w:rPr>
                <w:rFonts w:ascii="Calibri" w:hAnsi="Calibri" w:cs="Calibri"/>
                <w:b/>
                <w:bCs/>
                <w:color w:val="000000"/>
                <w:sz w:val="22"/>
                <w:szCs w:val="22"/>
                <w:lang w:eastAsia="en-GB"/>
              </w:rPr>
            </w:pPr>
          </w:p>
        </w:tc>
        <w:tc>
          <w:tcPr>
            <w:tcW w:w="1133" w:type="dxa"/>
            <w:tcBorders>
              <w:bottom w:val="single" w:sz="18" w:space="0" w:color="auto"/>
              <w:right w:val="single" w:sz="18" w:space="0" w:color="auto"/>
            </w:tcBorders>
            <w:shd w:val="clear" w:color="auto" w:fill="8DB3E2" w:themeFill="text2" w:themeFillTint="66"/>
            <w:vAlign w:val="bottom"/>
          </w:tcPr>
          <w:p w:rsidR="002F1851" w:rsidRPr="007A1A4B" w:rsidRDefault="002F1851" w:rsidP="002F1851">
            <w:pPr>
              <w:spacing w:before="120" w:after="0"/>
              <w:jc w:val="center"/>
              <w:rPr>
                <w:rFonts w:ascii="Calibri" w:hAnsi="Calibri" w:cs="Calibri"/>
                <w:b/>
                <w:bCs/>
                <w:color w:val="000000"/>
                <w:sz w:val="22"/>
                <w:szCs w:val="22"/>
                <w:lang w:eastAsia="en-GB"/>
              </w:rPr>
            </w:pPr>
            <w:r w:rsidRPr="007A1A4B">
              <w:rPr>
                <w:rFonts w:ascii="Calibri" w:hAnsi="Calibri" w:cs="Calibri"/>
                <w:b/>
                <w:bCs/>
                <w:color w:val="000000"/>
                <w:sz w:val="22"/>
                <w:szCs w:val="22"/>
                <w:lang w:eastAsia="en-GB"/>
              </w:rPr>
              <w:t>1,241,851</w:t>
            </w:r>
          </w:p>
        </w:tc>
        <w:tc>
          <w:tcPr>
            <w:tcW w:w="2146" w:type="dxa"/>
            <w:tcBorders>
              <w:left w:val="single" w:sz="18" w:space="0" w:color="auto"/>
              <w:bottom w:val="single" w:sz="18" w:space="0" w:color="auto"/>
              <w:right w:val="single" w:sz="18" w:space="0" w:color="auto"/>
            </w:tcBorders>
            <w:shd w:val="clear" w:color="auto" w:fill="8DB3E2" w:themeFill="text2" w:themeFillTint="66"/>
            <w:vAlign w:val="bottom"/>
          </w:tcPr>
          <w:p w:rsidR="002F1851" w:rsidRPr="007A1A4B" w:rsidRDefault="002F1851" w:rsidP="002F1851">
            <w:pPr>
              <w:spacing w:before="120" w:after="0"/>
              <w:jc w:val="center"/>
              <w:rPr>
                <w:rFonts w:ascii="Calibri" w:hAnsi="Calibri" w:cs="Calibri"/>
                <w:b/>
                <w:bCs/>
                <w:color w:val="000000"/>
                <w:sz w:val="22"/>
                <w:szCs w:val="22"/>
                <w:lang w:eastAsia="en-GB"/>
              </w:rPr>
            </w:pPr>
            <w:r w:rsidRPr="007A1A4B">
              <w:rPr>
                <w:rFonts w:ascii="Calibri" w:hAnsi="Calibri" w:cs="Calibri"/>
                <w:b/>
                <w:bCs/>
                <w:color w:val="000000"/>
                <w:sz w:val="22"/>
                <w:szCs w:val="22"/>
                <w:lang w:eastAsia="en-GB"/>
              </w:rPr>
              <w:t>-       350,926</w:t>
            </w:r>
          </w:p>
        </w:tc>
        <w:tc>
          <w:tcPr>
            <w:tcW w:w="1244" w:type="dxa"/>
            <w:tcBorders>
              <w:left w:val="single" w:sz="18" w:space="0" w:color="auto"/>
              <w:bottom w:val="single" w:sz="18" w:space="0" w:color="auto"/>
              <w:right w:val="single" w:sz="4" w:space="0" w:color="auto"/>
            </w:tcBorders>
            <w:shd w:val="clear" w:color="auto" w:fill="8DB3E2" w:themeFill="text2" w:themeFillTint="66"/>
            <w:vAlign w:val="bottom"/>
          </w:tcPr>
          <w:p w:rsidR="002F1851" w:rsidRPr="007A1A4B" w:rsidRDefault="002F1851" w:rsidP="002F1851">
            <w:pPr>
              <w:spacing w:before="120" w:after="0"/>
              <w:rPr>
                <w:rFonts w:ascii="Calibri" w:hAnsi="Calibri" w:cs="Calibri"/>
                <w:color w:val="000000"/>
                <w:sz w:val="22"/>
                <w:szCs w:val="22"/>
                <w:lang w:eastAsia="en-GB"/>
              </w:rPr>
            </w:pPr>
            <w:r w:rsidRPr="007A1A4B">
              <w:rPr>
                <w:rFonts w:ascii="Calibri" w:hAnsi="Calibri" w:cs="Calibri"/>
                <w:color w:val="000000"/>
                <w:sz w:val="22"/>
                <w:szCs w:val="22"/>
                <w:lang w:eastAsia="en-GB"/>
              </w:rPr>
              <w:t> </w:t>
            </w:r>
          </w:p>
        </w:tc>
        <w:tc>
          <w:tcPr>
            <w:tcW w:w="1384" w:type="dxa"/>
            <w:tcBorders>
              <w:left w:val="single" w:sz="4" w:space="0" w:color="auto"/>
              <w:bottom w:val="single" w:sz="18" w:space="0" w:color="auto"/>
              <w:right w:val="single" w:sz="18" w:space="0" w:color="auto"/>
            </w:tcBorders>
            <w:shd w:val="clear" w:color="auto" w:fill="8DB3E2" w:themeFill="text2" w:themeFillTint="66"/>
            <w:vAlign w:val="bottom"/>
          </w:tcPr>
          <w:p w:rsidR="002F1851" w:rsidRPr="007A1A4B" w:rsidRDefault="002F1851" w:rsidP="002F1851">
            <w:pPr>
              <w:spacing w:before="120" w:after="0"/>
              <w:rPr>
                <w:rFonts w:ascii="Calibri" w:hAnsi="Calibri" w:cs="Calibri"/>
                <w:b/>
                <w:bCs/>
                <w:color w:val="000000"/>
                <w:sz w:val="22"/>
                <w:szCs w:val="22"/>
                <w:lang w:eastAsia="en-GB"/>
              </w:rPr>
            </w:pPr>
            <w:r w:rsidRPr="007A1A4B">
              <w:rPr>
                <w:rFonts w:ascii="Calibri" w:hAnsi="Calibri" w:cs="Calibri"/>
                <w:b/>
                <w:bCs/>
                <w:color w:val="000000"/>
                <w:sz w:val="22"/>
                <w:szCs w:val="22"/>
                <w:lang w:eastAsia="en-GB"/>
              </w:rPr>
              <w:t xml:space="preserve">-       538,152 </w:t>
            </w:r>
          </w:p>
        </w:tc>
      </w:tr>
    </w:tbl>
    <w:p w:rsidR="002F1851" w:rsidRPr="005569FD" w:rsidRDefault="002F1851" w:rsidP="002F1851">
      <w:pPr>
        <w:spacing w:after="0"/>
        <w:rPr>
          <w:b/>
        </w:rPr>
      </w:pPr>
      <w:r w:rsidRPr="005569FD">
        <w:t>After recently contacting the DH their response was “with pressure on all budgets increasing I should certainly advise taking a cautious approach”</w:t>
      </w:r>
    </w:p>
    <w:p w:rsidR="002F1851" w:rsidRPr="00493F9E" w:rsidRDefault="002F1851" w:rsidP="002F1851">
      <w:pPr>
        <w:pStyle w:val="Heading2"/>
      </w:pPr>
      <w:r w:rsidRPr="00493F9E">
        <w:t>Study Report and Publication</w:t>
      </w:r>
      <w:r>
        <w:t xml:space="preserve"> dates </w:t>
      </w:r>
    </w:p>
    <w:p w:rsidR="002F1851" w:rsidRDefault="002F1851" w:rsidP="002F1851">
      <w:pPr>
        <w:spacing w:after="0"/>
      </w:pPr>
      <w:r w:rsidRPr="00493F9E">
        <w:t xml:space="preserve">A number of studies have or will come to an end </w:t>
      </w:r>
      <w:r>
        <w:t xml:space="preserve">between Oct 14 and Mar 15 where </w:t>
      </w:r>
      <w:r w:rsidRPr="00493F9E">
        <w:t>the NIHR contract allow</w:t>
      </w:r>
      <w:r>
        <w:t>s</w:t>
      </w:r>
      <w:r w:rsidRPr="00493F9E">
        <w:t xml:space="preserve"> </w:t>
      </w:r>
      <w:r>
        <w:t xml:space="preserve">the </w:t>
      </w:r>
      <w:r w:rsidRPr="00493F9E">
        <w:t>withhold</w:t>
      </w:r>
      <w:r>
        <w:t xml:space="preserve">ing of </w:t>
      </w:r>
      <w:r w:rsidRPr="00493F9E">
        <w:t>the final payment</w:t>
      </w:r>
      <w:r>
        <w:t>s until reports are produced and published</w:t>
      </w:r>
      <w:r w:rsidRPr="00493F9E">
        <w:t>. The effect of this is that costs will be incu</w:t>
      </w:r>
      <w:r>
        <w:t>r</w:t>
      </w:r>
      <w:r w:rsidRPr="00493F9E">
        <w:t xml:space="preserve">red </w:t>
      </w:r>
      <w:r>
        <w:t xml:space="preserve">this financial year </w:t>
      </w:r>
      <w:r w:rsidRPr="00493F9E">
        <w:t>but not recover</w:t>
      </w:r>
      <w:r>
        <w:t>e</w:t>
      </w:r>
      <w:r w:rsidRPr="00493F9E">
        <w:t xml:space="preserve">d until </w:t>
      </w:r>
      <w:r>
        <w:t xml:space="preserve">future </w:t>
      </w:r>
      <w:r w:rsidRPr="00493F9E">
        <w:t>year</w:t>
      </w:r>
      <w:r>
        <w:t>s</w:t>
      </w:r>
      <w:r w:rsidRPr="00493F9E">
        <w:t xml:space="preserve">. </w:t>
      </w:r>
      <w:r>
        <w:t>Last year agreement was gained from the DH to fund this from RCF allowing the final payment to be released in the following year on the condition that the funding is used for staff. The studies concerned are shown in the table below.</w:t>
      </w:r>
    </w:p>
    <w:p w:rsidR="002F1851" w:rsidRDefault="002F1851" w:rsidP="002F1851">
      <w:pPr>
        <w:spacing w:after="0"/>
      </w:pPr>
    </w:p>
    <w:tbl>
      <w:tblPr>
        <w:tblStyle w:val="TableGrid"/>
        <w:tblW w:w="0" w:type="auto"/>
        <w:tblLook w:val="04A0" w:firstRow="1" w:lastRow="0" w:firstColumn="1" w:lastColumn="0" w:noHBand="0" w:noVBand="1"/>
      </w:tblPr>
      <w:tblGrid>
        <w:gridCol w:w="2769"/>
        <w:gridCol w:w="1734"/>
        <w:gridCol w:w="2551"/>
        <w:gridCol w:w="1646"/>
        <w:gridCol w:w="1384"/>
      </w:tblGrid>
      <w:tr w:rsidR="002F1851" w:rsidTr="009A591A">
        <w:trPr>
          <w:trHeight w:val="467"/>
        </w:trPr>
        <w:tc>
          <w:tcPr>
            <w:tcW w:w="2769" w:type="dxa"/>
            <w:shd w:val="clear" w:color="auto" w:fill="8DB3E2" w:themeFill="text2" w:themeFillTint="66"/>
          </w:tcPr>
          <w:p w:rsidR="002F1851" w:rsidRPr="00493F9E" w:rsidRDefault="002F1851" w:rsidP="002F1851">
            <w:pPr>
              <w:spacing w:before="0" w:after="0"/>
              <w:rPr>
                <w:b/>
                <w:sz w:val="20"/>
                <w:szCs w:val="20"/>
              </w:rPr>
            </w:pPr>
            <w:r w:rsidRPr="00493F9E">
              <w:rPr>
                <w:b/>
                <w:sz w:val="20"/>
                <w:szCs w:val="20"/>
              </w:rPr>
              <w:t>Study</w:t>
            </w:r>
          </w:p>
        </w:tc>
        <w:tc>
          <w:tcPr>
            <w:tcW w:w="1734" w:type="dxa"/>
            <w:shd w:val="clear" w:color="auto" w:fill="8DB3E2" w:themeFill="text2" w:themeFillTint="66"/>
          </w:tcPr>
          <w:p w:rsidR="002F1851" w:rsidRPr="00493F9E" w:rsidRDefault="002F1851" w:rsidP="002F1851">
            <w:pPr>
              <w:spacing w:before="0" w:after="0"/>
              <w:rPr>
                <w:b/>
                <w:sz w:val="20"/>
                <w:szCs w:val="20"/>
              </w:rPr>
            </w:pPr>
            <w:r w:rsidRPr="00493F9E">
              <w:rPr>
                <w:b/>
                <w:sz w:val="20"/>
                <w:szCs w:val="20"/>
              </w:rPr>
              <w:t>Finishes</w:t>
            </w:r>
          </w:p>
        </w:tc>
        <w:tc>
          <w:tcPr>
            <w:tcW w:w="2551" w:type="dxa"/>
            <w:shd w:val="clear" w:color="auto" w:fill="8DB3E2" w:themeFill="text2" w:themeFillTint="66"/>
          </w:tcPr>
          <w:p w:rsidR="002F1851" w:rsidRPr="00493F9E" w:rsidRDefault="002F1851" w:rsidP="002F1851">
            <w:pPr>
              <w:spacing w:before="0" w:after="0"/>
              <w:rPr>
                <w:b/>
                <w:sz w:val="20"/>
                <w:szCs w:val="20"/>
              </w:rPr>
            </w:pPr>
            <w:r w:rsidRPr="00493F9E">
              <w:rPr>
                <w:b/>
                <w:sz w:val="20"/>
                <w:szCs w:val="20"/>
              </w:rPr>
              <w:t>Report Required by</w:t>
            </w:r>
          </w:p>
        </w:tc>
        <w:tc>
          <w:tcPr>
            <w:tcW w:w="1646" w:type="dxa"/>
            <w:shd w:val="clear" w:color="auto" w:fill="8DB3E2" w:themeFill="text2" w:themeFillTint="66"/>
          </w:tcPr>
          <w:p w:rsidR="002F1851" w:rsidRPr="00493F9E" w:rsidRDefault="002F1851" w:rsidP="002F1851">
            <w:pPr>
              <w:spacing w:before="0" w:after="0"/>
              <w:jc w:val="center"/>
              <w:rPr>
                <w:b/>
                <w:sz w:val="20"/>
                <w:szCs w:val="20"/>
              </w:rPr>
            </w:pPr>
            <w:r w:rsidRPr="00493F9E">
              <w:rPr>
                <w:b/>
                <w:sz w:val="20"/>
                <w:szCs w:val="20"/>
              </w:rPr>
              <w:t>Worst Case</w:t>
            </w:r>
          </w:p>
        </w:tc>
        <w:tc>
          <w:tcPr>
            <w:tcW w:w="1384" w:type="dxa"/>
            <w:shd w:val="clear" w:color="auto" w:fill="8DB3E2" w:themeFill="text2" w:themeFillTint="66"/>
          </w:tcPr>
          <w:p w:rsidR="002F1851" w:rsidRPr="00493F9E" w:rsidRDefault="002F1851" w:rsidP="002F1851">
            <w:pPr>
              <w:spacing w:before="0" w:after="0"/>
              <w:jc w:val="center"/>
              <w:rPr>
                <w:b/>
                <w:sz w:val="20"/>
                <w:szCs w:val="20"/>
              </w:rPr>
            </w:pPr>
            <w:r w:rsidRPr="00493F9E">
              <w:rPr>
                <w:b/>
                <w:sz w:val="20"/>
                <w:szCs w:val="20"/>
              </w:rPr>
              <w:t>Best Case</w:t>
            </w:r>
          </w:p>
        </w:tc>
      </w:tr>
      <w:tr w:rsidR="002F1851" w:rsidTr="002F1851">
        <w:trPr>
          <w:trHeight w:val="198"/>
        </w:trPr>
        <w:tc>
          <w:tcPr>
            <w:tcW w:w="2769" w:type="dxa"/>
          </w:tcPr>
          <w:p w:rsidR="002F1851" w:rsidRPr="00493F9E" w:rsidRDefault="002F1851" w:rsidP="002F1851">
            <w:pPr>
              <w:spacing w:before="0" w:after="0"/>
              <w:rPr>
                <w:sz w:val="20"/>
                <w:szCs w:val="20"/>
              </w:rPr>
            </w:pPr>
            <w:r w:rsidRPr="00493F9E">
              <w:rPr>
                <w:sz w:val="20"/>
                <w:szCs w:val="20"/>
              </w:rPr>
              <w:t>Octet</w:t>
            </w:r>
          </w:p>
        </w:tc>
        <w:tc>
          <w:tcPr>
            <w:tcW w:w="1734" w:type="dxa"/>
          </w:tcPr>
          <w:p w:rsidR="002F1851" w:rsidRPr="00493F9E" w:rsidRDefault="002F1851" w:rsidP="002F1851">
            <w:pPr>
              <w:spacing w:before="0" w:after="0"/>
              <w:rPr>
                <w:sz w:val="20"/>
                <w:szCs w:val="20"/>
              </w:rPr>
            </w:pPr>
            <w:r w:rsidRPr="00493F9E">
              <w:rPr>
                <w:sz w:val="20"/>
                <w:szCs w:val="20"/>
              </w:rPr>
              <w:t>Oct 2014</w:t>
            </w:r>
          </w:p>
        </w:tc>
        <w:tc>
          <w:tcPr>
            <w:tcW w:w="2551" w:type="dxa"/>
          </w:tcPr>
          <w:p w:rsidR="002F1851" w:rsidRPr="00493F9E" w:rsidRDefault="002F1851" w:rsidP="002F1851">
            <w:pPr>
              <w:spacing w:before="0" w:after="0"/>
              <w:rPr>
                <w:sz w:val="20"/>
                <w:szCs w:val="20"/>
              </w:rPr>
            </w:pPr>
            <w:r w:rsidRPr="00493F9E">
              <w:rPr>
                <w:sz w:val="20"/>
                <w:szCs w:val="20"/>
              </w:rPr>
              <w:t>Mar 2015</w:t>
            </w:r>
          </w:p>
        </w:tc>
        <w:tc>
          <w:tcPr>
            <w:tcW w:w="1646" w:type="dxa"/>
          </w:tcPr>
          <w:p w:rsidR="002F1851" w:rsidRPr="00493F9E" w:rsidRDefault="002F1851" w:rsidP="002F1851">
            <w:pPr>
              <w:spacing w:before="0" w:after="0"/>
              <w:jc w:val="center"/>
              <w:rPr>
                <w:sz w:val="20"/>
                <w:szCs w:val="20"/>
              </w:rPr>
            </w:pPr>
            <w:r w:rsidRPr="00493F9E">
              <w:rPr>
                <w:sz w:val="20"/>
                <w:szCs w:val="20"/>
              </w:rPr>
              <w:t>30</w:t>
            </w:r>
          </w:p>
        </w:tc>
        <w:tc>
          <w:tcPr>
            <w:tcW w:w="1384" w:type="dxa"/>
          </w:tcPr>
          <w:p w:rsidR="002F1851" w:rsidRPr="00493F9E" w:rsidRDefault="002F1851" w:rsidP="002F1851">
            <w:pPr>
              <w:spacing w:before="0" w:after="0"/>
              <w:jc w:val="center"/>
              <w:rPr>
                <w:sz w:val="20"/>
                <w:szCs w:val="20"/>
              </w:rPr>
            </w:pPr>
            <w:r w:rsidRPr="00493F9E">
              <w:rPr>
                <w:sz w:val="20"/>
                <w:szCs w:val="20"/>
              </w:rPr>
              <w:t>30</w:t>
            </w:r>
          </w:p>
        </w:tc>
      </w:tr>
      <w:tr w:rsidR="002F1851" w:rsidTr="002F1851">
        <w:trPr>
          <w:trHeight w:val="236"/>
        </w:trPr>
        <w:tc>
          <w:tcPr>
            <w:tcW w:w="2769" w:type="dxa"/>
          </w:tcPr>
          <w:p w:rsidR="002F1851" w:rsidRPr="00493F9E" w:rsidRDefault="002F1851" w:rsidP="002F1851">
            <w:pPr>
              <w:spacing w:before="0" w:after="0"/>
              <w:rPr>
                <w:sz w:val="20"/>
                <w:szCs w:val="20"/>
              </w:rPr>
            </w:pPr>
            <w:r w:rsidRPr="00493F9E">
              <w:rPr>
                <w:sz w:val="20"/>
                <w:szCs w:val="20"/>
              </w:rPr>
              <w:t>Friends</w:t>
            </w:r>
          </w:p>
        </w:tc>
        <w:tc>
          <w:tcPr>
            <w:tcW w:w="1734" w:type="dxa"/>
          </w:tcPr>
          <w:p w:rsidR="002F1851" w:rsidRPr="00493F9E" w:rsidRDefault="002F1851" w:rsidP="002F1851">
            <w:pPr>
              <w:spacing w:before="0" w:after="0"/>
              <w:rPr>
                <w:sz w:val="20"/>
                <w:szCs w:val="20"/>
              </w:rPr>
            </w:pPr>
            <w:r w:rsidRPr="00493F9E">
              <w:rPr>
                <w:sz w:val="20"/>
                <w:szCs w:val="20"/>
              </w:rPr>
              <w:t>Dec 2014</w:t>
            </w:r>
          </w:p>
        </w:tc>
        <w:tc>
          <w:tcPr>
            <w:tcW w:w="2551" w:type="dxa"/>
          </w:tcPr>
          <w:p w:rsidR="002F1851" w:rsidRPr="00493F9E" w:rsidRDefault="002F1851" w:rsidP="002F1851">
            <w:pPr>
              <w:spacing w:before="0" w:after="0"/>
              <w:rPr>
                <w:sz w:val="20"/>
                <w:szCs w:val="20"/>
              </w:rPr>
            </w:pPr>
            <w:r w:rsidRPr="00493F9E">
              <w:rPr>
                <w:sz w:val="20"/>
                <w:szCs w:val="20"/>
              </w:rPr>
              <w:t>Mar 2015</w:t>
            </w:r>
          </w:p>
        </w:tc>
        <w:tc>
          <w:tcPr>
            <w:tcW w:w="1646" w:type="dxa"/>
          </w:tcPr>
          <w:p w:rsidR="002F1851" w:rsidRPr="00493F9E" w:rsidRDefault="002F1851" w:rsidP="002F1851">
            <w:pPr>
              <w:spacing w:before="0" w:after="0"/>
              <w:jc w:val="center"/>
              <w:rPr>
                <w:sz w:val="20"/>
                <w:szCs w:val="20"/>
              </w:rPr>
            </w:pPr>
            <w:r w:rsidRPr="00493F9E">
              <w:rPr>
                <w:sz w:val="20"/>
                <w:szCs w:val="20"/>
              </w:rPr>
              <w:t>(65)</w:t>
            </w:r>
          </w:p>
        </w:tc>
        <w:tc>
          <w:tcPr>
            <w:tcW w:w="1384" w:type="dxa"/>
          </w:tcPr>
          <w:p w:rsidR="002F1851" w:rsidRPr="00493F9E" w:rsidRDefault="002F1851" w:rsidP="002F1851">
            <w:pPr>
              <w:spacing w:before="0" w:after="0"/>
              <w:jc w:val="center"/>
              <w:rPr>
                <w:sz w:val="20"/>
                <w:szCs w:val="20"/>
              </w:rPr>
            </w:pPr>
          </w:p>
        </w:tc>
      </w:tr>
      <w:tr w:rsidR="002F1851" w:rsidTr="002F1851">
        <w:trPr>
          <w:trHeight w:val="229"/>
        </w:trPr>
        <w:tc>
          <w:tcPr>
            <w:tcW w:w="2769" w:type="dxa"/>
          </w:tcPr>
          <w:p w:rsidR="002F1851" w:rsidRPr="00493F9E" w:rsidRDefault="002F1851" w:rsidP="002F1851">
            <w:pPr>
              <w:spacing w:before="0" w:after="0"/>
              <w:rPr>
                <w:sz w:val="20"/>
                <w:szCs w:val="20"/>
              </w:rPr>
            </w:pPr>
            <w:r w:rsidRPr="00493F9E">
              <w:rPr>
                <w:sz w:val="20"/>
                <w:szCs w:val="20"/>
              </w:rPr>
              <w:t>Friends</w:t>
            </w:r>
          </w:p>
        </w:tc>
        <w:tc>
          <w:tcPr>
            <w:tcW w:w="1734" w:type="dxa"/>
          </w:tcPr>
          <w:p w:rsidR="002F1851" w:rsidRPr="00493F9E" w:rsidRDefault="002F1851" w:rsidP="002F1851">
            <w:pPr>
              <w:spacing w:before="0" w:after="0"/>
              <w:rPr>
                <w:sz w:val="20"/>
                <w:szCs w:val="20"/>
              </w:rPr>
            </w:pPr>
            <w:r w:rsidRPr="00493F9E">
              <w:rPr>
                <w:sz w:val="20"/>
                <w:szCs w:val="20"/>
              </w:rPr>
              <w:t>Dec 2014</w:t>
            </w:r>
          </w:p>
        </w:tc>
        <w:tc>
          <w:tcPr>
            <w:tcW w:w="2551" w:type="dxa"/>
          </w:tcPr>
          <w:p w:rsidR="002F1851" w:rsidRPr="00493F9E" w:rsidRDefault="002F1851" w:rsidP="002F1851">
            <w:pPr>
              <w:spacing w:before="0" w:after="0"/>
              <w:rPr>
                <w:sz w:val="20"/>
                <w:szCs w:val="20"/>
              </w:rPr>
            </w:pPr>
            <w:r w:rsidRPr="00493F9E">
              <w:rPr>
                <w:sz w:val="20"/>
                <w:szCs w:val="20"/>
              </w:rPr>
              <w:t>Mar 2015</w:t>
            </w:r>
          </w:p>
        </w:tc>
        <w:tc>
          <w:tcPr>
            <w:tcW w:w="1646" w:type="dxa"/>
          </w:tcPr>
          <w:p w:rsidR="002F1851" w:rsidRPr="00493F9E" w:rsidRDefault="002F1851" w:rsidP="002F1851">
            <w:pPr>
              <w:spacing w:before="0" w:after="0"/>
              <w:jc w:val="center"/>
              <w:rPr>
                <w:sz w:val="20"/>
                <w:szCs w:val="20"/>
              </w:rPr>
            </w:pPr>
            <w:r w:rsidRPr="00493F9E">
              <w:rPr>
                <w:sz w:val="20"/>
                <w:szCs w:val="20"/>
              </w:rPr>
              <w:t>(65)</w:t>
            </w:r>
          </w:p>
        </w:tc>
        <w:tc>
          <w:tcPr>
            <w:tcW w:w="1384" w:type="dxa"/>
          </w:tcPr>
          <w:p w:rsidR="002F1851" w:rsidRPr="00493F9E" w:rsidRDefault="002F1851" w:rsidP="002F1851">
            <w:pPr>
              <w:spacing w:before="0" w:after="0"/>
              <w:jc w:val="center"/>
              <w:rPr>
                <w:sz w:val="20"/>
                <w:szCs w:val="20"/>
              </w:rPr>
            </w:pPr>
            <w:r w:rsidRPr="00493F9E">
              <w:rPr>
                <w:sz w:val="20"/>
                <w:szCs w:val="20"/>
              </w:rPr>
              <w:t>(65)</w:t>
            </w:r>
          </w:p>
        </w:tc>
      </w:tr>
      <w:tr w:rsidR="002F1851" w:rsidTr="002F1851">
        <w:trPr>
          <w:trHeight w:val="243"/>
        </w:trPr>
        <w:tc>
          <w:tcPr>
            <w:tcW w:w="2769" w:type="dxa"/>
          </w:tcPr>
          <w:p w:rsidR="002F1851" w:rsidRPr="00493F9E" w:rsidRDefault="002F1851" w:rsidP="002F1851">
            <w:pPr>
              <w:spacing w:before="0" w:after="0"/>
              <w:rPr>
                <w:sz w:val="20"/>
                <w:szCs w:val="20"/>
              </w:rPr>
            </w:pPr>
            <w:r>
              <w:rPr>
                <w:sz w:val="20"/>
                <w:szCs w:val="20"/>
              </w:rPr>
              <w:t>Wheld</w:t>
            </w:r>
          </w:p>
        </w:tc>
        <w:tc>
          <w:tcPr>
            <w:tcW w:w="1734" w:type="dxa"/>
          </w:tcPr>
          <w:p w:rsidR="002F1851" w:rsidRPr="00493F9E" w:rsidRDefault="002F1851" w:rsidP="002F1851">
            <w:pPr>
              <w:spacing w:before="0" w:after="0"/>
              <w:rPr>
                <w:sz w:val="20"/>
                <w:szCs w:val="20"/>
              </w:rPr>
            </w:pPr>
            <w:r>
              <w:rPr>
                <w:sz w:val="20"/>
                <w:szCs w:val="20"/>
              </w:rPr>
              <w:t>Mar 2015</w:t>
            </w:r>
          </w:p>
        </w:tc>
        <w:tc>
          <w:tcPr>
            <w:tcW w:w="2551" w:type="dxa"/>
          </w:tcPr>
          <w:p w:rsidR="002F1851" w:rsidRPr="00493F9E" w:rsidRDefault="002F1851" w:rsidP="002F1851">
            <w:pPr>
              <w:spacing w:before="0" w:after="0"/>
              <w:rPr>
                <w:sz w:val="20"/>
                <w:szCs w:val="20"/>
              </w:rPr>
            </w:pPr>
            <w:r>
              <w:rPr>
                <w:sz w:val="20"/>
                <w:szCs w:val="20"/>
              </w:rPr>
              <w:t>Mar 2015</w:t>
            </w:r>
          </w:p>
        </w:tc>
        <w:tc>
          <w:tcPr>
            <w:tcW w:w="1646" w:type="dxa"/>
          </w:tcPr>
          <w:p w:rsidR="002F1851" w:rsidRPr="00493F9E" w:rsidRDefault="002F1851" w:rsidP="002F1851">
            <w:pPr>
              <w:spacing w:before="0" w:after="0"/>
              <w:jc w:val="center"/>
              <w:rPr>
                <w:sz w:val="20"/>
                <w:szCs w:val="20"/>
              </w:rPr>
            </w:pPr>
            <w:r>
              <w:rPr>
                <w:sz w:val="20"/>
                <w:szCs w:val="20"/>
              </w:rPr>
              <w:t>(102)</w:t>
            </w:r>
          </w:p>
        </w:tc>
        <w:tc>
          <w:tcPr>
            <w:tcW w:w="1384" w:type="dxa"/>
          </w:tcPr>
          <w:p w:rsidR="002F1851" w:rsidRPr="00493F9E" w:rsidRDefault="002F1851" w:rsidP="002F1851">
            <w:pPr>
              <w:spacing w:before="0" w:after="0"/>
              <w:jc w:val="center"/>
              <w:rPr>
                <w:sz w:val="20"/>
                <w:szCs w:val="20"/>
              </w:rPr>
            </w:pPr>
            <w:r>
              <w:rPr>
                <w:sz w:val="20"/>
                <w:szCs w:val="20"/>
              </w:rPr>
              <w:t>(102)</w:t>
            </w:r>
          </w:p>
        </w:tc>
      </w:tr>
      <w:tr w:rsidR="002F1851" w:rsidTr="002F1851">
        <w:trPr>
          <w:trHeight w:val="223"/>
        </w:trPr>
        <w:tc>
          <w:tcPr>
            <w:tcW w:w="2769" w:type="dxa"/>
            <w:tcBorders>
              <w:bottom w:val="single" w:sz="4" w:space="0" w:color="auto"/>
            </w:tcBorders>
          </w:tcPr>
          <w:p w:rsidR="002F1851" w:rsidRPr="00493F9E" w:rsidRDefault="002F1851" w:rsidP="002F1851">
            <w:pPr>
              <w:spacing w:before="0" w:after="0"/>
              <w:rPr>
                <w:sz w:val="20"/>
                <w:szCs w:val="20"/>
              </w:rPr>
            </w:pPr>
            <w:r>
              <w:rPr>
                <w:sz w:val="20"/>
                <w:szCs w:val="20"/>
              </w:rPr>
              <w:t>Octet</w:t>
            </w:r>
          </w:p>
        </w:tc>
        <w:tc>
          <w:tcPr>
            <w:tcW w:w="1734" w:type="dxa"/>
            <w:tcBorders>
              <w:bottom w:val="single" w:sz="4" w:space="0" w:color="auto"/>
            </w:tcBorders>
          </w:tcPr>
          <w:p w:rsidR="002F1851" w:rsidRPr="00493F9E" w:rsidRDefault="002F1851" w:rsidP="002F1851">
            <w:pPr>
              <w:spacing w:before="0" w:after="0"/>
              <w:rPr>
                <w:sz w:val="20"/>
                <w:szCs w:val="20"/>
              </w:rPr>
            </w:pPr>
            <w:r>
              <w:rPr>
                <w:sz w:val="20"/>
                <w:szCs w:val="20"/>
              </w:rPr>
              <w:t>Dec 2015</w:t>
            </w:r>
          </w:p>
        </w:tc>
        <w:tc>
          <w:tcPr>
            <w:tcW w:w="2551" w:type="dxa"/>
            <w:tcBorders>
              <w:bottom w:val="single" w:sz="4" w:space="0" w:color="auto"/>
            </w:tcBorders>
          </w:tcPr>
          <w:p w:rsidR="002F1851" w:rsidRPr="00493F9E" w:rsidRDefault="002F1851" w:rsidP="002F1851">
            <w:pPr>
              <w:spacing w:before="0" w:after="0"/>
              <w:rPr>
                <w:sz w:val="20"/>
                <w:szCs w:val="20"/>
              </w:rPr>
            </w:pPr>
            <w:r>
              <w:rPr>
                <w:sz w:val="20"/>
                <w:szCs w:val="20"/>
              </w:rPr>
              <w:t>Mar 2015</w:t>
            </w:r>
          </w:p>
        </w:tc>
        <w:tc>
          <w:tcPr>
            <w:tcW w:w="1646" w:type="dxa"/>
            <w:tcBorders>
              <w:bottom w:val="single" w:sz="4" w:space="0" w:color="auto"/>
            </w:tcBorders>
          </w:tcPr>
          <w:p w:rsidR="002F1851" w:rsidRPr="00493F9E" w:rsidRDefault="002F1851" w:rsidP="002F1851">
            <w:pPr>
              <w:spacing w:before="0" w:after="0"/>
              <w:jc w:val="center"/>
              <w:rPr>
                <w:sz w:val="20"/>
                <w:szCs w:val="20"/>
              </w:rPr>
            </w:pPr>
            <w:r>
              <w:rPr>
                <w:sz w:val="20"/>
                <w:szCs w:val="20"/>
              </w:rPr>
              <w:t>(84)</w:t>
            </w:r>
          </w:p>
        </w:tc>
        <w:tc>
          <w:tcPr>
            <w:tcW w:w="1384" w:type="dxa"/>
            <w:tcBorders>
              <w:bottom w:val="single" w:sz="4" w:space="0" w:color="auto"/>
            </w:tcBorders>
          </w:tcPr>
          <w:p w:rsidR="002F1851" w:rsidRPr="00493F9E" w:rsidRDefault="002F1851" w:rsidP="002F1851">
            <w:pPr>
              <w:spacing w:before="0" w:after="0"/>
              <w:jc w:val="center"/>
              <w:rPr>
                <w:sz w:val="20"/>
                <w:szCs w:val="20"/>
              </w:rPr>
            </w:pPr>
          </w:p>
        </w:tc>
      </w:tr>
      <w:tr w:rsidR="002F1851" w:rsidTr="009A591A">
        <w:trPr>
          <w:trHeight w:val="400"/>
        </w:trPr>
        <w:tc>
          <w:tcPr>
            <w:tcW w:w="2769" w:type="dxa"/>
            <w:shd w:val="clear" w:color="auto" w:fill="8DB3E2" w:themeFill="text2" w:themeFillTint="66"/>
          </w:tcPr>
          <w:p w:rsidR="002F1851" w:rsidRPr="00493F9E" w:rsidRDefault="002F1851" w:rsidP="002F1851">
            <w:pPr>
              <w:rPr>
                <w:b/>
                <w:sz w:val="20"/>
                <w:szCs w:val="20"/>
              </w:rPr>
            </w:pPr>
            <w:r w:rsidRPr="00493F9E">
              <w:rPr>
                <w:b/>
                <w:sz w:val="20"/>
                <w:szCs w:val="20"/>
              </w:rPr>
              <w:t>Total</w:t>
            </w:r>
          </w:p>
        </w:tc>
        <w:tc>
          <w:tcPr>
            <w:tcW w:w="1734" w:type="dxa"/>
            <w:shd w:val="clear" w:color="auto" w:fill="8DB3E2" w:themeFill="text2" w:themeFillTint="66"/>
          </w:tcPr>
          <w:p w:rsidR="002F1851" w:rsidRPr="00493F9E" w:rsidRDefault="002F1851" w:rsidP="002F1851">
            <w:pPr>
              <w:rPr>
                <w:b/>
                <w:sz w:val="20"/>
                <w:szCs w:val="20"/>
              </w:rPr>
            </w:pPr>
          </w:p>
        </w:tc>
        <w:tc>
          <w:tcPr>
            <w:tcW w:w="2551" w:type="dxa"/>
            <w:shd w:val="clear" w:color="auto" w:fill="8DB3E2" w:themeFill="text2" w:themeFillTint="66"/>
          </w:tcPr>
          <w:p w:rsidR="002F1851" w:rsidRPr="00493F9E" w:rsidRDefault="002F1851" w:rsidP="002F1851">
            <w:pPr>
              <w:rPr>
                <w:b/>
                <w:sz w:val="20"/>
                <w:szCs w:val="20"/>
              </w:rPr>
            </w:pPr>
          </w:p>
        </w:tc>
        <w:tc>
          <w:tcPr>
            <w:tcW w:w="1646" w:type="dxa"/>
            <w:shd w:val="clear" w:color="auto" w:fill="8DB3E2" w:themeFill="text2" w:themeFillTint="66"/>
          </w:tcPr>
          <w:p w:rsidR="002F1851" w:rsidRPr="00493F9E" w:rsidRDefault="002F1851" w:rsidP="002F1851">
            <w:pPr>
              <w:jc w:val="center"/>
              <w:rPr>
                <w:b/>
                <w:sz w:val="20"/>
                <w:szCs w:val="20"/>
              </w:rPr>
            </w:pPr>
            <w:r w:rsidRPr="00493F9E">
              <w:rPr>
                <w:b/>
                <w:sz w:val="20"/>
                <w:szCs w:val="20"/>
              </w:rPr>
              <w:t>(286)</w:t>
            </w:r>
          </w:p>
        </w:tc>
        <w:tc>
          <w:tcPr>
            <w:tcW w:w="1384" w:type="dxa"/>
            <w:shd w:val="clear" w:color="auto" w:fill="8DB3E2" w:themeFill="text2" w:themeFillTint="66"/>
          </w:tcPr>
          <w:p w:rsidR="002F1851" w:rsidRPr="00493F9E" w:rsidRDefault="002F1851" w:rsidP="002F1851">
            <w:pPr>
              <w:jc w:val="center"/>
              <w:rPr>
                <w:b/>
                <w:sz w:val="20"/>
                <w:szCs w:val="20"/>
              </w:rPr>
            </w:pPr>
            <w:r w:rsidRPr="00493F9E">
              <w:rPr>
                <w:b/>
                <w:sz w:val="20"/>
                <w:szCs w:val="20"/>
              </w:rPr>
              <w:t>(137)</w:t>
            </w:r>
          </w:p>
        </w:tc>
      </w:tr>
    </w:tbl>
    <w:p w:rsidR="002F1851" w:rsidRDefault="002F1851" w:rsidP="002F1851">
      <w:pPr>
        <w:spacing w:after="0"/>
        <w:rPr>
          <w:b/>
          <w:sz w:val="20"/>
          <w:szCs w:val="20"/>
        </w:rPr>
      </w:pPr>
    </w:p>
    <w:p w:rsidR="002F1851" w:rsidRPr="00205301" w:rsidRDefault="002F1851" w:rsidP="002F1851">
      <w:pPr>
        <w:pStyle w:val="Heading2"/>
      </w:pPr>
      <w:r w:rsidRPr="00205301">
        <w:t>Collaboration in Leadership in Applied Health Research and Care (CLAHRC)</w:t>
      </w:r>
    </w:p>
    <w:p w:rsidR="002F1851" w:rsidRDefault="002F1851" w:rsidP="002F1851">
      <w:r>
        <w:t>In January 2014 the Trust began receiving funding from the NIHR in relation to the CLAHRC which is led by Professor Richard Hobbs from the University of Oxford</w:t>
      </w:r>
      <w:r w:rsidR="006D305A">
        <w:t>,</w:t>
      </w:r>
      <w:r>
        <w:t xml:space="preserve"> Department of Primary Care. </w:t>
      </w:r>
    </w:p>
    <w:p w:rsidR="002F1851" w:rsidRDefault="002F1851" w:rsidP="006D305A">
      <w:pPr>
        <w:pStyle w:val="Heading3"/>
      </w:pPr>
      <w:r>
        <w:lastRenderedPageBreak/>
        <w:t>CLAHRC Budgets</w:t>
      </w:r>
    </w:p>
    <w:p w:rsidR="002F1851" w:rsidRDefault="002F1851" w:rsidP="002F1851">
      <w:r>
        <w:t xml:space="preserve">Budgets have been approved and released to the Theme Leads for the first 2 ¼ years ending March 2016. It is planned that there will be a mid-term review by the Executive and Management Board before budgets are released for the final 2 ¾ years. </w:t>
      </w:r>
    </w:p>
    <w:tbl>
      <w:tblPr>
        <w:tblStyle w:val="TableGrid"/>
        <w:tblW w:w="10360" w:type="dxa"/>
        <w:tblInd w:w="108" w:type="dxa"/>
        <w:tblLayout w:type="fixed"/>
        <w:tblLook w:val="04A0" w:firstRow="1" w:lastRow="0" w:firstColumn="1" w:lastColumn="0" w:noHBand="0" w:noVBand="1"/>
      </w:tblPr>
      <w:tblGrid>
        <w:gridCol w:w="2694"/>
        <w:gridCol w:w="1275"/>
        <w:gridCol w:w="993"/>
        <w:gridCol w:w="992"/>
        <w:gridCol w:w="992"/>
        <w:gridCol w:w="851"/>
        <w:gridCol w:w="850"/>
        <w:gridCol w:w="970"/>
        <w:gridCol w:w="743"/>
      </w:tblGrid>
      <w:tr w:rsidR="002F1851" w:rsidRPr="003F079C" w:rsidTr="009A591A">
        <w:trPr>
          <w:trHeight w:val="228"/>
        </w:trPr>
        <w:tc>
          <w:tcPr>
            <w:tcW w:w="2694" w:type="dxa"/>
            <w:shd w:val="clear" w:color="auto" w:fill="8DB3E2" w:themeFill="text2" w:themeFillTint="66"/>
            <w:noWrap/>
            <w:hideMark/>
          </w:tcPr>
          <w:p w:rsidR="002F1851" w:rsidRPr="006E0423" w:rsidRDefault="002F1851" w:rsidP="002F1851">
            <w:pPr>
              <w:spacing w:before="120" w:after="0"/>
              <w:rPr>
                <w:b/>
                <w:bCs/>
                <w:sz w:val="18"/>
                <w:szCs w:val="18"/>
              </w:rPr>
            </w:pPr>
            <w:r w:rsidRPr="006E0423">
              <w:rPr>
                <w:b/>
                <w:bCs/>
                <w:sz w:val="18"/>
                <w:szCs w:val="18"/>
              </w:rPr>
              <w:t>Budget By Theme (£k)</w:t>
            </w:r>
          </w:p>
        </w:tc>
        <w:tc>
          <w:tcPr>
            <w:tcW w:w="1275" w:type="dxa"/>
            <w:shd w:val="clear" w:color="auto" w:fill="8DB3E2" w:themeFill="text2" w:themeFillTint="66"/>
          </w:tcPr>
          <w:p w:rsidR="002F1851" w:rsidRPr="006E0423" w:rsidRDefault="002F1851" w:rsidP="002F1851">
            <w:pPr>
              <w:spacing w:before="120" w:after="0"/>
              <w:rPr>
                <w:b/>
                <w:bCs/>
                <w:iCs/>
                <w:sz w:val="18"/>
                <w:szCs w:val="18"/>
              </w:rPr>
            </w:pPr>
            <w:r w:rsidRPr="006E0423">
              <w:rPr>
                <w:b/>
                <w:bCs/>
                <w:iCs/>
                <w:sz w:val="18"/>
                <w:szCs w:val="18"/>
              </w:rPr>
              <w:t>Theme Lead</w:t>
            </w:r>
          </w:p>
        </w:tc>
        <w:tc>
          <w:tcPr>
            <w:tcW w:w="993" w:type="dxa"/>
            <w:shd w:val="clear" w:color="auto" w:fill="8DB3E2" w:themeFill="text2" w:themeFillTint="66"/>
          </w:tcPr>
          <w:p w:rsidR="002F1851" w:rsidRPr="006E0423" w:rsidRDefault="002F1851" w:rsidP="002F1851">
            <w:pPr>
              <w:spacing w:before="120" w:after="0"/>
              <w:jc w:val="center"/>
              <w:rPr>
                <w:b/>
                <w:bCs/>
                <w:i/>
                <w:iCs/>
                <w:sz w:val="18"/>
                <w:szCs w:val="18"/>
              </w:rPr>
            </w:pPr>
            <w:r w:rsidRPr="006E0423">
              <w:rPr>
                <w:b/>
                <w:bCs/>
                <w:i/>
                <w:iCs/>
                <w:sz w:val="18"/>
                <w:szCs w:val="18"/>
              </w:rPr>
              <w:t>2013/14 (3 mths)</w:t>
            </w:r>
          </w:p>
        </w:tc>
        <w:tc>
          <w:tcPr>
            <w:tcW w:w="992" w:type="dxa"/>
            <w:shd w:val="clear" w:color="auto" w:fill="8DB3E2" w:themeFill="text2" w:themeFillTint="66"/>
            <w:hideMark/>
          </w:tcPr>
          <w:p w:rsidR="002F1851" w:rsidRPr="006E0423" w:rsidRDefault="002F1851" w:rsidP="002F1851">
            <w:pPr>
              <w:spacing w:before="120" w:after="0"/>
              <w:jc w:val="center"/>
              <w:rPr>
                <w:b/>
                <w:bCs/>
                <w:i/>
                <w:iCs/>
                <w:sz w:val="18"/>
                <w:szCs w:val="18"/>
              </w:rPr>
            </w:pPr>
            <w:r w:rsidRPr="006E0423">
              <w:rPr>
                <w:b/>
                <w:bCs/>
                <w:i/>
                <w:iCs/>
                <w:sz w:val="18"/>
                <w:szCs w:val="18"/>
              </w:rPr>
              <w:t>2014/15</w:t>
            </w:r>
          </w:p>
        </w:tc>
        <w:tc>
          <w:tcPr>
            <w:tcW w:w="992" w:type="dxa"/>
            <w:shd w:val="clear" w:color="auto" w:fill="8DB3E2" w:themeFill="text2" w:themeFillTint="66"/>
            <w:hideMark/>
          </w:tcPr>
          <w:p w:rsidR="002F1851" w:rsidRPr="006E0423" w:rsidRDefault="002F1851" w:rsidP="002F1851">
            <w:pPr>
              <w:spacing w:before="120" w:after="0"/>
              <w:jc w:val="center"/>
              <w:rPr>
                <w:b/>
                <w:bCs/>
                <w:i/>
                <w:iCs/>
                <w:sz w:val="18"/>
                <w:szCs w:val="18"/>
              </w:rPr>
            </w:pPr>
            <w:r w:rsidRPr="006E0423">
              <w:rPr>
                <w:b/>
                <w:bCs/>
                <w:i/>
                <w:iCs/>
                <w:sz w:val="18"/>
                <w:szCs w:val="18"/>
              </w:rPr>
              <w:t>2015/16</w:t>
            </w:r>
          </w:p>
        </w:tc>
        <w:tc>
          <w:tcPr>
            <w:tcW w:w="851" w:type="dxa"/>
            <w:shd w:val="clear" w:color="auto" w:fill="8DB3E2" w:themeFill="text2" w:themeFillTint="66"/>
            <w:hideMark/>
          </w:tcPr>
          <w:p w:rsidR="002F1851" w:rsidRPr="006E0423" w:rsidRDefault="002F1851" w:rsidP="002F1851">
            <w:pPr>
              <w:spacing w:before="120" w:after="0"/>
              <w:jc w:val="center"/>
              <w:rPr>
                <w:b/>
                <w:bCs/>
                <w:i/>
                <w:iCs/>
                <w:sz w:val="18"/>
                <w:szCs w:val="18"/>
              </w:rPr>
            </w:pPr>
            <w:r w:rsidRPr="006E0423">
              <w:rPr>
                <w:b/>
                <w:bCs/>
                <w:i/>
                <w:iCs/>
                <w:sz w:val="18"/>
                <w:szCs w:val="18"/>
              </w:rPr>
              <w:t>2016/17</w:t>
            </w:r>
          </w:p>
        </w:tc>
        <w:tc>
          <w:tcPr>
            <w:tcW w:w="850" w:type="dxa"/>
            <w:shd w:val="clear" w:color="auto" w:fill="8DB3E2" w:themeFill="text2" w:themeFillTint="66"/>
            <w:hideMark/>
          </w:tcPr>
          <w:p w:rsidR="002F1851" w:rsidRPr="006E0423" w:rsidRDefault="002F1851" w:rsidP="002F1851">
            <w:pPr>
              <w:spacing w:before="120" w:after="0"/>
              <w:jc w:val="center"/>
              <w:rPr>
                <w:b/>
                <w:bCs/>
                <w:i/>
                <w:iCs/>
                <w:sz w:val="18"/>
                <w:szCs w:val="18"/>
              </w:rPr>
            </w:pPr>
            <w:r w:rsidRPr="006E0423">
              <w:rPr>
                <w:b/>
                <w:bCs/>
                <w:i/>
                <w:iCs/>
                <w:sz w:val="18"/>
                <w:szCs w:val="18"/>
              </w:rPr>
              <w:t>2017/18</w:t>
            </w:r>
          </w:p>
        </w:tc>
        <w:tc>
          <w:tcPr>
            <w:tcW w:w="970" w:type="dxa"/>
            <w:shd w:val="clear" w:color="auto" w:fill="8DB3E2" w:themeFill="text2" w:themeFillTint="66"/>
            <w:hideMark/>
          </w:tcPr>
          <w:p w:rsidR="002F1851" w:rsidRPr="006E0423" w:rsidRDefault="002F1851" w:rsidP="002F1851">
            <w:pPr>
              <w:spacing w:before="120" w:after="0"/>
              <w:jc w:val="center"/>
              <w:rPr>
                <w:b/>
                <w:bCs/>
                <w:i/>
                <w:iCs/>
                <w:sz w:val="18"/>
                <w:szCs w:val="18"/>
              </w:rPr>
            </w:pPr>
            <w:r w:rsidRPr="006E0423">
              <w:rPr>
                <w:b/>
                <w:bCs/>
                <w:i/>
                <w:iCs/>
                <w:sz w:val="18"/>
                <w:szCs w:val="18"/>
              </w:rPr>
              <w:t>2018/19 (9 mths)</w:t>
            </w:r>
          </w:p>
        </w:tc>
        <w:tc>
          <w:tcPr>
            <w:tcW w:w="743" w:type="dxa"/>
            <w:shd w:val="clear" w:color="auto" w:fill="8DB3E2" w:themeFill="text2" w:themeFillTint="66"/>
            <w:hideMark/>
          </w:tcPr>
          <w:p w:rsidR="002F1851" w:rsidRPr="006E0423" w:rsidRDefault="002F1851" w:rsidP="002F1851">
            <w:pPr>
              <w:spacing w:before="120" w:after="0"/>
              <w:jc w:val="center"/>
              <w:rPr>
                <w:b/>
                <w:bCs/>
                <w:i/>
                <w:iCs/>
                <w:sz w:val="18"/>
                <w:szCs w:val="18"/>
              </w:rPr>
            </w:pPr>
            <w:r w:rsidRPr="006E0423">
              <w:rPr>
                <w:b/>
                <w:bCs/>
                <w:i/>
                <w:iCs/>
                <w:sz w:val="18"/>
                <w:szCs w:val="18"/>
              </w:rPr>
              <w:t>Total</w:t>
            </w:r>
          </w:p>
        </w:tc>
      </w:tr>
      <w:tr w:rsidR="002F1851" w:rsidRPr="003F079C" w:rsidTr="002F1851">
        <w:trPr>
          <w:trHeight w:val="244"/>
        </w:trPr>
        <w:tc>
          <w:tcPr>
            <w:tcW w:w="2694" w:type="dxa"/>
            <w:noWrap/>
            <w:hideMark/>
          </w:tcPr>
          <w:p w:rsidR="002F1851" w:rsidRPr="001750A4" w:rsidRDefault="002F1851" w:rsidP="002F1851">
            <w:pPr>
              <w:spacing w:before="0" w:after="0"/>
              <w:jc w:val="left"/>
              <w:rPr>
                <w:sz w:val="18"/>
                <w:szCs w:val="18"/>
              </w:rPr>
            </w:pPr>
            <w:r w:rsidRPr="001750A4">
              <w:rPr>
                <w:sz w:val="18"/>
                <w:szCs w:val="18"/>
              </w:rPr>
              <w:t>Better Management of Psychiatric comorbidities</w:t>
            </w:r>
          </w:p>
        </w:tc>
        <w:tc>
          <w:tcPr>
            <w:tcW w:w="1275" w:type="dxa"/>
            <w:noWrap/>
          </w:tcPr>
          <w:p w:rsidR="002F1851" w:rsidRPr="001750A4" w:rsidRDefault="002F1851" w:rsidP="002F1851">
            <w:pPr>
              <w:spacing w:before="0" w:after="0"/>
              <w:jc w:val="left"/>
              <w:rPr>
                <w:sz w:val="18"/>
                <w:szCs w:val="18"/>
              </w:rPr>
            </w:pPr>
            <w:r w:rsidRPr="001750A4">
              <w:rPr>
                <w:sz w:val="18"/>
                <w:szCs w:val="18"/>
              </w:rPr>
              <w:t>Prof. Mike Sharpe</w:t>
            </w:r>
          </w:p>
        </w:tc>
        <w:tc>
          <w:tcPr>
            <w:tcW w:w="993" w:type="dxa"/>
          </w:tcPr>
          <w:p w:rsidR="002F1851" w:rsidRPr="001750A4" w:rsidRDefault="002F1851" w:rsidP="002F1851">
            <w:pPr>
              <w:spacing w:before="0" w:after="0"/>
              <w:jc w:val="center"/>
              <w:rPr>
                <w:sz w:val="18"/>
                <w:szCs w:val="18"/>
              </w:rPr>
            </w:pPr>
            <w:r w:rsidRPr="001750A4">
              <w:rPr>
                <w:sz w:val="18"/>
                <w:szCs w:val="18"/>
              </w:rPr>
              <w:t>1</w:t>
            </w:r>
            <w:r>
              <w:rPr>
                <w:sz w:val="18"/>
                <w:szCs w:val="18"/>
              </w:rPr>
              <w:t>4</w:t>
            </w:r>
          </w:p>
        </w:tc>
        <w:tc>
          <w:tcPr>
            <w:tcW w:w="992" w:type="dxa"/>
            <w:noWrap/>
            <w:hideMark/>
          </w:tcPr>
          <w:p w:rsidR="002F1851" w:rsidRPr="001750A4" w:rsidRDefault="002F1851" w:rsidP="002F1851">
            <w:pPr>
              <w:spacing w:before="0" w:after="0"/>
              <w:jc w:val="center"/>
              <w:rPr>
                <w:sz w:val="18"/>
                <w:szCs w:val="18"/>
              </w:rPr>
            </w:pPr>
            <w:r w:rsidRPr="001750A4">
              <w:rPr>
                <w:sz w:val="18"/>
                <w:szCs w:val="18"/>
              </w:rPr>
              <w:t>185</w:t>
            </w:r>
          </w:p>
        </w:tc>
        <w:tc>
          <w:tcPr>
            <w:tcW w:w="992" w:type="dxa"/>
            <w:noWrap/>
            <w:hideMark/>
          </w:tcPr>
          <w:p w:rsidR="002F1851" w:rsidRPr="001750A4" w:rsidRDefault="002F1851" w:rsidP="002F1851">
            <w:pPr>
              <w:spacing w:before="0" w:after="0"/>
              <w:jc w:val="center"/>
              <w:rPr>
                <w:sz w:val="18"/>
                <w:szCs w:val="18"/>
              </w:rPr>
            </w:pPr>
            <w:r w:rsidRPr="001750A4">
              <w:rPr>
                <w:sz w:val="18"/>
                <w:szCs w:val="18"/>
              </w:rPr>
              <w:t>3</w:t>
            </w:r>
            <w:r>
              <w:rPr>
                <w:sz w:val="18"/>
                <w:szCs w:val="18"/>
              </w:rPr>
              <w:t>70</w:t>
            </w:r>
          </w:p>
        </w:tc>
        <w:tc>
          <w:tcPr>
            <w:tcW w:w="851"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373</w:t>
            </w:r>
          </w:p>
        </w:tc>
        <w:tc>
          <w:tcPr>
            <w:tcW w:w="850"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369</w:t>
            </w:r>
          </w:p>
        </w:tc>
        <w:tc>
          <w:tcPr>
            <w:tcW w:w="970"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27</w:t>
            </w:r>
            <w:r>
              <w:rPr>
                <w:sz w:val="18"/>
                <w:szCs w:val="18"/>
              </w:rPr>
              <w:t>4</w:t>
            </w:r>
          </w:p>
        </w:tc>
        <w:tc>
          <w:tcPr>
            <w:tcW w:w="743" w:type="dxa"/>
            <w:noWrap/>
            <w:hideMark/>
          </w:tcPr>
          <w:p w:rsidR="002F1851" w:rsidRPr="001750A4" w:rsidRDefault="002F1851" w:rsidP="002F1851">
            <w:pPr>
              <w:spacing w:before="0" w:after="0"/>
              <w:jc w:val="center"/>
              <w:rPr>
                <w:sz w:val="18"/>
                <w:szCs w:val="18"/>
              </w:rPr>
            </w:pPr>
            <w:r w:rsidRPr="001750A4">
              <w:rPr>
                <w:sz w:val="18"/>
                <w:szCs w:val="18"/>
              </w:rPr>
              <w:t>1,585</w:t>
            </w:r>
          </w:p>
        </w:tc>
      </w:tr>
      <w:tr w:rsidR="002F1851" w:rsidRPr="003F079C" w:rsidTr="002F1851">
        <w:trPr>
          <w:trHeight w:val="244"/>
        </w:trPr>
        <w:tc>
          <w:tcPr>
            <w:tcW w:w="2694" w:type="dxa"/>
            <w:noWrap/>
            <w:hideMark/>
          </w:tcPr>
          <w:p w:rsidR="002F1851" w:rsidRPr="001750A4" w:rsidRDefault="002F1851" w:rsidP="002F1851">
            <w:pPr>
              <w:spacing w:before="0" w:after="0"/>
              <w:jc w:val="left"/>
              <w:rPr>
                <w:sz w:val="18"/>
                <w:szCs w:val="18"/>
              </w:rPr>
            </w:pPr>
            <w:r w:rsidRPr="001750A4">
              <w:rPr>
                <w:sz w:val="18"/>
                <w:szCs w:val="18"/>
              </w:rPr>
              <w:t>Health Behaviour and Behavioural Interventions</w:t>
            </w:r>
          </w:p>
        </w:tc>
        <w:tc>
          <w:tcPr>
            <w:tcW w:w="1275" w:type="dxa"/>
            <w:noWrap/>
          </w:tcPr>
          <w:p w:rsidR="002F1851" w:rsidRPr="001750A4" w:rsidRDefault="002F1851" w:rsidP="002F1851">
            <w:pPr>
              <w:spacing w:before="0" w:after="0"/>
              <w:jc w:val="left"/>
              <w:rPr>
                <w:sz w:val="18"/>
                <w:szCs w:val="18"/>
              </w:rPr>
            </w:pPr>
            <w:r w:rsidRPr="001750A4">
              <w:rPr>
                <w:sz w:val="18"/>
                <w:szCs w:val="18"/>
              </w:rPr>
              <w:t>Prof. Sarah Lamb</w:t>
            </w:r>
          </w:p>
        </w:tc>
        <w:tc>
          <w:tcPr>
            <w:tcW w:w="993" w:type="dxa"/>
          </w:tcPr>
          <w:p w:rsidR="002F1851" w:rsidRPr="001750A4" w:rsidRDefault="002F1851" w:rsidP="002F1851">
            <w:pPr>
              <w:spacing w:before="0" w:after="0"/>
              <w:jc w:val="center"/>
              <w:rPr>
                <w:sz w:val="18"/>
                <w:szCs w:val="18"/>
              </w:rPr>
            </w:pPr>
            <w:r w:rsidRPr="001750A4">
              <w:rPr>
                <w:sz w:val="18"/>
                <w:szCs w:val="18"/>
              </w:rPr>
              <w:t>38</w:t>
            </w:r>
          </w:p>
        </w:tc>
        <w:tc>
          <w:tcPr>
            <w:tcW w:w="992" w:type="dxa"/>
            <w:noWrap/>
            <w:hideMark/>
          </w:tcPr>
          <w:p w:rsidR="002F1851" w:rsidRPr="001750A4" w:rsidRDefault="002F1851" w:rsidP="002F1851">
            <w:pPr>
              <w:spacing w:before="0" w:after="0"/>
              <w:jc w:val="center"/>
              <w:rPr>
                <w:sz w:val="18"/>
                <w:szCs w:val="18"/>
              </w:rPr>
            </w:pPr>
            <w:r w:rsidRPr="001750A4">
              <w:rPr>
                <w:sz w:val="18"/>
                <w:szCs w:val="18"/>
              </w:rPr>
              <w:t>1</w:t>
            </w:r>
            <w:r>
              <w:rPr>
                <w:sz w:val="18"/>
                <w:szCs w:val="18"/>
              </w:rPr>
              <w:t>80</w:t>
            </w:r>
          </w:p>
        </w:tc>
        <w:tc>
          <w:tcPr>
            <w:tcW w:w="992" w:type="dxa"/>
            <w:noWrap/>
            <w:hideMark/>
          </w:tcPr>
          <w:p w:rsidR="002F1851" w:rsidRPr="001750A4" w:rsidRDefault="002F1851" w:rsidP="002F1851">
            <w:pPr>
              <w:spacing w:before="0" w:after="0"/>
              <w:jc w:val="center"/>
              <w:rPr>
                <w:sz w:val="18"/>
                <w:szCs w:val="18"/>
              </w:rPr>
            </w:pPr>
            <w:r w:rsidRPr="001750A4">
              <w:rPr>
                <w:sz w:val="18"/>
                <w:szCs w:val="18"/>
              </w:rPr>
              <w:t>336</w:t>
            </w:r>
          </w:p>
        </w:tc>
        <w:tc>
          <w:tcPr>
            <w:tcW w:w="851"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33</w:t>
            </w:r>
            <w:r>
              <w:rPr>
                <w:sz w:val="18"/>
                <w:szCs w:val="18"/>
              </w:rPr>
              <w:t>1</w:t>
            </w:r>
          </w:p>
        </w:tc>
        <w:tc>
          <w:tcPr>
            <w:tcW w:w="850"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34</w:t>
            </w:r>
            <w:r>
              <w:rPr>
                <w:sz w:val="18"/>
                <w:szCs w:val="18"/>
              </w:rPr>
              <w:t>2</w:t>
            </w:r>
          </w:p>
        </w:tc>
        <w:tc>
          <w:tcPr>
            <w:tcW w:w="970"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278</w:t>
            </w:r>
          </w:p>
        </w:tc>
        <w:tc>
          <w:tcPr>
            <w:tcW w:w="743" w:type="dxa"/>
            <w:noWrap/>
            <w:hideMark/>
          </w:tcPr>
          <w:p w:rsidR="002F1851" w:rsidRPr="001750A4" w:rsidRDefault="002F1851" w:rsidP="002F1851">
            <w:pPr>
              <w:spacing w:before="0" w:after="0"/>
              <w:jc w:val="center"/>
              <w:rPr>
                <w:sz w:val="18"/>
                <w:szCs w:val="18"/>
              </w:rPr>
            </w:pPr>
            <w:r w:rsidRPr="001750A4">
              <w:rPr>
                <w:sz w:val="18"/>
                <w:szCs w:val="18"/>
              </w:rPr>
              <w:t>1,50</w:t>
            </w:r>
            <w:r>
              <w:rPr>
                <w:sz w:val="18"/>
                <w:szCs w:val="18"/>
              </w:rPr>
              <w:t>5</w:t>
            </w:r>
          </w:p>
        </w:tc>
      </w:tr>
      <w:tr w:rsidR="002F1851" w:rsidRPr="003F079C" w:rsidTr="002F1851">
        <w:trPr>
          <w:trHeight w:val="244"/>
        </w:trPr>
        <w:tc>
          <w:tcPr>
            <w:tcW w:w="2694" w:type="dxa"/>
            <w:noWrap/>
            <w:hideMark/>
          </w:tcPr>
          <w:p w:rsidR="002F1851" w:rsidRPr="001750A4" w:rsidRDefault="002F1851" w:rsidP="002F1851">
            <w:pPr>
              <w:spacing w:before="0" w:after="0"/>
              <w:jc w:val="left"/>
              <w:rPr>
                <w:sz w:val="18"/>
                <w:szCs w:val="18"/>
              </w:rPr>
            </w:pPr>
            <w:r w:rsidRPr="001750A4">
              <w:rPr>
                <w:sz w:val="18"/>
                <w:szCs w:val="18"/>
              </w:rPr>
              <w:t>Early Intervention and Service Innovation</w:t>
            </w:r>
          </w:p>
        </w:tc>
        <w:tc>
          <w:tcPr>
            <w:tcW w:w="1275" w:type="dxa"/>
            <w:noWrap/>
          </w:tcPr>
          <w:p w:rsidR="002F1851" w:rsidRPr="001750A4" w:rsidRDefault="002F1851" w:rsidP="002F1851">
            <w:pPr>
              <w:spacing w:before="0" w:after="0"/>
              <w:jc w:val="left"/>
              <w:rPr>
                <w:sz w:val="18"/>
                <w:szCs w:val="18"/>
              </w:rPr>
            </w:pPr>
            <w:r w:rsidRPr="001750A4">
              <w:rPr>
                <w:sz w:val="18"/>
                <w:szCs w:val="18"/>
              </w:rPr>
              <w:t>Prof. John Geddes</w:t>
            </w:r>
          </w:p>
        </w:tc>
        <w:tc>
          <w:tcPr>
            <w:tcW w:w="993" w:type="dxa"/>
          </w:tcPr>
          <w:p w:rsidR="002F1851" w:rsidRPr="001750A4" w:rsidRDefault="002F1851" w:rsidP="002F1851">
            <w:pPr>
              <w:spacing w:before="0" w:after="0"/>
              <w:jc w:val="center"/>
              <w:rPr>
                <w:sz w:val="18"/>
                <w:szCs w:val="18"/>
              </w:rPr>
            </w:pPr>
            <w:r w:rsidRPr="001750A4">
              <w:rPr>
                <w:sz w:val="18"/>
                <w:szCs w:val="18"/>
              </w:rPr>
              <w:t>16</w:t>
            </w:r>
          </w:p>
        </w:tc>
        <w:tc>
          <w:tcPr>
            <w:tcW w:w="992" w:type="dxa"/>
            <w:noWrap/>
            <w:hideMark/>
          </w:tcPr>
          <w:p w:rsidR="002F1851" w:rsidRPr="001750A4" w:rsidRDefault="002F1851" w:rsidP="002F1851">
            <w:pPr>
              <w:spacing w:before="0" w:after="0"/>
              <w:jc w:val="center"/>
              <w:rPr>
                <w:sz w:val="18"/>
                <w:szCs w:val="18"/>
              </w:rPr>
            </w:pPr>
            <w:r w:rsidRPr="001750A4">
              <w:rPr>
                <w:sz w:val="18"/>
                <w:szCs w:val="18"/>
              </w:rPr>
              <w:t>217</w:t>
            </w:r>
          </w:p>
        </w:tc>
        <w:tc>
          <w:tcPr>
            <w:tcW w:w="992" w:type="dxa"/>
            <w:noWrap/>
            <w:hideMark/>
          </w:tcPr>
          <w:p w:rsidR="002F1851" w:rsidRPr="001750A4" w:rsidRDefault="002F1851" w:rsidP="002F1851">
            <w:pPr>
              <w:spacing w:before="0" w:after="0"/>
              <w:jc w:val="center"/>
              <w:rPr>
                <w:sz w:val="18"/>
                <w:szCs w:val="18"/>
              </w:rPr>
            </w:pPr>
            <w:r w:rsidRPr="001750A4">
              <w:rPr>
                <w:sz w:val="18"/>
                <w:szCs w:val="18"/>
              </w:rPr>
              <w:t>318</w:t>
            </w:r>
          </w:p>
        </w:tc>
        <w:tc>
          <w:tcPr>
            <w:tcW w:w="851"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412</w:t>
            </w:r>
          </w:p>
        </w:tc>
        <w:tc>
          <w:tcPr>
            <w:tcW w:w="850"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348</w:t>
            </w:r>
          </w:p>
        </w:tc>
        <w:tc>
          <w:tcPr>
            <w:tcW w:w="970"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278</w:t>
            </w:r>
          </w:p>
        </w:tc>
        <w:tc>
          <w:tcPr>
            <w:tcW w:w="743" w:type="dxa"/>
            <w:noWrap/>
            <w:hideMark/>
          </w:tcPr>
          <w:p w:rsidR="002F1851" w:rsidRPr="001750A4" w:rsidRDefault="002F1851" w:rsidP="002F1851">
            <w:pPr>
              <w:spacing w:before="0" w:after="0"/>
              <w:jc w:val="center"/>
              <w:rPr>
                <w:sz w:val="18"/>
                <w:szCs w:val="18"/>
              </w:rPr>
            </w:pPr>
            <w:r w:rsidRPr="001750A4">
              <w:rPr>
                <w:sz w:val="18"/>
                <w:szCs w:val="18"/>
              </w:rPr>
              <w:t>1,5</w:t>
            </w:r>
            <w:r>
              <w:rPr>
                <w:sz w:val="18"/>
                <w:szCs w:val="18"/>
              </w:rPr>
              <w:t>89</w:t>
            </w:r>
          </w:p>
        </w:tc>
      </w:tr>
      <w:tr w:rsidR="002F1851" w:rsidRPr="003F079C" w:rsidTr="002F1851">
        <w:trPr>
          <w:trHeight w:val="244"/>
        </w:trPr>
        <w:tc>
          <w:tcPr>
            <w:tcW w:w="2694" w:type="dxa"/>
            <w:noWrap/>
            <w:hideMark/>
          </w:tcPr>
          <w:p w:rsidR="002F1851" w:rsidRPr="001750A4" w:rsidRDefault="002F1851" w:rsidP="002F1851">
            <w:pPr>
              <w:spacing w:before="0" w:after="0"/>
              <w:jc w:val="left"/>
              <w:rPr>
                <w:sz w:val="18"/>
                <w:szCs w:val="18"/>
              </w:rPr>
            </w:pPr>
            <w:r w:rsidRPr="001750A4">
              <w:rPr>
                <w:sz w:val="18"/>
                <w:szCs w:val="18"/>
              </w:rPr>
              <w:t>Patient Self-Management (Chronic Disease)</w:t>
            </w:r>
          </w:p>
        </w:tc>
        <w:tc>
          <w:tcPr>
            <w:tcW w:w="1275" w:type="dxa"/>
            <w:noWrap/>
          </w:tcPr>
          <w:p w:rsidR="002F1851" w:rsidRPr="001750A4" w:rsidRDefault="002F1851" w:rsidP="002F1851">
            <w:pPr>
              <w:spacing w:before="0" w:after="0"/>
              <w:jc w:val="left"/>
              <w:rPr>
                <w:sz w:val="18"/>
                <w:szCs w:val="18"/>
              </w:rPr>
            </w:pPr>
            <w:r w:rsidRPr="001750A4">
              <w:rPr>
                <w:sz w:val="18"/>
                <w:szCs w:val="18"/>
              </w:rPr>
              <w:t>Prof. Richard McManus</w:t>
            </w:r>
          </w:p>
        </w:tc>
        <w:tc>
          <w:tcPr>
            <w:tcW w:w="993" w:type="dxa"/>
          </w:tcPr>
          <w:p w:rsidR="002F1851" w:rsidRPr="001750A4" w:rsidRDefault="002F1851" w:rsidP="002F1851">
            <w:pPr>
              <w:spacing w:before="0" w:after="0"/>
              <w:jc w:val="center"/>
              <w:rPr>
                <w:sz w:val="18"/>
                <w:szCs w:val="18"/>
              </w:rPr>
            </w:pPr>
            <w:r w:rsidRPr="001750A4">
              <w:rPr>
                <w:sz w:val="18"/>
                <w:szCs w:val="18"/>
              </w:rPr>
              <w:t>46</w:t>
            </w:r>
          </w:p>
        </w:tc>
        <w:tc>
          <w:tcPr>
            <w:tcW w:w="992" w:type="dxa"/>
            <w:noWrap/>
            <w:hideMark/>
          </w:tcPr>
          <w:p w:rsidR="002F1851" w:rsidRPr="001750A4" w:rsidRDefault="002F1851" w:rsidP="002F1851">
            <w:pPr>
              <w:spacing w:before="0" w:after="0"/>
              <w:jc w:val="center"/>
              <w:rPr>
                <w:sz w:val="18"/>
                <w:szCs w:val="18"/>
              </w:rPr>
            </w:pPr>
            <w:r w:rsidRPr="001750A4">
              <w:rPr>
                <w:sz w:val="18"/>
                <w:szCs w:val="18"/>
              </w:rPr>
              <w:t>295</w:t>
            </w:r>
          </w:p>
        </w:tc>
        <w:tc>
          <w:tcPr>
            <w:tcW w:w="992" w:type="dxa"/>
            <w:noWrap/>
            <w:hideMark/>
          </w:tcPr>
          <w:p w:rsidR="002F1851" w:rsidRPr="001750A4" w:rsidRDefault="002F1851" w:rsidP="002F1851">
            <w:pPr>
              <w:spacing w:before="0" w:after="0"/>
              <w:jc w:val="center"/>
              <w:rPr>
                <w:sz w:val="18"/>
                <w:szCs w:val="18"/>
              </w:rPr>
            </w:pPr>
            <w:r w:rsidRPr="001750A4">
              <w:rPr>
                <w:sz w:val="18"/>
                <w:szCs w:val="18"/>
              </w:rPr>
              <w:t>3</w:t>
            </w:r>
            <w:r>
              <w:rPr>
                <w:sz w:val="18"/>
                <w:szCs w:val="18"/>
              </w:rPr>
              <w:t>80</w:t>
            </w:r>
          </w:p>
        </w:tc>
        <w:tc>
          <w:tcPr>
            <w:tcW w:w="851"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32</w:t>
            </w:r>
            <w:r>
              <w:rPr>
                <w:sz w:val="18"/>
                <w:szCs w:val="18"/>
              </w:rPr>
              <w:t>1</w:t>
            </w:r>
          </w:p>
        </w:tc>
        <w:tc>
          <w:tcPr>
            <w:tcW w:w="850"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33</w:t>
            </w:r>
            <w:r>
              <w:rPr>
                <w:sz w:val="18"/>
                <w:szCs w:val="18"/>
              </w:rPr>
              <w:t>1</w:t>
            </w:r>
          </w:p>
        </w:tc>
        <w:tc>
          <w:tcPr>
            <w:tcW w:w="970"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20</w:t>
            </w:r>
            <w:r>
              <w:rPr>
                <w:sz w:val="18"/>
                <w:szCs w:val="18"/>
              </w:rPr>
              <w:t>9</w:t>
            </w:r>
          </w:p>
        </w:tc>
        <w:tc>
          <w:tcPr>
            <w:tcW w:w="743" w:type="dxa"/>
            <w:noWrap/>
            <w:hideMark/>
          </w:tcPr>
          <w:p w:rsidR="002F1851" w:rsidRPr="001750A4" w:rsidRDefault="002F1851" w:rsidP="002F1851">
            <w:pPr>
              <w:spacing w:before="0" w:after="0"/>
              <w:jc w:val="center"/>
              <w:rPr>
                <w:sz w:val="18"/>
                <w:szCs w:val="18"/>
              </w:rPr>
            </w:pPr>
            <w:r w:rsidRPr="001750A4">
              <w:rPr>
                <w:sz w:val="18"/>
                <w:szCs w:val="18"/>
              </w:rPr>
              <w:t>1,58</w:t>
            </w:r>
            <w:r>
              <w:rPr>
                <w:sz w:val="18"/>
                <w:szCs w:val="18"/>
              </w:rPr>
              <w:t>2</w:t>
            </w:r>
          </w:p>
        </w:tc>
      </w:tr>
      <w:tr w:rsidR="002F1851" w:rsidRPr="003F079C" w:rsidTr="002F1851">
        <w:trPr>
          <w:trHeight w:val="244"/>
        </w:trPr>
        <w:tc>
          <w:tcPr>
            <w:tcW w:w="2694" w:type="dxa"/>
            <w:noWrap/>
            <w:hideMark/>
          </w:tcPr>
          <w:p w:rsidR="002F1851" w:rsidRPr="001750A4" w:rsidRDefault="002F1851" w:rsidP="002F1851">
            <w:pPr>
              <w:spacing w:before="0" w:after="0"/>
              <w:jc w:val="left"/>
              <w:rPr>
                <w:sz w:val="18"/>
                <w:szCs w:val="18"/>
              </w:rPr>
            </w:pPr>
            <w:r w:rsidRPr="001750A4">
              <w:rPr>
                <w:sz w:val="18"/>
                <w:szCs w:val="18"/>
              </w:rPr>
              <w:t>Patient experience and PROMS</w:t>
            </w:r>
          </w:p>
        </w:tc>
        <w:tc>
          <w:tcPr>
            <w:tcW w:w="1275" w:type="dxa"/>
            <w:noWrap/>
          </w:tcPr>
          <w:p w:rsidR="002F1851" w:rsidRPr="001750A4" w:rsidRDefault="002F1851" w:rsidP="002F1851">
            <w:pPr>
              <w:spacing w:before="0" w:after="0"/>
              <w:jc w:val="left"/>
              <w:rPr>
                <w:sz w:val="18"/>
                <w:szCs w:val="18"/>
              </w:rPr>
            </w:pPr>
            <w:r w:rsidRPr="001750A4">
              <w:rPr>
                <w:sz w:val="18"/>
                <w:szCs w:val="18"/>
              </w:rPr>
              <w:t>Prof. Ray Fitzpatrick</w:t>
            </w:r>
          </w:p>
        </w:tc>
        <w:tc>
          <w:tcPr>
            <w:tcW w:w="993" w:type="dxa"/>
          </w:tcPr>
          <w:p w:rsidR="002F1851" w:rsidRPr="001750A4" w:rsidRDefault="002F1851" w:rsidP="002F1851">
            <w:pPr>
              <w:spacing w:before="0" w:after="0"/>
              <w:jc w:val="center"/>
              <w:rPr>
                <w:sz w:val="18"/>
                <w:szCs w:val="18"/>
              </w:rPr>
            </w:pPr>
            <w:r w:rsidRPr="001750A4">
              <w:rPr>
                <w:sz w:val="18"/>
                <w:szCs w:val="18"/>
              </w:rPr>
              <w:t>5</w:t>
            </w:r>
            <w:r>
              <w:rPr>
                <w:sz w:val="18"/>
                <w:szCs w:val="18"/>
              </w:rPr>
              <w:t>5</w:t>
            </w:r>
          </w:p>
        </w:tc>
        <w:tc>
          <w:tcPr>
            <w:tcW w:w="992" w:type="dxa"/>
            <w:noWrap/>
            <w:hideMark/>
          </w:tcPr>
          <w:p w:rsidR="002F1851" w:rsidRPr="001750A4" w:rsidRDefault="002F1851" w:rsidP="002F1851">
            <w:pPr>
              <w:spacing w:before="0" w:after="0"/>
              <w:jc w:val="center"/>
              <w:rPr>
                <w:sz w:val="18"/>
                <w:szCs w:val="18"/>
              </w:rPr>
            </w:pPr>
            <w:r w:rsidRPr="001750A4">
              <w:rPr>
                <w:sz w:val="18"/>
                <w:szCs w:val="18"/>
              </w:rPr>
              <w:t>216</w:t>
            </w:r>
          </w:p>
        </w:tc>
        <w:tc>
          <w:tcPr>
            <w:tcW w:w="992" w:type="dxa"/>
            <w:noWrap/>
            <w:hideMark/>
          </w:tcPr>
          <w:p w:rsidR="002F1851" w:rsidRPr="001750A4" w:rsidRDefault="002F1851" w:rsidP="002F1851">
            <w:pPr>
              <w:spacing w:before="0" w:after="0"/>
              <w:jc w:val="center"/>
              <w:rPr>
                <w:sz w:val="18"/>
                <w:szCs w:val="18"/>
              </w:rPr>
            </w:pPr>
            <w:r w:rsidRPr="001750A4">
              <w:rPr>
                <w:sz w:val="18"/>
                <w:szCs w:val="18"/>
              </w:rPr>
              <w:t>346</w:t>
            </w:r>
          </w:p>
        </w:tc>
        <w:tc>
          <w:tcPr>
            <w:tcW w:w="851"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30</w:t>
            </w:r>
            <w:r>
              <w:rPr>
                <w:sz w:val="18"/>
                <w:szCs w:val="18"/>
              </w:rPr>
              <w:t>4</w:t>
            </w:r>
          </w:p>
        </w:tc>
        <w:tc>
          <w:tcPr>
            <w:tcW w:w="850"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301</w:t>
            </w:r>
          </w:p>
        </w:tc>
        <w:tc>
          <w:tcPr>
            <w:tcW w:w="970" w:type="dxa"/>
            <w:shd w:val="pct12" w:color="auto" w:fill="auto"/>
            <w:noWrap/>
            <w:hideMark/>
          </w:tcPr>
          <w:p w:rsidR="002F1851" w:rsidRPr="001750A4" w:rsidRDefault="002F1851" w:rsidP="002F1851">
            <w:pPr>
              <w:spacing w:before="0" w:after="0"/>
              <w:jc w:val="center"/>
              <w:rPr>
                <w:sz w:val="18"/>
                <w:szCs w:val="18"/>
              </w:rPr>
            </w:pPr>
            <w:r w:rsidRPr="001750A4">
              <w:rPr>
                <w:sz w:val="18"/>
                <w:szCs w:val="18"/>
              </w:rPr>
              <w:t>23</w:t>
            </w:r>
            <w:r>
              <w:rPr>
                <w:sz w:val="18"/>
                <w:szCs w:val="18"/>
              </w:rPr>
              <w:t>2</w:t>
            </w:r>
          </w:p>
        </w:tc>
        <w:tc>
          <w:tcPr>
            <w:tcW w:w="743" w:type="dxa"/>
            <w:noWrap/>
            <w:hideMark/>
          </w:tcPr>
          <w:p w:rsidR="002F1851" w:rsidRPr="001750A4" w:rsidRDefault="002F1851" w:rsidP="002F1851">
            <w:pPr>
              <w:spacing w:before="0" w:after="0"/>
              <w:jc w:val="center"/>
              <w:rPr>
                <w:sz w:val="18"/>
                <w:szCs w:val="18"/>
              </w:rPr>
            </w:pPr>
            <w:r w:rsidRPr="001750A4">
              <w:rPr>
                <w:sz w:val="18"/>
                <w:szCs w:val="18"/>
              </w:rPr>
              <w:t>1,45</w:t>
            </w:r>
            <w:r>
              <w:rPr>
                <w:sz w:val="18"/>
                <w:szCs w:val="18"/>
              </w:rPr>
              <w:t>4</w:t>
            </w:r>
          </w:p>
        </w:tc>
      </w:tr>
      <w:tr w:rsidR="002F1851" w:rsidRPr="003F079C" w:rsidTr="002F1851">
        <w:trPr>
          <w:trHeight w:val="244"/>
        </w:trPr>
        <w:tc>
          <w:tcPr>
            <w:tcW w:w="2694" w:type="dxa"/>
            <w:tcBorders>
              <w:bottom w:val="single" w:sz="4" w:space="0" w:color="auto"/>
            </w:tcBorders>
            <w:noWrap/>
            <w:hideMark/>
          </w:tcPr>
          <w:p w:rsidR="002F1851" w:rsidRPr="001750A4" w:rsidRDefault="002F1851" w:rsidP="002F1851">
            <w:pPr>
              <w:spacing w:before="0" w:after="0"/>
              <w:jc w:val="left"/>
              <w:rPr>
                <w:sz w:val="18"/>
                <w:szCs w:val="18"/>
              </w:rPr>
            </w:pPr>
            <w:r w:rsidRPr="001750A4">
              <w:rPr>
                <w:sz w:val="18"/>
                <w:szCs w:val="18"/>
              </w:rPr>
              <w:t>Central and Support Costs</w:t>
            </w:r>
          </w:p>
        </w:tc>
        <w:tc>
          <w:tcPr>
            <w:tcW w:w="1275" w:type="dxa"/>
            <w:tcBorders>
              <w:bottom w:val="single" w:sz="4" w:space="0" w:color="auto"/>
            </w:tcBorders>
            <w:noWrap/>
          </w:tcPr>
          <w:p w:rsidR="002F1851" w:rsidRPr="001750A4" w:rsidRDefault="002F1851" w:rsidP="002F1851">
            <w:pPr>
              <w:spacing w:before="0" w:after="0"/>
              <w:jc w:val="left"/>
              <w:rPr>
                <w:sz w:val="18"/>
                <w:szCs w:val="18"/>
              </w:rPr>
            </w:pPr>
          </w:p>
        </w:tc>
        <w:tc>
          <w:tcPr>
            <w:tcW w:w="993" w:type="dxa"/>
            <w:tcBorders>
              <w:bottom w:val="single" w:sz="4" w:space="0" w:color="auto"/>
            </w:tcBorders>
          </w:tcPr>
          <w:p w:rsidR="002F1851" w:rsidRPr="001750A4" w:rsidRDefault="002F1851" w:rsidP="002F1851">
            <w:pPr>
              <w:spacing w:before="0" w:after="0"/>
              <w:jc w:val="center"/>
              <w:rPr>
                <w:sz w:val="18"/>
                <w:szCs w:val="18"/>
              </w:rPr>
            </w:pPr>
            <w:r w:rsidRPr="001750A4">
              <w:rPr>
                <w:sz w:val="18"/>
                <w:szCs w:val="18"/>
              </w:rPr>
              <w:t>8</w:t>
            </w:r>
            <w:r>
              <w:rPr>
                <w:sz w:val="18"/>
                <w:szCs w:val="18"/>
              </w:rPr>
              <w:t>1</w:t>
            </w:r>
          </w:p>
        </w:tc>
        <w:tc>
          <w:tcPr>
            <w:tcW w:w="992" w:type="dxa"/>
            <w:tcBorders>
              <w:bottom w:val="single" w:sz="4" w:space="0" w:color="auto"/>
            </w:tcBorders>
            <w:noWrap/>
            <w:hideMark/>
          </w:tcPr>
          <w:p w:rsidR="002F1851" w:rsidRPr="001750A4" w:rsidRDefault="002F1851" w:rsidP="002F1851">
            <w:pPr>
              <w:spacing w:before="0" w:after="0"/>
              <w:jc w:val="center"/>
              <w:rPr>
                <w:sz w:val="18"/>
                <w:szCs w:val="18"/>
              </w:rPr>
            </w:pPr>
            <w:r w:rsidRPr="001750A4">
              <w:rPr>
                <w:sz w:val="18"/>
                <w:szCs w:val="18"/>
              </w:rPr>
              <w:t>15</w:t>
            </w:r>
            <w:r>
              <w:rPr>
                <w:sz w:val="18"/>
                <w:szCs w:val="18"/>
              </w:rPr>
              <w:t>7</w:t>
            </w:r>
          </w:p>
        </w:tc>
        <w:tc>
          <w:tcPr>
            <w:tcW w:w="992" w:type="dxa"/>
            <w:tcBorders>
              <w:bottom w:val="single" w:sz="4" w:space="0" w:color="auto"/>
            </w:tcBorders>
            <w:noWrap/>
            <w:hideMark/>
          </w:tcPr>
          <w:p w:rsidR="002F1851" w:rsidRPr="001750A4" w:rsidRDefault="002F1851" w:rsidP="002F1851">
            <w:pPr>
              <w:spacing w:before="0" w:after="0"/>
              <w:jc w:val="center"/>
              <w:rPr>
                <w:sz w:val="18"/>
                <w:szCs w:val="18"/>
              </w:rPr>
            </w:pPr>
            <w:r w:rsidRPr="001750A4">
              <w:rPr>
                <w:sz w:val="18"/>
                <w:szCs w:val="18"/>
              </w:rPr>
              <w:t>2</w:t>
            </w:r>
            <w:r>
              <w:rPr>
                <w:sz w:val="18"/>
                <w:szCs w:val="18"/>
              </w:rPr>
              <w:t>50</w:t>
            </w:r>
          </w:p>
        </w:tc>
        <w:tc>
          <w:tcPr>
            <w:tcW w:w="851" w:type="dxa"/>
            <w:tcBorders>
              <w:bottom w:val="single" w:sz="4" w:space="0" w:color="auto"/>
            </w:tcBorders>
            <w:shd w:val="pct12" w:color="auto" w:fill="auto"/>
            <w:noWrap/>
            <w:hideMark/>
          </w:tcPr>
          <w:p w:rsidR="002F1851" w:rsidRPr="001750A4" w:rsidRDefault="002F1851" w:rsidP="002F1851">
            <w:pPr>
              <w:spacing w:before="0" w:after="0"/>
              <w:jc w:val="center"/>
              <w:rPr>
                <w:sz w:val="18"/>
                <w:szCs w:val="18"/>
              </w:rPr>
            </w:pPr>
            <w:r w:rsidRPr="001750A4">
              <w:rPr>
                <w:sz w:val="18"/>
                <w:szCs w:val="18"/>
              </w:rPr>
              <w:t>259</w:t>
            </w:r>
          </w:p>
        </w:tc>
        <w:tc>
          <w:tcPr>
            <w:tcW w:w="850" w:type="dxa"/>
            <w:tcBorders>
              <w:bottom w:val="single" w:sz="4" w:space="0" w:color="auto"/>
            </w:tcBorders>
            <w:shd w:val="pct12" w:color="auto" w:fill="auto"/>
            <w:noWrap/>
            <w:hideMark/>
          </w:tcPr>
          <w:p w:rsidR="002F1851" w:rsidRPr="001750A4" w:rsidRDefault="002F1851" w:rsidP="002F1851">
            <w:pPr>
              <w:spacing w:before="0" w:after="0"/>
              <w:jc w:val="center"/>
              <w:rPr>
                <w:sz w:val="18"/>
                <w:szCs w:val="18"/>
              </w:rPr>
            </w:pPr>
            <w:r w:rsidRPr="001750A4">
              <w:rPr>
                <w:sz w:val="18"/>
                <w:szCs w:val="18"/>
              </w:rPr>
              <w:t>30</w:t>
            </w:r>
            <w:r>
              <w:rPr>
                <w:sz w:val="18"/>
                <w:szCs w:val="18"/>
              </w:rPr>
              <w:t>9</w:t>
            </w:r>
          </w:p>
        </w:tc>
        <w:tc>
          <w:tcPr>
            <w:tcW w:w="970" w:type="dxa"/>
            <w:tcBorders>
              <w:bottom w:val="single" w:sz="4" w:space="0" w:color="auto"/>
            </w:tcBorders>
            <w:shd w:val="pct12" w:color="auto" w:fill="auto"/>
            <w:noWrap/>
            <w:hideMark/>
          </w:tcPr>
          <w:p w:rsidR="002F1851" w:rsidRPr="001750A4" w:rsidRDefault="002F1851" w:rsidP="002F1851">
            <w:pPr>
              <w:spacing w:before="0" w:after="0"/>
              <w:jc w:val="center"/>
              <w:rPr>
                <w:sz w:val="18"/>
                <w:szCs w:val="18"/>
              </w:rPr>
            </w:pPr>
            <w:r w:rsidRPr="001750A4">
              <w:rPr>
                <w:sz w:val="18"/>
                <w:szCs w:val="18"/>
              </w:rPr>
              <w:t>229</w:t>
            </w:r>
          </w:p>
        </w:tc>
        <w:tc>
          <w:tcPr>
            <w:tcW w:w="743" w:type="dxa"/>
            <w:tcBorders>
              <w:bottom w:val="single" w:sz="4" w:space="0" w:color="auto"/>
            </w:tcBorders>
            <w:noWrap/>
            <w:hideMark/>
          </w:tcPr>
          <w:p w:rsidR="002F1851" w:rsidRPr="001750A4" w:rsidRDefault="002F1851" w:rsidP="002F1851">
            <w:pPr>
              <w:spacing w:before="0" w:after="0"/>
              <w:jc w:val="center"/>
              <w:rPr>
                <w:sz w:val="18"/>
                <w:szCs w:val="18"/>
              </w:rPr>
            </w:pPr>
            <w:r w:rsidRPr="001750A4">
              <w:rPr>
                <w:sz w:val="18"/>
                <w:szCs w:val="18"/>
              </w:rPr>
              <w:t>1,2</w:t>
            </w:r>
            <w:r>
              <w:rPr>
                <w:sz w:val="18"/>
                <w:szCs w:val="18"/>
              </w:rPr>
              <w:t>85</w:t>
            </w:r>
          </w:p>
        </w:tc>
      </w:tr>
      <w:tr w:rsidR="002F1851" w:rsidRPr="003F079C" w:rsidTr="009A591A">
        <w:trPr>
          <w:trHeight w:val="258"/>
        </w:trPr>
        <w:tc>
          <w:tcPr>
            <w:tcW w:w="2694" w:type="dxa"/>
            <w:shd w:val="clear" w:color="auto" w:fill="8DB3E2" w:themeFill="text2" w:themeFillTint="66"/>
            <w:noWrap/>
            <w:hideMark/>
          </w:tcPr>
          <w:p w:rsidR="002F1851" w:rsidRPr="001750A4" w:rsidRDefault="002F1851" w:rsidP="002F1851">
            <w:pPr>
              <w:spacing w:before="120" w:after="120"/>
              <w:rPr>
                <w:b/>
                <w:sz w:val="18"/>
                <w:szCs w:val="18"/>
              </w:rPr>
            </w:pPr>
            <w:r w:rsidRPr="001750A4">
              <w:rPr>
                <w:b/>
                <w:sz w:val="18"/>
                <w:szCs w:val="18"/>
              </w:rPr>
              <w:t>Total</w:t>
            </w:r>
          </w:p>
        </w:tc>
        <w:tc>
          <w:tcPr>
            <w:tcW w:w="1275" w:type="dxa"/>
            <w:shd w:val="clear" w:color="auto" w:fill="8DB3E2" w:themeFill="text2" w:themeFillTint="66"/>
            <w:noWrap/>
          </w:tcPr>
          <w:p w:rsidR="002F1851" w:rsidRPr="001750A4" w:rsidRDefault="002F1851" w:rsidP="002F1851">
            <w:pPr>
              <w:spacing w:before="120" w:after="120"/>
              <w:rPr>
                <w:b/>
                <w:sz w:val="18"/>
                <w:szCs w:val="18"/>
              </w:rPr>
            </w:pPr>
          </w:p>
        </w:tc>
        <w:tc>
          <w:tcPr>
            <w:tcW w:w="993" w:type="dxa"/>
            <w:shd w:val="clear" w:color="auto" w:fill="8DB3E2" w:themeFill="text2" w:themeFillTint="66"/>
          </w:tcPr>
          <w:p w:rsidR="002F1851" w:rsidRPr="001750A4" w:rsidRDefault="002F1851" w:rsidP="002F1851">
            <w:pPr>
              <w:spacing w:before="120" w:after="120"/>
              <w:jc w:val="center"/>
              <w:rPr>
                <w:b/>
                <w:sz w:val="18"/>
                <w:szCs w:val="18"/>
              </w:rPr>
            </w:pPr>
            <w:r w:rsidRPr="001750A4">
              <w:rPr>
                <w:b/>
                <w:sz w:val="18"/>
                <w:szCs w:val="18"/>
              </w:rPr>
              <w:t>250</w:t>
            </w:r>
          </w:p>
        </w:tc>
        <w:tc>
          <w:tcPr>
            <w:tcW w:w="992" w:type="dxa"/>
            <w:shd w:val="clear" w:color="auto" w:fill="8DB3E2" w:themeFill="text2" w:themeFillTint="66"/>
            <w:noWrap/>
            <w:hideMark/>
          </w:tcPr>
          <w:p w:rsidR="002F1851" w:rsidRPr="001750A4" w:rsidRDefault="002F1851" w:rsidP="002F1851">
            <w:pPr>
              <w:spacing w:before="120" w:after="120"/>
              <w:jc w:val="center"/>
              <w:rPr>
                <w:b/>
                <w:sz w:val="18"/>
                <w:szCs w:val="18"/>
              </w:rPr>
            </w:pPr>
            <w:r w:rsidRPr="001750A4">
              <w:rPr>
                <w:b/>
                <w:sz w:val="18"/>
                <w:szCs w:val="18"/>
              </w:rPr>
              <w:t>1,25</w:t>
            </w:r>
            <w:r>
              <w:rPr>
                <w:b/>
                <w:sz w:val="18"/>
                <w:szCs w:val="18"/>
              </w:rPr>
              <w:t>0</w:t>
            </w:r>
          </w:p>
        </w:tc>
        <w:tc>
          <w:tcPr>
            <w:tcW w:w="992" w:type="dxa"/>
            <w:shd w:val="clear" w:color="auto" w:fill="8DB3E2" w:themeFill="text2" w:themeFillTint="66"/>
            <w:noWrap/>
            <w:hideMark/>
          </w:tcPr>
          <w:p w:rsidR="002F1851" w:rsidRPr="001750A4" w:rsidRDefault="002F1851" w:rsidP="002F1851">
            <w:pPr>
              <w:spacing w:before="120" w:after="120"/>
              <w:jc w:val="center"/>
              <w:rPr>
                <w:b/>
                <w:sz w:val="18"/>
                <w:szCs w:val="18"/>
              </w:rPr>
            </w:pPr>
            <w:r>
              <w:rPr>
                <w:b/>
                <w:sz w:val="18"/>
                <w:szCs w:val="18"/>
              </w:rPr>
              <w:t>2</w:t>
            </w:r>
            <w:r w:rsidRPr="001750A4">
              <w:rPr>
                <w:b/>
                <w:sz w:val="18"/>
                <w:szCs w:val="18"/>
              </w:rPr>
              <w:t>,</w:t>
            </w:r>
            <w:r>
              <w:rPr>
                <w:b/>
                <w:sz w:val="18"/>
                <w:szCs w:val="18"/>
              </w:rPr>
              <w:t>000</w:t>
            </w:r>
          </w:p>
        </w:tc>
        <w:tc>
          <w:tcPr>
            <w:tcW w:w="851" w:type="dxa"/>
            <w:shd w:val="clear" w:color="auto" w:fill="8DB3E2" w:themeFill="text2" w:themeFillTint="66"/>
            <w:noWrap/>
            <w:hideMark/>
          </w:tcPr>
          <w:p w:rsidR="002F1851" w:rsidRPr="001750A4" w:rsidRDefault="002F1851" w:rsidP="002F1851">
            <w:pPr>
              <w:spacing w:before="120" w:after="120"/>
              <w:jc w:val="center"/>
              <w:rPr>
                <w:b/>
                <w:sz w:val="18"/>
                <w:szCs w:val="18"/>
              </w:rPr>
            </w:pPr>
            <w:r w:rsidRPr="001750A4">
              <w:rPr>
                <w:b/>
                <w:sz w:val="18"/>
                <w:szCs w:val="18"/>
              </w:rPr>
              <w:t>2,000</w:t>
            </w:r>
          </w:p>
        </w:tc>
        <w:tc>
          <w:tcPr>
            <w:tcW w:w="850" w:type="dxa"/>
            <w:shd w:val="clear" w:color="auto" w:fill="8DB3E2" w:themeFill="text2" w:themeFillTint="66"/>
            <w:noWrap/>
            <w:hideMark/>
          </w:tcPr>
          <w:p w:rsidR="002F1851" w:rsidRPr="001750A4" w:rsidRDefault="002F1851" w:rsidP="002F1851">
            <w:pPr>
              <w:spacing w:before="120" w:after="120"/>
              <w:jc w:val="center"/>
              <w:rPr>
                <w:b/>
                <w:sz w:val="18"/>
                <w:szCs w:val="18"/>
              </w:rPr>
            </w:pPr>
            <w:r w:rsidRPr="001750A4">
              <w:rPr>
                <w:b/>
                <w:sz w:val="18"/>
                <w:szCs w:val="18"/>
              </w:rPr>
              <w:t>2,000</w:t>
            </w:r>
          </w:p>
        </w:tc>
        <w:tc>
          <w:tcPr>
            <w:tcW w:w="970" w:type="dxa"/>
            <w:shd w:val="clear" w:color="auto" w:fill="8DB3E2" w:themeFill="text2" w:themeFillTint="66"/>
            <w:noWrap/>
            <w:hideMark/>
          </w:tcPr>
          <w:p w:rsidR="002F1851" w:rsidRPr="001750A4" w:rsidRDefault="002F1851" w:rsidP="002F1851">
            <w:pPr>
              <w:spacing w:before="120" w:after="120"/>
              <w:jc w:val="center"/>
              <w:rPr>
                <w:b/>
                <w:sz w:val="18"/>
                <w:szCs w:val="18"/>
              </w:rPr>
            </w:pPr>
            <w:r w:rsidRPr="001750A4">
              <w:rPr>
                <w:b/>
                <w:sz w:val="18"/>
                <w:szCs w:val="18"/>
              </w:rPr>
              <w:t>1,500</w:t>
            </w:r>
          </w:p>
        </w:tc>
        <w:tc>
          <w:tcPr>
            <w:tcW w:w="743" w:type="dxa"/>
            <w:shd w:val="clear" w:color="auto" w:fill="8DB3E2" w:themeFill="text2" w:themeFillTint="66"/>
            <w:noWrap/>
            <w:hideMark/>
          </w:tcPr>
          <w:p w:rsidR="002F1851" w:rsidRPr="001750A4" w:rsidRDefault="002F1851" w:rsidP="002F1851">
            <w:pPr>
              <w:spacing w:before="120" w:after="120"/>
              <w:jc w:val="center"/>
              <w:rPr>
                <w:b/>
                <w:sz w:val="18"/>
                <w:szCs w:val="18"/>
              </w:rPr>
            </w:pPr>
            <w:r>
              <w:rPr>
                <w:b/>
                <w:sz w:val="18"/>
                <w:szCs w:val="18"/>
              </w:rPr>
              <w:t>9</w:t>
            </w:r>
            <w:r w:rsidRPr="001750A4">
              <w:rPr>
                <w:b/>
                <w:sz w:val="18"/>
                <w:szCs w:val="18"/>
              </w:rPr>
              <w:t>,</w:t>
            </w:r>
            <w:r>
              <w:rPr>
                <w:b/>
                <w:sz w:val="18"/>
                <w:szCs w:val="18"/>
              </w:rPr>
              <w:t>000</w:t>
            </w:r>
          </w:p>
        </w:tc>
      </w:tr>
    </w:tbl>
    <w:p w:rsidR="00C55135" w:rsidRDefault="00C55135" w:rsidP="00C55135">
      <w:pPr>
        <w:pStyle w:val="Heading3"/>
        <w:numPr>
          <w:ilvl w:val="0"/>
          <w:numId w:val="0"/>
        </w:numPr>
        <w:ind w:left="720"/>
      </w:pPr>
    </w:p>
    <w:p w:rsidR="002F1851" w:rsidRDefault="002F1851" w:rsidP="006D305A">
      <w:pPr>
        <w:pStyle w:val="Heading3"/>
      </w:pPr>
      <w:r>
        <w:t>Quarterly Reviews</w:t>
      </w:r>
    </w:p>
    <w:p w:rsidR="002F1851" w:rsidRPr="00975976" w:rsidRDefault="002F1851" w:rsidP="002F1851">
      <w:pPr>
        <w:spacing w:after="0"/>
      </w:pPr>
      <w:r w:rsidRPr="00975976">
        <w:t xml:space="preserve">Quarterly review meetings </w:t>
      </w:r>
      <w:r>
        <w:t xml:space="preserve">take place between the CLAHRC Manager, Head of R&amp;D finance and the theme leads </w:t>
      </w:r>
      <w:r w:rsidRPr="00975976">
        <w:t xml:space="preserve">to review spend to date, agree the year end forecast and discuss the </w:t>
      </w:r>
      <w:r>
        <w:t xml:space="preserve">allocation of costs to the </w:t>
      </w:r>
      <w:r w:rsidRPr="00975976">
        <w:t xml:space="preserve">projects </w:t>
      </w:r>
      <w:r>
        <w:t>within the t</w:t>
      </w:r>
      <w:r w:rsidRPr="00975976">
        <w:t>heme</w:t>
      </w:r>
      <w:r>
        <w:t>. To support this and to monitor performance going forward monthly reports have now been developed which will be circulated to the theme leads.</w:t>
      </w:r>
    </w:p>
    <w:p w:rsidR="002F1851" w:rsidRPr="00EA0285" w:rsidRDefault="002F1851" w:rsidP="006D305A">
      <w:pPr>
        <w:pStyle w:val="Heading3"/>
      </w:pPr>
      <w:r w:rsidRPr="00EA0285">
        <w:t>Matched Funding</w:t>
      </w:r>
    </w:p>
    <w:p w:rsidR="002F1851" w:rsidRDefault="002F1851" w:rsidP="00B46C2E">
      <w:pPr>
        <w:rPr>
          <w:b/>
          <w:sz w:val="20"/>
          <w:szCs w:val="20"/>
        </w:rPr>
      </w:pPr>
      <w:r w:rsidRPr="006E0423">
        <w:t xml:space="preserve">A fundamental requirement of the CLAHRC is the need to demonstrate matched funding committed by other organisations which is linked to CLAHRC activities. In total this needs to be at least to the </w:t>
      </w:r>
      <w:r>
        <w:t xml:space="preserve">same </w:t>
      </w:r>
      <w:r w:rsidRPr="006E0423">
        <w:t xml:space="preserve">level </w:t>
      </w:r>
      <w:r>
        <w:t>as</w:t>
      </w:r>
      <w:r w:rsidRPr="006E0423">
        <w:t xml:space="preserve"> the NIHR funding. Matched funding provides resources to support the proposed themes of research, implementation or a mix of both. Identification of Matched funding is an on-going process involving the CLAHRC Manager and the Head of R&amp;D Finance. Based on current information the amounts shown in the application can be identified.</w:t>
      </w:r>
    </w:p>
    <w:tbl>
      <w:tblPr>
        <w:tblStyle w:val="TableGrid"/>
        <w:tblW w:w="0" w:type="auto"/>
        <w:tblInd w:w="108" w:type="dxa"/>
        <w:tblLayout w:type="fixed"/>
        <w:tblLook w:val="04A0" w:firstRow="1" w:lastRow="0" w:firstColumn="1" w:lastColumn="0" w:noHBand="0" w:noVBand="1"/>
      </w:tblPr>
      <w:tblGrid>
        <w:gridCol w:w="2835"/>
        <w:gridCol w:w="1276"/>
        <w:gridCol w:w="1013"/>
        <w:gridCol w:w="1007"/>
        <w:gridCol w:w="957"/>
        <w:gridCol w:w="992"/>
        <w:gridCol w:w="1045"/>
        <w:gridCol w:w="854"/>
      </w:tblGrid>
      <w:tr w:rsidR="002F1851" w:rsidTr="009A591A">
        <w:trPr>
          <w:trHeight w:val="327"/>
        </w:trPr>
        <w:tc>
          <w:tcPr>
            <w:tcW w:w="2835" w:type="dxa"/>
            <w:shd w:val="clear" w:color="auto" w:fill="8DB3E2" w:themeFill="text2" w:themeFillTint="66"/>
          </w:tcPr>
          <w:p w:rsidR="002F1851" w:rsidRPr="00B348D5" w:rsidRDefault="002F1851" w:rsidP="002F1851">
            <w:pPr>
              <w:pStyle w:val="ListParagraph"/>
              <w:ind w:left="0"/>
            </w:pPr>
          </w:p>
        </w:tc>
        <w:tc>
          <w:tcPr>
            <w:tcW w:w="1276" w:type="dxa"/>
            <w:shd w:val="clear" w:color="auto" w:fill="8DB3E2" w:themeFill="text2" w:themeFillTint="66"/>
          </w:tcPr>
          <w:p w:rsidR="002F1851" w:rsidRPr="00B348D5" w:rsidRDefault="002F1851" w:rsidP="002F1851">
            <w:pPr>
              <w:pStyle w:val="ListParagraph"/>
              <w:ind w:left="0"/>
              <w:jc w:val="center"/>
              <w:rPr>
                <w:sz w:val="20"/>
                <w:szCs w:val="20"/>
              </w:rPr>
            </w:pPr>
            <w:r w:rsidRPr="00B348D5">
              <w:rPr>
                <w:b/>
                <w:bCs/>
                <w:i/>
                <w:iCs/>
                <w:sz w:val="20"/>
                <w:szCs w:val="20"/>
              </w:rPr>
              <w:t>2013/14</w:t>
            </w:r>
            <w:r w:rsidR="009A591A">
              <w:rPr>
                <w:b/>
                <w:bCs/>
                <w:i/>
                <w:iCs/>
                <w:sz w:val="20"/>
                <w:szCs w:val="20"/>
              </w:rPr>
              <w:t xml:space="preserve">  </w:t>
            </w:r>
            <w:r w:rsidRPr="00B348D5">
              <w:rPr>
                <w:b/>
                <w:bCs/>
                <w:i/>
                <w:iCs/>
                <w:sz w:val="20"/>
                <w:szCs w:val="20"/>
              </w:rPr>
              <w:t xml:space="preserve"> (3 mths)</w:t>
            </w:r>
          </w:p>
        </w:tc>
        <w:tc>
          <w:tcPr>
            <w:tcW w:w="1013" w:type="dxa"/>
            <w:shd w:val="clear" w:color="auto" w:fill="8DB3E2" w:themeFill="text2" w:themeFillTint="66"/>
          </w:tcPr>
          <w:p w:rsidR="002F1851" w:rsidRPr="00B348D5" w:rsidRDefault="002F1851" w:rsidP="002F1851">
            <w:pPr>
              <w:pStyle w:val="ListParagraph"/>
              <w:ind w:left="0"/>
              <w:jc w:val="center"/>
              <w:rPr>
                <w:sz w:val="20"/>
                <w:szCs w:val="20"/>
              </w:rPr>
            </w:pPr>
            <w:r w:rsidRPr="00B348D5">
              <w:rPr>
                <w:b/>
                <w:bCs/>
                <w:i/>
                <w:iCs/>
                <w:sz w:val="20"/>
                <w:szCs w:val="20"/>
              </w:rPr>
              <w:t xml:space="preserve">2014/15 </w:t>
            </w:r>
          </w:p>
        </w:tc>
        <w:tc>
          <w:tcPr>
            <w:tcW w:w="1007" w:type="dxa"/>
            <w:shd w:val="clear" w:color="auto" w:fill="8DB3E2" w:themeFill="text2" w:themeFillTint="66"/>
          </w:tcPr>
          <w:p w:rsidR="002F1851" w:rsidRPr="00B348D5" w:rsidRDefault="002F1851" w:rsidP="002F1851">
            <w:pPr>
              <w:jc w:val="center"/>
              <w:rPr>
                <w:b/>
                <w:bCs/>
                <w:i/>
                <w:iCs/>
                <w:sz w:val="20"/>
                <w:szCs w:val="20"/>
              </w:rPr>
            </w:pPr>
            <w:r w:rsidRPr="00B348D5">
              <w:rPr>
                <w:b/>
                <w:bCs/>
                <w:i/>
                <w:iCs/>
                <w:sz w:val="20"/>
                <w:szCs w:val="20"/>
              </w:rPr>
              <w:t xml:space="preserve">2015/16 </w:t>
            </w:r>
          </w:p>
        </w:tc>
        <w:tc>
          <w:tcPr>
            <w:tcW w:w="957" w:type="dxa"/>
            <w:shd w:val="clear" w:color="auto" w:fill="8DB3E2" w:themeFill="text2" w:themeFillTint="66"/>
          </w:tcPr>
          <w:p w:rsidR="002F1851" w:rsidRPr="00B348D5" w:rsidRDefault="002F1851" w:rsidP="002F1851">
            <w:pPr>
              <w:jc w:val="center"/>
              <w:rPr>
                <w:b/>
                <w:bCs/>
                <w:i/>
                <w:iCs/>
                <w:sz w:val="20"/>
                <w:szCs w:val="20"/>
              </w:rPr>
            </w:pPr>
            <w:r w:rsidRPr="00B348D5">
              <w:rPr>
                <w:b/>
                <w:bCs/>
                <w:i/>
                <w:iCs/>
                <w:sz w:val="20"/>
                <w:szCs w:val="20"/>
              </w:rPr>
              <w:t>2016/17</w:t>
            </w:r>
          </w:p>
        </w:tc>
        <w:tc>
          <w:tcPr>
            <w:tcW w:w="992" w:type="dxa"/>
            <w:shd w:val="clear" w:color="auto" w:fill="8DB3E2" w:themeFill="text2" w:themeFillTint="66"/>
          </w:tcPr>
          <w:p w:rsidR="002F1851" w:rsidRPr="00B348D5" w:rsidRDefault="002F1851" w:rsidP="002F1851">
            <w:pPr>
              <w:jc w:val="center"/>
              <w:rPr>
                <w:b/>
                <w:bCs/>
                <w:i/>
                <w:iCs/>
                <w:sz w:val="20"/>
                <w:szCs w:val="20"/>
              </w:rPr>
            </w:pPr>
            <w:r w:rsidRPr="00B348D5">
              <w:rPr>
                <w:b/>
                <w:bCs/>
                <w:i/>
                <w:iCs/>
                <w:sz w:val="20"/>
                <w:szCs w:val="20"/>
              </w:rPr>
              <w:t>2017/18</w:t>
            </w:r>
          </w:p>
        </w:tc>
        <w:tc>
          <w:tcPr>
            <w:tcW w:w="1045" w:type="dxa"/>
            <w:shd w:val="clear" w:color="auto" w:fill="8DB3E2" w:themeFill="text2" w:themeFillTint="66"/>
          </w:tcPr>
          <w:p w:rsidR="002F1851" w:rsidRPr="00B348D5" w:rsidRDefault="002F1851" w:rsidP="002F1851">
            <w:pPr>
              <w:jc w:val="center"/>
              <w:rPr>
                <w:b/>
                <w:bCs/>
                <w:i/>
                <w:iCs/>
                <w:sz w:val="20"/>
                <w:szCs w:val="20"/>
              </w:rPr>
            </w:pPr>
            <w:r w:rsidRPr="00B348D5">
              <w:rPr>
                <w:b/>
                <w:bCs/>
                <w:i/>
                <w:iCs/>
                <w:sz w:val="20"/>
                <w:szCs w:val="20"/>
              </w:rPr>
              <w:t>2018/19 (9 mths)</w:t>
            </w:r>
          </w:p>
        </w:tc>
        <w:tc>
          <w:tcPr>
            <w:tcW w:w="854" w:type="dxa"/>
            <w:shd w:val="clear" w:color="auto" w:fill="8DB3E2" w:themeFill="text2" w:themeFillTint="66"/>
          </w:tcPr>
          <w:p w:rsidR="002F1851" w:rsidRPr="00B348D5" w:rsidRDefault="002F1851" w:rsidP="002F1851">
            <w:pPr>
              <w:jc w:val="center"/>
              <w:rPr>
                <w:b/>
                <w:bCs/>
                <w:i/>
                <w:iCs/>
                <w:sz w:val="20"/>
                <w:szCs w:val="20"/>
              </w:rPr>
            </w:pPr>
            <w:r w:rsidRPr="00B348D5">
              <w:rPr>
                <w:b/>
                <w:bCs/>
                <w:i/>
                <w:iCs/>
                <w:sz w:val="20"/>
                <w:szCs w:val="20"/>
              </w:rPr>
              <w:t>Total</w:t>
            </w:r>
          </w:p>
        </w:tc>
      </w:tr>
      <w:tr w:rsidR="002F1851" w:rsidTr="009A591A">
        <w:trPr>
          <w:trHeight w:val="275"/>
        </w:trPr>
        <w:tc>
          <w:tcPr>
            <w:tcW w:w="2835" w:type="dxa"/>
          </w:tcPr>
          <w:p w:rsidR="002F1851" w:rsidRPr="00EA0285" w:rsidRDefault="002F1851" w:rsidP="002F1851">
            <w:pPr>
              <w:pStyle w:val="ListParagraph"/>
              <w:ind w:left="0"/>
              <w:rPr>
                <w:sz w:val="18"/>
                <w:szCs w:val="18"/>
              </w:rPr>
            </w:pPr>
            <w:r>
              <w:rPr>
                <w:sz w:val="18"/>
                <w:szCs w:val="18"/>
              </w:rPr>
              <w:t>NIHR Funding</w:t>
            </w:r>
          </w:p>
        </w:tc>
        <w:tc>
          <w:tcPr>
            <w:tcW w:w="1276" w:type="dxa"/>
          </w:tcPr>
          <w:p w:rsidR="002F1851" w:rsidRPr="00EA0285" w:rsidRDefault="002F1851" w:rsidP="002F1851">
            <w:pPr>
              <w:pStyle w:val="ListParagraph"/>
              <w:ind w:left="0"/>
              <w:jc w:val="center"/>
              <w:rPr>
                <w:sz w:val="18"/>
                <w:szCs w:val="18"/>
              </w:rPr>
            </w:pPr>
            <w:r>
              <w:rPr>
                <w:sz w:val="18"/>
                <w:szCs w:val="18"/>
              </w:rPr>
              <w:t>250</w:t>
            </w:r>
          </w:p>
        </w:tc>
        <w:tc>
          <w:tcPr>
            <w:tcW w:w="1013" w:type="dxa"/>
          </w:tcPr>
          <w:p w:rsidR="002F1851" w:rsidRPr="00EA0285" w:rsidRDefault="002F1851" w:rsidP="002F1851">
            <w:pPr>
              <w:pStyle w:val="ListParagraph"/>
              <w:ind w:left="0"/>
              <w:jc w:val="center"/>
              <w:rPr>
                <w:sz w:val="18"/>
                <w:szCs w:val="18"/>
              </w:rPr>
            </w:pPr>
            <w:r>
              <w:rPr>
                <w:sz w:val="18"/>
                <w:szCs w:val="18"/>
              </w:rPr>
              <w:t>1,250</w:t>
            </w:r>
          </w:p>
        </w:tc>
        <w:tc>
          <w:tcPr>
            <w:tcW w:w="1007" w:type="dxa"/>
          </w:tcPr>
          <w:p w:rsidR="002F1851" w:rsidRPr="00EA0285" w:rsidRDefault="002F1851" w:rsidP="002F1851">
            <w:pPr>
              <w:pStyle w:val="ListParagraph"/>
              <w:ind w:left="0"/>
              <w:jc w:val="center"/>
              <w:rPr>
                <w:sz w:val="18"/>
                <w:szCs w:val="18"/>
              </w:rPr>
            </w:pPr>
            <w:r>
              <w:rPr>
                <w:sz w:val="18"/>
                <w:szCs w:val="18"/>
              </w:rPr>
              <w:t>2,000</w:t>
            </w:r>
          </w:p>
        </w:tc>
        <w:tc>
          <w:tcPr>
            <w:tcW w:w="957" w:type="dxa"/>
          </w:tcPr>
          <w:p w:rsidR="002F1851" w:rsidRPr="00EA0285" w:rsidRDefault="002F1851" w:rsidP="002F1851">
            <w:pPr>
              <w:pStyle w:val="ListParagraph"/>
              <w:ind w:left="0"/>
              <w:jc w:val="center"/>
              <w:rPr>
                <w:sz w:val="18"/>
                <w:szCs w:val="18"/>
              </w:rPr>
            </w:pPr>
            <w:r>
              <w:rPr>
                <w:sz w:val="18"/>
                <w:szCs w:val="18"/>
              </w:rPr>
              <w:t>2,000</w:t>
            </w:r>
          </w:p>
        </w:tc>
        <w:tc>
          <w:tcPr>
            <w:tcW w:w="992" w:type="dxa"/>
          </w:tcPr>
          <w:p w:rsidR="002F1851" w:rsidRPr="00EA0285" w:rsidRDefault="002F1851" w:rsidP="002F1851">
            <w:pPr>
              <w:pStyle w:val="ListParagraph"/>
              <w:ind w:left="0"/>
              <w:jc w:val="center"/>
              <w:rPr>
                <w:sz w:val="18"/>
                <w:szCs w:val="18"/>
              </w:rPr>
            </w:pPr>
            <w:r>
              <w:rPr>
                <w:sz w:val="18"/>
                <w:szCs w:val="18"/>
              </w:rPr>
              <w:t>2,000</w:t>
            </w:r>
          </w:p>
        </w:tc>
        <w:tc>
          <w:tcPr>
            <w:tcW w:w="1045" w:type="dxa"/>
          </w:tcPr>
          <w:p w:rsidR="002F1851" w:rsidRPr="00EA0285" w:rsidRDefault="002F1851" w:rsidP="002F1851">
            <w:pPr>
              <w:pStyle w:val="ListParagraph"/>
              <w:ind w:left="0"/>
              <w:jc w:val="center"/>
              <w:rPr>
                <w:sz w:val="18"/>
                <w:szCs w:val="18"/>
              </w:rPr>
            </w:pPr>
            <w:r>
              <w:rPr>
                <w:sz w:val="18"/>
                <w:szCs w:val="18"/>
              </w:rPr>
              <w:t>1,500</w:t>
            </w:r>
          </w:p>
        </w:tc>
        <w:tc>
          <w:tcPr>
            <w:tcW w:w="854" w:type="dxa"/>
          </w:tcPr>
          <w:p w:rsidR="002F1851" w:rsidRPr="00EA0285" w:rsidRDefault="002F1851" w:rsidP="002F1851">
            <w:pPr>
              <w:pStyle w:val="ListParagraph"/>
              <w:ind w:left="0"/>
              <w:jc w:val="center"/>
              <w:rPr>
                <w:sz w:val="18"/>
                <w:szCs w:val="18"/>
              </w:rPr>
            </w:pPr>
            <w:r>
              <w:rPr>
                <w:sz w:val="18"/>
                <w:szCs w:val="18"/>
              </w:rPr>
              <w:t>9,000</w:t>
            </w:r>
          </w:p>
        </w:tc>
      </w:tr>
      <w:tr w:rsidR="002F1851" w:rsidTr="009A591A">
        <w:trPr>
          <w:trHeight w:val="275"/>
        </w:trPr>
        <w:tc>
          <w:tcPr>
            <w:tcW w:w="2835" w:type="dxa"/>
            <w:tcBorders>
              <w:bottom w:val="single" w:sz="4" w:space="0" w:color="auto"/>
            </w:tcBorders>
          </w:tcPr>
          <w:p w:rsidR="002F1851" w:rsidRPr="00F87BD8" w:rsidRDefault="002F1851" w:rsidP="002F1851">
            <w:pPr>
              <w:pStyle w:val="ListParagraph"/>
              <w:ind w:left="0"/>
              <w:rPr>
                <w:sz w:val="18"/>
                <w:szCs w:val="18"/>
              </w:rPr>
            </w:pPr>
            <w:r w:rsidRPr="00F87BD8">
              <w:rPr>
                <w:sz w:val="18"/>
                <w:szCs w:val="18"/>
              </w:rPr>
              <w:t>Application Matched Funding</w:t>
            </w:r>
          </w:p>
        </w:tc>
        <w:tc>
          <w:tcPr>
            <w:tcW w:w="1276" w:type="dxa"/>
            <w:tcBorders>
              <w:bottom w:val="single" w:sz="4" w:space="0" w:color="auto"/>
            </w:tcBorders>
          </w:tcPr>
          <w:p w:rsidR="002F1851" w:rsidRPr="00F87BD8" w:rsidRDefault="002F1851" w:rsidP="002F1851">
            <w:pPr>
              <w:pStyle w:val="ListParagraph"/>
              <w:ind w:left="0"/>
              <w:jc w:val="center"/>
              <w:rPr>
                <w:sz w:val="18"/>
                <w:szCs w:val="18"/>
              </w:rPr>
            </w:pPr>
            <w:r w:rsidRPr="00F87BD8">
              <w:rPr>
                <w:sz w:val="18"/>
                <w:szCs w:val="18"/>
              </w:rPr>
              <w:t>519</w:t>
            </w:r>
          </w:p>
        </w:tc>
        <w:tc>
          <w:tcPr>
            <w:tcW w:w="1013" w:type="dxa"/>
            <w:tcBorders>
              <w:bottom w:val="single" w:sz="4" w:space="0" w:color="auto"/>
            </w:tcBorders>
          </w:tcPr>
          <w:p w:rsidR="002F1851" w:rsidRPr="00F87BD8" w:rsidRDefault="002F1851" w:rsidP="002F1851">
            <w:pPr>
              <w:pStyle w:val="ListParagraph"/>
              <w:ind w:left="0"/>
              <w:jc w:val="center"/>
              <w:rPr>
                <w:sz w:val="18"/>
                <w:szCs w:val="18"/>
              </w:rPr>
            </w:pPr>
            <w:r w:rsidRPr="00F87BD8">
              <w:rPr>
                <w:sz w:val="18"/>
                <w:szCs w:val="18"/>
              </w:rPr>
              <w:t>2,075</w:t>
            </w:r>
          </w:p>
        </w:tc>
        <w:tc>
          <w:tcPr>
            <w:tcW w:w="1007" w:type="dxa"/>
            <w:tcBorders>
              <w:bottom w:val="single" w:sz="4" w:space="0" w:color="auto"/>
            </w:tcBorders>
          </w:tcPr>
          <w:p w:rsidR="002F1851" w:rsidRPr="00F87BD8" w:rsidRDefault="002F1851" w:rsidP="002F1851">
            <w:pPr>
              <w:pStyle w:val="ListParagraph"/>
              <w:ind w:left="0"/>
              <w:jc w:val="center"/>
              <w:rPr>
                <w:sz w:val="18"/>
                <w:szCs w:val="18"/>
              </w:rPr>
            </w:pPr>
            <w:r w:rsidRPr="00F87BD8">
              <w:rPr>
                <w:sz w:val="18"/>
                <w:szCs w:val="18"/>
              </w:rPr>
              <w:t>2,077</w:t>
            </w:r>
          </w:p>
        </w:tc>
        <w:tc>
          <w:tcPr>
            <w:tcW w:w="957" w:type="dxa"/>
            <w:tcBorders>
              <w:bottom w:val="single" w:sz="4" w:space="0" w:color="auto"/>
            </w:tcBorders>
          </w:tcPr>
          <w:p w:rsidR="002F1851" w:rsidRPr="00F87BD8" w:rsidRDefault="002F1851" w:rsidP="002F1851">
            <w:pPr>
              <w:pStyle w:val="ListParagraph"/>
              <w:ind w:left="0"/>
              <w:jc w:val="center"/>
              <w:rPr>
                <w:sz w:val="18"/>
                <w:szCs w:val="18"/>
              </w:rPr>
            </w:pPr>
            <w:r w:rsidRPr="00F87BD8">
              <w:rPr>
                <w:sz w:val="18"/>
                <w:szCs w:val="18"/>
              </w:rPr>
              <w:t>2,078</w:t>
            </w:r>
          </w:p>
        </w:tc>
        <w:tc>
          <w:tcPr>
            <w:tcW w:w="992" w:type="dxa"/>
            <w:tcBorders>
              <w:bottom w:val="single" w:sz="4" w:space="0" w:color="auto"/>
            </w:tcBorders>
          </w:tcPr>
          <w:p w:rsidR="002F1851" w:rsidRPr="00F87BD8" w:rsidRDefault="002F1851" w:rsidP="002F1851">
            <w:pPr>
              <w:pStyle w:val="ListParagraph"/>
              <w:ind w:left="0"/>
              <w:jc w:val="center"/>
              <w:rPr>
                <w:sz w:val="18"/>
                <w:szCs w:val="18"/>
              </w:rPr>
            </w:pPr>
            <w:r w:rsidRPr="00F87BD8">
              <w:rPr>
                <w:sz w:val="18"/>
                <w:szCs w:val="18"/>
              </w:rPr>
              <w:t>2,075</w:t>
            </w:r>
          </w:p>
        </w:tc>
        <w:tc>
          <w:tcPr>
            <w:tcW w:w="1045" w:type="dxa"/>
            <w:tcBorders>
              <w:bottom w:val="single" w:sz="4" w:space="0" w:color="auto"/>
            </w:tcBorders>
          </w:tcPr>
          <w:p w:rsidR="002F1851" w:rsidRPr="00F87BD8" w:rsidRDefault="002F1851" w:rsidP="002F1851">
            <w:pPr>
              <w:pStyle w:val="ListParagraph"/>
              <w:ind w:left="0"/>
              <w:jc w:val="center"/>
              <w:rPr>
                <w:sz w:val="18"/>
                <w:szCs w:val="18"/>
              </w:rPr>
            </w:pPr>
            <w:r w:rsidRPr="00F87BD8">
              <w:rPr>
                <w:sz w:val="18"/>
                <w:szCs w:val="18"/>
              </w:rPr>
              <w:t>1,607</w:t>
            </w:r>
          </w:p>
        </w:tc>
        <w:tc>
          <w:tcPr>
            <w:tcW w:w="854" w:type="dxa"/>
            <w:tcBorders>
              <w:bottom w:val="single" w:sz="4" w:space="0" w:color="auto"/>
            </w:tcBorders>
          </w:tcPr>
          <w:p w:rsidR="002F1851" w:rsidRPr="00F87BD8" w:rsidRDefault="002F1851" w:rsidP="002F1851">
            <w:pPr>
              <w:pStyle w:val="ListParagraph"/>
              <w:ind w:left="0"/>
              <w:jc w:val="center"/>
              <w:rPr>
                <w:sz w:val="18"/>
                <w:szCs w:val="18"/>
              </w:rPr>
            </w:pPr>
            <w:r w:rsidRPr="00F87BD8">
              <w:rPr>
                <w:sz w:val="18"/>
                <w:szCs w:val="18"/>
              </w:rPr>
              <w:t>10,431</w:t>
            </w:r>
          </w:p>
        </w:tc>
      </w:tr>
    </w:tbl>
    <w:p w:rsidR="002F1851" w:rsidRPr="006D305A" w:rsidRDefault="002F1851" w:rsidP="006D305A">
      <w:pPr>
        <w:pStyle w:val="Heading2"/>
      </w:pPr>
      <w:r w:rsidRPr="006D305A">
        <w:lastRenderedPageBreak/>
        <w:t>Oxford Academic Health Science Network (AHSN)</w:t>
      </w:r>
    </w:p>
    <w:p w:rsidR="002F1851" w:rsidRDefault="002F1851" w:rsidP="002F1851">
      <w:pPr>
        <w:spacing w:after="0"/>
      </w:pPr>
      <w:r>
        <w:t xml:space="preserve">Oxford Health is </w:t>
      </w:r>
      <w:r w:rsidRPr="00E27379">
        <w:t>host</w:t>
      </w:r>
      <w:r>
        <w:t>ing three of the 9</w:t>
      </w:r>
      <w:r w:rsidRPr="00E27379">
        <w:t xml:space="preserve"> OAHSN </w:t>
      </w:r>
      <w:r>
        <w:t xml:space="preserve">Clinical </w:t>
      </w:r>
      <w:r w:rsidRPr="00E27379">
        <w:t>Networks</w:t>
      </w:r>
      <w:r>
        <w:t>. These are Dementia; Early Intervention in Mental Health; and Anxiety and Depression (detailed below).</w:t>
      </w:r>
    </w:p>
    <w:p w:rsidR="002F1851" w:rsidRDefault="002F1851" w:rsidP="002F1851">
      <w:pPr>
        <w:spacing w:after="0"/>
      </w:pPr>
      <w:r>
        <w:t>Although the OASHN is seen as a clinical development, rather than primarily research related activity, it is combined with R&amp;D when reported in the Fin</w:t>
      </w:r>
      <w:r w:rsidR="00C55135">
        <w:t>ance report to the Board and is</w:t>
      </w:r>
      <w:r>
        <w:t>, therefore included for completeness. The three networks are budgeted and forecast to breakeven the only concern is the £35k Partnerships fees which the Trust has incurred but didn’t budget for causing an adverse variance.</w:t>
      </w:r>
    </w:p>
    <w:p w:rsidR="00705028" w:rsidRDefault="00705028" w:rsidP="002F1851">
      <w:pPr>
        <w:spacing w:after="0"/>
      </w:pPr>
    </w:p>
    <w:tbl>
      <w:tblPr>
        <w:tblStyle w:val="TableGrid"/>
        <w:tblW w:w="0" w:type="auto"/>
        <w:tblInd w:w="108" w:type="dxa"/>
        <w:tblLook w:val="04A0" w:firstRow="1" w:lastRow="0" w:firstColumn="1" w:lastColumn="0" w:noHBand="0" w:noVBand="1"/>
      </w:tblPr>
      <w:tblGrid>
        <w:gridCol w:w="1418"/>
        <w:gridCol w:w="1701"/>
        <w:gridCol w:w="4394"/>
        <w:gridCol w:w="1354"/>
        <w:gridCol w:w="1090"/>
      </w:tblGrid>
      <w:tr w:rsidR="002F1851" w:rsidTr="009A591A">
        <w:trPr>
          <w:trHeight w:val="241"/>
        </w:trPr>
        <w:tc>
          <w:tcPr>
            <w:tcW w:w="1418" w:type="dxa"/>
            <w:shd w:val="clear" w:color="auto" w:fill="8DB3E2" w:themeFill="text2" w:themeFillTint="66"/>
          </w:tcPr>
          <w:p w:rsidR="002F1851" w:rsidRPr="003655A8" w:rsidRDefault="002F1851" w:rsidP="002F1851">
            <w:pPr>
              <w:rPr>
                <w:b/>
                <w:sz w:val="20"/>
                <w:szCs w:val="20"/>
              </w:rPr>
            </w:pPr>
            <w:r>
              <w:rPr>
                <w:b/>
                <w:sz w:val="20"/>
                <w:szCs w:val="20"/>
              </w:rPr>
              <w:t xml:space="preserve">Network </w:t>
            </w:r>
          </w:p>
        </w:tc>
        <w:tc>
          <w:tcPr>
            <w:tcW w:w="1701" w:type="dxa"/>
            <w:shd w:val="clear" w:color="auto" w:fill="8DB3E2" w:themeFill="text2" w:themeFillTint="66"/>
          </w:tcPr>
          <w:p w:rsidR="002F1851" w:rsidRDefault="002F1851" w:rsidP="002F1851">
            <w:pPr>
              <w:jc w:val="center"/>
              <w:rPr>
                <w:b/>
                <w:sz w:val="20"/>
                <w:szCs w:val="20"/>
              </w:rPr>
            </w:pPr>
            <w:r>
              <w:rPr>
                <w:b/>
                <w:sz w:val="20"/>
                <w:szCs w:val="20"/>
              </w:rPr>
              <w:t>Lead</w:t>
            </w:r>
          </w:p>
        </w:tc>
        <w:tc>
          <w:tcPr>
            <w:tcW w:w="4394" w:type="dxa"/>
            <w:shd w:val="clear" w:color="auto" w:fill="8DB3E2" w:themeFill="text2" w:themeFillTint="66"/>
          </w:tcPr>
          <w:p w:rsidR="002F1851" w:rsidRDefault="002F1851" w:rsidP="002F1851">
            <w:pPr>
              <w:jc w:val="center"/>
              <w:rPr>
                <w:b/>
                <w:sz w:val="20"/>
                <w:szCs w:val="20"/>
              </w:rPr>
            </w:pPr>
            <w:r>
              <w:rPr>
                <w:b/>
                <w:sz w:val="20"/>
                <w:szCs w:val="20"/>
              </w:rPr>
              <w:t>Projects</w:t>
            </w:r>
          </w:p>
        </w:tc>
        <w:tc>
          <w:tcPr>
            <w:tcW w:w="1354" w:type="dxa"/>
            <w:shd w:val="clear" w:color="auto" w:fill="8DB3E2" w:themeFill="text2" w:themeFillTint="66"/>
          </w:tcPr>
          <w:p w:rsidR="002F1851" w:rsidRPr="003655A8" w:rsidRDefault="002F1851" w:rsidP="002F1851">
            <w:pPr>
              <w:jc w:val="center"/>
              <w:rPr>
                <w:b/>
                <w:sz w:val="20"/>
                <w:szCs w:val="20"/>
              </w:rPr>
            </w:pPr>
            <w:r>
              <w:rPr>
                <w:b/>
                <w:sz w:val="20"/>
                <w:szCs w:val="20"/>
              </w:rPr>
              <w:t>Total Award</w:t>
            </w:r>
          </w:p>
        </w:tc>
        <w:tc>
          <w:tcPr>
            <w:tcW w:w="1090" w:type="dxa"/>
            <w:shd w:val="clear" w:color="auto" w:fill="8DB3E2" w:themeFill="text2" w:themeFillTint="66"/>
          </w:tcPr>
          <w:p w:rsidR="002F1851" w:rsidRDefault="002F1851" w:rsidP="002F1851">
            <w:r>
              <w:rPr>
                <w:b/>
                <w:sz w:val="20"/>
                <w:szCs w:val="20"/>
              </w:rPr>
              <w:t>End Date</w:t>
            </w:r>
          </w:p>
        </w:tc>
      </w:tr>
      <w:tr w:rsidR="002F1851" w:rsidTr="002F1851">
        <w:trPr>
          <w:trHeight w:val="1171"/>
        </w:trPr>
        <w:tc>
          <w:tcPr>
            <w:tcW w:w="1418" w:type="dxa"/>
          </w:tcPr>
          <w:p w:rsidR="002F1851" w:rsidRPr="00645892" w:rsidRDefault="002F1851" w:rsidP="002F1851">
            <w:pPr>
              <w:jc w:val="left"/>
              <w:rPr>
                <w:sz w:val="20"/>
                <w:szCs w:val="20"/>
              </w:rPr>
            </w:pPr>
            <w:r w:rsidRPr="00645892">
              <w:rPr>
                <w:sz w:val="20"/>
                <w:szCs w:val="20"/>
              </w:rPr>
              <w:t>Dementia</w:t>
            </w:r>
          </w:p>
        </w:tc>
        <w:tc>
          <w:tcPr>
            <w:tcW w:w="1701" w:type="dxa"/>
          </w:tcPr>
          <w:p w:rsidR="002F1851" w:rsidRPr="00645892" w:rsidRDefault="002F1851" w:rsidP="002F1851">
            <w:pPr>
              <w:jc w:val="left"/>
              <w:rPr>
                <w:sz w:val="20"/>
                <w:szCs w:val="20"/>
              </w:rPr>
            </w:pPr>
            <w:r w:rsidRPr="00645892">
              <w:rPr>
                <w:sz w:val="20"/>
                <w:szCs w:val="20"/>
              </w:rPr>
              <w:t>Dr Rupert McShane</w:t>
            </w:r>
          </w:p>
        </w:tc>
        <w:tc>
          <w:tcPr>
            <w:tcW w:w="4394" w:type="dxa"/>
          </w:tcPr>
          <w:p w:rsidR="002F1851" w:rsidRPr="00645892" w:rsidRDefault="002F1851" w:rsidP="00765972">
            <w:pPr>
              <w:pStyle w:val="ListParagraph"/>
              <w:numPr>
                <w:ilvl w:val="0"/>
                <w:numId w:val="3"/>
              </w:numPr>
              <w:spacing w:before="0" w:after="0"/>
              <w:contextualSpacing/>
              <w:jc w:val="left"/>
              <w:rPr>
                <w:i/>
                <w:iCs/>
                <w:color w:val="000000"/>
                <w:sz w:val="20"/>
                <w:szCs w:val="20"/>
              </w:rPr>
            </w:pPr>
            <w:r w:rsidRPr="00645892">
              <w:rPr>
                <w:i/>
                <w:iCs/>
                <w:color w:val="000000"/>
                <w:sz w:val="20"/>
                <w:szCs w:val="20"/>
              </w:rPr>
              <w:t>Unwarranted clinical variation</w:t>
            </w:r>
          </w:p>
          <w:p w:rsidR="002F1851" w:rsidRPr="00645892" w:rsidRDefault="002F1851" w:rsidP="00765972">
            <w:pPr>
              <w:pStyle w:val="ListParagraph"/>
              <w:numPr>
                <w:ilvl w:val="0"/>
                <w:numId w:val="3"/>
              </w:numPr>
              <w:spacing w:before="0" w:after="0"/>
              <w:contextualSpacing/>
              <w:jc w:val="left"/>
              <w:rPr>
                <w:i/>
                <w:iCs/>
                <w:color w:val="000000"/>
                <w:sz w:val="20"/>
                <w:szCs w:val="20"/>
              </w:rPr>
            </w:pPr>
            <w:r w:rsidRPr="00645892">
              <w:rPr>
                <w:i/>
                <w:iCs/>
                <w:color w:val="000000"/>
                <w:sz w:val="20"/>
                <w:szCs w:val="20"/>
              </w:rPr>
              <w:t>Data capture systems</w:t>
            </w:r>
          </w:p>
          <w:p w:rsidR="002F1851" w:rsidRPr="00DC17D3" w:rsidRDefault="002F1851" w:rsidP="00765972">
            <w:pPr>
              <w:pStyle w:val="ListParagraph"/>
              <w:numPr>
                <w:ilvl w:val="0"/>
                <w:numId w:val="3"/>
              </w:numPr>
              <w:spacing w:before="0" w:after="0"/>
              <w:contextualSpacing/>
              <w:jc w:val="left"/>
              <w:rPr>
                <w:sz w:val="20"/>
                <w:szCs w:val="20"/>
              </w:rPr>
            </w:pPr>
            <w:r w:rsidRPr="00645892">
              <w:rPr>
                <w:i/>
                <w:iCs/>
                <w:color w:val="000000"/>
                <w:sz w:val="20"/>
                <w:szCs w:val="20"/>
              </w:rPr>
              <w:t>Development of drink as a potential medical food with a dementia indication</w:t>
            </w:r>
          </w:p>
        </w:tc>
        <w:tc>
          <w:tcPr>
            <w:tcW w:w="1354" w:type="dxa"/>
          </w:tcPr>
          <w:p w:rsidR="002F1851" w:rsidRPr="00645892" w:rsidRDefault="002F1851" w:rsidP="002F1851">
            <w:pPr>
              <w:jc w:val="center"/>
              <w:rPr>
                <w:sz w:val="20"/>
                <w:szCs w:val="20"/>
              </w:rPr>
            </w:pPr>
            <w:r w:rsidRPr="00645892">
              <w:rPr>
                <w:sz w:val="20"/>
                <w:szCs w:val="20"/>
              </w:rPr>
              <w:t>£270k</w:t>
            </w:r>
          </w:p>
        </w:tc>
        <w:tc>
          <w:tcPr>
            <w:tcW w:w="1090" w:type="dxa"/>
          </w:tcPr>
          <w:p w:rsidR="002F1851" w:rsidRPr="00645892" w:rsidRDefault="002F1851" w:rsidP="002F1851">
            <w:pPr>
              <w:spacing w:before="100" w:beforeAutospacing="1" w:after="100" w:afterAutospacing="1"/>
              <w:jc w:val="center"/>
              <w:rPr>
                <w:sz w:val="20"/>
                <w:szCs w:val="20"/>
              </w:rPr>
            </w:pPr>
            <w:r w:rsidRPr="00645892">
              <w:rPr>
                <w:sz w:val="20"/>
                <w:szCs w:val="20"/>
              </w:rPr>
              <w:t>June 2015</w:t>
            </w:r>
          </w:p>
          <w:p w:rsidR="002F1851" w:rsidRPr="00645892" w:rsidRDefault="002F1851" w:rsidP="002F1851">
            <w:pPr>
              <w:jc w:val="center"/>
              <w:rPr>
                <w:sz w:val="20"/>
                <w:szCs w:val="20"/>
              </w:rPr>
            </w:pPr>
          </w:p>
        </w:tc>
      </w:tr>
      <w:tr w:rsidR="002F1851" w:rsidTr="002F1851">
        <w:trPr>
          <w:trHeight w:val="1921"/>
        </w:trPr>
        <w:tc>
          <w:tcPr>
            <w:tcW w:w="1418" w:type="dxa"/>
          </w:tcPr>
          <w:p w:rsidR="002F1851" w:rsidRPr="00645892" w:rsidRDefault="002F1851" w:rsidP="002F1851">
            <w:pPr>
              <w:jc w:val="left"/>
              <w:rPr>
                <w:sz w:val="20"/>
                <w:szCs w:val="20"/>
              </w:rPr>
            </w:pPr>
            <w:r w:rsidRPr="00645892">
              <w:rPr>
                <w:sz w:val="20"/>
                <w:szCs w:val="20"/>
              </w:rPr>
              <w:t>Early Intervention in MH</w:t>
            </w:r>
          </w:p>
        </w:tc>
        <w:tc>
          <w:tcPr>
            <w:tcW w:w="1701" w:type="dxa"/>
          </w:tcPr>
          <w:p w:rsidR="002F1851" w:rsidRPr="00645892" w:rsidRDefault="00A67D05" w:rsidP="002F1851">
            <w:pPr>
              <w:jc w:val="left"/>
              <w:rPr>
                <w:sz w:val="20"/>
                <w:szCs w:val="20"/>
              </w:rPr>
            </w:pPr>
            <w:r>
              <w:rPr>
                <w:sz w:val="20"/>
                <w:szCs w:val="20"/>
              </w:rPr>
              <w:t>Prof</w:t>
            </w:r>
            <w:r w:rsidR="002F1851" w:rsidRPr="00645892">
              <w:rPr>
                <w:sz w:val="20"/>
                <w:szCs w:val="20"/>
              </w:rPr>
              <w:t xml:space="preserve"> Belinda Lennox</w:t>
            </w:r>
          </w:p>
        </w:tc>
        <w:tc>
          <w:tcPr>
            <w:tcW w:w="4394" w:type="dxa"/>
          </w:tcPr>
          <w:p w:rsidR="002F1851" w:rsidRPr="00645892" w:rsidRDefault="002F1851" w:rsidP="00765972">
            <w:pPr>
              <w:pStyle w:val="ListParagraph"/>
              <w:numPr>
                <w:ilvl w:val="0"/>
                <w:numId w:val="3"/>
              </w:numPr>
              <w:spacing w:before="0" w:after="0"/>
              <w:contextualSpacing/>
              <w:jc w:val="left"/>
              <w:rPr>
                <w:i/>
                <w:iCs/>
                <w:color w:val="000000"/>
                <w:sz w:val="20"/>
                <w:szCs w:val="20"/>
              </w:rPr>
            </w:pPr>
            <w:r w:rsidRPr="00645892">
              <w:rPr>
                <w:i/>
                <w:iCs/>
                <w:color w:val="000000"/>
                <w:sz w:val="20"/>
                <w:szCs w:val="20"/>
              </w:rPr>
              <w:t>Reduced variation in care</w:t>
            </w:r>
          </w:p>
          <w:p w:rsidR="002F1851" w:rsidRPr="00645892" w:rsidRDefault="002F1851" w:rsidP="00765972">
            <w:pPr>
              <w:pStyle w:val="ListParagraph"/>
              <w:numPr>
                <w:ilvl w:val="0"/>
                <w:numId w:val="3"/>
              </w:numPr>
              <w:spacing w:before="0" w:after="0"/>
              <w:contextualSpacing/>
              <w:jc w:val="left"/>
              <w:rPr>
                <w:i/>
                <w:iCs/>
                <w:color w:val="000000"/>
                <w:sz w:val="20"/>
                <w:szCs w:val="20"/>
              </w:rPr>
            </w:pPr>
            <w:r w:rsidRPr="00645892">
              <w:rPr>
                <w:i/>
                <w:iCs/>
                <w:color w:val="000000"/>
                <w:sz w:val="20"/>
                <w:szCs w:val="20"/>
              </w:rPr>
              <w:t>Increase recruitment to Research studies</w:t>
            </w:r>
          </w:p>
          <w:p w:rsidR="002F1851" w:rsidRPr="00645892" w:rsidRDefault="002F1851" w:rsidP="00765972">
            <w:pPr>
              <w:pStyle w:val="ListParagraph"/>
              <w:numPr>
                <w:ilvl w:val="0"/>
                <w:numId w:val="3"/>
              </w:numPr>
              <w:spacing w:before="0" w:after="0"/>
              <w:contextualSpacing/>
              <w:jc w:val="left"/>
              <w:rPr>
                <w:i/>
                <w:iCs/>
                <w:color w:val="000000"/>
                <w:sz w:val="20"/>
                <w:szCs w:val="20"/>
              </w:rPr>
            </w:pPr>
            <w:r w:rsidRPr="00645892">
              <w:rPr>
                <w:i/>
                <w:iCs/>
                <w:color w:val="000000"/>
                <w:sz w:val="20"/>
                <w:szCs w:val="20"/>
              </w:rPr>
              <w:t>Enhancing care continuity and extending the model of early intervention</w:t>
            </w:r>
          </w:p>
          <w:p w:rsidR="002F1851" w:rsidRPr="00645892" w:rsidRDefault="002F1851" w:rsidP="00765972">
            <w:pPr>
              <w:pStyle w:val="ListParagraph"/>
              <w:numPr>
                <w:ilvl w:val="0"/>
                <w:numId w:val="3"/>
              </w:numPr>
              <w:spacing w:before="0" w:after="0"/>
              <w:contextualSpacing/>
              <w:jc w:val="left"/>
              <w:rPr>
                <w:i/>
                <w:iCs/>
                <w:color w:val="000000"/>
                <w:sz w:val="20"/>
                <w:szCs w:val="20"/>
              </w:rPr>
            </w:pPr>
            <w:r w:rsidRPr="00645892">
              <w:rPr>
                <w:i/>
                <w:iCs/>
                <w:color w:val="000000"/>
                <w:sz w:val="20"/>
                <w:szCs w:val="20"/>
              </w:rPr>
              <w:t>Agreeing a schedule of clinical assessments and criteria for EIS</w:t>
            </w:r>
          </w:p>
        </w:tc>
        <w:tc>
          <w:tcPr>
            <w:tcW w:w="1354" w:type="dxa"/>
          </w:tcPr>
          <w:p w:rsidR="002F1851" w:rsidRPr="00645892" w:rsidRDefault="002F1851" w:rsidP="002F1851">
            <w:pPr>
              <w:jc w:val="center"/>
              <w:rPr>
                <w:sz w:val="20"/>
                <w:szCs w:val="20"/>
              </w:rPr>
            </w:pPr>
            <w:r w:rsidRPr="00645892">
              <w:rPr>
                <w:sz w:val="20"/>
                <w:szCs w:val="20"/>
              </w:rPr>
              <w:t>£210k</w:t>
            </w:r>
          </w:p>
        </w:tc>
        <w:tc>
          <w:tcPr>
            <w:tcW w:w="1090" w:type="dxa"/>
          </w:tcPr>
          <w:p w:rsidR="002F1851" w:rsidRPr="00645892" w:rsidRDefault="002F1851" w:rsidP="002F1851">
            <w:pPr>
              <w:spacing w:before="100" w:beforeAutospacing="1" w:after="100" w:afterAutospacing="1"/>
              <w:jc w:val="center"/>
              <w:rPr>
                <w:sz w:val="20"/>
                <w:szCs w:val="20"/>
              </w:rPr>
            </w:pPr>
            <w:r w:rsidRPr="00645892">
              <w:rPr>
                <w:sz w:val="20"/>
                <w:szCs w:val="20"/>
              </w:rPr>
              <w:t>June 2015</w:t>
            </w:r>
          </w:p>
        </w:tc>
      </w:tr>
      <w:tr w:rsidR="002F1851" w:rsidTr="002F1851">
        <w:trPr>
          <w:trHeight w:val="805"/>
        </w:trPr>
        <w:tc>
          <w:tcPr>
            <w:tcW w:w="1418" w:type="dxa"/>
          </w:tcPr>
          <w:p w:rsidR="002F1851" w:rsidRPr="00645892" w:rsidRDefault="002F1851" w:rsidP="002F1851">
            <w:pPr>
              <w:jc w:val="left"/>
              <w:rPr>
                <w:sz w:val="20"/>
                <w:szCs w:val="20"/>
              </w:rPr>
            </w:pPr>
            <w:r w:rsidRPr="00645892">
              <w:rPr>
                <w:sz w:val="20"/>
                <w:szCs w:val="20"/>
              </w:rPr>
              <w:t xml:space="preserve">Anxiety &amp; Depression </w:t>
            </w:r>
          </w:p>
        </w:tc>
        <w:tc>
          <w:tcPr>
            <w:tcW w:w="1701" w:type="dxa"/>
          </w:tcPr>
          <w:p w:rsidR="002F1851" w:rsidRPr="00645892" w:rsidRDefault="002F1851" w:rsidP="002F1851">
            <w:pPr>
              <w:jc w:val="left"/>
              <w:rPr>
                <w:sz w:val="20"/>
                <w:szCs w:val="20"/>
              </w:rPr>
            </w:pPr>
            <w:r w:rsidRPr="00645892">
              <w:rPr>
                <w:sz w:val="20"/>
                <w:szCs w:val="20"/>
              </w:rPr>
              <w:t>Prof David Clark</w:t>
            </w:r>
          </w:p>
        </w:tc>
        <w:tc>
          <w:tcPr>
            <w:tcW w:w="4394" w:type="dxa"/>
          </w:tcPr>
          <w:p w:rsidR="002F1851" w:rsidRPr="00645892" w:rsidRDefault="002F1851" w:rsidP="00765972">
            <w:pPr>
              <w:pStyle w:val="ListParagraph"/>
              <w:numPr>
                <w:ilvl w:val="0"/>
                <w:numId w:val="3"/>
              </w:numPr>
              <w:spacing w:before="0" w:after="0"/>
              <w:contextualSpacing/>
              <w:jc w:val="left"/>
              <w:rPr>
                <w:i/>
                <w:iCs/>
                <w:color w:val="000000"/>
                <w:sz w:val="20"/>
                <w:szCs w:val="20"/>
              </w:rPr>
            </w:pPr>
            <w:r w:rsidRPr="00645892">
              <w:rPr>
                <w:i/>
                <w:iCs/>
                <w:color w:val="000000"/>
                <w:sz w:val="20"/>
                <w:szCs w:val="20"/>
              </w:rPr>
              <w:t>Understanding outcome variability</w:t>
            </w:r>
          </w:p>
          <w:p w:rsidR="002F1851" w:rsidRPr="00546E14" w:rsidRDefault="002F1851" w:rsidP="00765972">
            <w:pPr>
              <w:pStyle w:val="ListParagraph"/>
              <w:numPr>
                <w:ilvl w:val="0"/>
                <w:numId w:val="3"/>
              </w:numPr>
              <w:spacing w:before="0" w:after="0"/>
              <w:contextualSpacing/>
              <w:jc w:val="left"/>
              <w:rPr>
                <w:sz w:val="20"/>
                <w:szCs w:val="20"/>
              </w:rPr>
            </w:pPr>
            <w:r w:rsidRPr="00645892">
              <w:rPr>
                <w:i/>
                <w:iCs/>
                <w:color w:val="000000"/>
                <w:sz w:val="20"/>
                <w:szCs w:val="20"/>
              </w:rPr>
              <w:t>Supporting local service innovation &amp; disseminating successes throughout the region</w:t>
            </w:r>
            <w:r w:rsidRPr="00645892">
              <w:rPr>
                <w:sz w:val="20"/>
                <w:szCs w:val="20"/>
              </w:rPr>
              <w:t xml:space="preserve"> </w:t>
            </w:r>
          </w:p>
        </w:tc>
        <w:tc>
          <w:tcPr>
            <w:tcW w:w="1354" w:type="dxa"/>
          </w:tcPr>
          <w:p w:rsidR="002F1851" w:rsidRPr="00645892" w:rsidRDefault="002F1851" w:rsidP="002F1851">
            <w:pPr>
              <w:autoSpaceDE w:val="0"/>
              <w:autoSpaceDN w:val="0"/>
              <w:adjustRightInd w:val="0"/>
              <w:spacing w:before="100" w:beforeAutospacing="1" w:after="100" w:afterAutospacing="1"/>
              <w:jc w:val="center"/>
              <w:rPr>
                <w:sz w:val="20"/>
                <w:szCs w:val="20"/>
              </w:rPr>
            </w:pPr>
            <w:r w:rsidRPr="00645892">
              <w:rPr>
                <w:sz w:val="20"/>
                <w:szCs w:val="20"/>
              </w:rPr>
              <w:t>£220k</w:t>
            </w:r>
          </w:p>
        </w:tc>
        <w:tc>
          <w:tcPr>
            <w:tcW w:w="1090" w:type="dxa"/>
          </w:tcPr>
          <w:p w:rsidR="002F1851" w:rsidRPr="00645892" w:rsidRDefault="002F1851" w:rsidP="002F1851">
            <w:pPr>
              <w:spacing w:before="100" w:beforeAutospacing="1" w:after="100" w:afterAutospacing="1"/>
              <w:jc w:val="center"/>
              <w:rPr>
                <w:sz w:val="20"/>
                <w:szCs w:val="20"/>
              </w:rPr>
            </w:pPr>
            <w:r w:rsidRPr="00645892">
              <w:rPr>
                <w:sz w:val="20"/>
                <w:szCs w:val="20"/>
              </w:rPr>
              <w:t>Oct 2015</w:t>
            </w:r>
          </w:p>
        </w:tc>
      </w:tr>
    </w:tbl>
    <w:p w:rsidR="00B466A4" w:rsidRDefault="009B51DB" w:rsidP="009B51DB">
      <w:pPr>
        <w:pStyle w:val="Heading1"/>
      </w:pPr>
      <w:r>
        <w:t>Estates</w:t>
      </w:r>
    </w:p>
    <w:p w:rsidR="00245847" w:rsidRDefault="00245847" w:rsidP="00245847">
      <w:pPr>
        <w:rPr>
          <w:lang w:val="en-GB"/>
        </w:rPr>
      </w:pPr>
      <w:r>
        <w:rPr>
          <w:lang w:val="en-GB"/>
        </w:rPr>
        <w:t>T</w:t>
      </w:r>
      <w:r w:rsidR="00DA7EB7">
        <w:rPr>
          <w:lang w:val="en-GB"/>
        </w:rPr>
        <w:t>he R&amp;D department</w:t>
      </w:r>
      <w:r>
        <w:rPr>
          <w:lang w:val="en-GB"/>
        </w:rPr>
        <w:t xml:space="preserve"> has recently vacated the office space within the University Cottage leading to a pressure for staff accommodation.  Trust approval has been granted for the R&amp;D staff located adjacent to the executive team to be relocated with the adult mental health management team in the main building of the Warneford Hospital.  It is anticipated that the refurbishment of the office space will start at the end of January 2015 following tender for the work.  It is hoped that the space will be habitable in February/March 2015</w:t>
      </w:r>
    </w:p>
    <w:p w:rsidR="002D020A" w:rsidRPr="002D020A" w:rsidRDefault="009B51DB" w:rsidP="00245847">
      <w:pPr>
        <w:pStyle w:val="Heading1"/>
      </w:pPr>
      <w:r>
        <w:t>Staffing</w:t>
      </w:r>
    </w:p>
    <w:p w:rsidR="00C55135" w:rsidRDefault="00245847" w:rsidP="007D630D">
      <w:pPr>
        <w:rPr>
          <w:lang w:val="en-GB"/>
        </w:rPr>
      </w:pPr>
      <w:r>
        <w:rPr>
          <w:lang w:val="en-GB"/>
        </w:rPr>
        <w:t xml:space="preserve">Following three rounds of advertising since August 2013 the </w:t>
      </w:r>
      <w:r w:rsidR="00340A32">
        <w:rPr>
          <w:lang w:val="en-GB"/>
        </w:rPr>
        <w:t>Research Implementation Manager post</w:t>
      </w:r>
      <w:r w:rsidR="00381BC8">
        <w:rPr>
          <w:lang w:val="en-GB"/>
        </w:rPr>
        <w:t>, reporting into the lead R&amp;D Nurse and CRF Matron</w:t>
      </w:r>
      <w:r w:rsidR="00C55135">
        <w:rPr>
          <w:lang w:val="en-GB"/>
        </w:rPr>
        <w:t xml:space="preserve"> (Cindy Whitbread)</w:t>
      </w:r>
      <w:r w:rsidR="00340A32">
        <w:rPr>
          <w:lang w:val="en-GB"/>
        </w:rPr>
        <w:t>, to lead on the recruitment strategy within the Trust</w:t>
      </w:r>
      <w:r>
        <w:rPr>
          <w:lang w:val="en-GB"/>
        </w:rPr>
        <w:t xml:space="preserve"> has been filled</w:t>
      </w:r>
      <w:r w:rsidR="00340A32">
        <w:rPr>
          <w:lang w:val="en-GB"/>
        </w:rPr>
        <w:t xml:space="preserve">. </w:t>
      </w:r>
      <w:r>
        <w:rPr>
          <w:lang w:val="en-GB"/>
        </w:rPr>
        <w:t>Alexandra Forrest joined the R&amp;D team in November 2014</w:t>
      </w:r>
      <w:r w:rsidR="00381BC8">
        <w:rPr>
          <w:lang w:val="en-GB"/>
        </w:rPr>
        <w:t xml:space="preserve">, replacing Bobbie Sanghera who was undertaking the role as a </w:t>
      </w:r>
      <w:r w:rsidR="00381BC8">
        <w:rPr>
          <w:lang w:val="en-GB"/>
        </w:rPr>
        <w:lastRenderedPageBreak/>
        <w:t>secondment until a permanent replacement could be found</w:t>
      </w:r>
      <w:r>
        <w:rPr>
          <w:lang w:val="en-GB"/>
        </w:rPr>
        <w:t xml:space="preserve">.  </w:t>
      </w:r>
      <w:r w:rsidR="00340A32">
        <w:rPr>
          <w:lang w:val="en-GB"/>
        </w:rPr>
        <w:t xml:space="preserve"> </w:t>
      </w:r>
      <w:r>
        <w:rPr>
          <w:lang w:val="en-GB"/>
        </w:rPr>
        <w:t xml:space="preserve">Alexandra Forrest is supporting seven research assistants (RAs), also recently recruited to help embed and undertake research within the Trust.  Two of the RAs </w:t>
      </w:r>
      <w:r w:rsidR="00C55135">
        <w:rPr>
          <w:lang w:val="en-GB"/>
        </w:rPr>
        <w:t>(Hayley Sapsford and Thomas Misselbrook)</w:t>
      </w:r>
      <w:r>
        <w:rPr>
          <w:lang w:val="en-GB"/>
        </w:rPr>
        <w:t xml:space="preserve">are funded by the CRN and are based in the Oxford and Aylesbury Early Intervention services and will support </w:t>
      </w:r>
      <w:r w:rsidR="00897CD9">
        <w:rPr>
          <w:lang w:val="en-GB"/>
        </w:rPr>
        <w:t>NIHR portfolio research.  The additional five RAs</w:t>
      </w:r>
      <w:r w:rsidR="00C55135">
        <w:rPr>
          <w:lang w:val="en-GB"/>
        </w:rPr>
        <w:t xml:space="preserve"> (Rachel Davies, Leah Marriner, Bradley Mullins, Maninder Kaur and Joanna Ciapala)</w:t>
      </w:r>
      <w:r w:rsidR="00897CD9">
        <w:rPr>
          <w:lang w:val="en-GB"/>
        </w:rPr>
        <w:t>, funded by clinical services a</w:t>
      </w:r>
      <w:r w:rsidR="00C55135">
        <w:rPr>
          <w:lang w:val="en-GB"/>
        </w:rPr>
        <w:t>re to rollout True Colours self-</w:t>
      </w:r>
      <w:r w:rsidR="00897CD9">
        <w:rPr>
          <w:lang w:val="en-GB"/>
        </w:rPr>
        <w:t>monitoring as 50% of their role and support all research studies within adult mental health services.</w:t>
      </w:r>
      <w:r>
        <w:rPr>
          <w:lang w:val="en-GB"/>
        </w:rPr>
        <w:t xml:space="preserve"> </w:t>
      </w:r>
    </w:p>
    <w:p w:rsidR="00245847" w:rsidRDefault="00C55135" w:rsidP="007D630D">
      <w:pPr>
        <w:rPr>
          <w:lang w:val="en-GB"/>
        </w:rPr>
      </w:pPr>
      <w:r>
        <w:rPr>
          <w:lang w:val="en-GB"/>
        </w:rPr>
        <w:t xml:space="preserve">There have been significant changes within the Governance team.  The team now consists of a Band 6 Research Governance Co-ordinator (Jana Safarikova), part time Research Governance Facilitator (Mel Brookings – currently on maternity leave), R&amp;D administrator (currently being covered temporarily by Parveen Sarbatta, until the newly appointed Natalia </w:t>
      </w:r>
      <w:r w:rsidRPr="00C55135">
        <w:rPr>
          <w:lang w:val="en-GB"/>
        </w:rPr>
        <w:t xml:space="preserve">Jastrzebska can start in the new year).  In addition R&amp;D have secured a part time interim </w:t>
      </w:r>
      <w:r>
        <w:rPr>
          <w:lang w:val="en-GB"/>
        </w:rPr>
        <w:t>post, Research Governance Support (Tanya Smith, an experienced research co-ordinator, who was at risk of redundancy following the end of the study she was working on).  We have secured Tanya support in the development of study and recruitment data capture in line with external reporting mechanisms).</w:t>
      </w:r>
    </w:p>
    <w:p w:rsidR="00897CD9" w:rsidRDefault="00897CD9" w:rsidP="007D630D">
      <w:pPr>
        <w:rPr>
          <w:lang w:val="en-GB"/>
        </w:rPr>
      </w:pPr>
      <w:r>
        <w:rPr>
          <w:lang w:val="en-GB"/>
        </w:rPr>
        <w:t>Children and Young People’s services have recruited John Heine, a Research Support Facilitator, to aid in the development of grant applications within the service.  This is a 12 month fixed term contract that will be reviewed dependant upon the number of successful applications.</w:t>
      </w:r>
    </w:p>
    <w:p w:rsidR="00381BC8" w:rsidRDefault="000C040F" w:rsidP="007D630D">
      <w:pPr>
        <w:rPr>
          <w:lang w:val="en-GB" w:eastAsia="en-GB"/>
        </w:rPr>
      </w:pPr>
      <w:r w:rsidRPr="000C040F">
        <w:rPr>
          <w:lang w:val="en-GB"/>
        </w:rPr>
        <w:t xml:space="preserve">Funding from OUH RCF generated by the NIHR CRF funding has been secured to fund a research nurse to </w:t>
      </w:r>
      <w:r w:rsidRPr="000C040F">
        <w:t>support</w:t>
      </w:r>
      <w:r>
        <w:t xml:space="preserve"> activity at </w:t>
      </w:r>
      <w:r w:rsidRPr="000C040F">
        <w:rPr>
          <w:lang w:val="en-GB" w:eastAsia="en-GB"/>
        </w:rPr>
        <w:t>Charles Wolfson Clinical Neuroscience Facility</w:t>
      </w:r>
      <w:r w:rsidR="00263D1F">
        <w:rPr>
          <w:lang w:val="en-GB" w:eastAsia="en-GB"/>
        </w:rPr>
        <w:t xml:space="preserve">.  </w:t>
      </w:r>
      <w:r w:rsidR="00381BC8">
        <w:rPr>
          <w:lang w:val="en-GB" w:eastAsia="en-GB"/>
        </w:rPr>
        <w:t>Several rounds of interviews have been held with no successful candidates being found.  This has lead to the cross cover from CRF delivery staff to support research and increasing training and workforce development across the CRF sites.  Two further CRF nurse</w:t>
      </w:r>
      <w:r w:rsidR="00220FB1">
        <w:rPr>
          <w:lang w:val="en-GB" w:eastAsia="en-GB"/>
        </w:rPr>
        <w:t>s</w:t>
      </w:r>
      <w:r w:rsidR="00381BC8">
        <w:rPr>
          <w:lang w:val="en-GB" w:eastAsia="en-GB"/>
        </w:rPr>
        <w:t xml:space="preserve"> have joined the CRF team (Elwira Lubos and </w:t>
      </w:r>
      <w:r w:rsidR="00381BC8" w:rsidRPr="00381BC8">
        <w:rPr>
          <w:lang w:val="en-GB" w:eastAsia="en-GB"/>
        </w:rPr>
        <w:t>Akintayo Oladejo</w:t>
      </w:r>
      <w:r w:rsidR="00381BC8">
        <w:rPr>
          <w:lang w:val="en-GB" w:eastAsia="en-GB"/>
        </w:rPr>
        <w:t>)</w:t>
      </w:r>
      <w:r w:rsidR="00220FB1">
        <w:rPr>
          <w:lang w:val="en-GB" w:eastAsia="en-GB"/>
        </w:rPr>
        <w:t xml:space="preserve"> and a health care assistant to support dementia research (Sarsha Wilson)</w:t>
      </w:r>
      <w:r w:rsidR="00381BC8">
        <w:rPr>
          <w:lang w:val="en-GB" w:eastAsia="en-GB"/>
        </w:rPr>
        <w:t xml:space="preserve"> in addition to the promotion of Jethin Benjamin</w:t>
      </w:r>
      <w:r w:rsidR="00C55135">
        <w:rPr>
          <w:lang w:val="en-GB" w:eastAsia="en-GB"/>
        </w:rPr>
        <w:t xml:space="preserve"> after being within the team six months</w:t>
      </w:r>
      <w:r w:rsidR="00220FB1">
        <w:rPr>
          <w:lang w:val="en-GB" w:eastAsia="en-GB"/>
        </w:rPr>
        <w:t>.  After two rounds of advertising and interviews a CRF sister (</w:t>
      </w:r>
      <w:r w:rsidR="00C55135">
        <w:rPr>
          <w:lang w:val="en-GB" w:eastAsia="en-GB"/>
        </w:rPr>
        <w:t>Adedoyin Adedejui)</w:t>
      </w:r>
      <w:r w:rsidR="00220FB1">
        <w:rPr>
          <w:lang w:val="en-GB" w:eastAsia="en-GB"/>
        </w:rPr>
        <w:t xml:space="preserve"> has been appointed to aid in the day to day running of the CRF</w:t>
      </w:r>
      <w:r w:rsidR="00C55135">
        <w:rPr>
          <w:lang w:val="en-GB" w:eastAsia="en-GB"/>
        </w:rPr>
        <w:t xml:space="preserve"> and is due to start in January 2015</w:t>
      </w:r>
    </w:p>
    <w:p w:rsidR="00C55135" w:rsidRDefault="00C55135" w:rsidP="007D630D">
      <w:pPr>
        <w:rPr>
          <w:lang w:val="en-GB" w:eastAsia="en-GB"/>
        </w:rPr>
      </w:pPr>
      <w:r>
        <w:rPr>
          <w:lang w:val="en-GB" w:eastAsia="en-GB"/>
        </w:rPr>
        <w:t>The current R&amp;D structure is shown below</w:t>
      </w:r>
    </w:p>
    <w:p w:rsidR="00C55135" w:rsidRDefault="00C55135" w:rsidP="00381BC8">
      <w:pPr>
        <w:rPr>
          <w:lang w:val="en-GB" w:eastAsia="en-GB"/>
        </w:rPr>
      </w:pPr>
    </w:p>
    <w:p w:rsidR="00C55135" w:rsidRDefault="00C55135" w:rsidP="00381BC8">
      <w:pPr>
        <w:rPr>
          <w:lang w:val="en-GB" w:eastAsia="en-GB"/>
        </w:rPr>
      </w:pPr>
      <w:r>
        <w:rPr>
          <w:noProof/>
          <w:lang w:val="en-GB" w:eastAsia="en-GB"/>
        </w:rPr>
        <w:lastRenderedPageBreak/>
        <w:drawing>
          <wp:inline distT="0" distB="0" distL="0" distR="0" wp14:anchorId="01BE158B">
            <wp:extent cx="6173958" cy="4159244"/>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7766" cy="4161809"/>
                    </a:xfrm>
                    <a:prstGeom prst="rect">
                      <a:avLst/>
                    </a:prstGeom>
                    <a:noFill/>
                  </pic:spPr>
                </pic:pic>
              </a:graphicData>
            </a:graphic>
          </wp:inline>
        </w:drawing>
      </w:r>
    </w:p>
    <w:p w:rsidR="0028184A" w:rsidRDefault="0028184A" w:rsidP="00381BC8">
      <w:pPr>
        <w:rPr>
          <w:lang w:val="en-GB" w:eastAsia="en-GB"/>
        </w:rPr>
      </w:pPr>
      <w:r>
        <w:rPr>
          <w:lang w:val="en-GB" w:eastAsia="en-GB"/>
        </w:rPr>
        <w:t xml:space="preserve">The Head of R&amp;D (Emma Stratful) has successfully been awarded funding via the OUH BRC and secured a place of the executive MBA at Said Business School at the University of Oxford, starting in January 2015. </w:t>
      </w:r>
    </w:p>
    <w:p w:rsidR="00DD76D3" w:rsidRDefault="00DD76D3" w:rsidP="00220FB1">
      <w:pPr>
        <w:pStyle w:val="Heading1"/>
      </w:pPr>
      <w:r>
        <w:t>Communications</w:t>
      </w:r>
    </w:p>
    <w:p w:rsidR="0053659B" w:rsidRDefault="001E5A95" w:rsidP="00DD76D3">
      <w:r>
        <w:t xml:space="preserve">Work is continuing with the Trust R&amp;D website, but resource and expertise are limited. </w:t>
      </w:r>
      <w:r w:rsidR="009F05D8">
        <w:t xml:space="preserve">One of the new RAs has offered to help the R&amp;S Governance Manager take this forward while alternatives are explored.  One possibility is a shared Communications post with the University of Oxford, department of Psychiatry. </w:t>
      </w:r>
      <w:r>
        <w:t xml:space="preserve">  </w:t>
      </w:r>
    </w:p>
    <w:p w:rsidR="00546E14" w:rsidRDefault="00546E14" w:rsidP="0073522A">
      <w:pPr>
        <w:ind w:left="1440" w:hanging="1440"/>
        <w:rPr>
          <w:rFonts w:cs="Arial"/>
          <w:b/>
        </w:rPr>
      </w:pPr>
    </w:p>
    <w:p w:rsidR="0073522A" w:rsidRDefault="002619EF" w:rsidP="0073522A">
      <w:pPr>
        <w:ind w:left="1440" w:hanging="1440"/>
        <w:rPr>
          <w:rFonts w:cs="Arial"/>
        </w:rPr>
      </w:pPr>
      <w:r>
        <w:rPr>
          <w:rFonts w:cs="Arial"/>
          <w:b/>
        </w:rPr>
        <w:t>Author</w:t>
      </w:r>
      <w:r w:rsidR="00E14C2D">
        <w:rPr>
          <w:rFonts w:cs="Arial"/>
          <w:b/>
        </w:rPr>
        <w:t>s</w:t>
      </w:r>
      <w:r>
        <w:rPr>
          <w:rFonts w:cs="Arial"/>
          <w:b/>
        </w:rPr>
        <w:t xml:space="preserve"> and T</w:t>
      </w:r>
      <w:r w:rsidR="0073522A">
        <w:rPr>
          <w:rFonts w:cs="Arial"/>
          <w:b/>
        </w:rPr>
        <w:t>itle:</w:t>
      </w:r>
      <w:r w:rsidR="0073522A">
        <w:rPr>
          <w:rFonts w:cs="Arial"/>
        </w:rPr>
        <w:t xml:space="preserve"> </w:t>
      </w:r>
      <w:r w:rsidR="0073522A">
        <w:rPr>
          <w:rFonts w:cs="Arial"/>
        </w:rPr>
        <w:tab/>
      </w:r>
      <w:r w:rsidR="00AC6AE5">
        <w:rPr>
          <w:rFonts w:cs="Arial"/>
        </w:rPr>
        <w:t xml:space="preserve">Professor </w:t>
      </w:r>
      <w:r w:rsidR="00A941AF">
        <w:rPr>
          <w:rFonts w:cs="Arial"/>
        </w:rPr>
        <w:t>John Geddes</w:t>
      </w:r>
      <w:r w:rsidR="00516AE8">
        <w:rPr>
          <w:rFonts w:cs="Arial"/>
        </w:rPr>
        <w:t>,</w:t>
      </w:r>
      <w:r w:rsidR="00A941AF">
        <w:rPr>
          <w:rFonts w:cs="Arial"/>
        </w:rPr>
        <w:t xml:space="preserve"> Emma Stratful</w:t>
      </w:r>
      <w:r w:rsidR="00516AE8">
        <w:rPr>
          <w:rFonts w:cs="Arial"/>
        </w:rPr>
        <w:t xml:space="preserve"> &amp; Dr Clive Meux</w:t>
      </w:r>
    </w:p>
    <w:p w:rsidR="0073522A" w:rsidRDefault="0073522A" w:rsidP="0073522A">
      <w:pPr>
        <w:rPr>
          <w:rFonts w:cs="Arial"/>
          <w:b/>
        </w:rPr>
      </w:pPr>
      <w:r>
        <w:rPr>
          <w:rFonts w:cs="Arial"/>
          <w:b/>
        </w:rPr>
        <w:t>Lead Executive Director:</w:t>
      </w:r>
      <w:r>
        <w:rPr>
          <w:rFonts w:cs="Arial"/>
          <w:b/>
        </w:rPr>
        <w:tab/>
      </w:r>
      <w:r w:rsidR="00AC6AE5" w:rsidRPr="00AC6AE5">
        <w:rPr>
          <w:rFonts w:cs="Arial"/>
        </w:rPr>
        <w:t xml:space="preserve">Dr </w:t>
      </w:r>
      <w:r w:rsidR="00A941AF" w:rsidRPr="00A941AF">
        <w:rPr>
          <w:rFonts w:cs="Arial"/>
        </w:rPr>
        <w:t>Clive Meux</w:t>
      </w:r>
    </w:p>
    <w:p w:rsidR="0069120C" w:rsidRDefault="0069120C">
      <w:pPr>
        <w:spacing w:before="0" w:after="0"/>
        <w:jc w:val="left"/>
        <w:rPr>
          <w:rFonts w:cs="Arial"/>
        </w:rPr>
      </w:pPr>
    </w:p>
    <w:p w:rsidR="004F4BBA" w:rsidRDefault="004F4BBA" w:rsidP="00765972">
      <w:pPr>
        <w:numPr>
          <w:ilvl w:val="0"/>
          <w:numId w:val="1"/>
        </w:numPr>
        <w:spacing w:before="0" w:after="0"/>
        <w:rPr>
          <w:rFonts w:cs="Arial"/>
          <w:i/>
          <w:sz w:val="20"/>
          <w:szCs w:val="20"/>
        </w:rPr>
      </w:pPr>
      <w:r w:rsidRPr="0073522A">
        <w:rPr>
          <w:rFonts w:cs="Arial"/>
          <w:i/>
          <w:sz w:val="20"/>
          <w:szCs w:val="20"/>
        </w:rPr>
        <w:t>A risk assessment has been undertaken around the legal issues that this paper presents and there are no issues that need to be r</w:t>
      </w:r>
      <w:r w:rsidR="0073522A">
        <w:rPr>
          <w:rFonts w:cs="Arial"/>
          <w:i/>
          <w:sz w:val="20"/>
          <w:szCs w:val="20"/>
        </w:rPr>
        <w:t>eferred to the Trust Solicitors.</w:t>
      </w:r>
    </w:p>
    <w:p w:rsidR="00AA0C3F" w:rsidRDefault="00AA0C3F" w:rsidP="009B51DB">
      <w:pPr>
        <w:spacing w:before="0" w:after="0"/>
        <w:rPr>
          <w:rFonts w:cs="Arial"/>
          <w:i/>
          <w:sz w:val="20"/>
          <w:szCs w:val="20"/>
        </w:rPr>
      </w:pPr>
    </w:p>
    <w:p w:rsidR="00AA0C3F" w:rsidRDefault="00781566" w:rsidP="00765972">
      <w:pPr>
        <w:numPr>
          <w:ilvl w:val="0"/>
          <w:numId w:val="1"/>
        </w:numPr>
        <w:spacing w:before="0" w:after="0"/>
        <w:rPr>
          <w:rFonts w:cs="Arial"/>
          <w:i/>
          <w:sz w:val="20"/>
          <w:szCs w:val="20"/>
        </w:rPr>
      </w:pPr>
      <w:r>
        <w:rPr>
          <w:rFonts w:cs="Arial"/>
          <w:i/>
          <w:sz w:val="20"/>
          <w:szCs w:val="20"/>
        </w:rPr>
        <w:t>This paper (including all appendices) has been assessed against the Freedom of Information Act and the following applies:</w:t>
      </w:r>
    </w:p>
    <w:p w:rsidR="00CE32B2" w:rsidRDefault="00CE32B2" w:rsidP="00CE32B2">
      <w:pPr>
        <w:pStyle w:val="ListParagraph"/>
        <w:rPr>
          <w:rFonts w:cs="Arial"/>
          <w:i/>
          <w:sz w:val="20"/>
          <w:szCs w:val="20"/>
        </w:rPr>
      </w:pPr>
    </w:p>
    <w:p w:rsidR="00781566" w:rsidRDefault="00CE32B2" w:rsidP="00765972">
      <w:pPr>
        <w:numPr>
          <w:ilvl w:val="0"/>
          <w:numId w:val="2"/>
        </w:numPr>
        <w:spacing w:before="0" w:after="0"/>
        <w:rPr>
          <w:rFonts w:cs="Arial"/>
          <w:i/>
          <w:sz w:val="20"/>
          <w:szCs w:val="20"/>
        </w:rPr>
      </w:pPr>
      <w:r>
        <w:rPr>
          <w:rFonts w:cs="Arial"/>
          <w:i/>
          <w:sz w:val="20"/>
          <w:szCs w:val="20"/>
        </w:rPr>
        <w:t>T</w:t>
      </w:r>
      <w:r w:rsidR="00781566">
        <w:rPr>
          <w:rFonts w:cs="Arial"/>
          <w:i/>
          <w:sz w:val="20"/>
          <w:szCs w:val="20"/>
        </w:rPr>
        <w:t>HIS PAPER MAY BE PUBLISHED UNDER FOI</w:t>
      </w:r>
    </w:p>
    <w:p w:rsidR="00781566" w:rsidRDefault="00781566" w:rsidP="009B51DB">
      <w:pPr>
        <w:spacing w:before="0" w:after="0"/>
        <w:rPr>
          <w:rFonts w:cs="Arial"/>
          <w:i/>
          <w:sz w:val="20"/>
          <w:szCs w:val="20"/>
        </w:rPr>
      </w:pPr>
    </w:p>
    <w:p w:rsidR="00781566" w:rsidRDefault="00781566" w:rsidP="009B51DB">
      <w:pPr>
        <w:spacing w:before="0" w:after="0"/>
        <w:ind w:left="720"/>
        <w:rPr>
          <w:rFonts w:cs="Arial"/>
          <w:i/>
          <w:sz w:val="20"/>
          <w:szCs w:val="20"/>
        </w:rPr>
      </w:pPr>
    </w:p>
    <w:p w:rsidR="00AA0C3F" w:rsidRPr="0073522A" w:rsidRDefault="00AA0C3F" w:rsidP="009B51DB">
      <w:pPr>
        <w:spacing w:before="0" w:after="0"/>
        <w:rPr>
          <w:rFonts w:cs="Arial"/>
          <w:i/>
          <w:sz w:val="20"/>
          <w:szCs w:val="20"/>
        </w:rPr>
      </w:pPr>
    </w:p>
    <w:p w:rsidR="005D3499" w:rsidRPr="00AF0562" w:rsidRDefault="004F4BBA" w:rsidP="00765972">
      <w:pPr>
        <w:numPr>
          <w:ilvl w:val="0"/>
          <w:numId w:val="1"/>
        </w:numPr>
        <w:spacing w:before="0" w:after="0"/>
        <w:rPr>
          <w:rFonts w:cs="Arial"/>
          <w:sz w:val="20"/>
          <w:szCs w:val="20"/>
        </w:rPr>
      </w:pPr>
      <w:r w:rsidRPr="0073522A">
        <w:rPr>
          <w:rFonts w:cs="Arial"/>
          <w:i/>
          <w:sz w:val="20"/>
          <w:szCs w:val="20"/>
        </w:rPr>
        <w:t xml:space="preserve">This paper provides assurance and evidence against </w:t>
      </w:r>
      <w:r w:rsidR="00CE32B2">
        <w:rPr>
          <w:rFonts w:cs="Arial"/>
          <w:i/>
          <w:sz w:val="20"/>
          <w:szCs w:val="20"/>
        </w:rPr>
        <w:t xml:space="preserve">various </w:t>
      </w:r>
      <w:r w:rsidR="00946E6E">
        <w:rPr>
          <w:rFonts w:cs="Arial"/>
          <w:i/>
          <w:sz w:val="20"/>
          <w:szCs w:val="20"/>
        </w:rPr>
        <w:t>Care Quality Commission Outcome</w:t>
      </w:r>
      <w:r w:rsidR="00CE32B2">
        <w:rPr>
          <w:rFonts w:cs="Arial"/>
          <w:i/>
          <w:sz w:val="20"/>
          <w:szCs w:val="20"/>
        </w:rPr>
        <w:t>s</w:t>
      </w:r>
    </w:p>
    <w:p w:rsidR="00AF0562" w:rsidRDefault="00AF0562" w:rsidP="00AF0562">
      <w:pPr>
        <w:ind w:left="720"/>
        <w:rPr>
          <w:rFonts w:cs="Arial"/>
          <w:sz w:val="20"/>
          <w:szCs w:val="20"/>
        </w:rPr>
      </w:pPr>
    </w:p>
    <w:p w:rsidR="007B7252" w:rsidRDefault="007B7252" w:rsidP="00AF0562">
      <w:pPr>
        <w:ind w:left="720"/>
        <w:rPr>
          <w:rFonts w:cs="Arial"/>
          <w:sz w:val="20"/>
          <w:szCs w:val="20"/>
        </w:rPr>
      </w:pPr>
    </w:p>
    <w:p w:rsidR="007B7252" w:rsidRDefault="007B7252" w:rsidP="00AF0562">
      <w:pPr>
        <w:ind w:left="720"/>
        <w:rPr>
          <w:rFonts w:cs="Arial"/>
          <w:sz w:val="20"/>
          <w:szCs w:val="20"/>
        </w:rPr>
      </w:pPr>
    </w:p>
    <w:p w:rsidR="007B7252" w:rsidRDefault="007B7252" w:rsidP="00AF0562">
      <w:pPr>
        <w:ind w:left="720"/>
        <w:rPr>
          <w:rFonts w:cs="Arial"/>
          <w:sz w:val="20"/>
          <w:szCs w:val="20"/>
        </w:rPr>
      </w:pPr>
    </w:p>
    <w:p w:rsidR="009C5942" w:rsidRDefault="009C5942" w:rsidP="009C5942">
      <w:pPr>
        <w:spacing w:after="0"/>
        <w:rPr>
          <w:b/>
          <w:sz w:val="20"/>
          <w:szCs w:val="20"/>
        </w:rPr>
      </w:pPr>
    </w:p>
    <w:p w:rsidR="00441AEA" w:rsidRDefault="00441AEA">
      <w:pPr>
        <w:spacing w:before="0" w:after="0"/>
        <w:jc w:val="left"/>
        <w:rPr>
          <w:b/>
        </w:rPr>
      </w:pPr>
      <w:r>
        <w:rPr>
          <w:b/>
        </w:rPr>
        <w:br w:type="page"/>
      </w:r>
    </w:p>
    <w:p w:rsidR="009C5942" w:rsidRPr="006E0423" w:rsidRDefault="009C5942" w:rsidP="009C5942">
      <w:pPr>
        <w:spacing w:after="0"/>
        <w:jc w:val="center"/>
        <w:rPr>
          <w:b/>
        </w:rPr>
      </w:pPr>
      <w:r w:rsidRPr="006E0423">
        <w:rPr>
          <w:b/>
        </w:rPr>
        <w:lastRenderedPageBreak/>
        <w:t>Appendix A Non-Commercial funded studies</w:t>
      </w:r>
    </w:p>
    <w:tbl>
      <w:tblPr>
        <w:tblpPr w:leftFromText="180" w:rightFromText="180" w:vertAnchor="text" w:horzAnchor="margin" w:tblpY="89"/>
        <w:tblW w:w="10255" w:type="dxa"/>
        <w:tblLook w:val="04A0" w:firstRow="1" w:lastRow="0" w:firstColumn="1" w:lastColumn="0" w:noHBand="0" w:noVBand="1"/>
      </w:tblPr>
      <w:tblGrid>
        <w:gridCol w:w="5070"/>
        <w:gridCol w:w="1493"/>
        <w:gridCol w:w="1846"/>
        <w:gridCol w:w="1846"/>
      </w:tblGrid>
      <w:tr w:rsidR="009C5942" w:rsidRPr="00700DF1" w:rsidTr="009A591A">
        <w:trPr>
          <w:trHeight w:val="137"/>
        </w:trPr>
        <w:tc>
          <w:tcPr>
            <w:tcW w:w="507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9C5942" w:rsidRPr="00E51CDA" w:rsidRDefault="009C5942" w:rsidP="00C55135">
            <w:pPr>
              <w:spacing w:after="0"/>
              <w:jc w:val="center"/>
              <w:rPr>
                <w:rFonts w:cs="Arial"/>
                <w:b/>
                <w:bCs/>
                <w:color w:val="000000"/>
                <w:sz w:val="20"/>
                <w:szCs w:val="20"/>
                <w:lang w:eastAsia="en-GB"/>
              </w:rPr>
            </w:pPr>
            <w:r w:rsidRPr="00E51CDA">
              <w:rPr>
                <w:rFonts w:cs="Arial"/>
                <w:b/>
                <w:bCs/>
                <w:color w:val="000000"/>
                <w:sz w:val="20"/>
                <w:szCs w:val="20"/>
                <w:lang w:eastAsia="en-GB"/>
              </w:rPr>
              <w:t>Study</w:t>
            </w:r>
          </w:p>
        </w:tc>
        <w:tc>
          <w:tcPr>
            <w:tcW w:w="1493"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9C5942" w:rsidRPr="00E51CDA" w:rsidRDefault="009C5942" w:rsidP="00C55135">
            <w:pPr>
              <w:spacing w:after="0"/>
              <w:jc w:val="center"/>
              <w:rPr>
                <w:rFonts w:cs="Arial"/>
                <w:b/>
                <w:bCs/>
                <w:color w:val="000000"/>
                <w:sz w:val="20"/>
                <w:szCs w:val="20"/>
                <w:lang w:eastAsia="en-GB"/>
              </w:rPr>
            </w:pPr>
            <w:r w:rsidRPr="00E51CDA">
              <w:rPr>
                <w:rFonts w:cs="Arial"/>
                <w:b/>
                <w:bCs/>
                <w:color w:val="000000"/>
                <w:sz w:val="20"/>
                <w:szCs w:val="20"/>
                <w:lang w:eastAsia="en-GB"/>
              </w:rPr>
              <w:t>Funder</w:t>
            </w:r>
          </w:p>
        </w:tc>
        <w:tc>
          <w:tcPr>
            <w:tcW w:w="1846"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9C5942" w:rsidRPr="00E51CDA" w:rsidRDefault="009C5942" w:rsidP="00C55135">
            <w:pPr>
              <w:spacing w:after="0"/>
              <w:jc w:val="center"/>
              <w:rPr>
                <w:rFonts w:cs="Arial"/>
                <w:b/>
                <w:bCs/>
                <w:color w:val="000000"/>
                <w:sz w:val="20"/>
                <w:szCs w:val="20"/>
                <w:lang w:eastAsia="en-GB"/>
              </w:rPr>
            </w:pPr>
            <w:r w:rsidRPr="00E51CDA">
              <w:rPr>
                <w:rFonts w:cs="Arial"/>
                <w:b/>
                <w:bCs/>
                <w:color w:val="000000"/>
                <w:sz w:val="20"/>
                <w:szCs w:val="20"/>
                <w:lang w:eastAsia="en-GB"/>
              </w:rPr>
              <w:t>End Date</w:t>
            </w:r>
          </w:p>
        </w:tc>
        <w:tc>
          <w:tcPr>
            <w:tcW w:w="1846"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9C5942" w:rsidRPr="00E51CDA" w:rsidRDefault="009C5942" w:rsidP="00C55135">
            <w:pPr>
              <w:spacing w:after="0"/>
              <w:jc w:val="center"/>
              <w:rPr>
                <w:rFonts w:cs="Arial"/>
                <w:b/>
                <w:bCs/>
                <w:color w:val="000000"/>
                <w:sz w:val="20"/>
                <w:szCs w:val="20"/>
                <w:lang w:eastAsia="en-GB"/>
              </w:rPr>
            </w:pPr>
            <w:r w:rsidRPr="00E51CDA">
              <w:rPr>
                <w:rFonts w:cs="Arial"/>
                <w:b/>
                <w:bCs/>
                <w:color w:val="000000"/>
                <w:sz w:val="20"/>
                <w:szCs w:val="20"/>
                <w:lang w:eastAsia="en-GB"/>
              </w:rPr>
              <w:t>Value</w:t>
            </w:r>
          </w:p>
        </w:tc>
      </w:tr>
      <w:tr w:rsidR="009C5942" w:rsidRPr="00700DF1" w:rsidTr="00C55135">
        <w:trPr>
          <w:trHeight w:val="260"/>
        </w:trPr>
        <w:tc>
          <w:tcPr>
            <w:tcW w:w="5070" w:type="dxa"/>
            <w:tcBorders>
              <w:top w:val="nil"/>
              <w:left w:val="single" w:sz="4" w:space="0" w:color="auto"/>
              <w:bottom w:val="single" w:sz="4" w:space="0" w:color="auto"/>
              <w:right w:val="single" w:sz="4" w:space="0" w:color="auto"/>
            </w:tcBorders>
            <w:shd w:val="clear" w:color="auto" w:fill="auto"/>
            <w:vAlign w:val="center"/>
            <w:hideMark/>
          </w:tcPr>
          <w:p w:rsidR="009C5942" w:rsidRPr="003C2132" w:rsidRDefault="009C5942" w:rsidP="00C55135">
            <w:pPr>
              <w:spacing w:after="0"/>
              <w:rPr>
                <w:rFonts w:cs="Arial"/>
                <w:color w:val="000000"/>
                <w:sz w:val="18"/>
                <w:szCs w:val="18"/>
                <w:lang w:eastAsia="en-GB"/>
              </w:rPr>
            </w:pPr>
            <w:r w:rsidRPr="003C2132">
              <w:rPr>
                <w:rFonts w:cs="Arial"/>
                <w:color w:val="000000"/>
                <w:sz w:val="18"/>
                <w:szCs w:val="18"/>
                <w:lang w:eastAsia="en-GB"/>
              </w:rPr>
              <w:t>Electroconvulcive therapy: a qualitative study of the experiences of patients and their carers ( healthtalkonline )</w:t>
            </w:r>
          </w:p>
        </w:tc>
        <w:tc>
          <w:tcPr>
            <w:tcW w:w="1493" w:type="dxa"/>
            <w:tcBorders>
              <w:top w:val="nil"/>
              <w:left w:val="nil"/>
              <w:bottom w:val="single" w:sz="4" w:space="0" w:color="auto"/>
              <w:right w:val="single" w:sz="4" w:space="0" w:color="auto"/>
            </w:tcBorders>
            <w:shd w:val="clear" w:color="auto" w:fill="auto"/>
            <w:vAlign w:val="center"/>
            <w:hideMark/>
          </w:tcPr>
          <w:p w:rsidR="009C5942" w:rsidRPr="003C2132" w:rsidRDefault="009C5942" w:rsidP="00C55135">
            <w:pPr>
              <w:spacing w:after="0"/>
              <w:jc w:val="center"/>
              <w:rPr>
                <w:rFonts w:cs="Arial"/>
                <w:color w:val="000000"/>
                <w:sz w:val="18"/>
                <w:szCs w:val="18"/>
                <w:lang w:eastAsia="en-GB"/>
              </w:rPr>
            </w:pPr>
            <w:r w:rsidRPr="003C2132">
              <w:rPr>
                <w:rFonts w:cs="Arial"/>
                <w:color w:val="000000"/>
                <w:sz w:val="18"/>
                <w:szCs w:val="18"/>
                <w:lang w:eastAsia="en-GB"/>
              </w:rPr>
              <w:t>NIHR</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Pr>
                <w:rFonts w:cs="Arial"/>
                <w:sz w:val="18"/>
                <w:szCs w:val="18"/>
                <w:lang w:eastAsia="en-GB"/>
              </w:rPr>
              <w:t>31/12</w:t>
            </w:r>
            <w:r w:rsidRPr="003C2132">
              <w:rPr>
                <w:rFonts w:cs="Arial"/>
                <w:sz w:val="18"/>
                <w:szCs w:val="18"/>
                <w:lang w:eastAsia="en-GB"/>
              </w:rPr>
              <w:t>/2014</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£246,656</w:t>
            </w:r>
          </w:p>
        </w:tc>
      </w:tr>
      <w:tr w:rsidR="009C5942" w:rsidRPr="00700DF1" w:rsidTr="00C55135">
        <w:trPr>
          <w:trHeight w:val="188"/>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942" w:rsidRPr="003C2132" w:rsidRDefault="009C5942" w:rsidP="00C55135">
            <w:pPr>
              <w:spacing w:after="0"/>
              <w:rPr>
                <w:rFonts w:cs="Arial"/>
                <w:color w:val="000000"/>
                <w:sz w:val="18"/>
                <w:szCs w:val="18"/>
                <w:lang w:eastAsia="en-GB"/>
              </w:rPr>
            </w:pPr>
            <w:r w:rsidRPr="003C2132">
              <w:rPr>
                <w:rFonts w:cs="Arial"/>
                <w:color w:val="000000"/>
                <w:sz w:val="18"/>
                <w:szCs w:val="18"/>
                <w:lang w:eastAsia="en-GB"/>
              </w:rPr>
              <w:t>Aripiprazole treatment for antipsychotic induced hyperprolactinaemia in young patients with severe mental illness and learning disabilities</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9C5942" w:rsidRPr="003C2132" w:rsidRDefault="009C5942" w:rsidP="00C55135">
            <w:pPr>
              <w:spacing w:after="0"/>
              <w:jc w:val="center"/>
              <w:rPr>
                <w:rFonts w:cs="Arial"/>
                <w:color w:val="000000"/>
                <w:sz w:val="18"/>
                <w:szCs w:val="18"/>
                <w:lang w:eastAsia="en-GB"/>
              </w:rPr>
            </w:pPr>
            <w:r w:rsidRPr="003C2132">
              <w:rPr>
                <w:rFonts w:cs="Arial"/>
                <w:color w:val="000000"/>
                <w:sz w:val="18"/>
                <w:szCs w:val="18"/>
                <w:lang w:eastAsia="en-GB"/>
              </w:rPr>
              <w:t>NIHR</w:t>
            </w:r>
          </w:p>
        </w:tc>
        <w:tc>
          <w:tcPr>
            <w:tcW w:w="1846" w:type="dxa"/>
            <w:tcBorders>
              <w:top w:val="single" w:sz="4" w:space="0" w:color="auto"/>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28/02/2015</w:t>
            </w:r>
          </w:p>
        </w:tc>
        <w:tc>
          <w:tcPr>
            <w:tcW w:w="1846" w:type="dxa"/>
            <w:tcBorders>
              <w:top w:val="single" w:sz="4" w:space="0" w:color="auto"/>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£201,626</w:t>
            </w:r>
          </w:p>
        </w:tc>
      </w:tr>
      <w:tr w:rsidR="009C5942" w:rsidRPr="00700DF1" w:rsidTr="00C55135">
        <w:trPr>
          <w:trHeight w:val="197"/>
        </w:trPr>
        <w:tc>
          <w:tcPr>
            <w:tcW w:w="5070" w:type="dxa"/>
            <w:tcBorders>
              <w:top w:val="nil"/>
              <w:left w:val="single" w:sz="4" w:space="0" w:color="auto"/>
              <w:bottom w:val="single" w:sz="4" w:space="0" w:color="auto"/>
              <w:right w:val="single" w:sz="4" w:space="0" w:color="auto"/>
            </w:tcBorders>
            <w:shd w:val="clear" w:color="auto" w:fill="auto"/>
            <w:vAlign w:val="center"/>
            <w:hideMark/>
          </w:tcPr>
          <w:p w:rsidR="009C5942" w:rsidRPr="003C2132" w:rsidRDefault="009C5942" w:rsidP="00C55135">
            <w:pPr>
              <w:spacing w:after="0"/>
              <w:rPr>
                <w:rFonts w:cs="Arial"/>
                <w:color w:val="000000"/>
                <w:sz w:val="18"/>
                <w:szCs w:val="18"/>
                <w:lang w:eastAsia="en-GB"/>
              </w:rPr>
            </w:pPr>
            <w:r w:rsidRPr="003C2132">
              <w:rPr>
                <w:rFonts w:cs="Arial"/>
                <w:color w:val="000000"/>
                <w:sz w:val="18"/>
                <w:szCs w:val="18"/>
                <w:lang w:eastAsia="en-GB"/>
              </w:rPr>
              <w:t>Development and evaluation of SMS-based monitoring and management service for people with bipolar disorder</w:t>
            </w:r>
          </w:p>
        </w:tc>
        <w:tc>
          <w:tcPr>
            <w:tcW w:w="1493" w:type="dxa"/>
            <w:tcBorders>
              <w:top w:val="nil"/>
              <w:left w:val="nil"/>
              <w:bottom w:val="single" w:sz="4" w:space="0" w:color="auto"/>
              <w:right w:val="single" w:sz="4" w:space="0" w:color="auto"/>
            </w:tcBorders>
            <w:shd w:val="clear" w:color="auto" w:fill="auto"/>
            <w:vAlign w:val="center"/>
            <w:hideMark/>
          </w:tcPr>
          <w:p w:rsidR="009C5942" w:rsidRPr="003C2132" w:rsidRDefault="009C5942" w:rsidP="00C55135">
            <w:pPr>
              <w:spacing w:after="0"/>
              <w:jc w:val="center"/>
              <w:rPr>
                <w:rFonts w:cs="Arial"/>
                <w:color w:val="000000"/>
                <w:sz w:val="18"/>
                <w:szCs w:val="18"/>
                <w:lang w:eastAsia="en-GB"/>
              </w:rPr>
            </w:pPr>
            <w:r w:rsidRPr="003C2132">
              <w:rPr>
                <w:rFonts w:cs="Arial"/>
                <w:color w:val="000000"/>
                <w:sz w:val="18"/>
                <w:szCs w:val="18"/>
                <w:lang w:eastAsia="en-GB"/>
              </w:rPr>
              <w:t>NIHR</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31/12/2014</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£1,660,037</w:t>
            </w:r>
          </w:p>
        </w:tc>
      </w:tr>
      <w:tr w:rsidR="009C5942" w:rsidRPr="00700DF1" w:rsidTr="00C55135">
        <w:trPr>
          <w:trHeight w:val="428"/>
        </w:trPr>
        <w:tc>
          <w:tcPr>
            <w:tcW w:w="5070" w:type="dxa"/>
            <w:tcBorders>
              <w:top w:val="nil"/>
              <w:left w:val="single" w:sz="4" w:space="0" w:color="auto"/>
              <w:bottom w:val="single" w:sz="4" w:space="0" w:color="auto"/>
              <w:right w:val="single" w:sz="4" w:space="0" w:color="auto"/>
            </w:tcBorders>
            <w:shd w:val="clear" w:color="auto" w:fill="auto"/>
            <w:vAlign w:val="center"/>
            <w:hideMark/>
          </w:tcPr>
          <w:p w:rsidR="009C5942" w:rsidRPr="003C2132" w:rsidRDefault="009C5942" w:rsidP="00C55135">
            <w:pPr>
              <w:spacing w:after="100" w:afterAutospacing="1"/>
              <w:rPr>
                <w:rFonts w:cs="Arial"/>
                <w:color w:val="000000"/>
                <w:sz w:val="18"/>
                <w:szCs w:val="18"/>
                <w:lang w:eastAsia="en-GB"/>
              </w:rPr>
            </w:pPr>
            <w:r w:rsidRPr="003C2132">
              <w:rPr>
                <w:rFonts w:cs="Arial"/>
                <w:color w:val="000000"/>
                <w:sz w:val="18"/>
                <w:szCs w:val="18"/>
                <w:lang w:eastAsia="en-GB"/>
              </w:rPr>
              <w:t xml:space="preserve">Coercion in </w:t>
            </w:r>
            <w:r>
              <w:rPr>
                <w:rFonts w:cs="Arial"/>
                <w:color w:val="000000"/>
                <w:sz w:val="18"/>
                <w:szCs w:val="18"/>
                <w:lang w:eastAsia="en-GB"/>
              </w:rPr>
              <w:t>MH.</w:t>
            </w:r>
            <w:r w:rsidRPr="003C2132">
              <w:rPr>
                <w:rFonts w:cs="Arial"/>
                <w:color w:val="000000"/>
                <w:sz w:val="18"/>
                <w:szCs w:val="18"/>
                <w:lang w:eastAsia="en-GB"/>
              </w:rPr>
              <w:t xml:space="preserve"> Patterns and prevalence of coercion in mental health care and a trial of the effectiveness &amp; costs of Supervised Community Treatment orders</w:t>
            </w:r>
          </w:p>
        </w:tc>
        <w:tc>
          <w:tcPr>
            <w:tcW w:w="1493" w:type="dxa"/>
            <w:tcBorders>
              <w:top w:val="nil"/>
              <w:left w:val="nil"/>
              <w:bottom w:val="single" w:sz="4" w:space="0" w:color="auto"/>
              <w:right w:val="single" w:sz="4" w:space="0" w:color="auto"/>
            </w:tcBorders>
            <w:shd w:val="clear" w:color="auto" w:fill="auto"/>
            <w:vAlign w:val="center"/>
            <w:hideMark/>
          </w:tcPr>
          <w:p w:rsidR="009C5942" w:rsidRPr="003C2132" w:rsidRDefault="009C5942" w:rsidP="00C55135">
            <w:pPr>
              <w:spacing w:after="0"/>
              <w:jc w:val="center"/>
              <w:rPr>
                <w:rFonts w:cs="Arial"/>
                <w:color w:val="000000"/>
                <w:sz w:val="18"/>
                <w:szCs w:val="18"/>
                <w:lang w:eastAsia="en-GB"/>
              </w:rPr>
            </w:pPr>
            <w:r w:rsidRPr="003C2132">
              <w:rPr>
                <w:rFonts w:cs="Arial"/>
                <w:color w:val="000000"/>
                <w:sz w:val="18"/>
                <w:szCs w:val="18"/>
                <w:lang w:eastAsia="en-GB"/>
              </w:rPr>
              <w:t>NIHR</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tabs>
                <w:tab w:val="center" w:pos="4513"/>
                <w:tab w:val="right" w:pos="9026"/>
              </w:tabs>
              <w:spacing w:after="0"/>
              <w:jc w:val="center"/>
              <w:rPr>
                <w:rFonts w:cs="Arial"/>
                <w:sz w:val="18"/>
                <w:szCs w:val="18"/>
                <w:lang w:eastAsia="en-GB"/>
              </w:rPr>
            </w:pPr>
            <w:r w:rsidRPr="003C2132">
              <w:rPr>
                <w:rFonts w:cs="Arial"/>
                <w:sz w:val="18"/>
                <w:szCs w:val="18"/>
                <w:lang w:eastAsia="en-GB"/>
              </w:rPr>
              <w:t>31/07/2014</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tabs>
                <w:tab w:val="center" w:pos="4513"/>
                <w:tab w:val="right" w:pos="9026"/>
              </w:tabs>
              <w:spacing w:after="0"/>
              <w:jc w:val="center"/>
              <w:rPr>
                <w:rFonts w:cs="Arial"/>
                <w:sz w:val="18"/>
                <w:szCs w:val="18"/>
                <w:lang w:eastAsia="en-GB"/>
              </w:rPr>
            </w:pPr>
            <w:r w:rsidRPr="003C2132">
              <w:rPr>
                <w:rFonts w:cs="Arial"/>
                <w:sz w:val="18"/>
                <w:szCs w:val="18"/>
                <w:lang w:eastAsia="en-GB"/>
              </w:rPr>
              <w:t>£2,072,032</w:t>
            </w:r>
          </w:p>
        </w:tc>
      </w:tr>
      <w:tr w:rsidR="009C5942" w:rsidRPr="00700DF1" w:rsidTr="00C55135">
        <w:trPr>
          <w:trHeight w:val="237"/>
        </w:trPr>
        <w:tc>
          <w:tcPr>
            <w:tcW w:w="5070" w:type="dxa"/>
            <w:tcBorders>
              <w:top w:val="nil"/>
              <w:left w:val="single" w:sz="4" w:space="0" w:color="auto"/>
              <w:bottom w:val="single" w:sz="4" w:space="0" w:color="auto"/>
              <w:right w:val="single" w:sz="4" w:space="0" w:color="auto"/>
            </w:tcBorders>
            <w:shd w:val="clear" w:color="auto" w:fill="auto"/>
            <w:vAlign w:val="center"/>
            <w:hideMark/>
          </w:tcPr>
          <w:p w:rsidR="009C5942" w:rsidRPr="003C2132" w:rsidRDefault="009C5942" w:rsidP="00C55135">
            <w:pPr>
              <w:spacing w:after="100" w:afterAutospacing="1"/>
              <w:rPr>
                <w:rFonts w:cs="Arial"/>
                <w:color w:val="000000"/>
                <w:sz w:val="18"/>
                <w:szCs w:val="18"/>
                <w:lang w:eastAsia="en-GB"/>
              </w:rPr>
            </w:pPr>
            <w:r w:rsidRPr="003C2132">
              <w:rPr>
                <w:rFonts w:cs="Arial"/>
                <w:color w:val="000000"/>
                <w:sz w:val="18"/>
                <w:szCs w:val="18"/>
                <w:lang w:eastAsia="en-GB"/>
              </w:rPr>
              <w:t>An Optimised Person Centred Intervention to Improve Mental Health and Reduce antiphychotic amongst pe</w:t>
            </w:r>
            <w:r>
              <w:rPr>
                <w:rFonts w:cs="Arial"/>
                <w:color w:val="000000"/>
                <w:sz w:val="18"/>
                <w:szCs w:val="18"/>
                <w:lang w:eastAsia="en-GB"/>
              </w:rPr>
              <w:t>o</w:t>
            </w:r>
            <w:r w:rsidRPr="003C2132">
              <w:rPr>
                <w:rFonts w:cs="Arial"/>
                <w:color w:val="000000"/>
                <w:sz w:val="18"/>
                <w:szCs w:val="18"/>
                <w:lang w:eastAsia="en-GB"/>
              </w:rPr>
              <w:t>ple with Dementia in Care Homes</w:t>
            </w:r>
          </w:p>
        </w:tc>
        <w:tc>
          <w:tcPr>
            <w:tcW w:w="1493" w:type="dxa"/>
            <w:tcBorders>
              <w:top w:val="nil"/>
              <w:left w:val="nil"/>
              <w:bottom w:val="single" w:sz="4" w:space="0" w:color="auto"/>
              <w:right w:val="single" w:sz="4" w:space="0" w:color="auto"/>
            </w:tcBorders>
            <w:shd w:val="clear" w:color="auto" w:fill="auto"/>
            <w:vAlign w:val="center"/>
            <w:hideMark/>
          </w:tcPr>
          <w:p w:rsidR="009C5942" w:rsidRPr="003C2132" w:rsidRDefault="009C5942" w:rsidP="00C55135">
            <w:pPr>
              <w:spacing w:after="0"/>
              <w:jc w:val="center"/>
              <w:rPr>
                <w:rFonts w:cs="Arial"/>
                <w:color w:val="000000"/>
                <w:sz w:val="18"/>
                <w:szCs w:val="18"/>
                <w:lang w:eastAsia="en-GB"/>
              </w:rPr>
            </w:pPr>
            <w:r w:rsidRPr="003C2132">
              <w:rPr>
                <w:rFonts w:cs="Arial"/>
                <w:color w:val="000000"/>
                <w:sz w:val="18"/>
                <w:szCs w:val="18"/>
                <w:lang w:eastAsia="en-GB"/>
              </w:rPr>
              <w:t>NIHR</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31/03/2015</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£2,042,199</w:t>
            </w:r>
          </w:p>
        </w:tc>
      </w:tr>
      <w:tr w:rsidR="009C5942" w:rsidRPr="00700DF1" w:rsidTr="00C55135">
        <w:trPr>
          <w:trHeight w:val="231"/>
        </w:trPr>
        <w:tc>
          <w:tcPr>
            <w:tcW w:w="5070" w:type="dxa"/>
            <w:tcBorders>
              <w:top w:val="nil"/>
              <w:left w:val="single" w:sz="4" w:space="0" w:color="auto"/>
              <w:bottom w:val="single" w:sz="4" w:space="0" w:color="auto"/>
              <w:right w:val="single" w:sz="4" w:space="0" w:color="auto"/>
            </w:tcBorders>
            <w:shd w:val="clear" w:color="auto" w:fill="auto"/>
            <w:vAlign w:val="center"/>
            <w:hideMark/>
          </w:tcPr>
          <w:p w:rsidR="009C5942" w:rsidRPr="003C2132" w:rsidRDefault="009C5942" w:rsidP="00C55135">
            <w:pPr>
              <w:spacing w:after="0"/>
              <w:rPr>
                <w:rFonts w:cs="Arial"/>
                <w:color w:val="000000"/>
                <w:sz w:val="18"/>
                <w:szCs w:val="18"/>
                <w:lang w:eastAsia="en-GB"/>
              </w:rPr>
            </w:pPr>
            <w:r w:rsidRPr="003C2132">
              <w:rPr>
                <w:rFonts w:cs="Arial"/>
                <w:color w:val="000000"/>
                <w:sz w:val="18"/>
                <w:szCs w:val="18"/>
                <w:lang w:eastAsia="en-GB"/>
              </w:rPr>
              <w:t>Friends</w:t>
            </w:r>
          </w:p>
        </w:tc>
        <w:tc>
          <w:tcPr>
            <w:tcW w:w="1493" w:type="dxa"/>
            <w:tcBorders>
              <w:top w:val="nil"/>
              <w:left w:val="nil"/>
              <w:bottom w:val="single" w:sz="4" w:space="0" w:color="auto"/>
              <w:right w:val="single" w:sz="4" w:space="0" w:color="auto"/>
            </w:tcBorders>
            <w:shd w:val="clear" w:color="auto" w:fill="auto"/>
            <w:vAlign w:val="center"/>
            <w:hideMark/>
          </w:tcPr>
          <w:p w:rsidR="009C5942" w:rsidRPr="003C2132" w:rsidRDefault="009C5942" w:rsidP="00C55135">
            <w:pPr>
              <w:spacing w:after="0"/>
              <w:jc w:val="center"/>
              <w:rPr>
                <w:rFonts w:cs="Arial"/>
                <w:color w:val="000000"/>
                <w:sz w:val="18"/>
                <w:szCs w:val="18"/>
                <w:lang w:eastAsia="en-GB"/>
              </w:rPr>
            </w:pPr>
            <w:r w:rsidRPr="003C2132">
              <w:rPr>
                <w:rFonts w:cs="Arial"/>
                <w:color w:val="000000"/>
                <w:sz w:val="18"/>
                <w:szCs w:val="18"/>
                <w:lang w:eastAsia="en-GB"/>
              </w:rPr>
              <w:t>NIHR</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31/12/2014</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£1,306,805</w:t>
            </w:r>
          </w:p>
        </w:tc>
      </w:tr>
      <w:tr w:rsidR="009C5942" w:rsidRPr="00700DF1" w:rsidTr="00C55135">
        <w:trPr>
          <w:trHeight w:val="210"/>
        </w:trPr>
        <w:tc>
          <w:tcPr>
            <w:tcW w:w="5070" w:type="dxa"/>
            <w:tcBorders>
              <w:top w:val="single" w:sz="4" w:space="0" w:color="auto"/>
              <w:left w:val="single" w:sz="4" w:space="0" w:color="auto"/>
              <w:bottom w:val="single" w:sz="4" w:space="0" w:color="auto"/>
              <w:right w:val="nil"/>
            </w:tcBorders>
            <w:shd w:val="clear" w:color="auto" w:fill="auto"/>
            <w:hideMark/>
          </w:tcPr>
          <w:p w:rsidR="009C5942" w:rsidRPr="003C2132" w:rsidRDefault="009C5942" w:rsidP="00C55135">
            <w:pPr>
              <w:spacing w:after="0"/>
              <w:rPr>
                <w:rFonts w:cs="Arial"/>
                <w:color w:val="000000"/>
                <w:sz w:val="18"/>
                <w:szCs w:val="18"/>
                <w:lang w:eastAsia="en-GB"/>
              </w:rPr>
            </w:pPr>
            <w:r w:rsidRPr="003C2132">
              <w:rPr>
                <w:rFonts w:cs="Arial"/>
                <w:color w:val="000000"/>
                <w:sz w:val="18"/>
                <w:szCs w:val="18"/>
                <w:lang w:eastAsia="en-GB"/>
              </w:rPr>
              <w:t>A multi-centre programme of clinical and public health research to guide health service priorities for preventing suicide in England</w:t>
            </w:r>
          </w:p>
        </w:tc>
        <w:tc>
          <w:tcPr>
            <w:tcW w:w="1493" w:type="dxa"/>
            <w:tcBorders>
              <w:top w:val="nil"/>
              <w:left w:val="single" w:sz="4" w:space="0" w:color="auto"/>
              <w:bottom w:val="single" w:sz="4" w:space="0" w:color="auto"/>
              <w:right w:val="single" w:sz="4" w:space="0" w:color="auto"/>
            </w:tcBorders>
            <w:shd w:val="clear" w:color="auto" w:fill="auto"/>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NIHR via AWP</w:t>
            </w:r>
          </w:p>
        </w:tc>
        <w:tc>
          <w:tcPr>
            <w:tcW w:w="1846" w:type="dxa"/>
            <w:tcBorders>
              <w:top w:val="nil"/>
              <w:left w:val="nil"/>
              <w:bottom w:val="single" w:sz="4" w:space="0" w:color="auto"/>
              <w:right w:val="single" w:sz="4" w:space="0" w:color="auto"/>
            </w:tcBorders>
            <w:shd w:val="clear" w:color="auto" w:fill="auto"/>
            <w:noWrap/>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30/04/2017</w:t>
            </w:r>
          </w:p>
        </w:tc>
        <w:tc>
          <w:tcPr>
            <w:tcW w:w="1846" w:type="dxa"/>
            <w:tcBorders>
              <w:top w:val="nil"/>
              <w:left w:val="nil"/>
              <w:bottom w:val="single" w:sz="4" w:space="0" w:color="auto"/>
              <w:right w:val="single" w:sz="4" w:space="0" w:color="auto"/>
            </w:tcBorders>
            <w:shd w:val="clear" w:color="auto" w:fill="auto"/>
            <w:noWrap/>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£562,491</w:t>
            </w:r>
          </w:p>
        </w:tc>
      </w:tr>
      <w:tr w:rsidR="009C5942" w:rsidRPr="00700DF1" w:rsidTr="00C55135">
        <w:trPr>
          <w:trHeight w:val="202"/>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942" w:rsidRPr="003C2132" w:rsidRDefault="009C5942" w:rsidP="00C55135">
            <w:pPr>
              <w:spacing w:after="0"/>
              <w:rPr>
                <w:rFonts w:cs="Arial"/>
                <w:color w:val="000000"/>
                <w:sz w:val="18"/>
                <w:szCs w:val="18"/>
                <w:lang w:eastAsia="en-GB"/>
              </w:rPr>
            </w:pPr>
            <w:r w:rsidRPr="003C2132">
              <w:rPr>
                <w:rFonts w:cs="Arial"/>
                <w:color w:val="000000"/>
                <w:sz w:val="18"/>
                <w:szCs w:val="18"/>
                <w:lang w:eastAsia="en-GB"/>
              </w:rPr>
              <w:t xml:space="preserve">Development of content for an online Cognitive Behavioural Therapy (CBT) platform </w:t>
            </w:r>
          </w:p>
        </w:tc>
        <w:tc>
          <w:tcPr>
            <w:tcW w:w="1493" w:type="dxa"/>
            <w:tcBorders>
              <w:top w:val="nil"/>
              <w:left w:val="nil"/>
              <w:bottom w:val="single" w:sz="4" w:space="0" w:color="auto"/>
              <w:right w:val="single" w:sz="4" w:space="0" w:color="auto"/>
            </w:tcBorders>
            <w:shd w:val="clear" w:color="auto" w:fill="auto"/>
            <w:vAlign w:val="center"/>
            <w:hideMark/>
          </w:tcPr>
          <w:p w:rsidR="009C5942" w:rsidRPr="003C2132" w:rsidRDefault="009C5942" w:rsidP="00C55135">
            <w:pPr>
              <w:spacing w:after="0"/>
              <w:jc w:val="center"/>
              <w:rPr>
                <w:rFonts w:cs="Arial"/>
                <w:color w:val="000000"/>
                <w:sz w:val="18"/>
                <w:szCs w:val="18"/>
                <w:lang w:eastAsia="en-GB"/>
              </w:rPr>
            </w:pPr>
            <w:r w:rsidRPr="003C2132">
              <w:rPr>
                <w:rFonts w:cs="Arial"/>
                <w:color w:val="000000"/>
                <w:sz w:val="18"/>
                <w:szCs w:val="18"/>
                <w:lang w:eastAsia="en-GB"/>
              </w:rPr>
              <w:t>Alzheimer’s Society</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TBA</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£108,869</w:t>
            </w:r>
          </w:p>
        </w:tc>
      </w:tr>
      <w:tr w:rsidR="009C5942" w:rsidRPr="00700DF1" w:rsidTr="00C55135">
        <w:trPr>
          <w:trHeight w:val="116"/>
        </w:trPr>
        <w:tc>
          <w:tcPr>
            <w:tcW w:w="5070" w:type="dxa"/>
            <w:tcBorders>
              <w:top w:val="nil"/>
              <w:left w:val="single" w:sz="4" w:space="0" w:color="auto"/>
              <w:bottom w:val="single" w:sz="4" w:space="0" w:color="auto"/>
              <w:right w:val="single" w:sz="4" w:space="0" w:color="auto"/>
            </w:tcBorders>
            <w:shd w:val="clear" w:color="auto" w:fill="auto"/>
            <w:hideMark/>
          </w:tcPr>
          <w:p w:rsidR="009C5942" w:rsidRPr="003C2132" w:rsidRDefault="009C5942" w:rsidP="00C55135">
            <w:pPr>
              <w:spacing w:after="0"/>
              <w:rPr>
                <w:rFonts w:cs="Arial"/>
                <w:color w:val="000000"/>
                <w:sz w:val="18"/>
                <w:szCs w:val="18"/>
                <w:lang w:eastAsia="en-GB"/>
              </w:rPr>
            </w:pPr>
            <w:r w:rsidRPr="003C2132">
              <w:rPr>
                <w:rFonts w:cs="Arial"/>
                <w:color w:val="000000"/>
                <w:sz w:val="18"/>
                <w:szCs w:val="18"/>
                <w:lang w:eastAsia="en-GB"/>
              </w:rPr>
              <w:t xml:space="preserve">Treating insomnia in patients with delusions and hallucinations: a pilot </w:t>
            </w:r>
            <w:r>
              <w:rPr>
                <w:rFonts w:cs="Arial"/>
                <w:color w:val="000000"/>
                <w:sz w:val="18"/>
                <w:szCs w:val="18"/>
                <w:lang w:eastAsia="en-GB"/>
              </w:rPr>
              <w:t>randomized</w:t>
            </w:r>
          </w:p>
        </w:tc>
        <w:tc>
          <w:tcPr>
            <w:tcW w:w="1493" w:type="dxa"/>
            <w:tcBorders>
              <w:top w:val="nil"/>
              <w:left w:val="nil"/>
              <w:bottom w:val="single" w:sz="4" w:space="0" w:color="auto"/>
              <w:right w:val="single" w:sz="4" w:space="0" w:color="auto"/>
            </w:tcBorders>
            <w:shd w:val="clear" w:color="auto" w:fill="auto"/>
            <w:vAlign w:val="center"/>
            <w:hideMark/>
          </w:tcPr>
          <w:p w:rsidR="009C5942" w:rsidRPr="003C2132" w:rsidRDefault="009C5942" w:rsidP="00C55135">
            <w:pPr>
              <w:spacing w:after="0"/>
              <w:jc w:val="center"/>
              <w:rPr>
                <w:rFonts w:cs="Arial"/>
                <w:color w:val="000000"/>
                <w:sz w:val="18"/>
                <w:szCs w:val="18"/>
                <w:lang w:eastAsia="en-GB"/>
              </w:rPr>
            </w:pPr>
            <w:r w:rsidRPr="003C2132">
              <w:rPr>
                <w:rFonts w:cs="Arial"/>
                <w:color w:val="000000"/>
                <w:sz w:val="18"/>
                <w:szCs w:val="18"/>
                <w:lang w:eastAsia="en-GB"/>
              </w:rPr>
              <w:t>NIHR</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Pr>
                <w:rFonts w:cs="Arial"/>
                <w:sz w:val="18"/>
                <w:szCs w:val="18"/>
                <w:lang w:eastAsia="en-GB"/>
              </w:rPr>
              <w:t>28/02/2015</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spacing w:after="0"/>
              <w:jc w:val="center"/>
              <w:rPr>
                <w:rFonts w:cs="Arial"/>
                <w:sz w:val="18"/>
                <w:szCs w:val="18"/>
                <w:lang w:eastAsia="en-GB"/>
              </w:rPr>
            </w:pPr>
            <w:r w:rsidRPr="003C2132">
              <w:rPr>
                <w:rFonts w:cs="Arial"/>
                <w:sz w:val="18"/>
                <w:szCs w:val="18"/>
                <w:lang w:eastAsia="en-GB"/>
              </w:rPr>
              <w:t>£250,556</w:t>
            </w:r>
          </w:p>
        </w:tc>
      </w:tr>
      <w:tr w:rsidR="009C5942" w:rsidRPr="00700DF1" w:rsidTr="00C55135">
        <w:trPr>
          <w:trHeight w:val="231"/>
        </w:trPr>
        <w:tc>
          <w:tcPr>
            <w:tcW w:w="5070" w:type="dxa"/>
            <w:tcBorders>
              <w:top w:val="nil"/>
              <w:left w:val="single" w:sz="4" w:space="0" w:color="auto"/>
              <w:bottom w:val="single" w:sz="4" w:space="0" w:color="auto"/>
              <w:right w:val="single" w:sz="4" w:space="0" w:color="auto"/>
            </w:tcBorders>
            <w:shd w:val="clear" w:color="auto" w:fill="auto"/>
            <w:vAlign w:val="center"/>
            <w:hideMark/>
          </w:tcPr>
          <w:p w:rsidR="009C5942" w:rsidRPr="003C2132" w:rsidRDefault="009C5942" w:rsidP="00C55135">
            <w:pPr>
              <w:tabs>
                <w:tab w:val="center" w:pos="4513"/>
                <w:tab w:val="right" w:pos="9026"/>
              </w:tabs>
              <w:spacing w:after="0"/>
              <w:rPr>
                <w:rFonts w:cs="Arial"/>
                <w:color w:val="000000"/>
                <w:sz w:val="18"/>
                <w:szCs w:val="18"/>
                <w:lang w:eastAsia="en-GB"/>
              </w:rPr>
            </w:pPr>
            <w:r w:rsidRPr="003C2132">
              <w:rPr>
                <w:rFonts w:cs="Arial"/>
                <w:color w:val="000000"/>
                <w:sz w:val="18"/>
                <w:szCs w:val="18"/>
                <w:lang w:eastAsia="en-GB"/>
              </w:rPr>
              <w:t>NIHR Diagnostic Evidence Co-operative</w:t>
            </w:r>
          </w:p>
        </w:tc>
        <w:tc>
          <w:tcPr>
            <w:tcW w:w="1493" w:type="dxa"/>
            <w:tcBorders>
              <w:top w:val="nil"/>
              <w:left w:val="nil"/>
              <w:bottom w:val="single" w:sz="4" w:space="0" w:color="auto"/>
              <w:right w:val="single" w:sz="4" w:space="0" w:color="auto"/>
            </w:tcBorders>
            <w:shd w:val="clear" w:color="auto" w:fill="auto"/>
            <w:vAlign w:val="center"/>
            <w:hideMark/>
          </w:tcPr>
          <w:p w:rsidR="009C5942" w:rsidRPr="003C2132" w:rsidRDefault="009C5942" w:rsidP="00C55135">
            <w:pPr>
              <w:tabs>
                <w:tab w:val="center" w:pos="4513"/>
                <w:tab w:val="right" w:pos="9026"/>
              </w:tabs>
              <w:spacing w:after="0"/>
              <w:jc w:val="center"/>
              <w:rPr>
                <w:rFonts w:cs="Arial"/>
                <w:color w:val="000000"/>
                <w:sz w:val="18"/>
                <w:szCs w:val="18"/>
                <w:lang w:eastAsia="en-GB"/>
              </w:rPr>
            </w:pPr>
            <w:r w:rsidRPr="003C2132">
              <w:rPr>
                <w:rFonts w:cs="Arial"/>
                <w:color w:val="000000"/>
                <w:sz w:val="18"/>
                <w:szCs w:val="18"/>
                <w:lang w:eastAsia="en-GB"/>
              </w:rPr>
              <w:t>NIHR</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tabs>
                <w:tab w:val="center" w:pos="4513"/>
                <w:tab w:val="right" w:pos="9026"/>
              </w:tabs>
              <w:spacing w:after="0"/>
              <w:jc w:val="center"/>
              <w:rPr>
                <w:rFonts w:cs="Arial"/>
                <w:sz w:val="18"/>
                <w:szCs w:val="18"/>
                <w:lang w:eastAsia="en-GB"/>
              </w:rPr>
            </w:pPr>
            <w:r>
              <w:rPr>
                <w:rFonts w:cs="Arial"/>
                <w:sz w:val="18"/>
                <w:szCs w:val="18"/>
                <w:lang w:eastAsia="en-GB"/>
              </w:rPr>
              <w:t>31/08</w:t>
            </w:r>
            <w:r w:rsidRPr="003C2132">
              <w:rPr>
                <w:rFonts w:cs="Arial"/>
                <w:sz w:val="18"/>
                <w:szCs w:val="18"/>
                <w:lang w:eastAsia="en-GB"/>
              </w:rPr>
              <w:t>/2017</w:t>
            </w:r>
          </w:p>
        </w:tc>
        <w:tc>
          <w:tcPr>
            <w:tcW w:w="1846" w:type="dxa"/>
            <w:tcBorders>
              <w:top w:val="nil"/>
              <w:left w:val="nil"/>
              <w:bottom w:val="single" w:sz="4" w:space="0" w:color="auto"/>
              <w:right w:val="single" w:sz="4" w:space="0" w:color="auto"/>
            </w:tcBorders>
            <w:shd w:val="clear" w:color="auto" w:fill="auto"/>
            <w:noWrap/>
            <w:vAlign w:val="center"/>
            <w:hideMark/>
          </w:tcPr>
          <w:p w:rsidR="009C5942" w:rsidRPr="003C2132" w:rsidRDefault="009C5942" w:rsidP="00C55135">
            <w:pPr>
              <w:tabs>
                <w:tab w:val="center" w:pos="4513"/>
                <w:tab w:val="right" w:pos="9026"/>
              </w:tabs>
              <w:spacing w:after="0"/>
              <w:jc w:val="center"/>
              <w:rPr>
                <w:rFonts w:cs="Arial"/>
                <w:sz w:val="18"/>
                <w:szCs w:val="18"/>
                <w:lang w:eastAsia="en-GB"/>
              </w:rPr>
            </w:pPr>
            <w:r w:rsidRPr="003C2132">
              <w:rPr>
                <w:rFonts w:cs="Arial"/>
                <w:sz w:val="18"/>
                <w:szCs w:val="18"/>
                <w:lang w:eastAsia="en-GB"/>
              </w:rPr>
              <w:t>£989,754</w:t>
            </w:r>
          </w:p>
        </w:tc>
      </w:tr>
    </w:tbl>
    <w:p w:rsidR="009C5942" w:rsidRDefault="009C5942" w:rsidP="009C5942">
      <w:pPr>
        <w:spacing w:after="0"/>
        <w:rPr>
          <w:b/>
          <w:sz w:val="20"/>
          <w:szCs w:val="20"/>
        </w:rPr>
      </w:pPr>
    </w:p>
    <w:p w:rsidR="009C5942" w:rsidRDefault="009C5942" w:rsidP="009C5942">
      <w:pPr>
        <w:spacing w:before="0" w:after="0"/>
        <w:rPr>
          <w:b/>
          <w:sz w:val="22"/>
          <w:szCs w:val="22"/>
        </w:rPr>
      </w:pPr>
    </w:p>
    <w:p w:rsidR="009C5942" w:rsidRDefault="009C5942" w:rsidP="009C5942">
      <w:pPr>
        <w:spacing w:before="0" w:after="0"/>
        <w:rPr>
          <w:b/>
          <w:sz w:val="22"/>
          <w:szCs w:val="22"/>
        </w:rPr>
      </w:pPr>
    </w:p>
    <w:p w:rsidR="009C5942" w:rsidRDefault="009C5942" w:rsidP="009C5942">
      <w:pPr>
        <w:spacing w:before="0" w:after="0"/>
        <w:jc w:val="left"/>
        <w:rPr>
          <w:b/>
        </w:rPr>
      </w:pPr>
      <w:r>
        <w:rPr>
          <w:b/>
        </w:rPr>
        <w:br w:type="page"/>
      </w:r>
    </w:p>
    <w:p w:rsidR="009C5942" w:rsidRPr="006E0423" w:rsidRDefault="009C5942" w:rsidP="009C5942">
      <w:pPr>
        <w:spacing w:before="0" w:after="0"/>
        <w:jc w:val="center"/>
        <w:rPr>
          <w:b/>
        </w:rPr>
      </w:pPr>
      <w:r w:rsidRPr="006E0423">
        <w:rPr>
          <w:b/>
        </w:rPr>
        <w:lastRenderedPageBreak/>
        <w:t>Appendix B</w:t>
      </w:r>
      <w:r>
        <w:rPr>
          <w:b/>
        </w:rPr>
        <w:t xml:space="preserve"> - </w:t>
      </w:r>
      <w:r w:rsidRPr="006E0423">
        <w:rPr>
          <w:b/>
        </w:rPr>
        <w:t>CRF Studies</w:t>
      </w:r>
    </w:p>
    <w:p w:rsidR="009C5942" w:rsidRPr="0056534D" w:rsidRDefault="009C5942" w:rsidP="009C5942">
      <w:pPr>
        <w:spacing w:before="0" w:after="0"/>
        <w:rPr>
          <w:b/>
          <w:sz w:val="22"/>
          <w:szCs w:val="22"/>
        </w:rPr>
      </w:pPr>
    </w:p>
    <w:p w:rsidR="009C5942" w:rsidRDefault="009C5942" w:rsidP="009C5942">
      <w:pPr>
        <w:spacing w:after="0"/>
        <w:rPr>
          <w:b/>
          <w:sz w:val="20"/>
          <w:szCs w:val="20"/>
        </w:rPr>
      </w:pPr>
    </w:p>
    <w:tbl>
      <w:tblPr>
        <w:tblW w:w="10309" w:type="dxa"/>
        <w:tblInd w:w="93" w:type="dxa"/>
        <w:tblLook w:val="04A0" w:firstRow="1" w:lastRow="0" w:firstColumn="1" w:lastColumn="0" w:noHBand="0" w:noVBand="1"/>
      </w:tblPr>
      <w:tblGrid>
        <w:gridCol w:w="7459"/>
        <w:gridCol w:w="2850"/>
      </w:tblGrid>
      <w:tr w:rsidR="009A591A" w:rsidRPr="00CA5745" w:rsidTr="009A591A">
        <w:trPr>
          <w:trHeight w:val="330"/>
        </w:trPr>
        <w:tc>
          <w:tcPr>
            <w:tcW w:w="745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9A591A" w:rsidRPr="00CA5745" w:rsidRDefault="009C5942" w:rsidP="00FF7691">
            <w:pPr>
              <w:spacing w:before="120" w:after="120"/>
              <w:jc w:val="left"/>
              <w:rPr>
                <w:rFonts w:cs="Arial"/>
                <w:b/>
                <w:sz w:val="20"/>
                <w:szCs w:val="20"/>
              </w:rPr>
            </w:pPr>
            <w:r>
              <w:rPr>
                <w:b/>
                <w:sz w:val="22"/>
                <w:szCs w:val="22"/>
              </w:rPr>
              <w:br w:type="page"/>
            </w:r>
            <w:r w:rsidR="009A591A" w:rsidRPr="00CA5745">
              <w:rPr>
                <w:rFonts w:cs="Arial"/>
                <w:b/>
                <w:sz w:val="20"/>
                <w:szCs w:val="20"/>
              </w:rPr>
              <w:t>Study</w:t>
            </w:r>
          </w:p>
        </w:tc>
        <w:tc>
          <w:tcPr>
            <w:tcW w:w="28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9A591A" w:rsidRPr="00CA5745" w:rsidRDefault="009A591A" w:rsidP="00FF7691">
            <w:pPr>
              <w:spacing w:before="120" w:after="120"/>
              <w:jc w:val="center"/>
              <w:rPr>
                <w:rFonts w:cs="Arial"/>
                <w:b/>
                <w:sz w:val="20"/>
                <w:szCs w:val="20"/>
              </w:rPr>
            </w:pPr>
            <w:r w:rsidRPr="00CA5745">
              <w:rPr>
                <w:rFonts w:cs="Arial"/>
                <w:b/>
                <w:sz w:val="20"/>
                <w:szCs w:val="20"/>
              </w:rPr>
              <w:t>Sponsor/Clinical Research Organisation</w:t>
            </w:r>
          </w:p>
        </w:tc>
      </w:tr>
      <w:tr w:rsidR="009A591A" w:rsidRPr="00CA5745" w:rsidTr="00FF7691">
        <w:trPr>
          <w:trHeight w:val="376"/>
        </w:trPr>
        <w:tc>
          <w:tcPr>
            <w:tcW w:w="7459" w:type="dxa"/>
            <w:tcBorders>
              <w:top w:val="nil"/>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lang w:val="en-GB" w:eastAsia="en-GB"/>
              </w:rPr>
            </w:pPr>
            <w:r w:rsidRPr="00CA5745">
              <w:rPr>
                <w:rFonts w:cs="Arial"/>
                <w:sz w:val="18"/>
                <w:szCs w:val="18"/>
                <w:lang w:val="en-GB" w:eastAsia="en-GB"/>
              </w:rPr>
              <w:t>Glutathione Phase 2 study</w:t>
            </w:r>
          </w:p>
        </w:tc>
        <w:tc>
          <w:tcPr>
            <w:tcW w:w="2850" w:type="dxa"/>
            <w:tcBorders>
              <w:top w:val="nil"/>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lang w:val="en-GB" w:eastAsia="en-GB"/>
              </w:rPr>
            </w:pPr>
            <w:r w:rsidRPr="00CA5745">
              <w:rPr>
                <w:rFonts w:cs="Arial"/>
                <w:sz w:val="18"/>
                <w:szCs w:val="18"/>
                <w:lang w:val="en-GB" w:eastAsia="en-GB"/>
              </w:rPr>
              <w:t>Glutathione 2</w:t>
            </w:r>
          </w:p>
        </w:tc>
      </w:tr>
      <w:tr w:rsidR="009A591A" w:rsidRPr="00CA5745" w:rsidTr="00FF7691">
        <w:trPr>
          <w:trHeight w:val="493"/>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lang w:val="en-GB" w:eastAsia="en-GB"/>
              </w:rPr>
            </w:pPr>
            <w:r w:rsidRPr="00CA5745">
              <w:rPr>
                <w:rFonts w:cs="Arial"/>
                <w:sz w:val="18"/>
                <w:szCs w:val="18"/>
              </w:rPr>
              <w:t>Stem cells for Biological Assays of Novel drugs and predictive toxicology (STEMBANCC)</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lang w:val="en-GB" w:eastAsia="en-GB"/>
              </w:rPr>
            </w:pPr>
            <w:r w:rsidRPr="00CA5745">
              <w:rPr>
                <w:rFonts w:cs="Arial"/>
                <w:sz w:val="18"/>
                <w:szCs w:val="18"/>
              </w:rPr>
              <w:t>University of Oxford</w:t>
            </w:r>
          </w:p>
        </w:tc>
      </w:tr>
      <w:tr w:rsidR="009A591A" w:rsidRPr="00CA5745" w:rsidTr="00FF7691">
        <w:trPr>
          <w:trHeight w:val="448"/>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lang w:val="en-GB" w:eastAsia="en-GB"/>
              </w:rPr>
            </w:pPr>
            <w:r w:rsidRPr="00CA5745">
              <w:rPr>
                <w:rFonts w:cs="Arial"/>
                <w:sz w:val="18"/>
                <w:szCs w:val="18"/>
              </w:rPr>
              <w:t>FLASHYLYTE RO4917838 in stable patients with persistent, predominant negative symptoms of schizophrenia treated with antipsychotics - Protocol No. NN25310</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lang w:val="en-GB" w:eastAsia="en-GB"/>
              </w:rPr>
            </w:pPr>
            <w:r w:rsidRPr="00CA5745">
              <w:rPr>
                <w:rFonts w:cs="Arial"/>
                <w:sz w:val="18"/>
                <w:szCs w:val="18"/>
              </w:rPr>
              <w:t>Roche</w:t>
            </w:r>
          </w:p>
        </w:tc>
      </w:tr>
      <w:tr w:rsidR="009A591A" w:rsidRPr="00CA5745" w:rsidTr="00FF7691">
        <w:trPr>
          <w:trHeight w:val="915"/>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lang w:val="en-GB" w:eastAsia="en-GB"/>
              </w:rPr>
            </w:pPr>
            <w:r w:rsidRPr="00CA5745">
              <w:rPr>
                <w:rFonts w:cs="Arial"/>
                <w:sz w:val="18"/>
                <w:szCs w:val="18"/>
              </w:rPr>
              <w:t>A randomised, double-blind, placebo- controlled, phase 3 study to evaluate the efficacy and safety of once a day, TAK-375 (Ramelteon) tablet for sublingual administration (TAK-375SL tablet) 0.1mg and 0.4mg as an adjunctive therapy in the treatment of acute depressive episodes associated with bipolar 1 disorder in adult subjects (TAK_301)</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lang w:val="en-GB" w:eastAsia="en-GB"/>
              </w:rPr>
            </w:pPr>
            <w:r w:rsidRPr="00CA5745">
              <w:rPr>
                <w:rFonts w:cs="Arial"/>
                <w:sz w:val="18"/>
                <w:szCs w:val="18"/>
              </w:rPr>
              <w:t>Takeda</w:t>
            </w:r>
          </w:p>
        </w:tc>
      </w:tr>
      <w:tr w:rsidR="009A591A" w:rsidRPr="00CA5745" w:rsidTr="00FF7691">
        <w:trPr>
          <w:trHeight w:val="646"/>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lang w:val="en-GB" w:eastAsia="en-GB"/>
              </w:rPr>
            </w:pPr>
            <w:r w:rsidRPr="00CA5745">
              <w:rPr>
                <w:rFonts w:cs="Arial"/>
                <w:sz w:val="18"/>
                <w:szCs w:val="18"/>
              </w:rPr>
              <w:t>A randomised, placebo-controlled, parallel-group, double-blind, efficacy and safety trial of MK-8931 in subjects with mild to moderate alzheimer's disease EPOCH</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lang w:val="en-GB" w:eastAsia="en-GB"/>
              </w:rPr>
            </w:pPr>
            <w:r w:rsidRPr="00CA5745">
              <w:rPr>
                <w:rFonts w:cs="Arial"/>
                <w:sz w:val="18"/>
                <w:szCs w:val="18"/>
              </w:rPr>
              <w:t>Merck, Sharpe &amp; Domme</w:t>
            </w:r>
          </w:p>
        </w:tc>
      </w:tr>
      <w:tr w:rsidR="009A591A" w:rsidRPr="00CA5745" w:rsidTr="00FF7691">
        <w:trPr>
          <w:trHeight w:val="575"/>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rPr>
            </w:pPr>
            <w:r w:rsidRPr="00CA5745">
              <w:rPr>
                <w:rFonts w:cs="Arial"/>
                <w:sz w:val="18"/>
                <w:szCs w:val="18"/>
              </w:rPr>
              <w:t>Long-term safety and efficacy of ABT-126 in subjects with schizophrenia: a double blind extension study for subjects completing study M10-855</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rPr>
            </w:pPr>
            <w:r w:rsidRPr="00CA5745">
              <w:rPr>
                <w:rFonts w:cs="Arial"/>
                <w:sz w:val="18"/>
                <w:szCs w:val="18"/>
              </w:rPr>
              <w:t>AbbVie</w:t>
            </w:r>
          </w:p>
        </w:tc>
      </w:tr>
      <w:tr w:rsidR="009A591A" w:rsidRPr="00CA5745" w:rsidTr="00FF7691">
        <w:trPr>
          <w:trHeight w:val="712"/>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rPr>
            </w:pPr>
            <w:r w:rsidRPr="00CA5745">
              <w:rPr>
                <w:rFonts w:cs="Arial"/>
                <w:sz w:val="18"/>
                <w:szCs w:val="18"/>
              </w:rPr>
              <w:t>A randomised, double-blind, placebo-controlled, single-dose, study of the efects of SEP 363856 and Amisulprode on bold-FMRI signal in healthy male and female volunteers with high or low schizotype characteristics</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rPr>
            </w:pPr>
            <w:r w:rsidRPr="00CA5745">
              <w:rPr>
                <w:rFonts w:cs="Arial"/>
                <w:sz w:val="18"/>
                <w:szCs w:val="18"/>
              </w:rPr>
              <w:t>P1vital \ Sunovion</w:t>
            </w:r>
          </w:p>
        </w:tc>
      </w:tr>
      <w:tr w:rsidR="009A591A" w:rsidRPr="00CA5745" w:rsidTr="00FF7691">
        <w:trPr>
          <w:trHeight w:val="837"/>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rPr>
            </w:pPr>
            <w:r w:rsidRPr="00CA5745">
              <w:rPr>
                <w:rFonts w:cs="Arial"/>
                <w:sz w:val="18"/>
                <w:szCs w:val="18"/>
              </w:rPr>
              <w:t>Interventional randomised, double-blind, parallel-group, placebo-controlled, exploratory study investigating the effects of LuAA21004 on cognition and BOLD fMRI signals in subjects remitted from depression and controls</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rPr>
            </w:pPr>
            <w:r w:rsidRPr="00CA5745">
              <w:rPr>
                <w:rFonts w:cs="Arial"/>
                <w:sz w:val="18"/>
                <w:szCs w:val="18"/>
              </w:rPr>
              <w:t>Lundbeck</w:t>
            </w:r>
          </w:p>
        </w:tc>
      </w:tr>
      <w:tr w:rsidR="009A591A" w:rsidRPr="00CA5745" w:rsidTr="00FF7691">
        <w:trPr>
          <w:trHeight w:val="551"/>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rPr>
            </w:pPr>
            <w:r w:rsidRPr="00CA5745">
              <w:rPr>
                <w:rFonts w:cs="Arial"/>
                <w:sz w:val="18"/>
                <w:szCs w:val="18"/>
              </w:rPr>
              <w:t>Mood Action Psychology Programme (MAPP): a case series investigation of brief imagery-focused cognitive therapy (imCT) for Bipolar Disorder</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rPr>
            </w:pPr>
            <w:r w:rsidRPr="00CA5745">
              <w:rPr>
                <w:rFonts w:cs="Arial"/>
                <w:sz w:val="18"/>
                <w:szCs w:val="18"/>
              </w:rPr>
              <w:t>Wellcome Trust</w:t>
            </w:r>
          </w:p>
          <w:p w:rsidR="009A591A" w:rsidRPr="00CA5745" w:rsidRDefault="009A591A" w:rsidP="00FF7691">
            <w:pPr>
              <w:spacing w:before="0" w:after="0"/>
              <w:jc w:val="center"/>
              <w:rPr>
                <w:rFonts w:cs="Arial"/>
                <w:sz w:val="18"/>
                <w:szCs w:val="18"/>
              </w:rPr>
            </w:pPr>
          </w:p>
        </w:tc>
      </w:tr>
      <w:tr w:rsidR="009A591A" w:rsidRPr="00CA5745" w:rsidTr="00FF7691">
        <w:trPr>
          <w:trHeight w:val="483"/>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rPr>
            </w:pPr>
            <w:r w:rsidRPr="00CA5745">
              <w:rPr>
                <w:rFonts w:cs="Arial"/>
                <w:sz w:val="18"/>
                <w:szCs w:val="18"/>
              </w:rPr>
              <w:t>Development and evaluation of SMS-based monitoring and management service for people with bipolar disorder (Oxtext)</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rPr>
            </w:pPr>
            <w:r w:rsidRPr="00CA5745">
              <w:rPr>
                <w:rFonts w:cs="Arial"/>
                <w:sz w:val="18"/>
                <w:szCs w:val="18"/>
              </w:rPr>
              <w:t>NIHR</w:t>
            </w:r>
          </w:p>
        </w:tc>
      </w:tr>
      <w:tr w:rsidR="009A591A" w:rsidRPr="00CA5745" w:rsidTr="00FF7691">
        <w:trPr>
          <w:trHeight w:val="483"/>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jc w:val="left"/>
              <w:rPr>
                <w:rFonts w:cs="Arial"/>
                <w:sz w:val="18"/>
                <w:szCs w:val="18"/>
              </w:rPr>
            </w:pPr>
            <w:r w:rsidRPr="00CA5745">
              <w:rPr>
                <w:rFonts w:cs="Arial"/>
                <w:sz w:val="18"/>
                <w:szCs w:val="18"/>
              </w:rPr>
              <w:t>A pragmatic randomised double-blind trial of Antipsychotic Treatment of very LAte-onset Schizophrenia-like psychosis (ATLAS)</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rPr>
            </w:pPr>
            <w:r w:rsidRPr="00CA5745">
              <w:rPr>
                <w:rFonts w:cs="Arial"/>
                <w:sz w:val="18"/>
                <w:szCs w:val="18"/>
              </w:rPr>
              <w:t>NIHR</w:t>
            </w:r>
          </w:p>
        </w:tc>
      </w:tr>
      <w:tr w:rsidR="009A591A" w:rsidRPr="00CA5745" w:rsidTr="00FF7691">
        <w:trPr>
          <w:trHeight w:val="483"/>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spacing w:before="0" w:after="0"/>
              <w:jc w:val="left"/>
              <w:rPr>
                <w:rFonts w:cs="Arial"/>
                <w:sz w:val="18"/>
                <w:szCs w:val="18"/>
              </w:rPr>
            </w:pPr>
            <w:r w:rsidRPr="00CA5745">
              <w:rPr>
                <w:rFonts w:cs="Arial"/>
                <w:sz w:val="18"/>
                <w:szCs w:val="18"/>
              </w:rPr>
              <w:t>Antidepressant controlled trial for negative symptoms in schizophrenia (ACTIONS)</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rPr>
            </w:pPr>
            <w:r w:rsidRPr="00CA5745">
              <w:rPr>
                <w:rFonts w:cs="Arial"/>
                <w:sz w:val="18"/>
                <w:szCs w:val="18"/>
              </w:rPr>
              <w:t>University of Oxford</w:t>
            </w:r>
          </w:p>
        </w:tc>
      </w:tr>
      <w:tr w:rsidR="009A591A" w:rsidRPr="00CA5745" w:rsidTr="00FF7691">
        <w:trPr>
          <w:trHeight w:val="483"/>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jc w:val="left"/>
              <w:rPr>
                <w:rFonts w:cs="Arial"/>
                <w:sz w:val="18"/>
                <w:szCs w:val="18"/>
              </w:rPr>
            </w:pPr>
            <w:r w:rsidRPr="00CA5745">
              <w:rPr>
                <w:rFonts w:cs="Arial"/>
                <w:sz w:val="18"/>
                <w:szCs w:val="18"/>
              </w:rPr>
              <w:t>Cognitive Health in Ageing: Investigating the effects of imagery-based cognitive bias modification in older adults</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spacing w:before="0" w:after="0"/>
              <w:jc w:val="center"/>
              <w:rPr>
                <w:rFonts w:cs="Arial"/>
                <w:sz w:val="18"/>
                <w:szCs w:val="18"/>
              </w:rPr>
            </w:pPr>
            <w:r w:rsidRPr="00CA5745">
              <w:rPr>
                <w:rFonts w:cs="Arial"/>
                <w:sz w:val="18"/>
                <w:szCs w:val="18"/>
              </w:rPr>
              <w:t>NIHR</w:t>
            </w:r>
          </w:p>
        </w:tc>
      </w:tr>
      <w:tr w:rsidR="009A591A" w:rsidRPr="00CA5745" w:rsidTr="00FF7691">
        <w:trPr>
          <w:trHeight w:val="483"/>
        </w:trPr>
        <w:tc>
          <w:tcPr>
            <w:tcW w:w="7459" w:type="dxa"/>
            <w:tcBorders>
              <w:top w:val="single" w:sz="4" w:space="0" w:color="auto"/>
              <w:left w:val="single" w:sz="4" w:space="0" w:color="auto"/>
              <w:bottom w:val="single" w:sz="4" w:space="0" w:color="auto"/>
              <w:right w:val="single" w:sz="4" w:space="0" w:color="auto"/>
            </w:tcBorders>
            <w:shd w:val="clear" w:color="auto" w:fill="auto"/>
            <w:vAlign w:val="center"/>
          </w:tcPr>
          <w:p w:rsidR="009A591A" w:rsidRPr="00CA5745" w:rsidRDefault="009A591A" w:rsidP="00FF7691">
            <w:pPr>
              <w:jc w:val="left"/>
              <w:rPr>
                <w:rFonts w:cs="Arial"/>
                <w:sz w:val="18"/>
                <w:szCs w:val="18"/>
              </w:rPr>
            </w:pPr>
            <w:r w:rsidRPr="00CA5745">
              <w:rPr>
                <w:rFonts w:cs="Arial"/>
                <w:sz w:val="18"/>
                <w:szCs w:val="18"/>
              </w:rPr>
              <w:t>Mood Action Psychology Programme (MAPP): a case series investigation of brief imagery-focused cognitive therapy (imCT) for Bipolar Disorder</w:t>
            </w:r>
          </w:p>
        </w:tc>
        <w:tc>
          <w:tcPr>
            <w:tcW w:w="2850" w:type="dxa"/>
            <w:tcBorders>
              <w:top w:val="single" w:sz="4" w:space="0" w:color="auto"/>
              <w:left w:val="nil"/>
              <w:bottom w:val="single" w:sz="4" w:space="0" w:color="auto"/>
              <w:right w:val="single" w:sz="4" w:space="0" w:color="auto"/>
            </w:tcBorders>
            <w:shd w:val="clear" w:color="auto" w:fill="auto"/>
            <w:vAlign w:val="center"/>
          </w:tcPr>
          <w:p w:rsidR="009A591A" w:rsidRPr="00CA5745" w:rsidRDefault="009A591A" w:rsidP="00FF7691">
            <w:pPr>
              <w:jc w:val="center"/>
              <w:rPr>
                <w:rFonts w:cs="Arial"/>
                <w:sz w:val="18"/>
                <w:szCs w:val="18"/>
              </w:rPr>
            </w:pPr>
            <w:r w:rsidRPr="00CA5745">
              <w:rPr>
                <w:rFonts w:cs="Arial"/>
                <w:sz w:val="18"/>
                <w:szCs w:val="18"/>
              </w:rPr>
              <w:t>Wellcome Trust</w:t>
            </w:r>
          </w:p>
          <w:p w:rsidR="009A591A" w:rsidRPr="00CA5745" w:rsidRDefault="009A591A" w:rsidP="00FF7691">
            <w:pPr>
              <w:spacing w:before="0" w:after="0"/>
              <w:jc w:val="center"/>
              <w:rPr>
                <w:rFonts w:cs="Arial"/>
                <w:sz w:val="18"/>
                <w:szCs w:val="18"/>
              </w:rPr>
            </w:pPr>
          </w:p>
        </w:tc>
      </w:tr>
    </w:tbl>
    <w:p w:rsidR="009C5942" w:rsidRDefault="009C5942" w:rsidP="009C5942">
      <w:pPr>
        <w:spacing w:before="0" w:after="0"/>
        <w:jc w:val="left"/>
        <w:rPr>
          <w:b/>
          <w:sz w:val="22"/>
          <w:szCs w:val="22"/>
        </w:rPr>
      </w:pPr>
    </w:p>
    <w:p w:rsidR="009A591A" w:rsidRDefault="009A591A">
      <w:pPr>
        <w:spacing w:before="0" w:after="0"/>
        <w:jc w:val="left"/>
        <w:rPr>
          <w:b/>
          <w:sz w:val="22"/>
          <w:szCs w:val="22"/>
        </w:rPr>
      </w:pPr>
      <w:r>
        <w:rPr>
          <w:b/>
          <w:sz w:val="22"/>
          <w:szCs w:val="22"/>
        </w:rPr>
        <w:br w:type="page"/>
      </w:r>
    </w:p>
    <w:p w:rsidR="009C5942" w:rsidRDefault="009C5942" w:rsidP="009C5942">
      <w:pPr>
        <w:spacing w:before="0" w:after="0"/>
        <w:jc w:val="center"/>
        <w:rPr>
          <w:b/>
          <w:sz w:val="22"/>
          <w:szCs w:val="22"/>
        </w:rPr>
      </w:pPr>
      <w:r w:rsidRPr="0056534D">
        <w:rPr>
          <w:b/>
          <w:sz w:val="22"/>
          <w:szCs w:val="22"/>
        </w:rPr>
        <w:lastRenderedPageBreak/>
        <w:t>Appendix C</w:t>
      </w:r>
      <w:r>
        <w:rPr>
          <w:b/>
          <w:sz w:val="22"/>
          <w:szCs w:val="22"/>
        </w:rPr>
        <w:t xml:space="preserve"> - October 2014 Pipeline Report</w:t>
      </w:r>
    </w:p>
    <w:p w:rsidR="009C5942" w:rsidRDefault="009C5942" w:rsidP="009C5942">
      <w:pPr>
        <w:spacing w:before="0" w:after="0"/>
        <w:rPr>
          <w:b/>
          <w:sz w:val="20"/>
          <w:szCs w:val="20"/>
        </w:rPr>
      </w:pPr>
    </w:p>
    <w:tbl>
      <w:tblPr>
        <w:tblW w:w="10306" w:type="dxa"/>
        <w:tblInd w:w="103" w:type="dxa"/>
        <w:tblLayout w:type="fixed"/>
        <w:tblLook w:val="04A0" w:firstRow="1" w:lastRow="0" w:firstColumn="1" w:lastColumn="0" w:noHBand="0" w:noVBand="1"/>
      </w:tblPr>
      <w:tblGrid>
        <w:gridCol w:w="714"/>
        <w:gridCol w:w="1276"/>
        <w:gridCol w:w="3402"/>
        <w:gridCol w:w="1701"/>
        <w:gridCol w:w="1276"/>
        <w:gridCol w:w="850"/>
        <w:gridCol w:w="1087"/>
      </w:tblGrid>
      <w:tr w:rsidR="009C5942" w:rsidRPr="00F55779" w:rsidTr="009A591A">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C5942" w:rsidRPr="0056534D" w:rsidRDefault="009C5942" w:rsidP="00C55135">
            <w:pPr>
              <w:spacing w:before="0" w:after="0"/>
              <w:jc w:val="left"/>
              <w:rPr>
                <w:rFonts w:ascii="Calibri" w:hAnsi="Calibri"/>
                <w:b/>
                <w:bCs/>
                <w:color w:val="000000"/>
                <w:sz w:val="22"/>
                <w:szCs w:val="22"/>
                <w:lang w:eastAsia="en-GB"/>
              </w:rPr>
            </w:pPr>
            <w:r w:rsidRPr="0056534D">
              <w:rPr>
                <w:rFonts w:ascii="Calibri" w:hAnsi="Calibri"/>
                <w:b/>
                <w:bCs/>
                <w:color w:val="000000"/>
                <w:sz w:val="22"/>
                <w:szCs w:val="22"/>
                <w:lang w:eastAsia="en-GB"/>
              </w:rPr>
              <w:t>ID</w:t>
            </w:r>
          </w:p>
        </w:tc>
        <w:tc>
          <w:tcPr>
            <w:tcW w:w="1276" w:type="dxa"/>
            <w:tcBorders>
              <w:top w:val="single" w:sz="4" w:space="0" w:color="auto"/>
              <w:left w:val="nil"/>
              <w:bottom w:val="single" w:sz="4" w:space="0" w:color="auto"/>
              <w:right w:val="single" w:sz="4" w:space="0" w:color="auto"/>
            </w:tcBorders>
            <w:shd w:val="clear" w:color="auto" w:fill="8DB3E2" w:themeFill="text2" w:themeFillTint="66"/>
            <w:hideMark/>
          </w:tcPr>
          <w:p w:rsidR="009C5942" w:rsidRPr="0056534D" w:rsidRDefault="009C5942" w:rsidP="00C55135">
            <w:pPr>
              <w:spacing w:before="0" w:after="0"/>
              <w:jc w:val="center"/>
              <w:rPr>
                <w:rFonts w:ascii="Calibri" w:hAnsi="Calibri"/>
                <w:b/>
                <w:bCs/>
                <w:color w:val="000000"/>
                <w:sz w:val="22"/>
                <w:szCs w:val="22"/>
                <w:lang w:eastAsia="en-GB"/>
              </w:rPr>
            </w:pPr>
            <w:r w:rsidRPr="0056534D">
              <w:rPr>
                <w:rFonts w:ascii="Calibri" w:hAnsi="Calibri"/>
                <w:b/>
                <w:bCs/>
                <w:color w:val="000000"/>
                <w:sz w:val="22"/>
                <w:szCs w:val="22"/>
                <w:lang w:eastAsia="en-GB"/>
              </w:rPr>
              <w:t>PI</w:t>
            </w:r>
          </w:p>
        </w:tc>
        <w:tc>
          <w:tcPr>
            <w:tcW w:w="3402" w:type="dxa"/>
            <w:tcBorders>
              <w:top w:val="single" w:sz="4" w:space="0" w:color="auto"/>
              <w:left w:val="nil"/>
              <w:bottom w:val="single" w:sz="4" w:space="0" w:color="auto"/>
              <w:right w:val="single" w:sz="4" w:space="0" w:color="auto"/>
            </w:tcBorders>
            <w:shd w:val="clear" w:color="auto" w:fill="8DB3E2" w:themeFill="text2" w:themeFillTint="66"/>
            <w:hideMark/>
          </w:tcPr>
          <w:p w:rsidR="009C5942" w:rsidRPr="0056534D" w:rsidRDefault="009C5942" w:rsidP="00C55135">
            <w:pPr>
              <w:spacing w:before="0" w:after="0"/>
              <w:jc w:val="center"/>
              <w:rPr>
                <w:rFonts w:ascii="Calibri" w:hAnsi="Calibri"/>
                <w:b/>
                <w:bCs/>
                <w:color w:val="000000"/>
                <w:sz w:val="22"/>
                <w:szCs w:val="22"/>
                <w:lang w:eastAsia="en-GB"/>
              </w:rPr>
            </w:pPr>
            <w:r w:rsidRPr="0056534D">
              <w:rPr>
                <w:rFonts w:ascii="Calibri" w:hAnsi="Calibri"/>
                <w:b/>
                <w:bCs/>
                <w:color w:val="000000"/>
                <w:sz w:val="22"/>
                <w:szCs w:val="22"/>
                <w:lang w:eastAsia="en-GB"/>
              </w:rPr>
              <w:t>Study Title</w:t>
            </w:r>
          </w:p>
        </w:tc>
        <w:tc>
          <w:tcPr>
            <w:tcW w:w="1701" w:type="dxa"/>
            <w:tcBorders>
              <w:top w:val="single" w:sz="4" w:space="0" w:color="auto"/>
              <w:left w:val="nil"/>
              <w:bottom w:val="single" w:sz="4" w:space="0" w:color="auto"/>
              <w:right w:val="single" w:sz="4" w:space="0" w:color="auto"/>
            </w:tcBorders>
            <w:shd w:val="clear" w:color="auto" w:fill="8DB3E2" w:themeFill="text2" w:themeFillTint="66"/>
            <w:hideMark/>
          </w:tcPr>
          <w:p w:rsidR="009C5942" w:rsidRPr="0056534D" w:rsidRDefault="009C5942" w:rsidP="00C55135">
            <w:pPr>
              <w:spacing w:before="0" w:after="0"/>
              <w:jc w:val="center"/>
              <w:rPr>
                <w:rFonts w:ascii="Calibri" w:hAnsi="Calibri"/>
                <w:b/>
                <w:bCs/>
                <w:color w:val="000000"/>
                <w:sz w:val="22"/>
                <w:szCs w:val="22"/>
                <w:lang w:eastAsia="en-GB"/>
              </w:rPr>
            </w:pPr>
            <w:r w:rsidRPr="0056534D">
              <w:rPr>
                <w:rFonts w:ascii="Calibri" w:hAnsi="Calibri"/>
                <w:b/>
                <w:bCs/>
                <w:color w:val="000000"/>
                <w:sz w:val="22"/>
                <w:szCs w:val="22"/>
                <w:lang w:eastAsia="en-GB"/>
              </w:rPr>
              <w:t>Type of Funding Organisation</w:t>
            </w:r>
          </w:p>
        </w:tc>
        <w:tc>
          <w:tcPr>
            <w:tcW w:w="1276" w:type="dxa"/>
            <w:tcBorders>
              <w:top w:val="single" w:sz="4" w:space="0" w:color="auto"/>
              <w:left w:val="nil"/>
              <w:bottom w:val="single" w:sz="4" w:space="0" w:color="auto"/>
              <w:right w:val="single" w:sz="4" w:space="0" w:color="auto"/>
            </w:tcBorders>
            <w:shd w:val="clear" w:color="auto" w:fill="8DB3E2" w:themeFill="text2" w:themeFillTint="66"/>
            <w:hideMark/>
          </w:tcPr>
          <w:p w:rsidR="009C5942" w:rsidRPr="0056534D" w:rsidRDefault="009C5942" w:rsidP="00C55135">
            <w:pPr>
              <w:spacing w:before="0" w:after="0"/>
              <w:jc w:val="center"/>
              <w:rPr>
                <w:rFonts w:ascii="Calibri" w:hAnsi="Calibri"/>
                <w:b/>
                <w:bCs/>
                <w:color w:val="000000"/>
                <w:sz w:val="22"/>
                <w:szCs w:val="22"/>
                <w:lang w:eastAsia="en-GB"/>
              </w:rPr>
            </w:pPr>
            <w:r w:rsidRPr="0056534D">
              <w:rPr>
                <w:rFonts w:ascii="Calibri" w:hAnsi="Calibri"/>
                <w:b/>
                <w:bCs/>
                <w:color w:val="000000"/>
                <w:sz w:val="22"/>
                <w:szCs w:val="22"/>
                <w:lang w:eastAsia="en-GB"/>
              </w:rPr>
              <w:t>Main Funder</w:t>
            </w:r>
          </w:p>
        </w:tc>
        <w:tc>
          <w:tcPr>
            <w:tcW w:w="850" w:type="dxa"/>
            <w:tcBorders>
              <w:top w:val="single" w:sz="4" w:space="0" w:color="auto"/>
              <w:left w:val="nil"/>
              <w:bottom w:val="single" w:sz="4" w:space="0" w:color="auto"/>
              <w:right w:val="single" w:sz="4" w:space="0" w:color="auto"/>
            </w:tcBorders>
            <w:shd w:val="clear" w:color="auto" w:fill="8DB3E2" w:themeFill="text2" w:themeFillTint="66"/>
            <w:hideMark/>
          </w:tcPr>
          <w:p w:rsidR="009C5942" w:rsidRPr="0056534D" w:rsidRDefault="009C5942" w:rsidP="00C55135">
            <w:pPr>
              <w:spacing w:before="0" w:after="0"/>
              <w:jc w:val="center"/>
              <w:rPr>
                <w:rFonts w:ascii="Calibri" w:hAnsi="Calibri"/>
                <w:b/>
                <w:bCs/>
                <w:color w:val="000000"/>
                <w:sz w:val="22"/>
                <w:szCs w:val="22"/>
                <w:lang w:eastAsia="en-GB"/>
              </w:rPr>
            </w:pPr>
            <w:r w:rsidRPr="0056534D">
              <w:rPr>
                <w:rFonts w:ascii="Calibri" w:hAnsi="Calibri"/>
                <w:b/>
                <w:bCs/>
                <w:color w:val="000000"/>
                <w:sz w:val="22"/>
                <w:szCs w:val="22"/>
                <w:lang w:eastAsia="en-GB"/>
              </w:rPr>
              <w:t>Est. Value</w:t>
            </w:r>
          </w:p>
        </w:tc>
        <w:tc>
          <w:tcPr>
            <w:tcW w:w="1087" w:type="dxa"/>
            <w:tcBorders>
              <w:top w:val="single" w:sz="4" w:space="0" w:color="auto"/>
              <w:left w:val="nil"/>
              <w:bottom w:val="single" w:sz="4" w:space="0" w:color="auto"/>
              <w:right w:val="single" w:sz="4" w:space="0" w:color="auto"/>
            </w:tcBorders>
            <w:shd w:val="clear" w:color="auto" w:fill="8DB3E2" w:themeFill="text2" w:themeFillTint="66"/>
            <w:hideMark/>
          </w:tcPr>
          <w:p w:rsidR="009C5942" w:rsidRPr="0056534D" w:rsidRDefault="009C5942" w:rsidP="00C55135">
            <w:pPr>
              <w:spacing w:before="0" w:after="0"/>
              <w:jc w:val="center"/>
              <w:rPr>
                <w:rFonts w:ascii="Calibri" w:hAnsi="Calibri"/>
                <w:b/>
                <w:bCs/>
                <w:color w:val="000000"/>
                <w:sz w:val="22"/>
                <w:szCs w:val="22"/>
                <w:lang w:eastAsia="en-GB"/>
              </w:rPr>
            </w:pPr>
            <w:r w:rsidRPr="0056534D">
              <w:rPr>
                <w:rFonts w:ascii="Calibri" w:hAnsi="Calibri"/>
                <w:b/>
                <w:bCs/>
                <w:color w:val="000000"/>
                <w:sz w:val="22"/>
                <w:szCs w:val="22"/>
                <w:lang w:eastAsia="en-GB"/>
              </w:rPr>
              <w:t>Current Status</w:t>
            </w:r>
          </w:p>
        </w:tc>
      </w:tr>
      <w:tr w:rsidR="009C5942" w:rsidRPr="00F55779" w:rsidTr="00C55135">
        <w:trPr>
          <w:trHeight w:val="518"/>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002</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Rohan Van Der Putt</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Moderate Alzheimer's B2081011 - AD study Site</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PFIZER</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£30k</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Site Accepted</w:t>
            </w:r>
          </w:p>
        </w:tc>
      </w:tr>
      <w:tr w:rsidR="009C5942" w:rsidRPr="00F55779" w:rsidTr="00C55135">
        <w:trPr>
          <w:trHeight w:val="711"/>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004</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Rohan Van Der Putt</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Randomised, double-blind, parallel-group, placebo-controlled, fixed-dose study of Lu AE58054 in patients with mild-moderate Alzheimer's Disease treated with donepezil STARBEAM</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Lundbeck</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£30k</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Site Accepted</w:t>
            </w:r>
          </w:p>
        </w:tc>
      </w:tr>
      <w:tr w:rsidR="009C5942" w:rsidRPr="00F55779" w:rsidTr="00C55135">
        <w:trPr>
          <w:trHeight w:val="481"/>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006</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Jenny McCleery</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DaTSCANTM Phase 3b Dementia with Lewy Bodies Registration Study</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GE Healthcare</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Feasibility Assessment</w:t>
            </w:r>
          </w:p>
        </w:tc>
      </w:tr>
      <w:tr w:rsidR="009C5942" w:rsidRPr="00F55779" w:rsidTr="00C55135">
        <w:trPr>
          <w:trHeight w:val="642"/>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008</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Belinda Lennox</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A randomised Open-label Active Controlled Comparison of Paliperidone Palmitate 1 Month/ 3 Month Formulations versus Oral Atypical Antipsychotics in Subjects with Recent Onset of Schizophrenia (MENT 3596)</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Janssen</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Feasibility Assessment</w:t>
            </w:r>
          </w:p>
        </w:tc>
      </w:tr>
      <w:tr w:rsidR="009C5942" w:rsidRPr="00F55779" w:rsidTr="00C55135">
        <w:trPr>
          <w:trHeight w:val="538"/>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015</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tbc</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Effects of Modafinil on Cognitive Functioning and Emotional Processing in Patients with Remitted Depression</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xml:space="preserve">Non Commercial </w:t>
            </w:r>
            <w:r>
              <w:rPr>
                <w:rFonts w:ascii="Calibri" w:hAnsi="Calibri"/>
                <w:color w:val="000000"/>
                <w:sz w:val="18"/>
                <w:szCs w:val="18"/>
                <w:lang w:eastAsia="en-GB"/>
              </w:rPr>
              <w:t>–</w:t>
            </w:r>
            <w:r w:rsidRPr="00F55779">
              <w:rPr>
                <w:rFonts w:ascii="Calibri" w:hAnsi="Calibri"/>
                <w:color w:val="000000"/>
                <w:sz w:val="18"/>
                <w:szCs w:val="18"/>
                <w:lang w:eastAsia="en-GB"/>
              </w:rPr>
              <w:t xml:space="preserve"> NIHR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NIHR</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xml:space="preserve">Expression of Interest </w:t>
            </w:r>
          </w:p>
        </w:tc>
      </w:tr>
      <w:tr w:rsidR="009C5942" w:rsidRPr="00F55779" w:rsidTr="00C55135">
        <w:trPr>
          <w:trHeight w:val="703"/>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019</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Maria Turri</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Feasibility Randomised Control Trial comparing the cost-effectiveness for a new intervention called the systemic assessment clinic versus standard assessment for psychiatric patients referred to adult mental health</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NIHR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NIHR</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On Hold</w:t>
            </w:r>
          </w:p>
        </w:tc>
      </w:tr>
      <w:tr w:rsidR="009C5942" w:rsidRPr="00F55779" w:rsidTr="00C55135">
        <w:trPr>
          <w:trHeight w:val="413"/>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020</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tbc</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Phase 1 study in healthy volunteers with schizotype characteristics</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Roche</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Expression of Interest</w:t>
            </w:r>
          </w:p>
        </w:tc>
      </w:tr>
      <w:tr w:rsidR="009C5942" w:rsidRPr="00F55779" w:rsidTr="00C55135">
        <w:trPr>
          <w:trHeight w:val="391"/>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023</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xml:space="preserve">Daniel Freeman </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xml:space="preserve">The Thinking Well </w:t>
            </w:r>
            <w:r>
              <w:rPr>
                <w:rFonts w:ascii="Calibri" w:hAnsi="Calibri"/>
                <w:color w:val="000000"/>
                <w:sz w:val="18"/>
                <w:szCs w:val="18"/>
                <w:lang w:eastAsia="en-GB"/>
              </w:rPr>
              <w:t>RCT</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NIHR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NIHR - EME</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£25k</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Grant Submitted</w:t>
            </w:r>
          </w:p>
        </w:tc>
      </w:tr>
      <w:tr w:rsidR="009C5942" w:rsidRPr="00F55779" w:rsidTr="00C55135">
        <w:trPr>
          <w:trHeight w:val="512"/>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025</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Belinda Lennox</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A randomised placebo-controlled trial of immunotherapy in patients with first episode psychosis and anti-neuronal membrane auto-antibodies</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other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MRC</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£22k</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Grant Submitted</w:t>
            </w:r>
          </w:p>
        </w:tc>
      </w:tr>
      <w:tr w:rsidR="009C5942" w:rsidRPr="00F55779" w:rsidTr="00C55135">
        <w:trPr>
          <w:trHeight w:val="405"/>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026</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John Geddes</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OxLITH (Conbrio)</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other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Wellcome Trust</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£150k</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WIP</w:t>
            </w:r>
          </w:p>
        </w:tc>
      </w:tr>
      <w:tr w:rsidR="009C5942" w:rsidRPr="00F55779" w:rsidTr="00C55135">
        <w:trPr>
          <w:trHeight w:val="968"/>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027</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Simon Lovestone</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Lithium (Protection for dementia)</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other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Chief Scientist Office, Scottish Government Health &amp; Social</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£43k</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Grant Submitted</w:t>
            </w:r>
          </w:p>
        </w:tc>
      </w:tr>
      <w:tr w:rsidR="009C5942" w:rsidRPr="00F55779" w:rsidTr="00C55135">
        <w:trPr>
          <w:trHeight w:val="411"/>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028</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Paul Stallard</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A randomised controlled trial of Think Feel Do, a computerised cognitive behaviour therapy programme for children with mild/moderate emotional</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NIHR</w:t>
            </w:r>
          </w:p>
        </w:tc>
        <w:tc>
          <w:tcPr>
            <w:tcW w:w="1276"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NIHR</w:t>
            </w:r>
          </w:p>
        </w:tc>
        <w:tc>
          <w:tcPr>
            <w:tcW w:w="850"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£350k</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Grant Submitted</w:t>
            </w:r>
          </w:p>
        </w:tc>
      </w:tr>
      <w:tr w:rsidR="009C5942" w:rsidRPr="00F55779" w:rsidTr="00C55135">
        <w:trPr>
          <w:trHeight w:val="411"/>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029</w:t>
            </w:r>
          </w:p>
        </w:tc>
        <w:tc>
          <w:tcPr>
            <w:tcW w:w="1276"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Dr Veronika Williams</w:t>
            </w:r>
          </w:p>
        </w:tc>
        <w:tc>
          <w:tcPr>
            <w:tcW w:w="3402"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Delivering support for self-management of dyspnoea-related anxiety in Chronic Obstructive Pulmonary Disease using a digital health platform.</w:t>
            </w:r>
          </w:p>
        </w:tc>
        <w:tc>
          <w:tcPr>
            <w:tcW w:w="1701"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NIHR</w:t>
            </w:r>
          </w:p>
        </w:tc>
        <w:tc>
          <w:tcPr>
            <w:tcW w:w="1276"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NIHR</w:t>
            </w:r>
          </w:p>
        </w:tc>
        <w:tc>
          <w:tcPr>
            <w:tcW w:w="850"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£345k</w:t>
            </w:r>
          </w:p>
        </w:tc>
        <w:tc>
          <w:tcPr>
            <w:tcW w:w="1087"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Grant Submitted</w:t>
            </w:r>
          </w:p>
        </w:tc>
      </w:tr>
      <w:tr w:rsidR="009C5942" w:rsidRPr="00F55779" w:rsidTr="00C55135">
        <w:trPr>
          <w:trHeight w:val="411"/>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035</w:t>
            </w:r>
          </w:p>
        </w:tc>
        <w:tc>
          <w:tcPr>
            <w:tcW w:w="1276"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Dr Alvaro Barrera</w:t>
            </w:r>
          </w:p>
        </w:tc>
        <w:tc>
          <w:tcPr>
            <w:tcW w:w="3402"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Stabilising sleep for patients admitted at acute crisis to psychiatric hospital: a pilot randomised controlled trial</w:t>
            </w:r>
          </w:p>
        </w:tc>
        <w:tc>
          <w:tcPr>
            <w:tcW w:w="1701"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other</w:t>
            </w:r>
          </w:p>
        </w:tc>
        <w:tc>
          <w:tcPr>
            <w:tcW w:w="1276"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The Health Foundation</w:t>
            </w:r>
          </w:p>
        </w:tc>
        <w:tc>
          <w:tcPr>
            <w:tcW w:w="850"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£75k</w:t>
            </w:r>
          </w:p>
        </w:tc>
        <w:tc>
          <w:tcPr>
            <w:tcW w:w="1087"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Full Application</w:t>
            </w:r>
          </w:p>
        </w:tc>
      </w:tr>
      <w:tr w:rsidR="009C5942" w:rsidRPr="00F55779" w:rsidTr="00C55135">
        <w:trPr>
          <w:trHeight w:val="429"/>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lastRenderedPageBreak/>
              <w:t>PL 037</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Stefan Brugger</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Grant application (Bayesian Coding, Volatility, and the Formation and Maintenance of Delusions)</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other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OHSRC</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£4k</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Grant Submitted</w:t>
            </w:r>
          </w:p>
        </w:tc>
      </w:tr>
      <w:tr w:rsidR="009C5942" w:rsidRPr="00F55779" w:rsidTr="00C55135">
        <w:trPr>
          <w:trHeight w:val="379"/>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039</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Jessica Gibson</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The Effectiveness and cost-effectiveness of Mother and Baby Units versus general psychiatric Inpatient wards and Crisis Resolution Team services (ESMI)</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other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Expression of Interest</w:t>
            </w:r>
          </w:p>
          <w:p w:rsidR="009C5942" w:rsidRPr="00F55779" w:rsidRDefault="009C5942" w:rsidP="00C55135">
            <w:pPr>
              <w:spacing w:before="0" w:after="0"/>
              <w:jc w:val="center"/>
              <w:rPr>
                <w:rFonts w:ascii="Calibri" w:hAnsi="Calibri"/>
                <w:color w:val="000000"/>
                <w:sz w:val="18"/>
                <w:szCs w:val="18"/>
                <w:lang w:eastAsia="en-GB"/>
              </w:rPr>
            </w:pPr>
          </w:p>
        </w:tc>
      </w:tr>
      <w:tr w:rsidR="009C5942" w:rsidRPr="00F55779" w:rsidTr="00C55135">
        <w:trPr>
          <w:trHeight w:val="415"/>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040</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rPr>
                <w:rFonts w:ascii="Calibri" w:hAnsi="Calibri"/>
                <w:color w:val="000000"/>
                <w:sz w:val="18"/>
                <w:szCs w:val="18"/>
                <w:lang w:eastAsia="en-GB"/>
              </w:rPr>
            </w:pPr>
            <w:r w:rsidRPr="00F55779">
              <w:rPr>
                <w:rFonts w:ascii="Calibri" w:hAnsi="Calibri"/>
                <w:color w:val="000000"/>
                <w:sz w:val="18"/>
                <w:szCs w:val="18"/>
                <w:lang w:eastAsia="en-GB"/>
              </w:rPr>
              <w:t>Rohan Van Der Putt</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DEME 3749 - CAD106 A2208</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Expression of Interest</w:t>
            </w:r>
          </w:p>
        </w:tc>
      </w:tr>
      <w:tr w:rsidR="009C5942" w:rsidRPr="00F55779" w:rsidTr="00C55135">
        <w:trPr>
          <w:trHeight w:val="551"/>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041</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Rupert McShane</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Improving depression treatment: a combined human blood and brain cells ketamine study</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other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Expression of Interest</w:t>
            </w:r>
          </w:p>
        </w:tc>
      </w:tr>
      <w:tr w:rsidR="009C5942" w:rsidRPr="00F55779" w:rsidTr="00C55135">
        <w:trPr>
          <w:trHeight w:val="614"/>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044</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Veronika Williams and Andrew Farmer</w:t>
            </w:r>
          </w:p>
        </w:tc>
        <w:tc>
          <w:tcPr>
            <w:tcW w:w="3402" w:type="dxa"/>
            <w:tcBorders>
              <w:top w:val="nil"/>
              <w:left w:val="nil"/>
              <w:bottom w:val="nil"/>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A mixed method study to augment current predictors and definition of exacerbation in COPD through patient experiences, which would then form the basis for an exacerbation predictor tool to be evaluated in a clinical trial</w:t>
            </w:r>
            <w:r>
              <w:rPr>
                <w:rFonts w:ascii="Calibri" w:hAnsi="Calibri"/>
                <w:color w:val="000000"/>
                <w:sz w:val="18"/>
                <w:szCs w:val="18"/>
                <w:lang w:eastAsia="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NIHR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NIHR</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£100k</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On Hold</w:t>
            </w:r>
          </w:p>
        </w:tc>
      </w:tr>
      <w:tr w:rsidR="009C5942" w:rsidRPr="00F55779" w:rsidTr="00C55135">
        <w:trPr>
          <w:trHeight w:val="367"/>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045</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Paul Stallard</w:t>
            </w:r>
          </w:p>
        </w:tc>
        <w:tc>
          <w:tcPr>
            <w:tcW w:w="3402"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A pilot study to compare specific cognitive therapy for social anxiety with standard CBT for adolescents.</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other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NIHR</w:t>
            </w:r>
          </w:p>
        </w:tc>
        <w:tc>
          <w:tcPr>
            <w:tcW w:w="850"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£1m</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Grant Submitted</w:t>
            </w:r>
          </w:p>
        </w:tc>
      </w:tr>
      <w:tr w:rsidR="009C5942" w:rsidRPr="00F55779" w:rsidTr="00C55135">
        <w:trPr>
          <w:trHeight w:val="708"/>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048</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Andrew Farmer</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A programme to develop, refine and evaluate a system for supporting people with type 2 diabetes in effective use of their medication through use of SMS text-messaging integrated with clinical care</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NIHR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NIHR</w:t>
            </w:r>
          </w:p>
        </w:tc>
        <w:tc>
          <w:tcPr>
            <w:tcW w:w="850" w:type="dxa"/>
            <w:tcBorders>
              <w:top w:val="single" w:sz="4" w:space="0" w:color="auto"/>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£2.5m</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Grant Submitted</w:t>
            </w:r>
          </w:p>
        </w:tc>
      </w:tr>
      <w:tr w:rsidR="009C5942" w:rsidRPr="00F55779" w:rsidTr="00C55135">
        <w:trPr>
          <w:trHeight w:val="419"/>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049</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Richard McManus</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xml:space="preserve">Programme grant for applied health research application for series of workstreams investigating the monitoring and management of blood pressure in pregnancy. </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NIHR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NIHR</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£2,5m plus SSCs</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Expression of Interest</w:t>
            </w:r>
          </w:p>
        </w:tc>
      </w:tr>
      <w:tr w:rsidR="009C5942" w:rsidRPr="00F55779" w:rsidTr="00C55135">
        <w:trPr>
          <w:trHeight w:val="681"/>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050</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Rohan Van Der Putt</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A Phase III, Multicenter, Randomized, Double-blind, Placebo-controlled, Parallel-Group, Efficacy and Safety Study of Crenezumab in Patients with Mild Alzheimer's Disease (old reference: Monoclonal infusion)</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sz w:val="18"/>
                <w:szCs w:val="18"/>
                <w:lang w:eastAsia="en-GB"/>
              </w:rPr>
            </w:pPr>
            <w:r w:rsidRPr="00F55779">
              <w:rPr>
                <w:rFonts w:ascii="Calibri" w:hAnsi="Calibri"/>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Feasibility Assessment</w:t>
            </w:r>
          </w:p>
        </w:tc>
      </w:tr>
      <w:tr w:rsidR="009C5942" w:rsidRPr="00F55779" w:rsidTr="00C55135">
        <w:trPr>
          <w:trHeight w:val="628"/>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053</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Mary Jane Attenburro</w:t>
            </w:r>
            <w:r>
              <w:rPr>
                <w:rFonts w:ascii="Calibri" w:hAnsi="Calibri"/>
                <w:color w:val="000000"/>
                <w:sz w:val="18"/>
                <w:szCs w:val="18"/>
                <w:lang w:eastAsia="en-GB"/>
              </w:rPr>
              <w:t>w</w:t>
            </w:r>
            <w:r w:rsidRPr="00F55779">
              <w:rPr>
                <w:rFonts w:ascii="Calibri" w:hAnsi="Calibri"/>
                <w:color w:val="000000"/>
                <w:sz w:val="18"/>
                <w:szCs w:val="18"/>
                <w:lang w:eastAsia="en-GB"/>
              </w:rPr>
              <w:t xml:space="preserve"> John Geddes</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Noven Schizophrenia (Asenapine)</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sz w:val="18"/>
                <w:szCs w:val="18"/>
                <w:lang w:eastAsia="en-GB"/>
              </w:rPr>
            </w:pPr>
            <w:r w:rsidRPr="00F55779">
              <w:rPr>
                <w:rFonts w:ascii="Calibri" w:hAnsi="Calibri"/>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Noven</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Feasibility Assessment</w:t>
            </w:r>
          </w:p>
        </w:tc>
      </w:tr>
      <w:tr w:rsidR="009C5942" w:rsidRPr="00F55779" w:rsidTr="00C55135">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PL 060</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Klaus Ebmeier (PI for the UK)</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A UK-Brazil exploratory study of transcranial direct current stimulation for late life depression with diffusion tensor imaging measures of white matter tract integrity.</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Non Commercial - other</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Research Councils UK (RCUK)</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£50k</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color w:val="000000"/>
                <w:sz w:val="18"/>
                <w:szCs w:val="18"/>
                <w:lang w:eastAsia="en-GB"/>
              </w:rPr>
            </w:pPr>
            <w:r w:rsidRPr="00F55779">
              <w:rPr>
                <w:rFonts w:ascii="Calibri" w:hAnsi="Calibri"/>
                <w:color w:val="000000"/>
                <w:sz w:val="18"/>
                <w:szCs w:val="18"/>
                <w:lang w:eastAsia="en-GB"/>
              </w:rPr>
              <w:t>Grant Submitted</w:t>
            </w:r>
          </w:p>
        </w:tc>
      </w:tr>
      <w:tr w:rsidR="009C5942" w:rsidRPr="00F55779" w:rsidTr="00C55135">
        <w:trPr>
          <w:trHeight w:val="703"/>
        </w:trPr>
        <w:tc>
          <w:tcPr>
            <w:tcW w:w="714" w:type="dxa"/>
            <w:tcBorders>
              <w:top w:val="nil"/>
              <w:left w:val="single" w:sz="4" w:space="0" w:color="auto"/>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sz w:val="18"/>
                <w:szCs w:val="18"/>
                <w:lang w:eastAsia="en-GB"/>
              </w:rPr>
            </w:pPr>
            <w:r w:rsidRPr="00F55779">
              <w:rPr>
                <w:rFonts w:ascii="Calibri" w:hAnsi="Calibri"/>
                <w:sz w:val="18"/>
                <w:szCs w:val="18"/>
                <w:lang w:eastAsia="en-GB"/>
              </w:rPr>
              <w:t>PL 061</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sz w:val="18"/>
                <w:szCs w:val="18"/>
                <w:lang w:eastAsia="en-GB"/>
              </w:rPr>
            </w:pPr>
            <w:r w:rsidRPr="00F55779">
              <w:rPr>
                <w:rFonts w:ascii="Calibri" w:hAnsi="Calibri"/>
                <w:sz w:val="18"/>
                <w:szCs w:val="18"/>
                <w:lang w:eastAsia="en-GB"/>
              </w:rPr>
              <w:t>Mary Jane Attenburrow, John Geddes</w:t>
            </w:r>
          </w:p>
        </w:tc>
        <w:tc>
          <w:tcPr>
            <w:tcW w:w="3402"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sz w:val="18"/>
                <w:szCs w:val="18"/>
                <w:lang w:eastAsia="en-GB"/>
              </w:rPr>
            </w:pPr>
            <w:r w:rsidRPr="00F55779">
              <w:rPr>
                <w:rFonts w:ascii="Calibri" w:hAnsi="Calibri"/>
                <w:sz w:val="18"/>
                <w:szCs w:val="18"/>
                <w:lang w:eastAsia="en-GB"/>
              </w:rPr>
              <w:t>Interventional, randomised, double-blind, active-controlled, fixed-dose study of a development compound in patients with treatment-resistant schizophrenia (TBC)</w:t>
            </w:r>
          </w:p>
        </w:tc>
        <w:tc>
          <w:tcPr>
            <w:tcW w:w="1701"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sz w:val="18"/>
                <w:szCs w:val="18"/>
                <w:lang w:eastAsia="en-GB"/>
              </w:rPr>
            </w:pPr>
            <w:r w:rsidRPr="00F55779">
              <w:rPr>
                <w:rFonts w:ascii="Calibri" w:hAnsi="Calibri"/>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sz w:val="18"/>
                <w:szCs w:val="18"/>
                <w:lang w:eastAsia="en-GB"/>
              </w:rPr>
            </w:pPr>
            <w:r w:rsidRPr="00F55779">
              <w:rPr>
                <w:rFonts w:ascii="Calibri" w:hAnsi="Calibri"/>
                <w:sz w:val="18"/>
                <w:szCs w:val="18"/>
                <w:lang w:eastAsia="en-GB"/>
              </w:rPr>
              <w:t>Lundbeck</w:t>
            </w:r>
          </w:p>
        </w:tc>
        <w:tc>
          <w:tcPr>
            <w:tcW w:w="850"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sz w:val="18"/>
                <w:szCs w:val="18"/>
                <w:lang w:eastAsia="en-GB"/>
              </w:rPr>
            </w:pPr>
            <w:r w:rsidRPr="00F55779">
              <w:rPr>
                <w:rFonts w:ascii="Calibri" w:hAnsi="Calibri"/>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F55779" w:rsidRDefault="009C5942" w:rsidP="00C55135">
            <w:pPr>
              <w:spacing w:before="0" w:after="0"/>
              <w:jc w:val="center"/>
              <w:rPr>
                <w:rFonts w:ascii="Calibri" w:hAnsi="Calibri"/>
                <w:sz w:val="18"/>
                <w:szCs w:val="18"/>
                <w:lang w:eastAsia="en-GB"/>
              </w:rPr>
            </w:pPr>
            <w:r w:rsidRPr="00F55779">
              <w:rPr>
                <w:rFonts w:ascii="Calibri" w:hAnsi="Calibri"/>
                <w:sz w:val="18"/>
                <w:szCs w:val="18"/>
                <w:lang w:eastAsia="en-GB"/>
              </w:rPr>
              <w:t>Feasibility Assessment</w:t>
            </w:r>
          </w:p>
        </w:tc>
      </w:tr>
      <w:tr w:rsidR="009C5942" w:rsidRPr="009A591A" w:rsidTr="00C55135">
        <w:trPr>
          <w:trHeight w:val="427"/>
        </w:trPr>
        <w:tc>
          <w:tcPr>
            <w:tcW w:w="714" w:type="dxa"/>
            <w:tcBorders>
              <w:top w:val="nil"/>
              <w:left w:val="single" w:sz="4" w:space="0" w:color="auto"/>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PL 065</w:t>
            </w:r>
          </w:p>
        </w:tc>
        <w:tc>
          <w:tcPr>
            <w:tcW w:w="1276"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Jenny McCleery</w:t>
            </w:r>
          </w:p>
        </w:tc>
        <w:tc>
          <w:tcPr>
            <w:tcW w:w="3402"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NEW - A drug utilisation study in patients treated with EXELON®/PROMETAX® (rivastigmine) transdermal patch (DEME 3921)</w:t>
            </w:r>
          </w:p>
        </w:tc>
        <w:tc>
          <w:tcPr>
            <w:tcW w:w="1701"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sz w:val="18"/>
                <w:szCs w:val="18"/>
                <w:lang w:eastAsia="en-GB"/>
              </w:rPr>
            </w:pPr>
            <w:r w:rsidRPr="009A591A">
              <w:rPr>
                <w:rFonts w:ascii="Calibri" w:hAnsi="Calibri"/>
                <w:i/>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 </w:t>
            </w:r>
          </w:p>
        </w:tc>
        <w:tc>
          <w:tcPr>
            <w:tcW w:w="850"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Expression of Interest</w:t>
            </w:r>
          </w:p>
        </w:tc>
      </w:tr>
      <w:tr w:rsidR="009C5942" w:rsidRPr="009A591A" w:rsidTr="00C55135">
        <w:trPr>
          <w:trHeight w:val="391"/>
        </w:trPr>
        <w:tc>
          <w:tcPr>
            <w:tcW w:w="714" w:type="dxa"/>
            <w:tcBorders>
              <w:top w:val="nil"/>
              <w:left w:val="single" w:sz="4" w:space="0" w:color="auto"/>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PL 068</w:t>
            </w:r>
          </w:p>
        </w:tc>
        <w:tc>
          <w:tcPr>
            <w:tcW w:w="1276"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Ann Van den Bruel</w:t>
            </w:r>
          </w:p>
        </w:tc>
        <w:tc>
          <w:tcPr>
            <w:tcW w:w="3402"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NEW - Developing and evaluating an ambulatory emergency liaison service for the management of a</w:t>
            </w:r>
            <w:r w:rsidRPr="009A591A">
              <w:rPr>
                <w:rFonts w:ascii="Calibri" w:hAnsi="Calibri"/>
                <w:i/>
                <w:sz w:val="18"/>
                <w:szCs w:val="18"/>
                <w:lang w:eastAsia="en-GB"/>
              </w:rPr>
              <w:t xml:space="preserve">cutely ill children </w:t>
            </w:r>
          </w:p>
        </w:tc>
        <w:tc>
          <w:tcPr>
            <w:tcW w:w="1701"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Non Commercial - NIHR</w:t>
            </w:r>
          </w:p>
        </w:tc>
        <w:tc>
          <w:tcPr>
            <w:tcW w:w="1276"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NIHR</w:t>
            </w:r>
          </w:p>
        </w:tc>
        <w:tc>
          <w:tcPr>
            <w:tcW w:w="850"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£2.3m</w:t>
            </w:r>
          </w:p>
        </w:tc>
        <w:tc>
          <w:tcPr>
            <w:tcW w:w="1087"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Grant Submitted</w:t>
            </w:r>
          </w:p>
        </w:tc>
      </w:tr>
      <w:tr w:rsidR="009C5942" w:rsidRPr="009A591A" w:rsidTr="00C55135">
        <w:trPr>
          <w:trHeight w:val="668"/>
        </w:trPr>
        <w:tc>
          <w:tcPr>
            <w:tcW w:w="714" w:type="dxa"/>
            <w:tcBorders>
              <w:top w:val="nil"/>
              <w:left w:val="single" w:sz="4" w:space="0" w:color="auto"/>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lastRenderedPageBreak/>
              <w:t>PL 069</w:t>
            </w:r>
          </w:p>
        </w:tc>
        <w:tc>
          <w:tcPr>
            <w:tcW w:w="1276"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Rupert McShane</w:t>
            </w:r>
          </w:p>
        </w:tc>
        <w:tc>
          <w:tcPr>
            <w:tcW w:w="3402"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NEW - A Randomized, Double-Blind, Placebo-Controlled, Parallel-Group, 26-Week, Phase 3 Study of Two Doses of EVP-6124 or Placebo in Subjects with Mild to Moderate Alzheimer’s Disease Currently or Previously Receiving an Acetylcholinesterase Inhibitor Medication</w:t>
            </w:r>
          </w:p>
        </w:tc>
        <w:tc>
          <w:tcPr>
            <w:tcW w:w="1701"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sz w:val="18"/>
                <w:szCs w:val="18"/>
                <w:lang w:eastAsia="en-GB"/>
              </w:rPr>
            </w:pPr>
            <w:r w:rsidRPr="009A591A">
              <w:rPr>
                <w:rFonts w:ascii="Calibri" w:hAnsi="Calibri"/>
                <w:i/>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 </w:t>
            </w:r>
          </w:p>
        </w:tc>
        <w:tc>
          <w:tcPr>
            <w:tcW w:w="850"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Expression of Interest</w:t>
            </w:r>
          </w:p>
        </w:tc>
      </w:tr>
      <w:tr w:rsidR="009C5942" w:rsidRPr="009A591A" w:rsidTr="00C55135">
        <w:trPr>
          <w:trHeight w:val="407"/>
        </w:trPr>
        <w:tc>
          <w:tcPr>
            <w:tcW w:w="714" w:type="dxa"/>
            <w:tcBorders>
              <w:top w:val="nil"/>
              <w:left w:val="single" w:sz="4" w:space="0" w:color="auto"/>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PL 070</w:t>
            </w:r>
          </w:p>
        </w:tc>
        <w:tc>
          <w:tcPr>
            <w:tcW w:w="1276"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Rohan Van Der Putt</w:t>
            </w:r>
          </w:p>
        </w:tc>
        <w:tc>
          <w:tcPr>
            <w:tcW w:w="3402"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NEW - DEME 3916</w:t>
            </w:r>
          </w:p>
        </w:tc>
        <w:tc>
          <w:tcPr>
            <w:tcW w:w="1701"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sz w:val="18"/>
                <w:szCs w:val="18"/>
                <w:lang w:eastAsia="en-GB"/>
              </w:rPr>
            </w:pPr>
            <w:r w:rsidRPr="009A591A">
              <w:rPr>
                <w:rFonts w:ascii="Calibri" w:hAnsi="Calibri"/>
                <w:i/>
                <w:sz w:val="18"/>
                <w:szCs w:val="18"/>
                <w:lang w:eastAsia="en-GB"/>
              </w:rPr>
              <w:t>Commercial</w:t>
            </w:r>
          </w:p>
        </w:tc>
        <w:tc>
          <w:tcPr>
            <w:tcW w:w="1276"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 </w:t>
            </w:r>
          </w:p>
        </w:tc>
        <w:tc>
          <w:tcPr>
            <w:tcW w:w="850"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 </w:t>
            </w:r>
          </w:p>
        </w:tc>
        <w:tc>
          <w:tcPr>
            <w:tcW w:w="1087"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Expression of Interest</w:t>
            </w:r>
          </w:p>
        </w:tc>
      </w:tr>
      <w:tr w:rsidR="009C5942" w:rsidRPr="009A591A" w:rsidTr="00C55135">
        <w:trPr>
          <w:trHeight w:val="385"/>
        </w:trPr>
        <w:tc>
          <w:tcPr>
            <w:tcW w:w="714" w:type="dxa"/>
            <w:tcBorders>
              <w:top w:val="nil"/>
              <w:left w:val="single" w:sz="4" w:space="0" w:color="auto"/>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PL 072</w:t>
            </w:r>
          </w:p>
        </w:tc>
        <w:tc>
          <w:tcPr>
            <w:tcW w:w="1276"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rPr>
                <w:rFonts w:ascii="Calibri" w:hAnsi="Calibri"/>
                <w:i/>
                <w:color w:val="000000"/>
                <w:sz w:val="18"/>
                <w:szCs w:val="18"/>
                <w:lang w:eastAsia="en-GB"/>
              </w:rPr>
            </w:pPr>
            <w:r w:rsidRPr="009A591A">
              <w:rPr>
                <w:rFonts w:ascii="Calibri" w:hAnsi="Calibri"/>
                <w:i/>
                <w:color w:val="000000"/>
                <w:sz w:val="18"/>
                <w:szCs w:val="18"/>
                <w:lang w:eastAsia="en-GB"/>
              </w:rPr>
              <w:t>Phil Cowen</w:t>
            </w:r>
          </w:p>
        </w:tc>
        <w:tc>
          <w:tcPr>
            <w:tcW w:w="3402"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 xml:space="preserve">NEW - RCT of ebselen in Acute Mania </w:t>
            </w:r>
          </w:p>
        </w:tc>
        <w:tc>
          <w:tcPr>
            <w:tcW w:w="1701"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Charity</w:t>
            </w:r>
          </w:p>
        </w:tc>
        <w:tc>
          <w:tcPr>
            <w:tcW w:w="1276"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Stanley Foundation</w:t>
            </w:r>
          </w:p>
        </w:tc>
        <w:tc>
          <w:tcPr>
            <w:tcW w:w="850"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£230k</w:t>
            </w:r>
          </w:p>
        </w:tc>
        <w:tc>
          <w:tcPr>
            <w:tcW w:w="1087" w:type="dxa"/>
            <w:tcBorders>
              <w:top w:val="nil"/>
              <w:left w:val="nil"/>
              <w:bottom w:val="single" w:sz="4" w:space="0" w:color="auto"/>
              <w:right w:val="single" w:sz="4" w:space="0" w:color="auto"/>
            </w:tcBorders>
            <w:shd w:val="clear" w:color="auto" w:fill="auto"/>
            <w:hideMark/>
          </w:tcPr>
          <w:p w:rsidR="009C5942" w:rsidRPr="009A591A" w:rsidRDefault="009C5942" w:rsidP="00C55135">
            <w:pPr>
              <w:spacing w:before="0" w:after="0"/>
              <w:jc w:val="center"/>
              <w:rPr>
                <w:rFonts w:ascii="Calibri" w:hAnsi="Calibri"/>
                <w:i/>
                <w:color w:val="000000"/>
                <w:sz w:val="18"/>
                <w:szCs w:val="18"/>
                <w:lang w:eastAsia="en-GB"/>
              </w:rPr>
            </w:pPr>
            <w:r w:rsidRPr="009A591A">
              <w:rPr>
                <w:rFonts w:ascii="Calibri" w:hAnsi="Calibri"/>
                <w:i/>
                <w:color w:val="000000"/>
                <w:sz w:val="18"/>
                <w:szCs w:val="18"/>
                <w:lang w:eastAsia="en-GB"/>
              </w:rPr>
              <w:t>Grant Submitted</w:t>
            </w:r>
          </w:p>
        </w:tc>
      </w:tr>
    </w:tbl>
    <w:p w:rsidR="009C5942" w:rsidRDefault="009C5942" w:rsidP="009C5942">
      <w:pPr>
        <w:spacing w:after="0"/>
        <w:rPr>
          <w:b/>
          <w:sz w:val="20"/>
          <w:szCs w:val="20"/>
        </w:rPr>
      </w:pPr>
    </w:p>
    <w:p w:rsidR="009C5942" w:rsidRDefault="009C5942" w:rsidP="009C5942">
      <w:pPr>
        <w:spacing w:before="0" w:after="0"/>
        <w:jc w:val="center"/>
        <w:rPr>
          <w:b/>
          <w:sz w:val="22"/>
          <w:szCs w:val="22"/>
        </w:rPr>
      </w:pPr>
    </w:p>
    <w:p w:rsidR="009E475A" w:rsidRDefault="009E475A">
      <w:pPr>
        <w:spacing w:before="0" w:after="0"/>
        <w:jc w:val="left"/>
        <w:rPr>
          <w:b/>
          <w:sz w:val="22"/>
          <w:szCs w:val="22"/>
        </w:rPr>
      </w:pPr>
      <w:r>
        <w:rPr>
          <w:b/>
          <w:sz w:val="22"/>
          <w:szCs w:val="22"/>
        </w:rPr>
        <w:br w:type="page"/>
      </w:r>
    </w:p>
    <w:p w:rsidR="009E475A" w:rsidRDefault="009E475A" w:rsidP="009E475A">
      <w:pPr>
        <w:spacing w:before="0" w:after="0"/>
        <w:jc w:val="center"/>
        <w:rPr>
          <w:b/>
          <w:sz w:val="22"/>
          <w:szCs w:val="22"/>
        </w:rPr>
      </w:pPr>
      <w:r>
        <w:rPr>
          <w:b/>
          <w:sz w:val="22"/>
          <w:szCs w:val="22"/>
        </w:rPr>
        <w:lastRenderedPageBreak/>
        <w:t>Appendix D</w:t>
      </w:r>
      <w:r>
        <w:rPr>
          <w:b/>
          <w:sz w:val="22"/>
          <w:szCs w:val="22"/>
        </w:rPr>
        <w:t xml:space="preserve"> </w:t>
      </w:r>
      <w:r>
        <w:rPr>
          <w:b/>
          <w:sz w:val="22"/>
          <w:szCs w:val="22"/>
        </w:rPr>
        <w:t>–</w:t>
      </w:r>
      <w:r>
        <w:rPr>
          <w:b/>
          <w:sz w:val="22"/>
          <w:szCs w:val="22"/>
        </w:rPr>
        <w:t xml:space="preserve"> </w:t>
      </w:r>
      <w:r>
        <w:rPr>
          <w:b/>
          <w:sz w:val="22"/>
          <w:szCs w:val="22"/>
        </w:rPr>
        <w:t>Ketamine Trial</w:t>
      </w:r>
    </w:p>
    <w:p w:rsidR="009E475A" w:rsidRPr="009E475A" w:rsidRDefault="009E475A" w:rsidP="009E475A">
      <w:pPr>
        <w:ind w:left="720"/>
        <w:rPr>
          <w:rFonts w:cs="Arial"/>
          <w:b/>
        </w:rPr>
      </w:pPr>
      <w:r w:rsidRPr="009E475A">
        <w:rPr>
          <w:rFonts w:cs="Arial"/>
          <w:b/>
        </w:rPr>
        <w:t>Background</w:t>
      </w:r>
    </w:p>
    <w:p w:rsidR="009E475A" w:rsidRPr="009E475A" w:rsidRDefault="009E475A" w:rsidP="009E475A">
      <w:pPr>
        <w:ind w:left="720"/>
        <w:rPr>
          <w:rFonts w:cs="Arial"/>
        </w:rPr>
      </w:pPr>
      <w:r w:rsidRPr="009E475A">
        <w:rPr>
          <w:rFonts w:cs="Arial"/>
        </w:rPr>
        <w:t>Professor Phil Cowen approached Dr Rupert McShane about applying for a research grant to look at ketamine being used as a treatment for ‘treatment resistant depression’ in early 2007.  This resulted in two unsuccessful applications to different NIHR programmes before a successful 3rd application for £200k was submitted in 2008.  The 30 month research project started in 2009.  The co-applicants included Professors Cowen and Geddes, and the Oxford University Hospitals anaesthetists who routinely staff the ECT service.</w:t>
      </w:r>
    </w:p>
    <w:p w:rsidR="009E475A" w:rsidRPr="009E475A" w:rsidRDefault="009E475A" w:rsidP="009E475A">
      <w:pPr>
        <w:ind w:left="720"/>
        <w:rPr>
          <w:rFonts w:cs="Arial"/>
        </w:rPr>
      </w:pPr>
      <w:r w:rsidRPr="009E475A">
        <w:rPr>
          <w:rFonts w:cs="Arial"/>
        </w:rPr>
        <w:t>The successful application was for a study to demonstrate safety and the feasibility of doing ketamine infusion treatments alongside routine ECT patients.</w:t>
      </w:r>
    </w:p>
    <w:p w:rsidR="009E475A" w:rsidRPr="009E475A" w:rsidRDefault="009E475A" w:rsidP="009E475A">
      <w:pPr>
        <w:ind w:left="720"/>
        <w:rPr>
          <w:rFonts w:cs="Arial"/>
          <w:b/>
        </w:rPr>
      </w:pPr>
      <w:r w:rsidRPr="009E475A">
        <w:rPr>
          <w:rFonts w:cs="Arial"/>
          <w:b/>
        </w:rPr>
        <w:t>What the research showed</w:t>
      </w:r>
    </w:p>
    <w:p w:rsidR="009E475A" w:rsidRPr="009E475A" w:rsidRDefault="009E475A" w:rsidP="009E475A">
      <w:pPr>
        <w:ind w:left="720"/>
        <w:rPr>
          <w:rFonts w:cs="Arial"/>
        </w:rPr>
      </w:pPr>
      <w:r w:rsidRPr="009E475A">
        <w:rPr>
          <w:rFonts w:cs="Arial"/>
        </w:rPr>
        <w:t>As The Huffington Post put it: ‘Yet another study shows ketamine is an antidepressant’.  We also showed that two infusions were needed to decide whether or not someone was a responder.  The duration of response was variable, but seemed to be longer than in the US studies, perhaps because our patients were also taking routine antidep</w:t>
      </w:r>
      <w:r>
        <w:rPr>
          <w:rFonts w:cs="Arial"/>
        </w:rPr>
        <w:t xml:space="preserve">ressants.  We got a sense that </w:t>
      </w:r>
      <w:r w:rsidRPr="009E475A">
        <w:rPr>
          <w:rFonts w:cs="Arial"/>
        </w:rPr>
        <w:t xml:space="preserve">elderly patients are less likely to be responders.  It worked well doing the treatments in the ECT suite. </w:t>
      </w:r>
    </w:p>
    <w:p w:rsidR="009E475A" w:rsidRPr="009E475A" w:rsidRDefault="009E475A" w:rsidP="009E475A">
      <w:pPr>
        <w:ind w:left="720"/>
        <w:rPr>
          <w:rFonts w:cs="Arial"/>
          <w:b/>
        </w:rPr>
      </w:pPr>
      <w:r w:rsidRPr="009E475A">
        <w:rPr>
          <w:rFonts w:cs="Arial"/>
          <w:b/>
        </w:rPr>
        <w:t>What the research led to</w:t>
      </w:r>
    </w:p>
    <w:p w:rsidR="009E475A" w:rsidRPr="009E475A" w:rsidRDefault="009E475A" w:rsidP="009E475A">
      <w:pPr>
        <w:ind w:left="720"/>
        <w:rPr>
          <w:rFonts w:cs="Arial"/>
        </w:rPr>
      </w:pPr>
      <w:r w:rsidRPr="009E475A">
        <w:rPr>
          <w:rFonts w:cs="Arial"/>
        </w:rPr>
        <w:t xml:space="preserve">Ketamine is a drug of abuse so managing the publicity around publication was vital.  We had excellent advice from the University of Oxford Press Office and ran this through the Wellcome Trust Science and Media Centre.  Medical journalists from all major dailies attended.  It was picked up by ‘Today’ resulting in global coverage for a couple of days.  </w:t>
      </w:r>
    </w:p>
    <w:p w:rsidR="009E475A" w:rsidRPr="009E475A" w:rsidRDefault="009E475A" w:rsidP="009E475A">
      <w:pPr>
        <w:ind w:left="720"/>
        <w:rPr>
          <w:rFonts w:cs="Arial"/>
        </w:rPr>
      </w:pPr>
      <w:r>
        <w:rPr>
          <w:rFonts w:cs="Arial"/>
        </w:rPr>
        <w:t xml:space="preserve">In the press release we put </w:t>
      </w:r>
      <w:r w:rsidRPr="009E475A">
        <w:rPr>
          <w:rFonts w:cs="Arial"/>
        </w:rPr>
        <w:t>a survey monkey link (https://www.surveymonkey.com/s/9RQP5KL) through which we have had 545 responses.  This has been an important way of capturing an idea of demand, and in building a community. We set up monthly teleconferences with other NHS and University doctors so that we could form a network.  We have helped several clinics to develop protocols.  One in particular has started to offer ketamine infusions, as a private service. We have made it possible for others to use the same technological text based mood monitoring instrument as us (True Colours) so we can potentially aggregate data in the future to aid further research in this area.  We have successfully applied to become an NIHR mental health network writing group to generate new grant proposals.  The whole process was an exemplar for the Oxford Health NHS FT’s Drugs and Therapeutics Committee to develop new processes for managing innovation.</w:t>
      </w:r>
    </w:p>
    <w:p w:rsidR="009E475A" w:rsidRPr="009E475A" w:rsidRDefault="009E475A" w:rsidP="009E475A">
      <w:pPr>
        <w:ind w:left="720"/>
        <w:rPr>
          <w:rFonts w:cs="Arial"/>
          <w:b/>
        </w:rPr>
      </w:pPr>
      <w:r w:rsidRPr="009E475A">
        <w:rPr>
          <w:rFonts w:cs="Arial"/>
          <w:b/>
        </w:rPr>
        <w:t>What next?</w:t>
      </w:r>
    </w:p>
    <w:p w:rsidR="009E475A" w:rsidRPr="009E475A" w:rsidRDefault="009E475A" w:rsidP="009E475A">
      <w:pPr>
        <w:ind w:left="720"/>
        <w:rPr>
          <w:rFonts w:cs="Arial"/>
        </w:rPr>
      </w:pPr>
      <w:r w:rsidRPr="009E475A">
        <w:rPr>
          <w:rFonts w:cs="Arial"/>
        </w:rPr>
        <w:t xml:space="preserve">The acute effect of the treatment can be dramatic.  It may eventually turn out to be a particularly useful treatment in those who are acutely suicidal.  This treatment is </w:t>
      </w:r>
      <w:r w:rsidRPr="009E475A">
        <w:rPr>
          <w:rFonts w:cs="Arial"/>
        </w:rPr>
        <w:lastRenderedPageBreak/>
        <w:t>innovative so it has been tried primarily on the sickest, most treatment-resistant patients, including a small number of inpatients.  The challenges are: how can we best maintain the duration of effect? And how can we use it less severely ill patients?  It is difficult to see a future in which ketamine does not have a role to play in the treatment of depression.  It may also be useful for other major psychiatric conditions such as anorexia and PTSD.</w:t>
      </w:r>
    </w:p>
    <w:p w:rsidR="009E475A" w:rsidRPr="009E475A" w:rsidRDefault="009E475A" w:rsidP="009E475A">
      <w:pPr>
        <w:ind w:left="720"/>
        <w:rPr>
          <w:rFonts w:cs="Arial"/>
        </w:rPr>
      </w:pPr>
      <w:r w:rsidRPr="009E475A">
        <w:rPr>
          <w:rFonts w:cs="Arial"/>
        </w:rPr>
        <w:t>The support of Trust s</w:t>
      </w:r>
      <w:r>
        <w:rPr>
          <w:rFonts w:cs="Arial"/>
        </w:rPr>
        <w:t xml:space="preserve">enior managers and accountants </w:t>
      </w:r>
      <w:r w:rsidRPr="009E475A">
        <w:rPr>
          <w:rFonts w:cs="Arial"/>
        </w:rPr>
        <w:t xml:space="preserve">has been vital in turning this research from an interesting study into something that has real clinical impact.  By funding a continuation post, it became possible to continue to treat patients after the research finished.  Consequently, we are now at the forefront of experience using ketamine treatment worldwide.  This clinical exploration has also put us in a position of real strength to make judgements about what research avenues are worth pursuing further in future.  It has also attracted commercial research interest.  </w:t>
      </w:r>
    </w:p>
    <w:p w:rsidR="009E475A" w:rsidRPr="009E475A" w:rsidRDefault="009E475A" w:rsidP="009E475A">
      <w:pPr>
        <w:ind w:left="720"/>
        <w:rPr>
          <w:rFonts w:cs="Arial"/>
        </w:rPr>
      </w:pPr>
      <w:r w:rsidRPr="009E475A">
        <w:rPr>
          <w:rFonts w:cs="Arial"/>
        </w:rPr>
        <w:t xml:space="preserve">It is planned that a paid-for service at the Warneford Hospital will start in Spring 2015.  </w:t>
      </w:r>
    </w:p>
    <w:p w:rsidR="009E475A" w:rsidRPr="009E475A" w:rsidRDefault="009E475A" w:rsidP="009E475A">
      <w:pPr>
        <w:ind w:left="720"/>
        <w:rPr>
          <w:rFonts w:cs="Arial"/>
        </w:rPr>
      </w:pPr>
    </w:p>
    <w:p w:rsidR="009E475A" w:rsidRPr="009E475A" w:rsidRDefault="009E475A" w:rsidP="009E475A">
      <w:pPr>
        <w:ind w:left="720"/>
        <w:rPr>
          <w:rFonts w:cs="Arial"/>
        </w:rPr>
      </w:pPr>
      <w:r w:rsidRPr="009E475A">
        <w:rPr>
          <w:rFonts w:cs="Arial"/>
        </w:rPr>
        <w:t>Dr Rupert McShane</w:t>
      </w:r>
    </w:p>
    <w:p w:rsidR="009E475A" w:rsidRPr="009E475A" w:rsidRDefault="009E475A" w:rsidP="009E475A">
      <w:pPr>
        <w:ind w:left="720"/>
        <w:rPr>
          <w:rFonts w:cs="Arial"/>
        </w:rPr>
      </w:pPr>
      <w:r w:rsidRPr="009E475A">
        <w:rPr>
          <w:rFonts w:cs="Arial"/>
        </w:rPr>
        <w:t>Consultant Psychiatrist</w:t>
      </w:r>
    </w:p>
    <w:p w:rsidR="007B7252" w:rsidRPr="009E475A" w:rsidRDefault="009E475A" w:rsidP="009E475A">
      <w:pPr>
        <w:ind w:left="720"/>
        <w:rPr>
          <w:rFonts w:cs="Arial"/>
        </w:rPr>
      </w:pPr>
      <w:r w:rsidRPr="009E475A">
        <w:rPr>
          <w:rFonts w:cs="Arial"/>
        </w:rPr>
        <w:t>Oxford Health NHS Foundation Trust</w:t>
      </w:r>
    </w:p>
    <w:sectPr w:rsidR="007B7252" w:rsidRPr="009E475A" w:rsidSect="00EB0402">
      <w:headerReference w:type="default" r:id="rId12"/>
      <w:footerReference w:type="default" r:id="rId1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CC9" w:rsidRDefault="00EA2CC9" w:rsidP="005B3E3C">
      <w:r>
        <w:separator/>
      </w:r>
    </w:p>
  </w:endnote>
  <w:endnote w:type="continuationSeparator" w:id="0">
    <w:p w:rsidR="00EA2CC9" w:rsidRDefault="00EA2CC9" w:rsidP="005B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Corbe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9204"/>
      <w:docPartObj>
        <w:docPartGallery w:val="Page Numbers (Bottom of Page)"/>
        <w:docPartUnique/>
      </w:docPartObj>
    </w:sdtPr>
    <w:sdtEndPr/>
    <w:sdtContent>
      <w:p w:rsidR="00FF7691" w:rsidRDefault="00FF7691">
        <w:pPr>
          <w:pStyle w:val="Footer"/>
          <w:jc w:val="center"/>
        </w:pPr>
        <w:r>
          <w:fldChar w:fldCharType="begin"/>
        </w:r>
        <w:r>
          <w:instrText xml:space="preserve"> PAGE   \* MERGEFORMAT </w:instrText>
        </w:r>
        <w:r>
          <w:fldChar w:fldCharType="separate"/>
        </w:r>
        <w:r w:rsidR="009E475A">
          <w:rPr>
            <w:noProof/>
          </w:rPr>
          <w:t>6</w:t>
        </w:r>
        <w:r>
          <w:rPr>
            <w:noProof/>
          </w:rPr>
          <w:fldChar w:fldCharType="end"/>
        </w:r>
      </w:p>
    </w:sdtContent>
  </w:sdt>
  <w:p w:rsidR="00FF7691" w:rsidRDefault="00FF7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CC9" w:rsidRDefault="00EA2CC9" w:rsidP="005B3E3C">
      <w:r>
        <w:separator/>
      </w:r>
    </w:p>
  </w:footnote>
  <w:footnote w:type="continuationSeparator" w:id="0">
    <w:p w:rsidR="00EA2CC9" w:rsidRDefault="00EA2CC9" w:rsidP="005B3E3C">
      <w:r>
        <w:continuationSeparator/>
      </w:r>
    </w:p>
  </w:footnote>
  <w:footnote w:id="1">
    <w:p w:rsidR="00FF7691" w:rsidRPr="007B2344" w:rsidRDefault="00FF7691" w:rsidP="00E23B7A">
      <w:pPr>
        <w:pStyle w:val="FootnoteText"/>
        <w:rPr>
          <w:lang w:val="en-GB"/>
        </w:rPr>
      </w:pPr>
      <w:r>
        <w:rPr>
          <w:rStyle w:val="FootnoteReference"/>
        </w:rPr>
        <w:footnoteRef/>
      </w:r>
      <w:r>
        <w:t xml:space="preserve"> </w:t>
      </w:r>
      <w:r>
        <w:rPr>
          <w:lang w:val="en-GB"/>
        </w:rPr>
        <w:t>A valid research application is a complete research application that has been received by the NHS organisation following its submission via the Integrated Research Application System (IRAS) that enables review by other agencies (including, but not limited to Research Ethics Committee and MHRA approval) to be conducted in parallel with the work on NHS permission by the contractor.  For studies going through the NIHR Coordinated System for gaining NHS Permission (CSP) this will include a valid site specific information ford (SSI) and local associated documents as detailed on the IRAS checklist.  Non CSP studies are also required to submit a valid application for both study wide and local reviews as detailed on the IRAS checklist.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91" w:rsidRPr="005B3E3C" w:rsidRDefault="00FF7691" w:rsidP="005B3E3C">
    <w:pPr>
      <w:pStyle w:val="Header"/>
      <w:jc w:val="center"/>
      <w:rPr>
        <w:rFonts w:cs="Arial"/>
      </w:rPr>
    </w:pPr>
    <w:r>
      <w:rPr>
        <w:rFonts w:cs="Arial"/>
      </w:rPr>
      <w:t>[</w:t>
    </w:r>
    <w:r>
      <w:rPr>
        <w:rFonts w:cs="Arial"/>
        <w:b/>
        <w:i/>
      </w:rPr>
      <w:t>PUBLIC</w:t>
    </w:r>
    <w:r>
      <w:rPr>
        <w:rFonts w:cs="Arial"/>
        <w:sz w:val="20"/>
        <w:szCs w:val="20"/>
      </w:rPr>
      <w:t xml:space="preserve"> </w:t>
    </w:r>
    <w:r>
      <w:rPr>
        <w:rFonts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840"/>
    <w:multiLevelType w:val="hybridMultilevel"/>
    <w:tmpl w:val="E9142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2130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726799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2C83F9A"/>
    <w:multiLevelType w:val="hybridMultilevel"/>
    <w:tmpl w:val="663801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D6F88"/>
    <w:multiLevelType w:val="hybridMultilevel"/>
    <w:tmpl w:val="0A1A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F76186"/>
    <w:multiLevelType w:val="hybridMultilevel"/>
    <w:tmpl w:val="539C1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4213C9"/>
    <w:multiLevelType w:val="hybridMultilevel"/>
    <w:tmpl w:val="842AE5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A2344B"/>
    <w:multiLevelType w:val="hybridMultilevel"/>
    <w:tmpl w:val="C43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123BB9"/>
    <w:multiLevelType w:val="hybridMultilevel"/>
    <w:tmpl w:val="BC86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4974C3"/>
    <w:multiLevelType w:val="hybridMultilevel"/>
    <w:tmpl w:val="40F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27743B"/>
    <w:multiLevelType w:val="hybridMultilevel"/>
    <w:tmpl w:val="F59888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47C75FAC"/>
    <w:multiLevelType w:val="hybridMultilevel"/>
    <w:tmpl w:val="3BF0EF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2024DDB"/>
    <w:multiLevelType w:val="hybridMultilevel"/>
    <w:tmpl w:val="24727E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43E65"/>
    <w:multiLevelType w:val="hybridMultilevel"/>
    <w:tmpl w:val="BD2247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9BF3DAE"/>
    <w:multiLevelType w:val="hybridMultilevel"/>
    <w:tmpl w:val="ECF62F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EC4327"/>
    <w:multiLevelType w:val="hybridMultilevel"/>
    <w:tmpl w:val="EE94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980634"/>
    <w:multiLevelType w:val="hybridMultilevel"/>
    <w:tmpl w:val="4DCE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E01DDA"/>
    <w:multiLevelType w:val="hybridMultilevel"/>
    <w:tmpl w:val="0368F80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8">
    <w:nsid w:val="69BF15E2"/>
    <w:multiLevelType w:val="hybridMultilevel"/>
    <w:tmpl w:val="42C2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910E17"/>
    <w:multiLevelType w:val="hybridMultilevel"/>
    <w:tmpl w:val="63F2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3037E3"/>
    <w:multiLevelType w:val="hybridMultilevel"/>
    <w:tmpl w:val="39CA5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6"/>
  </w:num>
  <w:num w:numId="4">
    <w:abstractNumId w:val="7"/>
  </w:num>
  <w:num w:numId="5">
    <w:abstractNumId w:val="14"/>
  </w:num>
  <w:num w:numId="6">
    <w:abstractNumId w:val="2"/>
  </w:num>
  <w:num w:numId="7">
    <w:abstractNumId w:val="8"/>
  </w:num>
  <w:num w:numId="8">
    <w:abstractNumId w:val="15"/>
  </w:num>
  <w:num w:numId="9">
    <w:abstractNumId w:val="18"/>
  </w:num>
  <w:num w:numId="10">
    <w:abstractNumId w:val="17"/>
  </w:num>
  <w:num w:numId="11">
    <w:abstractNumId w:val="1"/>
  </w:num>
  <w:num w:numId="12">
    <w:abstractNumId w:val="1"/>
    <w:lvlOverride w:ilvl="0">
      <w:startOverride w:val="5"/>
    </w:lvlOverride>
  </w:num>
  <w:num w:numId="13">
    <w:abstractNumId w:val="6"/>
  </w:num>
  <w:num w:numId="14">
    <w:abstractNumId w:val="0"/>
  </w:num>
  <w:num w:numId="15">
    <w:abstractNumId w:val="12"/>
  </w:num>
  <w:num w:numId="16">
    <w:abstractNumId w:val="3"/>
  </w:num>
  <w:num w:numId="17">
    <w:abstractNumId w:val="20"/>
  </w:num>
  <w:num w:numId="18">
    <w:abstractNumId w:val="19"/>
  </w:num>
  <w:num w:numId="19">
    <w:abstractNumId w:val="4"/>
  </w:num>
  <w:num w:numId="20">
    <w:abstractNumId w:val="5"/>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E8"/>
    <w:rsid w:val="00000017"/>
    <w:rsid w:val="00007921"/>
    <w:rsid w:val="00025680"/>
    <w:rsid w:val="000447B7"/>
    <w:rsid w:val="00045FC7"/>
    <w:rsid w:val="0004717C"/>
    <w:rsid w:val="00052014"/>
    <w:rsid w:val="00053E9C"/>
    <w:rsid w:val="0007743B"/>
    <w:rsid w:val="00085200"/>
    <w:rsid w:val="000963FE"/>
    <w:rsid w:val="000B3543"/>
    <w:rsid w:val="000C040F"/>
    <w:rsid w:val="000C2DF4"/>
    <w:rsid w:val="000C5B15"/>
    <w:rsid w:val="000D368B"/>
    <w:rsid w:val="000D6763"/>
    <w:rsid w:val="000E3068"/>
    <w:rsid w:val="000E33E4"/>
    <w:rsid w:val="000F2D6A"/>
    <w:rsid w:val="0011026C"/>
    <w:rsid w:val="00110923"/>
    <w:rsid w:val="00112658"/>
    <w:rsid w:val="001217A2"/>
    <w:rsid w:val="00142326"/>
    <w:rsid w:val="00143529"/>
    <w:rsid w:val="00144009"/>
    <w:rsid w:val="0015197A"/>
    <w:rsid w:val="00156834"/>
    <w:rsid w:val="00160147"/>
    <w:rsid w:val="00171EAB"/>
    <w:rsid w:val="0018103A"/>
    <w:rsid w:val="001832D9"/>
    <w:rsid w:val="00185136"/>
    <w:rsid w:val="00185CF4"/>
    <w:rsid w:val="001909B9"/>
    <w:rsid w:val="00193A96"/>
    <w:rsid w:val="00197F65"/>
    <w:rsid w:val="001A193F"/>
    <w:rsid w:val="001E5A95"/>
    <w:rsid w:val="001F76ED"/>
    <w:rsid w:val="00203704"/>
    <w:rsid w:val="00213AC0"/>
    <w:rsid w:val="002143B8"/>
    <w:rsid w:val="00217764"/>
    <w:rsid w:val="00220FB1"/>
    <w:rsid w:val="00227FCE"/>
    <w:rsid w:val="00231278"/>
    <w:rsid w:val="00232337"/>
    <w:rsid w:val="00236510"/>
    <w:rsid w:val="00236A0A"/>
    <w:rsid w:val="00237382"/>
    <w:rsid w:val="00245847"/>
    <w:rsid w:val="002516BA"/>
    <w:rsid w:val="002619EF"/>
    <w:rsid w:val="00261D54"/>
    <w:rsid w:val="00263D1F"/>
    <w:rsid w:val="00272563"/>
    <w:rsid w:val="0028184A"/>
    <w:rsid w:val="002821F8"/>
    <w:rsid w:val="0028772A"/>
    <w:rsid w:val="00292613"/>
    <w:rsid w:val="002A07AA"/>
    <w:rsid w:val="002A1517"/>
    <w:rsid w:val="002A73E8"/>
    <w:rsid w:val="002B5507"/>
    <w:rsid w:val="002C2F97"/>
    <w:rsid w:val="002C3CD6"/>
    <w:rsid w:val="002D020A"/>
    <w:rsid w:val="002D0EB2"/>
    <w:rsid w:val="002D0EF7"/>
    <w:rsid w:val="002E1562"/>
    <w:rsid w:val="002E324D"/>
    <w:rsid w:val="002E6985"/>
    <w:rsid w:val="002E6FC6"/>
    <w:rsid w:val="002F1851"/>
    <w:rsid w:val="002F1EDB"/>
    <w:rsid w:val="002F70B5"/>
    <w:rsid w:val="00322BB7"/>
    <w:rsid w:val="0032373A"/>
    <w:rsid w:val="00331241"/>
    <w:rsid w:val="00333D76"/>
    <w:rsid w:val="00335416"/>
    <w:rsid w:val="00340A32"/>
    <w:rsid w:val="00340CE6"/>
    <w:rsid w:val="00345BFA"/>
    <w:rsid w:val="0035353A"/>
    <w:rsid w:val="00361125"/>
    <w:rsid w:val="00381BC8"/>
    <w:rsid w:val="003971F6"/>
    <w:rsid w:val="003A761B"/>
    <w:rsid w:val="003B7C0D"/>
    <w:rsid w:val="003E5055"/>
    <w:rsid w:val="003E6096"/>
    <w:rsid w:val="003F445B"/>
    <w:rsid w:val="004028CD"/>
    <w:rsid w:val="00405489"/>
    <w:rsid w:val="00410BDF"/>
    <w:rsid w:val="00412500"/>
    <w:rsid w:val="004144F0"/>
    <w:rsid w:val="004326BB"/>
    <w:rsid w:val="0043292F"/>
    <w:rsid w:val="00435F92"/>
    <w:rsid w:val="00441AEA"/>
    <w:rsid w:val="004458C4"/>
    <w:rsid w:val="00455012"/>
    <w:rsid w:val="00461E18"/>
    <w:rsid w:val="00481401"/>
    <w:rsid w:val="004863F4"/>
    <w:rsid w:val="00492871"/>
    <w:rsid w:val="004A2971"/>
    <w:rsid w:val="004C0EF7"/>
    <w:rsid w:val="004C5B30"/>
    <w:rsid w:val="004E5249"/>
    <w:rsid w:val="004F1CE4"/>
    <w:rsid w:val="004F4BBA"/>
    <w:rsid w:val="00503868"/>
    <w:rsid w:val="00507A2F"/>
    <w:rsid w:val="005168CC"/>
    <w:rsid w:val="00516AE8"/>
    <w:rsid w:val="00517C55"/>
    <w:rsid w:val="005233AA"/>
    <w:rsid w:val="00525B71"/>
    <w:rsid w:val="00531617"/>
    <w:rsid w:val="0053659B"/>
    <w:rsid w:val="0053685D"/>
    <w:rsid w:val="005462EB"/>
    <w:rsid w:val="00546E14"/>
    <w:rsid w:val="00551B0F"/>
    <w:rsid w:val="00564AD2"/>
    <w:rsid w:val="005659FB"/>
    <w:rsid w:val="00575C61"/>
    <w:rsid w:val="005840C9"/>
    <w:rsid w:val="00585AB7"/>
    <w:rsid w:val="005905AB"/>
    <w:rsid w:val="005911B2"/>
    <w:rsid w:val="00594DDB"/>
    <w:rsid w:val="005A075E"/>
    <w:rsid w:val="005A27CA"/>
    <w:rsid w:val="005A6E6C"/>
    <w:rsid w:val="005A71F8"/>
    <w:rsid w:val="005B33E5"/>
    <w:rsid w:val="005B3E3C"/>
    <w:rsid w:val="005B6446"/>
    <w:rsid w:val="005C179F"/>
    <w:rsid w:val="005C39EB"/>
    <w:rsid w:val="005C3EC1"/>
    <w:rsid w:val="005C3FC1"/>
    <w:rsid w:val="005D3499"/>
    <w:rsid w:val="005E2583"/>
    <w:rsid w:val="005E4C97"/>
    <w:rsid w:val="00605F5F"/>
    <w:rsid w:val="006079FC"/>
    <w:rsid w:val="0061684E"/>
    <w:rsid w:val="00621761"/>
    <w:rsid w:val="00622E28"/>
    <w:rsid w:val="00623EE6"/>
    <w:rsid w:val="00625722"/>
    <w:rsid w:val="00634A60"/>
    <w:rsid w:val="006465AF"/>
    <w:rsid w:val="00653AFF"/>
    <w:rsid w:val="006658DD"/>
    <w:rsid w:val="0068138D"/>
    <w:rsid w:val="006820A1"/>
    <w:rsid w:val="0069120C"/>
    <w:rsid w:val="00694BD4"/>
    <w:rsid w:val="006A7415"/>
    <w:rsid w:val="006B0673"/>
    <w:rsid w:val="006B546A"/>
    <w:rsid w:val="006B5777"/>
    <w:rsid w:val="006C27DA"/>
    <w:rsid w:val="006C31E0"/>
    <w:rsid w:val="006D305A"/>
    <w:rsid w:val="006D47C4"/>
    <w:rsid w:val="006D7D89"/>
    <w:rsid w:val="006E23DA"/>
    <w:rsid w:val="006E39F8"/>
    <w:rsid w:val="006E7ACA"/>
    <w:rsid w:val="006F1415"/>
    <w:rsid w:val="006F36A4"/>
    <w:rsid w:val="00700DF1"/>
    <w:rsid w:val="00703D0E"/>
    <w:rsid w:val="00705028"/>
    <w:rsid w:val="007057D4"/>
    <w:rsid w:val="007212D6"/>
    <w:rsid w:val="00726459"/>
    <w:rsid w:val="007343B4"/>
    <w:rsid w:val="00734C1D"/>
    <w:rsid w:val="0073522A"/>
    <w:rsid w:val="00745EAC"/>
    <w:rsid w:val="00746E67"/>
    <w:rsid w:val="007567B9"/>
    <w:rsid w:val="00763247"/>
    <w:rsid w:val="00765972"/>
    <w:rsid w:val="00770F15"/>
    <w:rsid w:val="00771074"/>
    <w:rsid w:val="0077209B"/>
    <w:rsid w:val="00774751"/>
    <w:rsid w:val="007769CD"/>
    <w:rsid w:val="00780029"/>
    <w:rsid w:val="0078032B"/>
    <w:rsid w:val="00781566"/>
    <w:rsid w:val="007847D4"/>
    <w:rsid w:val="00787469"/>
    <w:rsid w:val="007976E7"/>
    <w:rsid w:val="007A1320"/>
    <w:rsid w:val="007A1909"/>
    <w:rsid w:val="007B0EC6"/>
    <w:rsid w:val="007B2105"/>
    <w:rsid w:val="007B2344"/>
    <w:rsid w:val="007B54B0"/>
    <w:rsid w:val="007B7252"/>
    <w:rsid w:val="007D630D"/>
    <w:rsid w:val="007F0152"/>
    <w:rsid w:val="007F15E6"/>
    <w:rsid w:val="0080148A"/>
    <w:rsid w:val="00802701"/>
    <w:rsid w:val="008038A2"/>
    <w:rsid w:val="00806F8E"/>
    <w:rsid w:val="00811FE8"/>
    <w:rsid w:val="008150D8"/>
    <w:rsid w:val="008179D6"/>
    <w:rsid w:val="008239C3"/>
    <w:rsid w:val="00826D7D"/>
    <w:rsid w:val="0085140E"/>
    <w:rsid w:val="008576CD"/>
    <w:rsid w:val="008604D7"/>
    <w:rsid w:val="0086436B"/>
    <w:rsid w:val="00867CEF"/>
    <w:rsid w:val="0087117D"/>
    <w:rsid w:val="00874689"/>
    <w:rsid w:val="008877F4"/>
    <w:rsid w:val="00894B97"/>
    <w:rsid w:val="00896D17"/>
    <w:rsid w:val="00897CD9"/>
    <w:rsid w:val="008A0EE0"/>
    <w:rsid w:val="008A2B27"/>
    <w:rsid w:val="008A4267"/>
    <w:rsid w:val="008A6D5A"/>
    <w:rsid w:val="008B0749"/>
    <w:rsid w:val="008C1316"/>
    <w:rsid w:val="008C2E8A"/>
    <w:rsid w:val="008C7E6B"/>
    <w:rsid w:val="008E3144"/>
    <w:rsid w:val="008E44CB"/>
    <w:rsid w:val="008F094B"/>
    <w:rsid w:val="00902834"/>
    <w:rsid w:val="0090448C"/>
    <w:rsid w:val="009131A4"/>
    <w:rsid w:val="009314B3"/>
    <w:rsid w:val="00946E6E"/>
    <w:rsid w:val="00962811"/>
    <w:rsid w:val="00964BA8"/>
    <w:rsid w:val="0096694A"/>
    <w:rsid w:val="00992804"/>
    <w:rsid w:val="0099769D"/>
    <w:rsid w:val="009A591A"/>
    <w:rsid w:val="009B13E8"/>
    <w:rsid w:val="009B206D"/>
    <w:rsid w:val="009B4729"/>
    <w:rsid w:val="009B51DB"/>
    <w:rsid w:val="009C3118"/>
    <w:rsid w:val="009C5942"/>
    <w:rsid w:val="009C59B8"/>
    <w:rsid w:val="009C7D8C"/>
    <w:rsid w:val="009D6E3B"/>
    <w:rsid w:val="009E475A"/>
    <w:rsid w:val="009F05D8"/>
    <w:rsid w:val="009F53CE"/>
    <w:rsid w:val="00A00087"/>
    <w:rsid w:val="00A21890"/>
    <w:rsid w:val="00A2673C"/>
    <w:rsid w:val="00A434A2"/>
    <w:rsid w:val="00A51501"/>
    <w:rsid w:val="00A5483D"/>
    <w:rsid w:val="00A557AC"/>
    <w:rsid w:val="00A674FB"/>
    <w:rsid w:val="00A67D05"/>
    <w:rsid w:val="00A8383C"/>
    <w:rsid w:val="00A85311"/>
    <w:rsid w:val="00A91CA5"/>
    <w:rsid w:val="00A941AF"/>
    <w:rsid w:val="00A97883"/>
    <w:rsid w:val="00AA0C3F"/>
    <w:rsid w:val="00AA12BA"/>
    <w:rsid w:val="00AA219B"/>
    <w:rsid w:val="00AC1C51"/>
    <w:rsid w:val="00AC3814"/>
    <w:rsid w:val="00AC50A3"/>
    <w:rsid w:val="00AC5707"/>
    <w:rsid w:val="00AC6AE5"/>
    <w:rsid w:val="00AD29F6"/>
    <w:rsid w:val="00AD422C"/>
    <w:rsid w:val="00AD4E7B"/>
    <w:rsid w:val="00AE06FB"/>
    <w:rsid w:val="00AE0D75"/>
    <w:rsid w:val="00AE11DF"/>
    <w:rsid w:val="00AF0562"/>
    <w:rsid w:val="00B02568"/>
    <w:rsid w:val="00B04DA0"/>
    <w:rsid w:val="00B26E1A"/>
    <w:rsid w:val="00B274C8"/>
    <w:rsid w:val="00B27885"/>
    <w:rsid w:val="00B27ADA"/>
    <w:rsid w:val="00B366EA"/>
    <w:rsid w:val="00B40BBD"/>
    <w:rsid w:val="00B46460"/>
    <w:rsid w:val="00B466A4"/>
    <w:rsid w:val="00B46735"/>
    <w:rsid w:val="00B46C2E"/>
    <w:rsid w:val="00B50D5E"/>
    <w:rsid w:val="00B51AA2"/>
    <w:rsid w:val="00B545E8"/>
    <w:rsid w:val="00B63A0A"/>
    <w:rsid w:val="00B76764"/>
    <w:rsid w:val="00B76EED"/>
    <w:rsid w:val="00B9132C"/>
    <w:rsid w:val="00B91A88"/>
    <w:rsid w:val="00B9481B"/>
    <w:rsid w:val="00BA3B3E"/>
    <w:rsid w:val="00BB00CA"/>
    <w:rsid w:val="00BB2C81"/>
    <w:rsid w:val="00BC53E4"/>
    <w:rsid w:val="00BD4A17"/>
    <w:rsid w:val="00BE1545"/>
    <w:rsid w:val="00BF3C8F"/>
    <w:rsid w:val="00BF5367"/>
    <w:rsid w:val="00C07817"/>
    <w:rsid w:val="00C11AA2"/>
    <w:rsid w:val="00C14BF2"/>
    <w:rsid w:val="00C16D52"/>
    <w:rsid w:val="00C2360F"/>
    <w:rsid w:val="00C25832"/>
    <w:rsid w:val="00C371E8"/>
    <w:rsid w:val="00C4517B"/>
    <w:rsid w:val="00C51B42"/>
    <w:rsid w:val="00C55135"/>
    <w:rsid w:val="00C5553A"/>
    <w:rsid w:val="00C60A2E"/>
    <w:rsid w:val="00C61CB9"/>
    <w:rsid w:val="00C620F9"/>
    <w:rsid w:val="00C642FB"/>
    <w:rsid w:val="00C65B5B"/>
    <w:rsid w:val="00C91281"/>
    <w:rsid w:val="00C91374"/>
    <w:rsid w:val="00C91DDA"/>
    <w:rsid w:val="00CA13FF"/>
    <w:rsid w:val="00CA19EF"/>
    <w:rsid w:val="00CD1982"/>
    <w:rsid w:val="00CD77D7"/>
    <w:rsid w:val="00CE0303"/>
    <w:rsid w:val="00CE03F9"/>
    <w:rsid w:val="00CE0BC3"/>
    <w:rsid w:val="00CE15B9"/>
    <w:rsid w:val="00CE32B2"/>
    <w:rsid w:val="00CE4B87"/>
    <w:rsid w:val="00CF13D0"/>
    <w:rsid w:val="00CF19CD"/>
    <w:rsid w:val="00CF4850"/>
    <w:rsid w:val="00CF753B"/>
    <w:rsid w:val="00D03AD6"/>
    <w:rsid w:val="00D04B31"/>
    <w:rsid w:val="00D07064"/>
    <w:rsid w:val="00D17209"/>
    <w:rsid w:val="00D279FC"/>
    <w:rsid w:val="00D425AA"/>
    <w:rsid w:val="00D42695"/>
    <w:rsid w:val="00D5029F"/>
    <w:rsid w:val="00D55ADD"/>
    <w:rsid w:val="00D6695E"/>
    <w:rsid w:val="00D67B8D"/>
    <w:rsid w:val="00D71296"/>
    <w:rsid w:val="00D71F4D"/>
    <w:rsid w:val="00D73D56"/>
    <w:rsid w:val="00D75E82"/>
    <w:rsid w:val="00D76D0B"/>
    <w:rsid w:val="00D80C7D"/>
    <w:rsid w:val="00D82FF9"/>
    <w:rsid w:val="00D8544F"/>
    <w:rsid w:val="00D936BB"/>
    <w:rsid w:val="00DA0FA6"/>
    <w:rsid w:val="00DA106A"/>
    <w:rsid w:val="00DA7EB7"/>
    <w:rsid w:val="00DC0C7F"/>
    <w:rsid w:val="00DC3177"/>
    <w:rsid w:val="00DD33DF"/>
    <w:rsid w:val="00DD76D3"/>
    <w:rsid w:val="00DE1293"/>
    <w:rsid w:val="00DF7751"/>
    <w:rsid w:val="00E05341"/>
    <w:rsid w:val="00E13639"/>
    <w:rsid w:val="00E14C2D"/>
    <w:rsid w:val="00E23B7A"/>
    <w:rsid w:val="00E27952"/>
    <w:rsid w:val="00E301CB"/>
    <w:rsid w:val="00E3381E"/>
    <w:rsid w:val="00E40938"/>
    <w:rsid w:val="00E41C88"/>
    <w:rsid w:val="00E51CDA"/>
    <w:rsid w:val="00E56B5A"/>
    <w:rsid w:val="00E614BE"/>
    <w:rsid w:val="00E72E7B"/>
    <w:rsid w:val="00E764F2"/>
    <w:rsid w:val="00E827C5"/>
    <w:rsid w:val="00E82FCD"/>
    <w:rsid w:val="00E942B6"/>
    <w:rsid w:val="00EA2CC9"/>
    <w:rsid w:val="00EB0402"/>
    <w:rsid w:val="00EB7B3B"/>
    <w:rsid w:val="00EC1754"/>
    <w:rsid w:val="00ED25D8"/>
    <w:rsid w:val="00ED5BB6"/>
    <w:rsid w:val="00ED5DA9"/>
    <w:rsid w:val="00EE0E1A"/>
    <w:rsid w:val="00EE615E"/>
    <w:rsid w:val="00EE7941"/>
    <w:rsid w:val="00F0323E"/>
    <w:rsid w:val="00F17584"/>
    <w:rsid w:val="00F20B96"/>
    <w:rsid w:val="00F22E3C"/>
    <w:rsid w:val="00F24EB2"/>
    <w:rsid w:val="00F3204A"/>
    <w:rsid w:val="00F36D7C"/>
    <w:rsid w:val="00F45E70"/>
    <w:rsid w:val="00F50A07"/>
    <w:rsid w:val="00F57119"/>
    <w:rsid w:val="00F62972"/>
    <w:rsid w:val="00F62A65"/>
    <w:rsid w:val="00F64089"/>
    <w:rsid w:val="00F65A6F"/>
    <w:rsid w:val="00F86462"/>
    <w:rsid w:val="00F93D0C"/>
    <w:rsid w:val="00FA777B"/>
    <w:rsid w:val="00FD65E3"/>
    <w:rsid w:val="00FE113A"/>
    <w:rsid w:val="00FF7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B5B"/>
    <w:pPr>
      <w:spacing w:before="180" w:after="180"/>
      <w:jc w:val="both"/>
    </w:pPr>
    <w:rPr>
      <w:rFonts w:ascii="Arial" w:hAnsi="Arial"/>
      <w:sz w:val="24"/>
      <w:szCs w:val="24"/>
      <w:lang w:val="en-US" w:eastAsia="en-US"/>
    </w:rPr>
  </w:style>
  <w:style w:type="paragraph" w:styleId="Heading1">
    <w:name w:val="heading 1"/>
    <w:basedOn w:val="Normal"/>
    <w:next w:val="Normal"/>
    <w:qFormat/>
    <w:rsid w:val="00806F8E"/>
    <w:pPr>
      <w:keepNext/>
      <w:numPr>
        <w:numId w:val="6"/>
      </w:numPr>
      <w:overflowPunct w:val="0"/>
      <w:autoSpaceDE w:val="0"/>
      <w:autoSpaceDN w:val="0"/>
      <w:adjustRightInd w:val="0"/>
      <w:spacing w:before="360"/>
      <w:textAlignment w:val="baseline"/>
      <w:outlineLvl w:val="0"/>
    </w:pPr>
    <w:rPr>
      <w:b/>
      <w:sz w:val="28"/>
      <w:szCs w:val="20"/>
      <w:u w:val="single"/>
      <w:lang w:val="en-GB"/>
    </w:rPr>
  </w:style>
  <w:style w:type="paragraph" w:styleId="Heading2">
    <w:name w:val="heading 2"/>
    <w:basedOn w:val="Normal"/>
    <w:next w:val="Normal"/>
    <w:link w:val="Heading2Char"/>
    <w:unhideWhenUsed/>
    <w:qFormat/>
    <w:rsid w:val="00806F8E"/>
    <w:pPr>
      <w:keepNext/>
      <w:keepLines/>
      <w:numPr>
        <w:ilvl w:val="1"/>
        <w:numId w:val="6"/>
      </w:numPr>
      <w:spacing w:before="120"/>
      <w:outlineLvl w:val="1"/>
    </w:pPr>
    <w:rPr>
      <w:rFonts w:eastAsiaTheme="majorEastAsia" w:cstheme="majorBidi"/>
      <w:b/>
      <w:bCs/>
      <w:i/>
      <w:szCs w:val="26"/>
      <w:u w:val="single"/>
    </w:rPr>
  </w:style>
  <w:style w:type="paragraph" w:styleId="Heading3">
    <w:name w:val="heading 3"/>
    <w:basedOn w:val="Normal"/>
    <w:next w:val="Normal"/>
    <w:link w:val="Heading3Char"/>
    <w:unhideWhenUsed/>
    <w:qFormat/>
    <w:rsid w:val="00806F8E"/>
    <w:pPr>
      <w:keepNext/>
      <w:keepLines/>
      <w:numPr>
        <w:ilvl w:val="2"/>
        <w:numId w:val="6"/>
      </w:numPr>
      <w:spacing w:before="200" w:after="0"/>
      <w:outlineLvl w:val="2"/>
    </w:pPr>
    <w:rPr>
      <w:rFonts w:eastAsiaTheme="majorEastAsia" w:cstheme="majorBidi"/>
      <w:b/>
      <w:bCs/>
    </w:rPr>
  </w:style>
  <w:style w:type="paragraph" w:styleId="Heading4">
    <w:name w:val="heading 4"/>
    <w:basedOn w:val="Normal"/>
    <w:next w:val="Normal"/>
    <w:link w:val="Heading4Char"/>
    <w:unhideWhenUsed/>
    <w:qFormat/>
    <w:rsid w:val="00806F8E"/>
    <w:pPr>
      <w:keepNext/>
      <w:keepLines/>
      <w:numPr>
        <w:ilvl w:val="3"/>
        <w:numId w:val="6"/>
      </w:numPr>
      <w:spacing w:before="200" w:after="0"/>
      <w:outlineLvl w:val="3"/>
    </w:pPr>
    <w:rPr>
      <w:rFonts w:eastAsiaTheme="majorEastAsia" w:cstheme="majorBidi"/>
      <w:bCs/>
      <w:iCs/>
      <w:u w:val="single"/>
    </w:rPr>
  </w:style>
  <w:style w:type="paragraph" w:styleId="Heading5">
    <w:name w:val="heading 5"/>
    <w:basedOn w:val="Normal"/>
    <w:next w:val="Normal"/>
    <w:link w:val="Heading5Char"/>
    <w:semiHidden/>
    <w:unhideWhenUsed/>
    <w:qFormat/>
    <w:rsid w:val="006D305A"/>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D305A"/>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D305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D305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D305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113A"/>
    <w:pPr>
      <w:jc w:val="center"/>
    </w:pPr>
    <w:rPr>
      <w:rFonts w:cs="Arial"/>
      <w:b/>
    </w:rPr>
  </w:style>
  <w:style w:type="paragraph" w:styleId="Header">
    <w:name w:val="header"/>
    <w:basedOn w:val="Normal"/>
    <w:link w:val="HeaderChar"/>
    <w:rsid w:val="005B3E3C"/>
    <w:pPr>
      <w:tabs>
        <w:tab w:val="center" w:pos="4513"/>
        <w:tab w:val="right" w:pos="9026"/>
      </w:tabs>
    </w:pPr>
  </w:style>
  <w:style w:type="character" w:customStyle="1" w:styleId="HeaderChar">
    <w:name w:val="Header Char"/>
    <w:basedOn w:val="DefaultParagraphFont"/>
    <w:link w:val="Header"/>
    <w:rsid w:val="005B3E3C"/>
    <w:rPr>
      <w:sz w:val="24"/>
      <w:szCs w:val="24"/>
      <w:lang w:val="en-US" w:eastAsia="en-US"/>
    </w:rPr>
  </w:style>
  <w:style w:type="paragraph" w:styleId="Footer">
    <w:name w:val="footer"/>
    <w:basedOn w:val="Normal"/>
    <w:link w:val="FooterChar"/>
    <w:uiPriority w:val="99"/>
    <w:rsid w:val="005B3E3C"/>
    <w:pPr>
      <w:tabs>
        <w:tab w:val="center" w:pos="4513"/>
        <w:tab w:val="right" w:pos="9026"/>
      </w:tabs>
    </w:pPr>
  </w:style>
  <w:style w:type="character" w:customStyle="1" w:styleId="FooterChar">
    <w:name w:val="Footer Char"/>
    <w:basedOn w:val="DefaultParagraphFont"/>
    <w:link w:val="Footer"/>
    <w:uiPriority w:val="99"/>
    <w:rsid w:val="005B3E3C"/>
    <w:rPr>
      <w:sz w:val="24"/>
      <w:szCs w:val="24"/>
      <w:lang w:val="en-US" w:eastAsia="en-US"/>
    </w:rPr>
  </w:style>
  <w:style w:type="paragraph" w:styleId="ListParagraph">
    <w:name w:val="List Paragraph"/>
    <w:basedOn w:val="Normal"/>
    <w:uiPriority w:val="34"/>
    <w:qFormat/>
    <w:rsid w:val="00AA0C3F"/>
    <w:pPr>
      <w:ind w:left="720"/>
    </w:pPr>
  </w:style>
  <w:style w:type="paragraph" w:styleId="BalloonText">
    <w:name w:val="Balloon Text"/>
    <w:basedOn w:val="Normal"/>
    <w:link w:val="BalloonTextChar"/>
    <w:rsid w:val="0087117D"/>
    <w:pPr>
      <w:spacing w:before="0" w:after="0"/>
    </w:pPr>
    <w:rPr>
      <w:rFonts w:ascii="Tahoma" w:hAnsi="Tahoma" w:cs="Tahoma"/>
      <w:sz w:val="16"/>
      <w:szCs w:val="16"/>
    </w:rPr>
  </w:style>
  <w:style w:type="character" w:customStyle="1" w:styleId="BalloonTextChar">
    <w:name w:val="Balloon Text Char"/>
    <w:basedOn w:val="DefaultParagraphFont"/>
    <w:link w:val="BalloonText"/>
    <w:rsid w:val="0087117D"/>
    <w:rPr>
      <w:rFonts w:ascii="Tahoma" w:hAnsi="Tahoma" w:cs="Tahoma"/>
      <w:sz w:val="16"/>
      <w:szCs w:val="16"/>
      <w:lang w:val="en-US" w:eastAsia="en-US"/>
    </w:rPr>
  </w:style>
  <w:style w:type="table" w:styleId="TableGrid">
    <w:name w:val="Table Grid"/>
    <w:basedOn w:val="TableNormal"/>
    <w:uiPriority w:val="59"/>
    <w:rsid w:val="00213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6F8E"/>
    <w:rPr>
      <w:rFonts w:ascii="Arial" w:eastAsiaTheme="majorEastAsia" w:hAnsi="Arial" w:cstheme="majorBidi"/>
      <w:b/>
      <w:bCs/>
      <w:i/>
      <w:sz w:val="24"/>
      <w:szCs w:val="26"/>
      <w:u w:val="single"/>
      <w:lang w:val="en-US" w:eastAsia="en-US"/>
    </w:rPr>
  </w:style>
  <w:style w:type="character" w:customStyle="1" w:styleId="BodyTextChar">
    <w:name w:val="Body Text Char"/>
    <w:basedOn w:val="DefaultParagraphFont"/>
    <w:link w:val="BodyText"/>
    <w:rsid w:val="00A51501"/>
    <w:rPr>
      <w:rFonts w:ascii="Arial" w:hAnsi="Arial" w:cs="Arial"/>
      <w:b/>
      <w:sz w:val="24"/>
      <w:szCs w:val="24"/>
      <w:lang w:val="en-US" w:eastAsia="en-US"/>
    </w:rPr>
  </w:style>
  <w:style w:type="character" w:styleId="CommentReference">
    <w:name w:val="annotation reference"/>
    <w:basedOn w:val="DefaultParagraphFont"/>
    <w:rsid w:val="00F36D7C"/>
    <w:rPr>
      <w:sz w:val="16"/>
      <w:szCs w:val="16"/>
    </w:rPr>
  </w:style>
  <w:style w:type="paragraph" w:styleId="CommentText">
    <w:name w:val="annotation text"/>
    <w:basedOn w:val="Normal"/>
    <w:link w:val="CommentTextChar"/>
    <w:rsid w:val="00F36D7C"/>
    <w:rPr>
      <w:sz w:val="20"/>
      <w:szCs w:val="20"/>
    </w:rPr>
  </w:style>
  <w:style w:type="character" w:customStyle="1" w:styleId="CommentTextChar">
    <w:name w:val="Comment Text Char"/>
    <w:basedOn w:val="DefaultParagraphFont"/>
    <w:link w:val="CommentText"/>
    <w:rsid w:val="00F36D7C"/>
    <w:rPr>
      <w:rFonts w:ascii="Arial" w:hAnsi="Arial"/>
      <w:lang w:val="en-US" w:eastAsia="en-US"/>
    </w:rPr>
  </w:style>
  <w:style w:type="paragraph" w:styleId="CommentSubject">
    <w:name w:val="annotation subject"/>
    <w:basedOn w:val="CommentText"/>
    <w:next w:val="CommentText"/>
    <w:link w:val="CommentSubjectChar"/>
    <w:rsid w:val="00F36D7C"/>
    <w:rPr>
      <w:b/>
      <w:bCs/>
    </w:rPr>
  </w:style>
  <w:style w:type="character" w:customStyle="1" w:styleId="CommentSubjectChar">
    <w:name w:val="Comment Subject Char"/>
    <w:basedOn w:val="CommentTextChar"/>
    <w:link w:val="CommentSubject"/>
    <w:rsid w:val="00F36D7C"/>
    <w:rPr>
      <w:rFonts w:ascii="Arial" w:hAnsi="Arial"/>
      <w:b/>
      <w:bCs/>
      <w:lang w:val="en-US" w:eastAsia="en-US"/>
    </w:rPr>
  </w:style>
  <w:style w:type="paragraph" w:customStyle="1" w:styleId="Default">
    <w:name w:val="Default"/>
    <w:rsid w:val="004028CD"/>
    <w:pPr>
      <w:autoSpaceDE w:val="0"/>
      <w:autoSpaceDN w:val="0"/>
      <w:adjustRightInd w:val="0"/>
    </w:pPr>
    <w:rPr>
      <w:rFonts w:ascii="Arial" w:hAnsi="Arial" w:cs="Arial"/>
      <w:color w:val="000000"/>
      <w:sz w:val="24"/>
      <w:szCs w:val="24"/>
    </w:rPr>
  </w:style>
  <w:style w:type="character" w:styleId="Hyperlink">
    <w:name w:val="Hyperlink"/>
    <w:basedOn w:val="DefaultParagraphFont"/>
    <w:rsid w:val="004E5249"/>
    <w:rPr>
      <w:color w:val="0000FF" w:themeColor="hyperlink"/>
      <w:u w:val="single"/>
    </w:rPr>
  </w:style>
  <w:style w:type="paragraph" w:styleId="FootnoteText">
    <w:name w:val="footnote text"/>
    <w:basedOn w:val="Normal"/>
    <w:link w:val="FootnoteTextChar"/>
    <w:rsid w:val="007B2344"/>
    <w:pPr>
      <w:spacing w:before="0" w:after="0"/>
    </w:pPr>
    <w:rPr>
      <w:sz w:val="20"/>
      <w:szCs w:val="20"/>
    </w:rPr>
  </w:style>
  <w:style w:type="character" w:customStyle="1" w:styleId="FootnoteTextChar">
    <w:name w:val="Footnote Text Char"/>
    <w:basedOn w:val="DefaultParagraphFont"/>
    <w:link w:val="FootnoteText"/>
    <w:rsid w:val="007B2344"/>
    <w:rPr>
      <w:rFonts w:ascii="Arial" w:hAnsi="Arial"/>
      <w:lang w:val="en-US" w:eastAsia="en-US"/>
    </w:rPr>
  </w:style>
  <w:style w:type="character" w:styleId="FootnoteReference">
    <w:name w:val="footnote reference"/>
    <w:basedOn w:val="DefaultParagraphFont"/>
    <w:rsid w:val="007B2344"/>
    <w:rPr>
      <w:vertAlign w:val="superscript"/>
    </w:rPr>
  </w:style>
  <w:style w:type="paragraph" w:styleId="NormalWeb">
    <w:name w:val="Normal (Web)"/>
    <w:basedOn w:val="Normal"/>
    <w:uiPriority w:val="99"/>
    <w:unhideWhenUsed/>
    <w:rsid w:val="00B76764"/>
    <w:pPr>
      <w:spacing w:before="100" w:beforeAutospacing="1" w:after="100" w:afterAutospacing="1"/>
      <w:jc w:val="left"/>
    </w:pPr>
    <w:rPr>
      <w:rFonts w:ascii="Times New Roman" w:eastAsiaTheme="minorEastAsia" w:hAnsi="Times New Roman"/>
      <w:lang w:val="en-GB" w:eastAsia="en-GB"/>
    </w:rPr>
  </w:style>
  <w:style w:type="character" w:styleId="Strong">
    <w:name w:val="Strong"/>
    <w:basedOn w:val="DefaultParagraphFont"/>
    <w:uiPriority w:val="22"/>
    <w:qFormat/>
    <w:rsid w:val="006D305A"/>
    <w:rPr>
      <w:b/>
      <w:bCs/>
    </w:rPr>
  </w:style>
  <w:style w:type="character" w:customStyle="1" w:styleId="Heading3Char">
    <w:name w:val="Heading 3 Char"/>
    <w:basedOn w:val="DefaultParagraphFont"/>
    <w:link w:val="Heading3"/>
    <w:rsid w:val="00806F8E"/>
    <w:rPr>
      <w:rFonts w:ascii="Arial" w:eastAsiaTheme="majorEastAsia" w:hAnsi="Arial" w:cstheme="majorBidi"/>
      <w:b/>
      <w:bCs/>
      <w:sz w:val="24"/>
      <w:szCs w:val="24"/>
      <w:lang w:val="en-US" w:eastAsia="en-US"/>
    </w:rPr>
  </w:style>
  <w:style w:type="character" w:customStyle="1" w:styleId="Heading4Char">
    <w:name w:val="Heading 4 Char"/>
    <w:basedOn w:val="DefaultParagraphFont"/>
    <w:link w:val="Heading4"/>
    <w:rsid w:val="00806F8E"/>
    <w:rPr>
      <w:rFonts w:ascii="Arial" w:eastAsiaTheme="majorEastAsia" w:hAnsi="Arial" w:cstheme="majorBidi"/>
      <w:bCs/>
      <w:iCs/>
      <w:sz w:val="24"/>
      <w:szCs w:val="24"/>
      <w:u w:val="single"/>
      <w:lang w:val="en-US" w:eastAsia="en-US"/>
    </w:rPr>
  </w:style>
  <w:style w:type="character" w:customStyle="1" w:styleId="Heading5Char">
    <w:name w:val="Heading 5 Char"/>
    <w:basedOn w:val="DefaultParagraphFont"/>
    <w:link w:val="Heading5"/>
    <w:semiHidden/>
    <w:rsid w:val="006D305A"/>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semiHidden/>
    <w:rsid w:val="006D305A"/>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semiHidden/>
    <w:rsid w:val="006D305A"/>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semiHidden/>
    <w:rsid w:val="006D305A"/>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semiHidden/>
    <w:rsid w:val="006D305A"/>
    <w:rPr>
      <w:rFonts w:asciiTheme="majorHAnsi" w:eastAsiaTheme="majorEastAsia" w:hAnsiTheme="majorHAnsi" w:cstheme="majorBidi"/>
      <w:i/>
      <w:iCs/>
      <w:color w:val="404040" w:themeColor="text1" w:themeTint="B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B5B"/>
    <w:pPr>
      <w:spacing w:before="180" w:after="180"/>
      <w:jc w:val="both"/>
    </w:pPr>
    <w:rPr>
      <w:rFonts w:ascii="Arial" w:hAnsi="Arial"/>
      <w:sz w:val="24"/>
      <w:szCs w:val="24"/>
      <w:lang w:val="en-US" w:eastAsia="en-US"/>
    </w:rPr>
  </w:style>
  <w:style w:type="paragraph" w:styleId="Heading1">
    <w:name w:val="heading 1"/>
    <w:basedOn w:val="Normal"/>
    <w:next w:val="Normal"/>
    <w:qFormat/>
    <w:rsid w:val="00806F8E"/>
    <w:pPr>
      <w:keepNext/>
      <w:numPr>
        <w:numId w:val="6"/>
      </w:numPr>
      <w:overflowPunct w:val="0"/>
      <w:autoSpaceDE w:val="0"/>
      <w:autoSpaceDN w:val="0"/>
      <w:adjustRightInd w:val="0"/>
      <w:spacing w:before="360"/>
      <w:textAlignment w:val="baseline"/>
      <w:outlineLvl w:val="0"/>
    </w:pPr>
    <w:rPr>
      <w:b/>
      <w:sz w:val="28"/>
      <w:szCs w:val="20"/>
      <w:u w:val="single"/>
      <w:lang w:val="en-GB"/>
    </w:rPr>
  </w:style>
  <w:style w:type="paragraph" w:styleId="Heading2">
    <w:name w:val="heading 2"/>
    <w:basedOn w:val="Normal"/>
    <w:next w:val="Normal"/>
    <w:link w:val="Heading2Char"/>
    <w:unhideWhenUsed/>
    <w:qFormat/>
    <w:rsid w:val="00806F8E"/>
    <w:pPr>
      <w:keepNext/>
      <w:keepLines/>
      <w:numPr>
        <w:ilvl w:val="1"/>
        <w:numId w:val="6"/>
      </w:numPr>
      <w:spacing w:before="120"/>
      <w:outlineLvl w:val="1"/>
    </w:pPr>
    <w:rPr>
      <w:rFonts w:eastAsiaTheme="majorEastAsia" w:cstheme="majorBidi"/>
      <w:b/>
      <w:bCs/>
      <w:i/>
      <w:szCs w:val="26"/>
      <w:u w:val="single"/>
    </w:rPr>
  </w:style>
  <w:style w:type="paragraph" w:styleId="Heading3">
    <w:name w:val="heading 3"/>
    <w:basedOn w:val="Normal"/>
    <w:next w:val="Normal"/>
    <w:link w:val="Heading3Char"/>
    <w:unhideWhenUsed/>
    <w:qFormat/>
    <w:rsid w:val="00806F8E"/>
    <w:pPr>
      <w:keepNext/>
      <w:keepLines/>
      <w:numPr>
        <w:ilvl w:val="2"/>
        <w:numId w:val="6"/>
      </w:numPr>
      <w:spacing w:before="200" w:after="0"/>
      <w:outlineLvl w:val="2"/>
    </w:pPr>
    <w:rPr>
      <w:rFonts w:eastAsiaTheme="majorEastAsia" w:cstheme="majorBidi"/>
      <w:b/>
      <w:bCs/>
    </w:rPr>
  </w:style>
  <w:style w:type="paragraph" w:styleId="Heading4">
    <w:name w:val="heading 4"/>
    <w:basedOn w:val="Normal"/>
    <w:next w:val="Normal"/>
    <w:link w:val="Heading4Char"/>
    <w:unhideWhenUsed/>
    <w:qFormat/>
    <w:rsid w:val="00806F8E"/>
    <w:pPr>
      <w:keepNext/>
      <w:keepLines/>
      <w:numPr>
        <w:ilvl w:val="3"/>
        <w:numId w:val="6"/>
      </w:numPr>
      <w:spacing w:before="200" w:after="0"/>
      <w:outlineLvl w:val="3"/>
    </w:pPr>
    <w:rPr>
      <w:rFonts w:eastAsiaTheme="majorEastAsia" w:cstheme="majorBidi"/>
      <w:bCs/>
      <w:iCs/>
      <w:u w:val="single"/>
    </w:rPr>
  </w:style>
  <w:style w:type="paragraph" w:styleId="Heading5">
    <w:name w:val="heading 5"/>
    <w:basedOn w:val="Normal"/>
    <w:next w:val="Normal"/>
    <w:link w:val="Heading5Char"/>
    <w:semiHidden/>
    <w:unhideWhenUsed/>
    <w:qFormat/>
    <w:rsid w:val="006D305A"/>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D305A"/>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D305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D305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D305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113A"/>
    <w:pPr>
      <w:jc w:val="center"/>
    </w:pPr>
    <w:rPr>
      <w:rFonts w:cs="Arial"/>
      <w:b/>
    </w:rPr>
  </w:style>
  <w:style w:type="paragraph" w:styleId="Header">
    <w:name w:val="header"/>
    <w:basedOn w:val="Normal"/>
    <w:link w:val="HeaderChar"/>
    <w:rsid w:val="005B3E3C"/>
    <w:pPr>
      <w:tabs>
        <w:tab w:val="center" w:pos="4513"/>
        <w:tab w:val="right" w:pos="9026"/>
      </w:tabs>
    </w:pPr>
  </w:style>
  <w:style w:type="character" w:customStyle="1" w:styleId="HeaderChar">
    <w:name w:val="Header Char"/>
    <w:basedOn w:val="DefaultParagraphFont"/>
    <w:link w:val="Header"/>
    <w:rsid w:val="005B3E3C"/>
    <w:rPr>
      <w:sz w:val="24"/>
      <w:szCs w:val="24"/>
      <w:lang w:val="en-US" w:eastAsia="en-US"/>
    </w:rPr>
  </w:style>
  <w:style w:type="paragraph" w:styleId="Footer">
    <w:name w:val="footer"/>
    <w:basedOn w:val="Normal"/>
    <w:link w:val="FooterChar"/>
    <w:uiPriority w:val="99"/>
    <w:rsid w:val="005B3E3C"/>
    <w:pPr>
      <w:tabs>
        <w:tab w:val="center" w:pos="4513"/>
        <w:tab w:val="right" w:pos="9026"/>
      </w:tabs>
    </w:pPr>
  </w:style>
  <w:style w:type="character" w:customStyle="1" w:styleId="FooterChar">
    <w:name w:val="Footer Char"/>
    <w:basedOn w:val="DefaultParagraphFont"/>
    <w:link w:val="Footer"/>
    <w:uiPriority w:val="99"/>
    <w:rsid w:val="005B3E3C"/>
    <w:rPr>
      <w:sz w:val="24"/>
      <w:szCs w:val="24"/>
      <w:lang w:val="en-US" w:eastAsia="en-US"/>
    </w:rPr>
  </w:style>
  <w:style w:type="paragraph" w:styleId="ListParagraph">
    <w:name w:val="List Paragraph"/>
    <w:basedOn w:val="Normal"/>
    <w:uiPriority w:val="34"/>
    <w:qFormat/>
    <w:rsid w:val="00AA0C3F"/>
    <w:pPr>
      <w:ind w:left="720"/>
    </w:pPr>
  </w:style>
  <w:style w:type="paragraph" w:styleId="BalloonText">
    <w:name w:val="Balloon Text"/>
    <w:basedOn w:val="Normal"/>
    <w:link w:val="BalloonTextChar"/>
    <w:rsid w:val="0087117D"/>
    <w:pPr>
      <w:spacing w:before="0" w:after="0"/>
    </w:pPr>
    <w:rPr>
      <w:rFonts w:ascii="Tahoma" w:hAnsi="Tahoma" w:cs="Tahoma"/>
      <w:sz w:val="16"/>
      <w:szCs w:val="16"/>
    </w:rPr>
  </w:style>
  <w:style w:type="character" w:customStyle="1" w:styleId="BalloonTextChar">
    <w:name w:val="Balloon Text Char"/>
    <w:basedOn w:val="DefaultParagraphFont"/>
    <w:link w:val="BalloonText"/>
    <w:rsid w:val="0087117D"/>
    <w:rPr>
      <w:rFonts w:ascii="Tahoma" w:hAnsi="Tahoma" w:cs="Tahoma"/>
      <w:sz w:val="16"/>
      <w:szCs w:val="16"/>
      <w:lang w:val="en-US" w:eastAsia="en-US"/>
    </w:rPr>
  </w:style>
  <w:style w:type="table" w:styleId="TableGrid">
    <w:name w:val="Table Grid"/>
    <w:basedOn w:val="TableNormal"/>
    <w:uiPriority w:val="59"/>
    <w:rsid w:val="00213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6F8E"/>
    <w:rPr>
      <w:rFonts w:ascii="Arial" w:eastAsiaTheme="majorEastAsia" w:hAnsi="Arial" w:cstheme="majorBidi"/>
      <w:b/>
      <w:bCs/>
      <w:i/>
      <w:sz w:val="24"/>
      <w:szCs w:val="26"/>
      <w:u w:val="single"/>
      <w:lang w:val="en-US" w:eastAsia="en-US"/>
    </w:rPr>
  </w:style>
  <w:style w:type="character" w:customStyle="1" w:styleId="BodyTextChar">
    <w:name w:val="Body Text Char"/>
    <w:basedOn w:val="DefaultParagraphFont"/>
    <w:link w:val="BodyText"/>
    <w:rsid w:val="00A51501"/>
    <w:rPr>
      <w:rFonts w:ascii="Arial" w:hAnsi="Arial" w:cs="Arial"/>
      <w:b/>
      <w:sz w:val="24"/>
      <w:szCs w:val="24"/>
      <w:lang w:val="en-US" w:eastAsia="en-US"/>
    </w:rPr>
  </w:style>
  <w:style w:type="character" w:styleId="CommentReference">
    <w:name w:val="annotation reference"/>
    <w:basedOn w:val="DefaultParagraphFont"/>
    <w:rsid w:val="00F36D7C"/>
    <w:rPr>
      <w:sz w:val="16"/>
      <w:szCs w:val="16"/>
    </w:rPr>
  </w:style>
  <w:style w:type="paragraph" w:styleId="CommentText">
    <w:name w:val="annotation text"/>
    <w:basedOn w:val="Normal"/>
    <w:link w:val="CommentTextChar"/>
    <w:rsid w:val="00F36D7C"/>
    <w:rPr>
      <w:sz w:val="20"/>
      <w:szCs w:val="20"/>
    </w:rPr>
  </w:style>
  <w:style w:type="character" w:customStyle="1" w:styleId="CommentTextChar">
    <w:name w:val="Comment Text Char"/>
    <w:basedOn w:val="DefaultParagraphFont"/>
    <w:link w:val="CommentText"/>
    <w:rsid w:val="00F36D7C"/>
    <w:rPr>
      <w:rFonts w:ascii="Arial" w:hAnsi="Arial"/>
      <w:lang w:val="en-US" w:eastAsia="en-US"/>
    </w:rPr>
  </w:style>
  <w:style w:type="paragraph" w:styleId="CommentSubject">
    <w:name w:val="annotation subject"/>
    <w:basedOn w:val="CommentText"/>
    <w:next w:val="CommentText"/>
    <w:link w:val="CommentSubjectChar"/>
    <w:rsid w:val="00F36D7C"/>
    <w:rPr>
      <w:b/>
      <w:bCs/>
    </w:rPr>
  </w:style>
  <w:style w:type="character" w:customStyle="1" w:styleId="CommentSubjectChar">
    <w:name w:val="Comment Subject Char"/>
    <w:basedOn w:val="CommentTextChar"/>
    <w:link w:val="CommentSubject"/>
    <w:rsid w:val="00F36D7C"/>
    <w:rPr>
      <w:rFonts w:ascii="Arial" w:hAnsi="Arial"/>
      <w:b/>
      <w:bCs/>
      <w:lang w:val="en-US" w:eastAsia="en-US"/>
    </w:rPr>
  </w:style>
  <w:style w:type="paragraph" w:customStyle="1" w:styleId="Default">
    <w:name w:val="Default"/>
    <w:rsid w:val="004028CD"/>
    <w:pPr>
      <w:autoSpaceDE w:val="0"/>
      <w:autoSpaceDN w:val="0"/>
      <w:adjustRightInd w:val="0"/>
    </w:pPr>
    <w:rPr>
      <w:rFonts w:ascii="Arial" w:hAnsi="Arial" w:cs="Arial"/>
      <w:color w:val="000000"/>
      <w:sz w:val="24"/>
      <w:szCs w:val="24"/>
    </w:rPr>
  </w:style>
  <w:style w:type="character" w:styleId="Hyperlink">
    <w:name w:val="Hyperlink"/>
    <w:basedOn w:val="DefaultParagraphFont"/>
    <w:rsid w:val="004E5249"/>
    <w:rPr>
      <w:color w:val="0000FF" w:themeColor="hyperlink"/>
      <w:u w:val="single"/>
    </w:rPr>
  </w:style>
  <w:style w:type="paragraph" w:styleId="FootnoteText">
    <w:name w:val="footnote text"/>
    <w:basedOn w:val="Normal"/>
    <w:link w:val="FootnoteTextChar"/>
    <w:rsid w:val="007B2344"/>
    <w:pPr>
      <w:spacing w:before="0" w:after="0"/>
    </w:pPr>
    <w:rPr>
      <w:sz w:val="20"/>
      <w:szCs w:val="20"/>
    </w:rPr>
  </w:style>
  <w:style w:type="character" w:customStyle="1" w:styleId="FootnoteTextChar">
    <w:name w:val="Footnote Text Char"/>
    <w:basedOn w:val="DefaultParagraphFont"/>
    <w:link w:val="FootnoteText"/>
    <w:rsid w:val="007B2344"/>
    <w:rPr>
      <w:rFonts w:ascii="Arial" w:hAnsi="Arial"/>
      <w:lang w:val="en-US" w:eastAsia="en-US"/>
    </w:rPr>
  </w:style>
  <w:style w:type="character" w:styleId="FootnoteReference">
    <w:name w:val="footnote reference"/>
    <w:basedOn w:val="DefaultParagraphFont"/>
    <w:rsid w:val="007B2344"/>
    <w:rPr>
      <w:vertAlign w:val="superscript"/>
    </w:rPr>
  </w:style>
  <w:style w:type="paragraph" w:styleId="NormalWeb">
    <w:name w:val="Normal (Web)"/>
    <w:basedOn w:val="Normal"/>
    <w:uiPriority w:val="99"/>
    <w:unhideWhenUsed/>
    <w:rsid w:val="00B76764"/>
    <w:pPr>
      <w:spacing w:before="100" w:beforeAutospacing="1" w:after="100" w:afterAutospacing="1"/>
      <w:jc w:val="left"/>
    </w:pPr>
    <w:rPr>
      <w:rFonts w:ascii="Times New Roman" w:eastAsiaTheme="minorEastAsia" w:hAnsi="Times New Roman"/>
      <w:lang w:val="en-GB" w:eastAsia="en-GB"/>
    </w:rPr>
  </w:style>
  <w:style w:type="character" w:styleId="Strong">
    <w:name w:val="Strong"/>
    <w:basedOn w:val="DefaultParagraphFont"/>
    <w:uiPriority w:val="22"/>
    <w:qFormat/>
    <w:rsid w:val="006D305A"/>
    <w:rPr>
      <w:b/>
      <w:bCs/>
    </w:rPr>
  </w:style>
  <w:style w:type="character" w:customStyle="1" w:styleId="Heading3Char">
    <w:name w:val="Heading 3 Char"/>
    <w:basedOn w:val="DefaultParagraphFont"/>
    <w:link w:val="Heading3"/>
    <w:rsid w:val="00806F8E"/>
    <w:rPr>
      <w:rFonts w:ascii="Arial" w:eastAsiaTheme="majorEastAsia" w:hAnsi="Arial" w:cstheme="majorBidi"/>
      <w:b/>
      <w:bCs/>
      <w:sz w:val="24"/>
      <w:szCs w:val="24"/>
      <w:lang w:val="en-US" w:eastAsia="en-US"/>
    </w:rPr>
  </w:style>
  <w:style w:type="character" w:customStyle="1" w:styleId="Heading4Char">
    <w:name w:val="Heading 4 Char"/>
    <w:basedOn w:val="DefaultParagraphFont"/>
    <w:link w:val="Heading4"/>
    <w:rsid w:val="00806F8E"/>
    <w:rPr>
      <w:rFonts w:ascii="Arial" w:eastAsiaTheme="majorEastAsia" w:hAnsi="Arial" w:cstheme="majorBidi"/>
      <w:bCs/>
      <w:iCs/>
      <w:sz w:val="24"/>
      <w:szCs w:val="24"/>
      <w:u w:val="single"/>
      <w:lang w:val="en-US" w:eastAsia="en-US"/>
    </w:rPr>
  </w:style>
  <w:style w:type="character" w:customStyle="1" w:styleId="Heading5Char">
    <w:name w:val="Heading 5 Char"/>
    <w:basedOn w:val="DefaultParagraphFont"/>
    <w:link w:val="Heading5"/>
    <w:semiHidden/>
    <w:rsid w:val="006D305A"/>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semiHidden/>
    <w:rsid w:val="006D305A"/>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semiHidden/>
    <w:rsid w:val="006D305A"/>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semiHidden/>
    <w:rsid w:val="006D305A"/>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semiHidden/>
    <w:rsid w:val="006D305A"/>
    <w:rPr>
      <w:rFonts w:asciiTheme="majorHAnsi" w:eastAsiaTheme="majorEastAsia" w:hAnsiTheme="majorHAnsi" w:cstheme="majorBidi"/>
      <w:i/>
      <w:iCs/>
      <w:color w:val="404040" w:themeColor="text1" w:themeTint="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2395">
      <w:bodyDiv w:val="1"/>
      <w:marLeft w:val="0"/>
      <w:marRight w:val="0"/>
      <w:marTop w:val="0"/>
      <w:marBottom w:val="0"/>
      <w:divBdr>
        <w:top w:val="none" w:sz="0" w:space="0" w:color="auto"/>
        <w:left w:val="none" w:sz="0" w:space="0" w:color="auto"/>
        <w:bottom w:val="none" w:sz="0" w:space="0" w:color="auto"/>
        <w:right w:val="none" w:sz="0" w:space="0" w:color="auto"/>
      </w:divBdr>
    </w:div>
    <w:div w:id="30420265">
      <w:bodyDiv w:val="1"/>
      <w:marLeft w:val="0"/>
      <w:marRight w:val="0"/>
      <w:marTop w:val="0"/>
      <w:marBottom w:val="0"/>
      <w:divBdr>
        <w:top w:val="none" w:sz="0" w:space="0" w:color="auto"/>
        <w:left w:val="none" w:sz="0" w:space="0" w:color="auto"/>
        <w:bottom w:val="none" w:sz="0" w:space="0" w:color="auto"/>
        <w:right w:val="none" w:sz="0" w:space="0" w:color="auto"/>
      </w:divBdr>
    </w:div>
    <w:div w:id="49501518">
      <w:bodyDiv w:val="1"/>
      <w:marLeft w:val="0"/>
      <w:marRight w:val="0"/>
      <w:marTop w:val="0"/>
      <w:marBottom w:val="0"/>
      <w:divBdr>
        <w:top w:val="none" w:sz="0" w:space="0" w:color="auto"/>
        <w:left w:val="none" w:sz="0" w:space="0" w:color="auto"/>
        <w:bottom w:val="none" w:sz="0" w:space="0" w:color="auto"/>
        <w:right w:val="none" w:sz="0" w:space="0" w:color="auto"/>
      </w:divBdr>
    </w:div>
    <w:div w:id="61754242">
      <w:bodyDiv w:val="1"/>
      <w:marLeft w:val="0"/>
      <w:marRight w:val="0"/>
      <w:marTop w:val="0"/>
      <w:marBottom w:val="0"/>
      <w:divBdr>
        <w:top w:val="none" w:sz="0" w:space="0" w:color="auto"/>
        <w:left w:val="none" w:sz="0" w:space="0" w:color="auto"/>
        <w:bottom w:val="none" w:sz="0" w:space="0" w:color="auto"/>
        <w:right w:val="none" w:sz="0" w:space="0" w:color="auto"/>
      </w:divBdr>
    </w:div>
    <w:div w:id="73822491">
      <w:bodyDiv w:val="1"/>
      <w:marLeft w:val="0"/>
      <w:marRight w:val="0"/>
      <w:marTop w:val="0"/>
      <w:marBottom w:val="0"/>
      <w:divBdr>
        <w:top w:val="none" w:sz="0" w:space="0" w:color="auto"/>
        <w:left w:val="none" w:sz="0" w:space="0" w:color="auto"/>
        <w:bottom w:val="none" w:sz="0" w:space="0" w:color="auto"/>
        <w:right w:val="none" w:sz="0" w:space="0" w:color="auto"/>
      </w:divBdr>
    </w:div>
    <w:div w:id="119569146">
      <w:bodyDiv w:val="1"/>
      <w:marLeft w:val="0"/>
      <w:marRight w:val="0"/>
      <w:marTop w:val="0"/>
      <w:marBottom w:val="0"/>
      <w:divBdr>
        <w:top w:val="none" w:sz="0" w:space="0" w:color="auto"/>
        <w:left w:val="none" w:sz="0" w:space="0" w:color="auto"/>
        <w:bottom w:val="none" w:sz="0" w:space="0" w:color="auto"/>
        <w:right w:val="none" w:sz="0" w:space="0" w:color="auto"/>
      </w:divBdr>
    </w:div>
    <w:div w:id="145168834">
      <w:bodyDiv w:val="1"/>
      <w:marLeft w:val="0"/>
      <w:marRight w:val="0"/>
      <w:marTop w:val="0"/>
      <w:marBottom w:val="0"/>
      <w:divBdr>
        <w:top w:val="none" w:sz="0" w:space="0" w:color="auto"/>
        <w:left w:val="none" w:sz="0" w:space="0" w:color="auto"/>
        <w:bottom w:val="none" w:sz="0" w:space="0" w:color="auto"/>
        <w:right w:val="none" w:sz="0" w:space="0" w:color="auto"/>
      </w:divBdr>
    </w:div>
    <w:div w:id="166017877">
      <w:bodyDiv w:val="1"/>
      <w:marLeft w:val="0"/>
      <w:marRight w:val="0"/>
      <w:marTop w:val="0"/>
      <w:marBottom w:val="0"/>
      <w:divBdr>
        <w:top w:val="none" w:sz="0" w:space="0" w:color="auto"/>
        <w:left w:val="none" w:sz="0" w:space="0" w:color="auto"/>
        <w:bottom w:val="none" w:sz="0" w:space="0" w:color="auto"/>
        <w:right w:val="none" w:sz="0" w:space="0" w:color="auto"/>
      </w:divBdr>
    </w:div>
    <w:div w:id="196700042">
      <w:bodyDiv w:val="1"/>
      <w:marLeft w:val="0"/>
      <w:marRight w:val="0"/>
      <w:marTop w:val="0"/>
      <w:marBottom w:val="0"/>
      <w:divBdr>
        <w:top w:val="none" w:sz="0" w:space="0" w:color="auto"/>
        <w:left w:val="none" w:sz="0" w:space="0" w:color="auto"/>
        <w:bottom w:val="none" w:sz="0" w:space="0" w:color="auto"/>
        <w:right w:val="none" w:sz="0" w:space="0" w:color="auto"/>
      </w:divBdr>
    </w:div>
    <w:div w:id="210043270">
      <w:bodyDiv w:val="1"/>
      <w:marLeft w:val="0"/>
      <w:marRight w:val="0"/>
      <w:marTop w:val="0"/>
      <w:marBottom w:val="0"/>
      <w:divBdr>
        <w:top w:val="none" w:sz="0" w:space="0" w:color="auto"/>
        <w:left w:val="none" w:sz="0" w:space="0" w:color="auto"/>
        <w:bottom w:val="none" w:sz="0" w:space="0" w:color="auto"/>
        <w:right w:val="none" w:sz="0" w:space="0" w:color="auto"/>
      </w:divBdr>
    </w:div>
    <w:div w:id="224874578">
      <w:bodyDiv w:val="1"/>
      <w:marLeft w:val="0"/>
      <w:marRight w:val="0"/>
      <w:marTop w:val="0"/>
      <w:marBottom w:val="0"/>
      <w:divBdr>
        <w:top w:val="none" w:sz="0" w:space="0" w:color="auto"/>
        <w:left w:val="none" w:sz="0" w:space="0" w:color="auto"/>
        <w:bottom w:val="none" w:sz="0" w:space="0" w:color="auto"/>
        <w:right w:val="none" w:sz="0" w:space="0" w:color="auto"/>
      </w:divBdr>
    </w:div>
    <w:div w:id="266928658">
      <w:bodyDiv w:val="1"/>
      <w:marLeft w:val="0"/>
      <w:marRight w:val="0"/>
      <w:marTop w:val="0"/>
      <w:marBottom w:val="0"/>
      <w:divBdr>
        <w:top w:val="none" w:sz="0" w:space="0" w:color="auto"/>
        <w:left w:val="none" w:sz="0" w:space="0" w:color="auto"/>
        <w:bottom w:val="none" w:sz="0" w:space="0" w:color="auto"/>
        <w:right w:val="none" w:sz="0" w:space="0" w:color="auto"/>
      </w:divBdr>
    </w:div>
    <w:div w:id="330106487">
      <w:bodyDiv w:val="1"/>
      <w:marLeft w:val="0"/>
      <w:marRight w:val="0"/>
      <w:marTop w:val="0"/>
      <w:marBottom w:val="0"/>
      <w:divBdr>
        <w:top w:val="none" w:sz="0" w:space="0" w:color="auto"/>
        <w:left w:val="none" w:sz="0" w:space="0" w:color="auto"/>
        <w:bottom w:val="none" w:sz="0" w:space="0" w:color="auto"/>
        <w:right w:val="none" w:sz="0" w:space="0" w:color="auto"/>
      </w:divBdr>
    </w:div>
    <w:div w:id="343938098">
      <w:bodyDiv w:val="1"/>
      <w:marLeft w:val="0"/>
      <w:marRight w:val="0"/>
      <w:marTop w:val="0"/>
      <w:marBottom w:val="0"/>
      <w:divBdr>
        <w:top w:val="none" w:sz="0" w:space="0" w:color="auto"/>
        <w:left w:val="none" w:sz="0" w:space="0" w:color="auto"/>
        <w:bottom w:val="none" w:sz="0" w:space="0" w:color="auto"/>
        <w:right w:val="none" w:sz="0" w:space="0" w:color="auto"/>
      </w:divBdr>
    </w:div>
    <w:div w:id="355934360">
      <w:bodyDiv w:val="1"/>
      <w:marLeft w:val="0"/>
      <w:marRight w:val="0"/>
      <w:marTop w:val="0"/>
      <w:marBottom w:val="0"/>
      <w:divBdr>
        <w:top w:val="none" w:sz="0" w:space="0" w:color="auto"/>
        <w:left w:val="none" w:sz="0" w:space="0" w:color="auto"/>
        <w:bottom w:val="none" w:sz="0" w:space="0" w:color="auto"/>
        <w:right w:val="none" w:sz="0" w:space="0" w:color="auto"/>
      </w:divBdr>
    </w:div>
    <w:div w:id="363948347">
      <w:bodyDiv w:val="1"/>
      <w:marLeft w:val="0"/>
      <w:marRight w:val="0"/>
      <w:marTop w:val="0"/>
      <w:marBottom w:val="0"/>
      <w:divBdr>
        <w:top w:val="none" w:sz="0" w:space="0" w:color="auto"/>
        <w:left w:val="none" w:sz="0" w:space="0" w:color="auto"/>
        <w:bottom w:val="none" w:sz="0" w:space="0" w:color="auto"/>
        <w:right w:val="none" w:sz="0" w:space="0" w:color="auto"/>
      </w:divBdr>
    </w:div>
    <w:div w:id="404105945">
      <w:bodyDiv w:val="1"/>
      <w:marLeft w:val="0"/>
      <w:marRight w:val="0"/>
      <w:marTop w:val="0"/>
      <w:marBottom w:val="0"/>
      <w:divBdr>
        <w:top w:val="none" w:sz="0" w:space="0" w:color="auto"/>
        <w:left w:val="none" w:sz="0" w:space="0" w:color="auto"/>
        <w:bottom w:val="none" w:sz="0" w:space="0" w:color="auto"/>
        <w:right w:val="none" w:sz="0" w:space="0" w:color="auto"/>
      </w:divBdr>
    </w:div>
    <w:div w:id="457801718">
      <w:bodyDiv w:val="1"/>
      <w:marLeft w:val="0"/>
      <w:marRight w:val="0"/>
      <w:marTop w:val="0"/>
      <w:marBottom w:val="0"/>
      <w:divBdr>
        <w:top w:val="none" w:sz="0" w:space="0" w:color="auto"/>
        <w:left w:val="none" w:sz="0" w:space="0" w:color="auto"/>
        <w:bottom w:val="none" w:sz="0" w:space="0" w:color="auto"/>
        <w:right w:val="none" w:sz="0" w:space="0" w:color="auto"/>
      </w:divBdr>
    </w:div>
    <w:div w:id="594023888">
      <w:bodyDiv w:val="1"/>
      <w:marLeft w:val="0"/>
      <w:marRight w:val="0"/>
      <w:marTop w:val="0"/>
      <w:marBottom w:val="0"/>
      <w:divBdr>
        <w:top w:val="none" w:sz="0" w:space="0" w:color="auto"/>
        <w:left w:val="none" w:sz="0" w:space="0" w:color="auto"/>
        <w:bottom w:val="none" w:sz="0" w:space="0" w:color="auto"/>
        <w:right w:val="none" w:sz="0" w:space="0" w:color="auto"/>
      </w:divBdr>
    </w:div>
    <w:div w:id="603347840">
      <w:bodyDiv w:val="1"/>
      <w:marLeft w:val="0"/>
      <w:marRight w:val="0"/>
      <w:marTop w:val="0"/>
      <w:marBottom w:val="0"/>
      <w:divBdr>
        <w:top w:val="none" w:sz="0" w:space="0" w:color="auto"/>
        <w:left w:val="none" w:sz="0" w:space="0" w:color="auto"/>
        <w:bottom w:val="none" w:sz="0" w:space="0" w:color="auto"/>
        <w:right w:val="none" w:sz="0" w:space="0" w:color="auto"/>
      </w:divBdr>
    </w:div>
    <w:div w:id="669215357">
      <w:bodyDiv w:val="1"/>
      <w:marLeft w:val="0"/>
      <w:marRight w:val="0"/>
      <w:marTop w:val="0"/>
      <w:marBottom w:val="0"/>
      <w:divBdr>
        <w:top w:val="none" w:sz="0" w:space="0" w:color="auto"/>
        <w:left w:val="none" w:sz="0" w:space="0" w:color="auto"/>
        <w:bottom w:val="none" w:sz="0" w:space="0" w:color="auto"/>
        <w:right w:val="none" w:sz="0" w:space="0" w:color="auto"/>
      </w:divBdr>
    </w:div>
    <w:div w:id="681127169">
      <w:bodyDiv w:val="1"/>
      <w:marLeft w:val="0"/>
      <w:marRight w:val="0"/>
      <w:marTop w:val="0"/>
      <w:marBottom w:val="0"/>
      <w:divBdr>
        <w:top w:val="none" w:sz="0" w:space="0" w:color="auto"/>
        <w:left w:val="none" w:sz="0" w:space="0" w:color="auto"/>
        <w:bottom w:val="none" w:sz="0" w:space="0" w:color="auto"/>
        <w:right w:val="none" w:sz="0" w:space="0" w:color="auto"/>
      </w:divBdr>
    </w:div>
    <w:div w:id="682169513">
      <w:bodyDiv w:val="1"/>
      <w:marLeft w:val="0"/>
      <w:marRight w:val="0"/>
      <w:marTop w:val="0"/>
      <w:marBottom w:val="0"/>
      <w:divBdr>
        <w:top w:val="none" w:sz="0" w:space="0" w:color="auto"/>
        <w:left w:val="none" w:sz="0" w:space="0" w:color="auto"/>
        <w:bottom w:val="none" w:sz="0" w:space="0" w:color="auto"/>
        <w:right w:val="none" w:sz="0" w:space="0" w:color="auto"/>
      </w:divBdr>
    </w:div>
    <w:div w:id="688340655">
      <w:bodyDiv w:val="1"/>
      <w:marLeft w:val="0"/>
      <w:marRight w:val="0"/>
      <w:marTop w:val="0"/>
      <w:marBottom w:val="0"/>
      <w:divBdr>
        <w:top w:val="none" w:sz="0" w:space="0" w:color="auto"/>
        <w:left w:val="none" w:sz="0" w:space="0" w:color="auto"/>
        <w:bottom w:val="none" w:sz="0" w:space="0" w:color="auto"/>
        <w:right w:val="none" w:sz="0" w:space="0" w:color="auto"/>
      </w:divBdr>
    </w:div>
    <w:div w:id="787628162">
      <w:bodyDiv w:val="1"/>
      <w:marLeft w:val="0"/>
      <w:marRight w:val="0"/>
      <w:marTop w:val="0"/>
      <w:marBottom w:val="0"/>
      <w:divBdr>
        <w:top w:val="none" w:sz="0" w:space="0" w:color="auto"/>
        <w:left w:val="none" w:sz="0" w:space="0" w:color="auto"/>
        <w:bottom w:val="none" w:sz="0" w:space="0" w:color="auto"/>
        <w:right w:val="none" w:sz="0" w:space="0" w:color="auto"/>
      </w:divBdr>
    </w:div>
    <w:div w:id="807627528">
      <w:bodyDiv w:val="1"/>
      <w:marLeft w:val="0"/>
      <w:marRight w:val="0"/>
      <w:marTop w:val="0"/>
      <w:marBottom w:val="0"/>
      <w:divBdr>
        <w:top w:val="none" w:sz="0" w:space="0" w:color="auto"/>
        <w:left w:val="none" w:sz="0" w:space="0" w:color="auto"/>
        <w:bottom w:val="none" w:sz="0" w:space="0" w:color="auto"/>
        <w:right w:val="none" w:sz="0" w:space="0" w:color="auto"/>
      </w:divBdr>
    </w:div>
    <w:div w:id="856507881">
      <w:bodyDiv w:val="1"/>
      <w:marLeft w:val="0"/>
      <w:marRight w:val="0"/>
      <w:marTop w:val="0"/>
      <w:marBottom w:val="0"/>
      <w:divBdr>
        <w:top w:val="none" w:sz="0" w:space="0" w:color="auto"/>
        <w:left w:val="none" w:sz="0" w:space="0" w:color="auto"/>
        <w:bottom w:val="none" w:sz="0" w:space="0" w:color="auto"/>
        <w:right w:val="none" w:sz="0" w:space="0" w:color="auto"/>
      </w:divBdr>
    </w:div>
    <w:div w:id="946158069">
      <w:bodyDiv w:val="1"/>
      <w:marLeft w:val="0"/>
      <w:marRight w:val="0"/>
      <w:marTop w:val="0"/>
      <w:marBottom w:val="0"/>
      <w:divBdr>
        <w:top w:val="none" w:sz="0" w:space="0" w:color="auto"/>
        <w:left w:val="none" w:sz="0" w:space="0" w:color="auto"/>
        <w:bottom w:val="none" w:sz="0" w:space="0" w:color="auto"/>
        <w:right w:val="none" w:sz="0" w:space="0" w:color="auto"/>
      </w:divBdr>
    </w:div>
    <w:div w:id="1094013595">
      <w:bodyDiv w:val="1"/>
      <w:marLeft w:val="0"/>
      <w:marRight w:val="0"/>
      <w:marTop w:val="0"/>
      <w:marBottom w:val="0"/>
      <w:divBdr>
        <w:top w:val="none" w:sz="0" w:space="0" w:color="auto"/>
        <w:left w:val="none" w:sz="0" w:space="0" w:color="auto"/>
        <w:bottom w:val="none" w:sz="0" w:space="0" w:color="auto"/>
        <w:right w:val="none" w:sz="0" w:space="0" w:color="auto"/>
      </w:divBdr>
      <w:divsChild>
        <w:div w:id="610551478">
          <w:marLeft w:val="167"/>
          <w:marRight w:val="167"/>
          <w:marTop w:val="0"/>
          <w:marBottom w:val="0"/>
          <w:divBdr>
            <w:top w:val="none" w:sz="0" w:space="0" w:color="auto"/>
            <w:left w:val="none" w:sz="0" w:space="0" w:color="auto"/>
            <w:bottom w:val="none" w:sz="0" w:space="0" w:color="auto"/>
            <w:right w:val="none" w:sz="0" w:space="0" w:color="auto"/>
          </w:divBdr>
          <w:divsChild>
            <w:div w:id="46538295">
              <w:marLeft w:val="0"/>
              <w:marRight w:val="0"/>
              <w:marTop w:val="0"/>
              <w:marBottom w:val="0"/>
              <w:divBdr>
                <w:top w:val="none" w:sz="0" w:space="0" w:color="auto"/>
                <w:left w:val="none" w:sz="0" w:space="0" w:color="auto"/>
                <w:bottom w:val="none" w:sz="0" w:space="0" w:color="auto"/>
                <w:right w:val="none" w:sz="0" w:space="0" w:color="auto"/>
              </w:divBdr>
              <w:divsChild>
                <w:div w:id="9016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7601">
      <w:bodyDiv w:val="1"/>
      <w:marLeft w:val="0"/>
      <w:marRight w:val="0"/>
      <w:marTop w:val="0"/>
      <w:marBottom w:val="0"/>
      <w:divBdr>
        <w:top w:val="none" w:sz="0" w:space="0" w:color="auto"/>
        <w:left w:val="none" w:sz="0" w:space="0" w:color="auto"/>
        <w:bottom w:val="none" w:sz="0" w:space="0" w:color="auto"/>
        <w:right w:val="none" w:sz="0" w:space="0" w:color="auto"/>
      </w:divBdr>
    </w:div>
    <w:div w:id="1162740266">
      <w:bodyDiv w:val="1"/>
      <w:marLeft w:val="0"/>
      <w:marRight w:val="0"/>
      <w:marTop w:val="0"/>
      <w:marBottom w:val="0"/>
      <w:divBdr>
        <w:top w:val="none" w:sz="0" w:space="0" w:color="auto"/>
        <w:left w:val="none" w:sz="0" w:space="0" w:color="auto"/>
        <w:bottom w:val="none" w:sz="0" w:space="0" w:color="auto"/>
        <w:right w:val="none" w:sz="0" w:space="0" w:color="auto"/>
      </w:divBdr>
    </w:div>
    <w:div w:id="1169713938">
      <w:bodyDiv w:val="1"/>
      <w:marLeft w:val="0"/>
      <w:marRight w:val="0"/>
      <w:marTop w:val="0"/>
      <w:marBottom w:val="0"/>
      <w:divBdr>
        <w:top w:val="none" w:sz="0" w:space="0" w:color="auto"/>
        <w:left w:val="none" w:sz="0" w:space="0" w:color="auto"/>
        <w:bottom w:val="none" w:sz="0" w:space="0" w:color="auto"/>
        <w:right w:val="none" w:sz="0" w:space="0" w:color="auto"/>
      </w:divBdr>
      <w:divsChild>
        <w:div w:id="1299725938">
          <w:marLeft w:val="547"/>
          <w:marRight w:val="0"/>
          <w:marTop w:val="134"/>
          <w:marBottom w:val="0"/>
          <w:divBdr>
            <w:top w:val="none" w:sz="0" w:space="0" w:color="auto"/>
            <w:left w:val="none" w:sz="0" w:space="0" w:color="auto"/>
            <w:bottom w:val="none" w:sz="0" w:space="0" w:color="auto"/>
            <w:right w:val="none" w:sz="0" w:space="0" w:color="auto"/>
          </w:divBdr>
        </w:div>
      </w:divsChild>
    </w:div>
    <w:div w:id="1182163666">
      <w:bodyDiv w:val="1"/>
      <w:marLeft w:val="0"/>
      <w:marRight w:val="0"/>
      <w:marTop w:val="0"/>
      <w:marBottom w:val="0"/>
      <w:divBdr>
        <w:top w:val="none" w:sz="0" w:space="0" w:color="auto"/>
        <w:left w:val="none" w:sz="0" w:space="0" w:color="auto"/>
        <w:bottom w:val="none" w:sz="0" w:space="0" w:color="auto"/>
        <w:right w:val="none" w:sz="0" w:space="0" w:color="auto"/>
      </w:divBdr>
    </w:div>
    <w:div w:id="1252203459">
      <w:bodyDiv w:val="1"/>
      <w:marLeft w:val="0"/>
      <w:marRight w:val="0"/>
      <w:marTop w:val="0"/>
      <w:marBottom w:val="0"/>
      <w:divBdr>
        <w:top w:val="none" w:sz="0" w:space="0" w:color="auto"/>
        <w:left w:val="none" w:sz="0" w:space="0" w:color="auto"/>
        <w:bottom w:val="none" w:sz="0" w:space="0" w:color="auto"/>
        <w:right w:val="none" w:sz="0" w:space="0" w:color="auto"/>
      </w:divBdr>
    </w:div>
    <w:div w:id="1266496799">
      <w:bodyDiv w:val="1"/>
      <w:marLeft w:val="0"/>
      <w:marRight w:val="0"/>
      <w:marTop w:val="0"/>
      <w:marBottom w:val="0"/>
      <w:divBdr>
        <w:top w:val="none" w:sz="0" w:space="0" w:color="auto"/>
        <w:left w:val="none" w:sz="0" w:space="0" w:color="auto"/>
        <w:bottom w:val="none" w:sz="0" w:space="0" w:color="auto"/>
        <w:right w:val="none" w:sz="0" w:space="0" w:color="auto"/>
      </w:divBdr>
    </w:div>
    <w:div w:id="1306933246">
      <w:bodyDiv w:val="1"/>
      <w:marLeft w:val="0"/>
      <w:marRight w:val="0"/>
      <w:marTop w:val="0"/>
      <w:marBottom w:val="0"/>
      <w:divBdr>
        <w:top w:val="none" w:sz="0" w:space="0" w:color="auto"/>
        <w:left w:val="none" w:sz="0" w:space="0" w:color="auto"/>
        <w:bottom w:val="none" w:sz="0" w:space="0" w:color="auto"/>
        <w:right w:val="none" w:sz="0" w:space="0" w:color="auto"/>
      </w:divBdr>
    </w:div>
    <w:div w:id="1332566858">
      <w:bodyDiv w:val="1"/>
      <w:marLeft w:val="0"/>
      <w:marRight w:val="0"/>
      <w:marTop w:val="0"/>
      <w:marBottom w:val="0"/>
      <w:divBdr>
        <w:top w:val="none" w:sz="0" w:space="0" w:color="auto"/>
        <w:left w:val="none" w:sz="0" w:space="0" w:color="auto"/>
        <w:bottom w:val="none" w:sz="0" w:space="0" w:color="auto"/>
        <w:right w:val="none" w:sz="0" w:space="0" w:color="auto"/>
      </w:divBdr>
    </w:div>
    <w:div w:id="1439180087">
      <w:bodyDiv w:val="1"/>
      <w:marLeft w:val="0"/>
      <w:marRight w:val="0"/>
      <w:marTop w:val="0"/>
      <w:marBottom w:val="0"/>
      <w:divBdr>
        <w:top w:val="none" w:sz="0" w:space="0" w:color="auto"/>
        <w:left w:val="none" w:sz="0" w:space="0" w:color="auto"/>
        <w:bottom w:val="none" w:sz="0" w:space="0" w:color="auto"/>
        <w:right w:val="none" w:sz="0" w:space="0" w:color="auto"/>
      </w:divBdr>
    </w:div>
    <w:div w:id="1509756418">
      <w:bodyDiv w:val="1"/>
      <w:marLeft w:val="0"/>
      <w:marRight w:val="0"/>
      <w:marTop w:val="0"/>
      <w:marBottom w:val="0"/>
      <w:divBdr>
        <w:top w:val="none" w:sz="0" w:space="0" w:color="auto"/>
        <w:left w:val="none" w:sz="0" w:space="0" w:color="auto"/>
        <w:bottom w:val="none" w:sz="0" w:space="0" w:color="auto"/>
        <w:right w:val="none" w:sz="0" w:space="0" w:color="auto"/>
      </w:divBdr>
    </w:div>
    <w:div w:id="1595894185">
      <w:bodyDiv w:val="1"/>
      <w:marLeft w:val="0"/>
      <w:marRight w:val="0"/>
      <w:marTop w:val="0"/>
      <w:marBottom w:val="0"/>
      <w:divBdr>
        <w:top w:val="none" w:sz="0" w:space="0" w:color="auto"/>
        <w:left w:val="none" w:sz="0" w:space="0" w:color="auto"/>
        <w:bottom w:val="none" w:sz="0" w:space="0" w:color="auto"/>
        <w:right w:val="none" w:sz="0" w:space="0" w:color="auto"/>
      </w:divBdr>
    </w:div>
    <w:div w:id="1711493336">
      <w:bodyDiv w:val="1"/>
      <w:marLeft w:val="0"/>
      <w:marRight w:val="0"/>
      <w:marTop w:val="0"/>
      <w:marBottom w:val="0"/>
      <w:divBdr>
        <w:top w:val="none" w:sz="0" w:space="0" w:color="auto"/>
        <w:left w:val="none" w:sz="0" w:space="0" w:color="auto"/>
        <w:bottom w:val="none" w:sz="0" w:space="0" w:color="auto"/>
        <w:right w:val="none" w:sz="0" w:space="0" w:color="auto"/>
      </w:divBdr>
    </w:div>
    <w:div w:id="1764063786">
      <w:bodyDiv w:val="1"/>
      <w:marLeft w:val="0"/>
      <w:marRight w:val="0"/>
      <w:marTop w:val="0"/>
      <w:marBottom w:val="0"/>
      <w:divBdr>
        <w:top w:val="none" w:sz="0" w:space="0" w:color="auto"/>
        <w:left w:val="none" w:sz="0" w:space="0" w:color="auto"/>
        <w:bottom w:val="none" w:sz="0" w:space="0" w:color="auto"/>
        <w:right w:val="none" w:sz="0" w:space="0" w:color="auto"/>
      </w:divBdr>
    </w:div>
    <w:div w:id="1823035536">
      <w:bodyDiv w:val="1"/>
      <w:marLeft w:val="0"/>
      <w:marRight w:val="0"/>
      <w:marTop w:val="0"/>
      <w:marBottom w:val="0"/>
      <w:divBdr>
        <w:top w:val="none" w:sz="0" w:space="0" w:color="auto"/>
        <w:left w:val="none" w:sz="0" w:space="0" w:color="auto"/>
        <w:bottom w:val="none" w:sz="0" w:space="0" w:color="auto"/>
        <w:right w:val="none" w:sz="0" w:space="0" w:color="auto"/>
      </w:divBdr>
    </w:div>
    <w:div w:id="1834947332">
      <w:bodyDiv w:val="1"/>
      <w:marLeft w:val="0"/>
      <w:marRight w:val="0"/>
      <w:marTop w:val="0"/>
      <w:marBottom w:val="0"/>
      <w:divBdr>
        <w:top w:val="none" w:sz="0" w:space="0" w:color="auto"/>
        <w:left w:val="none" w:sz="0" w:space="0" w:color="auto"/>
        <w:bottom w:val="none" w:sz="0" w:space="0" w:color="auto"/>
        <w:right w:val="none" w:sz="0" w:space="0" w:color="auto"/>
      </w:divBdr>
    </w:div>
    <w:div w:id="1865509672">
      <w:bodyDiv w:val="1"/>
      <w:marLeft w:val="0"/>
      <w:marRight w:val="0"/>
      <w:marTop w:val="0"/>
      <w:marBottom w:val="0"/>
      <w:divBdr>
        <w:top w:val="none" w:sz="0" w:space="0" w:color="auto"/>
        <w:left w:val="none" w:sz="0" w:space="0" w:color="auto"/>
        <w:bottom w:val="none" w:sz="0" w:space="0" w:color="auto"/>
        <w:right w:val="none" w:sz="0" w:space="0" w:color="auto"/>
      </w:divBdr>
    </w:div>
    <w:div w:id="1891065030">
      <w:bodyDiv w:val="1"/>
      <w:marLeft w:val="0"/>
      <w:marRight w:val="0"/>
      <w:marTop w:val="0"/>
      <w:marBottom w:val="0"/>
      <w:divBdr>
        <w:top w:val="none" w:sz="0" w:space="0" w:color="auto"/>
        <w:left w:val="none" w:sz="0" w:space="0" w:color="auto"/>
        <w:bottom w:val="none" w:sz="0" w:space="0" w:color="auto"/>
        <w:right w:val="none" w:sz="0" w:space="0" w:color="auto"/>
      </w:divBdr>
    </w:div>
    <w:div w:id="1922792506">
      <w:bodyDiv w:val="1"/>
      <w:marLeft w:val="0"/>
      <w:marRight w:val="0"/>
      <w:marTop w:val="0"/>
      <w:marBottom w:val="0"/>
      <w:divBdr>
        <w:top w:val="none" w:sz="0" w:space="0" w:color="auto"/>
        <w:left w:val="none" w:sz="0" w:space="0" w:color="auto"/>
        <w:bottom w:val="none" w:sz="0" w:space="0" w:color="auto"/>
        <w:right w:val="none" w:sz="0" w:space="0" w:color="auto"/>
      </w:divBdr>
    </w:div>
    <w:div w:id="1923054976">
      <w:bodyDiv w:val="1"/>
      <w:marLeft w:val="0"/>
      <w:marRight w:val="0"/>
      <w:marTop w:val="0"/>
      <w:marBottom w:val="0"/>
      <w:divBdr>
        <w:top w:val="none" w:sz="0" w:space="0" w:color="auto"/>
        <w:left w:val="none" w:sz="0" w:space="0" w:color="auto"/>
        <w:bottom w:val="none" w:sz="0" w:space="0" w:color="auto"/>
        <w:right w:val="none" w:sz="0" w:space="0" w:color="auto"/>
      </w:divBdr>
    </w:div>
    <w:div w:id="1928541091">
      <w:bodyDiv w:val="1"/>
      <w:marLeft w:val="0"/>
      <w:marRight w:val="0"/>
      <w:marTop w:val="0"/>
      <w:marBottom w:val="0"/>
      <w:divBdr>
        <w:top w:val="none" w:sz="0" w:space="0" w:color="auto"/>
        <w:left w:val="none" w:sz="0" w:space="0" w:color="auto"/>
        <w:bottom w:val="none" w:sz="0" w:space="0" w:color="auto"/>
        <w:right w:val="none" w:sz="0" w:space="0" w:color="auto"/>
      </w:divBdr>
    </w:div>
    <w:div w:id="1953584983">
      <w:bodyDiv w:val="1"/>
      <w:marLeft w:val="0"/>
      <w:marRight w:val="0"/>
      <w:marTop w:val="0"/>
      <w:marBottom w:val="0"/>
      <w:divBdr>
        <w:top w:val="none" w:sz="0" w:space="0" w:color="auto"/>
        <w:left w:val="none" w:sz="0" w:space="0" w:color="auto"/>
        <w:bottom w:val="none" w:sz="0" w:space="0" w:color="auto"/>
        <w:right w:val="none" w:sz="0" w:space="0" w:color="auto"/>
      </w:divBdr>
    </w:div>
    <w:div w:id="1990329747">
      <w:bodyDiv w:val="1"/>
      <w:marLeft w:val="0"/>
      <w:marRight w:val="0"/>
      <w:marTop w:val="0"/>
      <w:marBottom w:val="0"/>
      <w:divBdr>
        <w:top w:val="none" w:sz="0" w:space="0" w:color="auto"/>
        <w:left w:val="none" w:sz="0" w:space="0" w:color="auto"/>
        <w:bottom w:val="none" w:sz="0" w:space="0" w:color="auto"/>
        <w:right w:val="none" w:sz="0" w:space="0" w:color="auto"/>
      </w:divBdr>
    </w:div>
    <w:div w:id="2026011604">
      <w:bodyDiv w:val="1"/>
      <w:marLeft w:val="0"/>
      <w:marRight w:val="0"/>
      <w:marTop w:val="0"/>
      <w:marBottom w:val="0"/>
      <w:divBdr>
        <w:top w:val="none" w:sz="0" w:space="0" w:color="auto"/>
        <w:left w:val="none" w:sz="0" w:space="0" w:color="auto"/>
        <w:bottom w:val="none" w:sz="0" w:space="0" w:color="auto"/>
        <w:right w:val="none" w:sz="0" w:space="0" w:color="auto"/>
      </w:divBdr>
    </w:div>
    <w:div w:id="2061440373">
      <w:bodyDiv w:val="1"/>
      <w:marLeft w:val="0"/>
      <w:marRight w:val="0"/>
      <w:marTop w:val="0"/>
      <w:marBottom w:val="0"/>
      <w:divBdr>
        <w:top w:val="none" w:sz="0" w:space="0" w:color="auto"/>
        <w:left w:val="none" w:sz="0" w:space="0" w:color="auto"/>
        <w:bottom w:val="none" w:sz="0" w:space="0" w:color="auto"/>
        <w:right w:val="none" w:sz="0" w:space="0" w:color="auto"/>
      </w:divBdr>
    </w:div>
    <w:div w:id="2062047357">
      <w:bodyDiv w:val="1"/>
      <w:marLeft w:val="0"/>
      <w:marRight w:val="0"/>
      <w:marTop w:val="0"/>
      <w:marBottom w:val="0"/>
      <w:divBdr>
        <w:top w:val="none" w:sz="0" w:space="0" w:color="auto"/>
        <w:left w:val="none" w:sz="0" w:space="0" w:color="auto"/>
        <w:bottom w:val="none" w:sz="0" w:space="0" w:color="auto"/>
        <w:right w:val="none" w:sz="0" w:space="0" w:color="auto"/>
      </w:divBdr>
    </w:div>
    <w:div w:id="21044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heguardian.com/healthcare-network/2013/oct/25/university-oxford-service-delivery-innovation-award-winne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AC98B-0DC0-4BD3-ADEA-5F716F2B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10236</Words>
  <Characters>56085</Characters>
  <Application>Microsoft Office Word</Application>
  <DocSecurity>4</DocSecurity>
  <Lines>467</Lines>
  <Paragraphs>132</Paragraphs>
  <ScaleCrop>false</ScaleCrop>
  <HeadingPairs>
    <vt:vector size="2" baseType="variant">
      <vt:variant>
        <vt:lpstr>Title</vt:lpstr>
      </vt:variant>
      <vt:variant>
        <vt:i4>1</vt:i4>
      </vt:variant>
    </vt:vector>
  </HeadingPairs>
  <TitlesOfParts>
    <vt:vector size="1" baseType="lpstr">
      <vt:lpstr/>
    </vt:vector>
  </TitlesOfParts>
  <Company>Oxfordshire Mental Healthcare NHS Trust</Company>
  <LinksUpToDate>false</LinksUpToDate>
  <CharactersWithSpaces>66189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StackJ</dc:creator>
  <cp:lastModifiedBy>Stratful Emma (RNU) Oxford Health</cp:lastModifiedBy>
  <cp:revision>2</cp:revision>
  <cp:lastPrinted>2015-01-08T10:47:00Z</cp:lastPrinted>
  <dcterms:created xsi:type="dcterms:W3CDTF">2015-02-02T12:38:00Z</dcterms:created>
  <dcterms:modified xsi:type="dcterms:W3CDTF">2015-02-02T12:38:00Z</dcterms:modified>
</cp:coreProperties>
</file>