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B331E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E27D24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E1" w:rsidRDefault="001229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5F42" w:rsidRDefault="00335F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 141/2015</w:t>
                            </w:r>
                          </w:p>
                          <w:p w:rsidR="00335F42" w:rsidRPr="00335F42" w:rsidRDefault="00335F4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1229E1" w:rsidRDefault="001229E1">
                      <w:pPr>
                        <w:jc w:val="center"/>
                        <w:rPr>
                          <w:b/>
                        </w:rPr>
                      </w:pPr>
                    </w:p>
                    <w:p w:rsidR="00335F42" w:rsidRDefault="00335F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 141/2015</w:t>
                      </w:r>
                    </w:p>
                    <w:p w:rsidR="00335F42" w:rsidRPr="00335F42" w:rsidRDefault="00335F4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12)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A216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A7688B">
        <w:rPr>
          <w:rFonts w:ascii="Arial" w:hAnsi="Arial" w:cs="Arial"/>
          <w:b/>
        </w:rPr>
        <w:t xml:space="preserve"> </w:t>
      </w:r>
      <w:r w:rsidR="007B736D">
        <w:rPr>
          <w:rFonts w:ascii="Arial" w:hAnsi="Arial" w:cs="Arial"/>
          <w:b/>
        </w:rPr>
        <w:t xml:space="preserve">October </w:t>
      </w:r>
      <w:r w:rsidR="00AD39EB">
        <w:rPr>
          <w:rFonts w:ascii="Arial" w:hAnsi="Arial" w:cs="Arial"/>
          <w:b/>
        </w:rPr>
        <w:t>2015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B331E7" w:rsidP="00972E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Workforce Performance Report –</w:t>
      </w:r>
      <w:r w:rsidR="009D422B">
        <w:rPr>
          <w:rFonts w:ascii="Arial" w:hAnsi="Arial" w:cs="Arial"/>
          <w:b/>
        </w:rPr>
        <w:t xml:space="preserve"> </w:t>
      </w:r>
      <w:r w:rsidR="007B736D">
        <w:rPr>
          <w:rFonts w:ascii="Arial" w:hAnsi="Arial" w:cs="Arial"/>
          <w:b/>
        </w:rPr>
        <w:t xml:space="preserve">October </w:t>
      </w:r>
      <w:r w:rsidR="00972E41">
        <w:rPr>
          <w:rFonts w:ascii="Arial" w:hAnsi="Arial" w:cs="Arial"/>
          <w:b/>
        </w:rPr>
        <w:t>2015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B331E7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Information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92613" w:rsidRDefault="00292613">
      <w:pPr>
        <w:rPr>
          <w:rFonts w:ascii="Arial" w:hAnsi="Arial" w:cs="Arial"/>
          <w:b/>
        </w:rPr>
      </w:pPr>
    </w:p>
    <w:p w:rsidR="00C55F19" w:rsidRDefault="00C55F19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attached report shows the position on the workforce performance indicators as at the end of </w:t>
      </w:r>
      <w:r w:rsidR="007F1D0A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2015</w:t>
      </w:r>
      <w:r w:rsidR="00596A9D">
        <w:rPr>
          <w:rFonts w:ascii="Arial" w:hAnsi="Arial" w:cs="Arial"/>
        </w:rPr>
        <w:t>, except for sickness absence which is a month in arrears.</w:t>
      </w:r>
    </w:p>
    <w:p w:rsidR="00C55F19" w:rsidRDefault="00C55F19" w:rsidP="00B331E7">
      <w:pPr>
        <w:jc w:val="both"/>
        <w:rPr>
          <w:rFonts w:ascii="Arial" w:hAnsi="Arial" w:cs="Arial"/>
        </w:rPr>
      </w:pPr>
    </w:p>
    <w:p w:rsidR="008D7F01" w:rsidRDefault="008D7F01" w:rsidP="008D7F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 Turnover % Rate</w:t>
      </w:r>
    </w:p>
    <w:p w:rsidR="008D7F01" w:rsidRDefault="008D7F01" w:rsidP="008D7F01">
      <w:pPr>
        <w:jc w:val="both"/>
        <w:rPr>
          <w:rFonts w:ascii="Arial" w:hAnsi="Arial" w:cs="Arial"/>
          <w:b/>
        </w:rPr>
      </w:pPr>
    </w:p>
    <w:p w:rsidR="008D7F01" w:rsidRPr="00C04C87" w:rsidRDefault="008D7F01" w:rsidP="008D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Turnover % rate </w:t>
      </w:r>
      <w:r w:rsidR="009C15A5">
        <w:rPr>
          <w:rFonts w:ascii="Arial" w:hAnsi="Arial" w:cs="Arial"/>
        </w:rPr>
        <w:t xml:space="preserve">decreased from </w:t>
      </w:r>
      <w:r>
        <w:rPr>
          <w:rFonts w:ascii="Arial" w:hAnsi="Arial" w:cs="Arial"/>
        </w:rPr>
        <w:t xml:space="preserve">14.25% </w:t>
      </w:r>
      <w:r w:rsidR="009C15A5">
        <w:rPr>
          <w:rFonts w:ascii="Arial" w:hAnsi="Arial" w:cs="Arial"/>
        </w:rPr>
        <w:t xml:space="preserve">in August to </w:t>
      </w:r>
      <w:r>
        <w:rPr>
          <w:rFonts w:ascii="Arial" w:hAnsi="Arial" w:cs="Arial"/>
        </w:rPr>
        <w:t>13.</w:t>
      </w:r>
      <w:r w:rsidR="009C15A5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% in </w:t>
      </w:r>
      <w:r w:rsidR="009C15A5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 xml:space="preserve">a </w:t>
      </w:r>
      <w:r w:rsidR="009C15A5">
        <w:rPr>
          <w:rFonts w:ascii="Arial" w:hAnsi="Arial" w:cs="Arial"/>
        </w:rPr>
        <w:t xml:space="preserve">decrease of </w:t>
      </w:r>
      <w:r>
        <w:rPr>
          <w:rFonts w:ascii="Arial" w:hAnsi="Arial" w:cs="Arial"/>
        </w:rPr>
        <w:t>0.</w:t>
      </w:r>
      <w:r w:rsidR="009C15A5">
        <w:rPr>
          <w:rFonts w:ascii="Arial" w:hAnsi="Arial" w:cs="Arial"/>
        </w:rPr>
        <w:t>55</w:t>
      </w:r>
      <w:r>
        <w:rPr>
          <w:rFonts w:ascii="Arial" w:hAnsi="Arial" w:cs="Arial"/>
        </w:rPr>
        <w:t>%</w:t>
      </w:r>
      <w:r w:rsidR="008720A2">
        <w:rPr>
          <w:rFonts w:ascii="Arial" w:hAnsi="Arial" w:cs="Arial"/>
        </w:rPr>
        <w:t xml:space="preserve"> points</w:t>
      </w:r>
      <w:r>
        <w:rPr>
          <w:rFonts w:ascii="Arial" w:hAnsi="Arial" w:cs="Arial"/>
        </w:rPr>
        <w:t xml:space="preserve"> in month.  Turnover is higher than the 2014/2015 trend </w:t>
      </w:r>
      <w:r w:rsidR="006B576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13.</w:t>
      </w:r>
      <w:r w:rsidR="009C15A5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% </w:t>
      </w:r>
      <w:r w:rsidR="006B5764">
        <w:rPr>
          <w:rFonts w:ascii="Arial" w:hAnsi="Arial" w:cs="Arial"/>
        </w:rPr>
        <w:t xml:space="preserve">in </w:t>
      </w:r>
      <w:r w:rsidR="004777B6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2014.</w:t>
      </w:r>
    </w:p>
    <w:p w:rsidR="008D7F01" w:rsidRDefault="008D7F01" w:rsidP="008D7F01">
      <w:pPr>
        <w:jc w:val="both"/>
        <w:rPr>
          <w:rFonts w:ascii="Arial" w:hAnsi="Arial" w:cs="Arial"/>
          <w:b/>
        </w:rPr>
      </w:pPr>
    </w:p>
    <w:p w:rsidR="008D7F01" w:rsidRDefault="008D7F01" w:rsidP="008D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&amp; Young People </w:t>
      </w:r>
      <w:r w:rsidR="009C15A5">
        <w:rPr>
          <w:rFonts w:ascii="Arial" w:hAnsi="Arial" w:cs="Arial"/>
        </w:rPr>
        <w:t>Directorate continue to increase</w:t>
      </w:r>
      <w:r w:rsidR="004D05D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has the highest reported turnover % rate which has increased from </w:t>
      </w:r>
      <w:r w:rsidR="004D05D6">
        <w:rPr>
          <w:rFonts w:ascii="Arial" w:hAnsi="Arial" w:cs="Arial"/>
        </w:rPr>
        <w:t>14.73</w:t>
      </w:r>
      <w:r>
        <w:rPr>
          <w:rFonts w:ascii="Arial" w:hAnsi="Arial" w:cs="Arial"/>
        </w:rPr>
        <w:t xml:space="preserve">% in </w:t>
      </w:r>
      <w:r w:rsidR="004D05D6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to 14.</w:t>
      </w:r>
      <w:r w:rsidR="004D05D6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% in </w:t>
      </w:r>
      <w:r w:rsidR="006B5764">
        <w:rPr>
          <w:rFonts w:ascii="Arial" w:hAnsi="Arial" w:cs="Arial"/>
        </w:rPr>
        <w:t xml:space="preserve">September, </w:t>
      </w:r>
      <w:r w:rsidR="004D05D6">
        <w:rPr>
          <w:rFonts w:ascii="Arial" w:hAnsi="Arial" w:cs="Arial"/>
        </w:rPr>
        <w:t>Cyp Swindon Wilts &amp; Banes Services has the highest level of turnover at 16.51%</w:t>
      </w:r>
      <w:r w:rsidRPr="00F30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4D05D6">
        <w:rPr>
          <w:rFonts w:ascii="Arial" w:hAnsi="Arial" w:cs="Arial"/>
        </w:rPr>
        <w:t>September.</w:t>
      </w:r>
    </w:p>
    <w:p w:rsidR="00427630" w:rsidRDefault="00427630" w:rsidP="008D7F01">
      <w:pPr>
        <w:jc w:val="both"/>
        <w:rPr>
          <w:rFonts w:ascii="Arial" w:hAnsi="Arial" w:cs="Arial"/>
        </w:rPr>
      </w:pPr>
    </w:p>
    <w:p w:rsidR="00427630" w:rsidRPr="00A816FB" w:rsidRDefault="00427630" w:rsidP="00427630">
      <w:pPr>
        <w:jc w:val="both"/>
        <w:rPr>
          <w:rFonts w:ascii="Arial" w:hAnsi="Arial" w:cs="Arial"/>
          <w:b/>
        </w:rPr>
      </w:pPr>
      <w:r w:rsidRPr="00A816FB">
        <w:rPr>
          <w:rFonts w:ascii="Arial" w:hAnsi="Arial" w:cs="Arial"/>
          <w:b/>
        </w:rPr>
        <w:t xml:space="preserve">Exit </w:t>
      </w:r>
      <w:r w:rsidR="00A816FB" w:rsidRPr="00A816FB">
        <w:rPr>
          <w:rFonts w:ascii="Arial" w:hAnsi="Arial" w:cs="Arial"/>
          <w:b/>
        </w:rPr>
        <w:t xml:space="preserve">Interview </w:t>
      </w:r>
      <w:r w:rsidRPr="00A816FB">
        <w:rPr>
          <w:rFonts w:ascii="Arial" w:hAnsi="Arial" w:cs="Arial"/>
          <w:b/>
        </w:rPr>
        <w:t xml:space="preserve">Process </w:t>
      </w:r>
    </w:p>
    <w:p w:rsidR="00A816FB" w:rsidRDefault="00A816FB" w:rsidP="00427630">
      <w:pPr>
        <w:jc w:val="both"/>
        <w:rPr>
          <w:rFonts w:ascii="Arial" w:hAnsi="Arial" w:cs="Arial"/>
        </w:rPr>
      </w:pPr>
    </w:p>
    <w:p w:rsidR="00A816FB" w:rsidRDefault="00A816FB" w:rsidP="00427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Work i</w:t>
      </w:r>
      <w:r w:rsidR="008720A2">
        <w:rPr>
          <w:rFonts w:ascii="Arial" w:hAnsi="Arial" w:cs="Arial"/>
        </w:rPr>
        <w:t>s in</w:t>
      </w:r>
      <w:r>
        <w:rPr>
          <w:rFonts w:ascii="Arial" w:hAnsi="Arial" w:cs="Arial"/>
        </w:rPr>
        <w:t xml:space="preserve"> progress </w:t>
      </w:r>
      <w:r w:rsidR="00DA595B">
        <w:rPr>
          <w:rFonts w:ascii="Arial" w:hAnsi="Arial" w:cs="Arial"/>
        </w:rPr>
        <w:t>com</w:t>
      </w:r>
      <w:r>
        <w:rPr>
          <w:rFonts w:ascii="Arial" w:hAnsi="Arial" w:cs="Arial"/>
        </w:rPr>
        <w:t>p</w:t>
      </w:r>
      <w:r w:rsidR="00DA595B">
        <w:rPr>
          <w:rFonts w:ascii="Arial" w:hAnsi="Arial" w:cs="Arial"/>
        </w:rPr>
        <w:t>a</w:t>
      </w:r>
      <w:r>
        <w:rPr>
          <w:rFonts w:ascii="Arial" w:hAnsi="Arial" w:cs="Arial"/>
        </w:rPr>
        <w:t>ring exit questionnaires across the Trust to establish a more robust working model and loo</w:t>
      </w:r>
      <w:r w:rsidR="008720A2">
        <w:rPr>
          <w:rFonts w:ascii="Arial" w:hAnsi="Arial" w:cs="Arial"/>
        </w:rPr>
        <w:t>king to make exit questionnaire</w:t>
      </w:r>
      <w:r>
        <w:rPr>
          <w:rFonts w:ascii="Arial" w:hAnsi="Arial" w:cs="Arial"/>
        </w:rPr>
        <w:t>s a more mandatory process.</w:t>
      </w:r>
    </w:p>
    <w:p w:rsidR="00427630" w:rsidRDefault="00427630" w:rsidP="00427630">
      <w:pPr>
        <w:jc w:val="both"/>
        <w:rPr>
          <w:rFonts w:ascii="Arial" w:hAnsi="Arial" w:cs="Arial"/>
        </w:rPr>
      </w:pPr>
    </w:p>
    <w:p w:rsidR="008D7F01" w:rsidRPr="003E500E" w:rsidRDefault="008D7F01" w:rsidP="008D7F01">
      <w:pPr>
        <w:jc w:val="both"/>
        <w:rPr>
          <w:rFonts w:ascii="Arial" w:hAnsi="Arial" w:cs="Arial"/>
          <w:b/>
        </w:rPr>
      </w:pPr>
      <w:r w:rsidRPr="003E500E">
        <w:rPr>
          <w:rFonts w:ascii="Arial" w:hAnsi="Arial" w:cs="Arial"/>
          <w:b/>
        </w:rPr>
        <w:t>Sickness Absence</w:t>
      </w:r>
      <w:r>
        <w:rPr>
          <w:rFonts w:ascii="Arial" w:hAnsi="Arial" w:cs="Arial"/>
          <w:b/>
        </w:rPr>
        <w:t xml:space="preserve"> % Rate</w:t>
      </w:r>
    </w:p>
    <w:p w:rsidR="008D7F01" w:rsidRDefault="008D7F01" w:rsidP="008D7F01">
      <w:pPr>
        <w:jc w:val="both"/>
        <w:rPr>
          <w:rFonts w:ascii="Arial" w:hAnsi="Arial" w:cs="Arial"/>
        </w:rPr>
      </w:pPr>
    </w:p>
    <w:p w:rsidR="008D7F01" w:rsidRDefault="008D7F01" w:rsidP="008D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Trust sickness </w:t>
      </w:r>
      <w:r w:rsidR="006B5764">
        <w:rPr>
          <w:rFonts w:ascii="Arial" w:hAnsi="Arial" w:cs="Arial"/>
        </w:rPr>
        <w:t xml:space="preserve">absence </w:t>
      </w:r>
      <w:r>
        <w:rPr>
          <w:rFonts w:ascii="Arial" w:hAnsi="Arial" w:cs="Arial"/>
        </w:rPr>
        <w:t xml:space="preserve">% rate </w:t>
      </w:r>
      <w:r w:rsidR="00E26B82">
        <w:rPr>
          <w:rFonts w:ascii="Arial" w:hAnsi="Arial" w:cs="Arial"/>
        </w:rPr>
        <w:t xml:space="preserve">remains above Trust target and has remained almost the same as </w:t>
      </w:r>
      <w:r w:rsidR="004777B6">
        <w:rPr>
          <w:rFonts w:ascii="Arial" w:hAnsi="Arial" w:cs="Arial"/>
        </w:rPr>
        <w:t>August</w:t>
      </w:r>
      <w:r w:rsidR="00FE6519">
        <w:rPr>
          <w:rFonts w:ascii="Arial" w:hAnsi="Arial" w:cs="Arial"/>
        </w:rPr>
        <w:t xml:space="preserve"> </w:t>
      </w:r>
      <w:r w:rsidR="00E26B8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95% </w:t>
      </w:r>
      <w:r w:rsidR="00E26B82">
        <w:rPr>
          <w:rFonts w:ascii="Arial" w:hAnsi="Arial" w:cs="Arial"/>
        </w:rPr>
        <w:t>to 3.96</w:t>
      </w:r>
      <w:r>
        <w:rPr>
          <w:rFonts w:ascii="Arial" w:hAnsi="Arial" w:cs="Arial"/>
        </w:rPr>
        <w:t xml:space="preserve">% in </w:t>
      </w:r>
      <w:r w:rsidR="004777B6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.  The sickness absence rate is </w:t>
      </w:r>
      <w:r w:rsidR="00FE651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the </w:t>
      </w:r>
      <w:r w:rsidR="00FE6519">
        <w:rPr>
          <w:rFonts w:ascii="Arial" w:hAnsi="Arial" w:cs="Arial"/>
        </w:rPr>
        <w:t xml:space="preserve">same as the </w:t>
      </w:r>
      <w:r>
        <w:rPr>
          <w:rFonts w:ascii="Arial" w:hAnsi="Arial" w:cs="Arial"/>
        </w:rPr>
        <w:t>2014/2015 trend (</w:t>
      </w:r>
      <w:r w:rsidR="00FE6519">
        <w:rPr>
          <w:rFonts w:ascii="Arial" w:hAnsi="Arial" w:cs="Arial"/>
        </w:rPr>
        <w:t>3.95</w:t>
      </w:r>
      <w:r>
        <w:rPr>
          <w:rFonts w:ascii="Arial" w:hAnsi="Arial" w:cs="Arial"/>
        </w:rPr>
        <w:t xml:space="preserve">% </w:t>
      </w:r>
      <w:r w:rsidR="004777B6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2014).</w:t>
      </w:r>
      <w:r w:rsidR="00B637D5">
        <w:rPr>
          <w:rFonts w:ascii="Arial" w:hAnsi="Arial" w:cs="Arial"/>
        </w:rPr>
        <w:t xml:space="preserve">  Children &amp; Young People Directorate has the highest sickness absence (4.76%) followed by Adult Services Directorate (4.02%).</w:t>
      </w:r>
      <w:r>
        <w:rPr>
          <w:rFonts w:ascii="Arial" w:hAnsi="Arial" w:cs="Arial"/>
        </w:rPr>
        <w:t xml:space="preserve">  Anxiety/Stress/Depression/Other Psychiatric illnesses </w:t>
      </w:r>
      <w:r w:rsidR="005B217E">
        <w:rPr>
          <w:rFonts w:ascii="Arial" w:hAnsi="Arial" w:cs="Arial"/>
        </w:rPr>
        <w:t xml:space="preserve">continues to be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lastRenderedPageBreak/>
        <w:t>highest reported reason for sickness absence</w:t>
      </w:r>
      <w:r w:rsidR="004777B6">
        <w:rPr>
          <w:rFonts w:ascii="Arial" w:hAnsi="Arial" w:cs="Arial"/>
        </w:rPr>
        <w:t xml:space="preserve"> (24.85%)</w:t>
      </w:r>
      <w:r>
        <w:rPr>
          <w:rFonts w:ascii="Arial" w:hAnsi="Arial" w:cs="Arial"/>
        </w:rPr>
        <w:t xml:space="preserve"> amounting to </w:t>
      </w:r>
      <w:r w:rsidR="006B5764">
        <w:rPr>
          <w:rFonts w:ascii="Arial" w:hAnsi="Arial" w:cs="Arial"/>
        </w:rPr>
        <w:t>141</w:t>
      </w:r>
      <w:r w:rsidR="008720A2">
        <w:rPr>
          <w:rFonts w:ascii="Arial" w:hAnsi="Arial" w:cs="Arial"/>
        </w:rPr>
        <w:t>1</w:t>
      </w:r>
      <w:r w:rsidRPr="005B217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working days lost compared to </w:t>
      </w:r>
      <w:r w:rsidR="008720A2">
        <w:rPr>
          <w:rFonts w:ascii="Arial" w:hAnsi="Arial" w:cs="Arial"/>
        </w:rPr>
        <w:t>1341</w:t>
      </w:r>
      <w:r>
        <w:rPr>
          <w:rFonts w:ascii="Arial" w:hAnsi="Arial" w:cs="Arial"/>
        </w:rPr>
        <w:t xml:space="preserve"> in </w:t>
      </w:r>
      <w:r w:rsidR="006B5764">
        <w:rPr>
          <w:rFonts w:ascii="Arial" w:hAnsi="Arial" w:cs="Arial"/>
        </w:rPr>
        <w:t>August.</w:t>
      </w:r>
    </w:p>
    <w:p w:rsidR="008D7F01" w:rsidRDefault="008D7F01" w:rsidP="008D7F01">
      <w:pPr>
        <w:jc w:val="both"/>
        <w:rPr>
          <w:rFonts w:ascii="Arial" w:hAnsi="Arial" w:cs="Arial"/>
        </w:rPr>
      </w:pPr>
    </w:p>
    <w:p w:rsidR="008D7F01" w:rsidRDefault="008D7F01" w:rsidP="008D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most common reason for short-term sickness was gastro-intestinal problems (</w:t>
      </w:r>
      <w:r w:rsidR="00AD4546">
        <w:rPr>
          <w:rFonts w:ascii="Arial" w:hAnsi="Arial" w:cs="Arial"/>
        </w:rPr>
        <w:t xml:space="preserve">19.81%) and </w:t>
      </w:r>
      <w:r w:rsidR="00BF2356">
        <w:rPr>
          <w:rFonts w:ascii="Arial" w:hAnsi="Arial" w:cs="Arial"/>
        </w:rPr>
        <w:t xml:space="preserve">for </w:t>
      </w:r>
      <w:r w:rsidR="00AD4546">
        <w:rPr>
          <w:rFonts w:ascii="Arial" w:hAnsi="Arial" w:cs="Arial"/>
        </w:rPr>
        <w:t>long-term sickness</w:t>
      </w:r>
      <w:r w:rsidR="00BF2356">
        <w:rPr>
          <w:rFonts w:ascii="Arial" w:hAnsi="Arial" w:cs="Arial"/>
        </w:rPr>
        <w:t xml:space="preserve"> it</w:t>
      </w:r>
      <w:r w:rsidR="00AD4546">
        <w:rPr>
          <w:rFonts w:ascii="Arial" w:hAnsi="Arial" w:cs="Arial"/>
        </w:rPr>
        <w:t xml:space="preserve"> was Anxiety/Stress/Depression/Other Psychiatric illnesses (32.47%)</w:t>
      </w:r>
      <w:r w:rsidR="0073161F">
        <w:rPr>
          <w:rFonts w:ascii="Arial" w:hAnsi="Arial" w:cs="Arial"/>
        </w:rPr>
        <w:t>.</w:t>
      </w:r>
      <w:r w:rsidR="00AD4546">
        <w:rPr>
          <w:rFonts w:ascii="Arial" w:hAnsi="Arial" w:cs="Arial"/>
        </w:rPr>
        <w:t xml:space="preserve"> </w:t>
      </w:r>
    </w:p>
    <w:p w:rsidR="008D7F01" w:rsidRDefault="008D7F01" w:rsidP="008D7F01">
      <w:pPr>
        <w:jc w:val="both"/>
        <w:rPr>
          <w:rFonts w:ascii="Arial" w:hAnsi="Arial" w:cs="Arial"/>
        </w:rPr>
      </w:pPr>
    </w:p>
    <w:p w:rsidR="008D7F01" w:rsidRDefault="008D7F01" w:rsidP="008D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category of </w:t>
      </w:r>
      <w:r w:rsidR="008720A2">
        <w:rPr>
          <w:rFonts w:ascii="Arial" w:hAnsi="Arial" w:cs="Arial"/>
        </w:rPr>
        <w:t>‘U</w:t>
      </w:r>
      <w:r>
        <w:rPr>
          <w:rFonts w:ascii="Arial" w:hAnsi="Arial" w:cs="Arial"/>
        </w:rPr>
        <w:t>nknown</w:t>
      </w:r>
      <w:r w:rsidR="008720A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and </w:t>
      </w:r>
      <w:r w:rsidR="008720A2">
        <w:rPr>
          <w:rFonts w:ascii="Arial" w:hAnsi="Arial" w:cs="Arial"/>
        </w:rPr>
        <w:t>‘O</w:t>
      </w:r>
      <w:r>
        <w:rPr>
          <w:rFonts w:ascii="Arial" w:hAnsi="Arial" w:cs="Arial"/>
        </w:rPr>
        <w:t>ther</w:t>
      </w:r>
      <w:r w:rsidR="008720A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8720A2">
        <w:rPr>
          <w:rFonts w:ascii="Arial" w:hAnsi="Arial" w:cs="Arial"/>
        </w:rPr>
        <w:t xml:space="preserve">as a defined </w:t>
      </w:r>
      <w:r>
        <w:rPr>
          <w:rFonts w:ascii="Arial" w:hAnsi="Arial" w:cs="Arial"/>
        </w:rPr>
        <w:t xml:space="preserve">cause of sickness absence </w:t>
      </w:r>
      <w:r w:rsidR="0097211A">
        <w:rPr>
          <w:rFonts w:ascii="Arial" w:hAnsi="Arial" w:cs="Arial"/>
        </w:rPr>
        <w:t>has decreased from 14.06</w:t>
      </w:r>
      <w:r>
        <w:rPr>
          <w:rFonts w:ascii="Arial" w:hAnsi="Arial" w:cs="Arial"/>
        </w:rPr>
        <w:t xml:space="preserve">% in August </w:t>
      </w:r>
      <w:r w:rsidR="00B54064">
        <w:rPr>
          <w:rFonts w:ascii="Arial" w:hAnsi="Arial" w:cs="Arial"/>
        </w:rPr>
        <w:t>2015</w:t>
      </w:r>
      <w:r w:rsidR="00D048CA">
        <w:rPr>
          <w:rFonts w:ascii="Arial" w:hAnsi="Arial" w:cs="Arial"/>
        </w:rPr>
        <w:t xml:space="preserve"> to 12.13% in September.</w:t>
      </w:r>
      <w:r>
        <w:rPr>
          <w:rFonts w:ascii="Arial" w:hAnsi="Arial" w:cs="Arial"/>
        </w:rPr>
        <w:t xml:space="preserve"> </w:t>
      </w:r>
    </w:p>
    <w:p w:rsidR="008D7F01" w:rsidRDefault="008D7F01" w:rsidP="008D7F01">
      <w:pPr>
        <w:jc w:val="both"/>
        <w:rPr>
          <w:rFonts w:ascii="Arial" w:hAnsi="Arial" w:cs="Arial"/>
        </w:rPr>
      </w:pPr>
    </w:p>
    <w:p w:rsidR="008D7F01" w:rsidRPr="001C258B" w:rsidRDefault="008D7F01" w:rsidP="008D7F01">
      <w:pPr>
        <w:jc w:val="both"/>
        <w:rPr>
          <w:rFonts w:ascii="Arial" w:hAnsi="Arial" w:cs="Arial"/>
        </w:rPr>
      </w:pPr>
      <w:r w:rsidRPr="001C258B">
        <w:rPr>
          <w:rFonts w:ascii="Arial" w:hAnsi="Arial" w:cs="Arial"/>
        </w:rPr>
        <w:t xml:space="preserve">One day absence for the period April 2015 to </w:t>
      </w:r>
      <w:r w:rsidR="00BF2356">
        <w:rPr>
          <w:rFonts w:ascii="Arial" w:hAnsi="Arial" w:cs="Arial"/>
        </w:rPr>
        <w:t>September</w:t>
      </w:r>
      <w:r w:rsidRPr="001C258B">
        <w:rPr>
          <w:rFonts w:ascii="Arial" w:hAnsi="Arial" w:cs="Arial"/>
        </w:rPr>
        <w:t xml:space="preserve"> 2015 </w:t>
      </w:r>
      <w:r w:rsidR="008720A2">
        <w:rPr>
          <w:rFonts w:ascii="Arial" w:hAnsi="Arial" w:cs="Arial"/>
        </w:rPr>
        <w:t>highlights</w:t>
      </w:r>
      <w:r w:rsidRPr="001C258B">
        <w:rPr>
          <w:rFonts w:ascii="Arial" w:hAnsi="Arial" w:cs="Arial"/>
        </w:rPr>
        <w:t xml:space="preserve"> that </w:t>
      </w:r>
      <w:r w:rsidR="008720A2">
        <w:rPr>
          <w:rFonts w:ascii="Arial" w:hAnsi="Arial" w:cs="Arial"/>
        </w:rPr>
        <w:t>the</w:t>
      </w:r>
      <w:r w:rsidR="00D13B83" w:rsidRPr="001C258B">
        <w:rPr>
          <w:rFonts w:ascii="Arial" w:hAnsi="Arial" w:cs="Arial"/>
        </w:rPr>
        <w:t xml:space="preserve"> most prevalent </w:t>
      </w:r>
      <w:r w:rsidR="008720A2">
        <w:rPr>
          <w:rFonts w:ascii="Arial" w:hAnsi="Arial" w:cs="Arial"/>
        </w:rPr>
        <w:t>sickness day was</w:t>
      </w:r>
      <w:r w:rsidR="00D13B83" w:rsidRPr="001C258B">
        <w:rPr>
          <w:rFonts w:ascii="Arial" w:hAnsi="Arial" w:cs="Arial"/>
        </w:rPr>
        <w:t xml:space="preserve"> a Monday (474</w:t>
      </w:r>
      <w:r w:rsidRPr="001C258B">
        <w:rPr>
          <w:rFonts w:ascii="Arial" w:hAnsi="Arial" w:cs="Arial"/>
        </w:rPr>
        <w:t xml:space="preserve"> days) followed by Friday (</w:t>
      </w:r>
      <w:r w:rsidR="00D13B83" w:rsidRPr="001C258B">
        <w:rPr>
          <w:rFonts w:ascii="Arial" w:hAnsi="Arial" w:cs="Arial"/>
        </w:rPr>
        <w:t>422</w:t>
      </w:r>
      <w:r w:rsidRPr="001C258B">
        <w:rPr>
          <w:rFonts w:ascii="Arial" w:hAnsi="Arial" w:cs="Arial"/>
        </w:rPr>
        <w:t xml:space="preserve"> days)</w:t>
      </w:r>
    </w:p>
    <w:p w:rsidR="008D7F01" w:rsidRDefault="008D7F01" w:rsidP="008D7F01">
      <w:pPr>
        <w:jc w:val="both"/>
        <w:rPr>
          <w:rFonts w:ascii="Arial" w:hAnsi="Arial" w:cs="Arial"/>
        </w:rPr>
      </w:pPr>
    </w:p>
    <w:p w:rsidR="008D7F01" w:rsidRDefault="009472CA" w:rsidP="008D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Directorates sickness absence remains high and above Trust target</w:t>
      </w:r>
      <w:r w:rsidR="008720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D7F01">
        <w:rPr>
          <w:rFonts w:ascii="Arial" w:hAnsi="Arial" w:cs="Arial"/>
        </w:rPr>
        <w:t>Adult Services (4.</w:t>
      </w:r>
      <w:r w:rsidR="00D048CA">
        <w:rPr>
          <w:rFonts w:ascii="Arial" w:hAnsi="Arial" w:cs="Arial"/>
        </w:rPr>
        <w:t>02</w:t>
      </w:r>
      <w:r w:rsidR="008D7F01">
        <w:rPr>
          <w:rFonts w:ascii="Arial" w:hAnsi="Arial" w:cs="Arial"/>
        </w:rPr>
        <w:t>%)</w:t>
      </w:r>
      <w:r w:rsidR="00D048CA">
        <w:rPr>
          <w:rFonts w:ascii="Arial" w:hAnsi="Arial" w:cs="Arial"/>
        </w:rPr>
        <w:t>,</w:t>
      </w:r>
      <w:r w:rsidR="008D7F01">
        <w:rPr>
          <w:rFonts w:ascii="Arial" w:hAnsi="Arial" w:cs="Arial"/>
        </w:rPr>
        <w:t xml:space="preserve"> Older Peoples (4.</w:t>
      </w:r>
      <w:r w:rsidR="00D048CA">
        <w:rPr>
          <w:rFonts w:ascii="Arial" w:hAnsi="Arial" w:cs="Arial"/>
        </w:rPr>
        <w:t>76</w:t>
      </w:r>
      <w:r w:rsidR="008D7F01">
        <w:rPr>
          <w:rFonts w:ascii="Arial" w:hAnsi="Arial" w:cs="Arial"/>
        </w:rPr>
        <w:t xml:space="preserve">%) </w:t>
      </w:r>
      <w:r w:rsidR="00D048CA">
        <w:rPr>
          <w:rFonts w:ascii="Arial" w:hAnsi="Arial" w:cs="Arial"/>
        </w:rPr>
        <w:t>and Corporate (3.96%)</w:t>
      </w:r>
      <w:r>
        <w:rPr>
          <w:rFonts w:ascii="Arial" w:hAnsi="Arial" w:cs="Arial"/>
        </w:rPr>
        <w:t>.</w:t>
      </w:r>
      <w:r w:rsidR="00D048CA">
        <w:rPr>
          <w:rFonts w:ascii="Arial" w:hAnsi="Arial" w:cs="Arial"/>
        </w:rPr>
        <w:t xml:space="preserve"> </w:t>
      </w:r>
    </w:p>
    <w:p w:rsidR="008D7F01" w:rsidRDefault="008D7F01" w:rsidP="008D7F01">
      <w:pPr>
        <w:jc w:val="both"/>
        <w:rPr>
          <w:rFonts w:ascii="Arial" w:hAnsi="Arial" w:cs="Arial"/>
        </w:rPr>
      </w:pPr>
    </w:p>
    <w:p w:rsidR="00681A29" w:rsidRDefault="00681A29" w:rsidP="00B331E7">
      <w:pPr>
        <w:jc w:val="both"/>
        <w:rPr>
          <w:rFonts w:ascii="Arial" w:hAnsi="Arial" w:cs="Arial"/>
          <w:b/>
        </w:rPr>
      </w:pPr>
      <w:r w:rsidRPr="00681A29">
        <w:rPr>
          <w:rFonts w:ascii="Arial" w:hAnsi="Arial" w:cs="Arial"/>
          <w:b/>
        </w:rPr>
        <w:t>Bank &amp; Agency Spend</w:t>
      </w:r>
      <w:r w:rsidR="00131863">
        <w:rPr>
          <w:rFonts w:ascii="Arial" w:hAnsi="Arial" w:cs="Arial"/>
          <w:b/>
        </w:rPr>
        <w:t xml:space="preserve"> £ and %</w:t>
      </w:r>
    </w:p>
    <w:p w:rsidR="00681A29" w:rsidRDefault="00681A29" w:rsidP="00B331E7">
      <w:pPr>
        <w:jc w:val="both"/>
        <w:rPr>
          <w:rFonts w:ascii="Arial" w:hAnsi="Arial" w:cs="Arial"/>
          <w:b/>
        </w:rPr>
      </w:pPr>
    </w:p>
    <w:p w:rsidR="007864E3" w:rsidRDefault="007864E3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&amp; Agency Spend has </w:t>
      </w:r>
      <w:r w:rsidR="00194BAE">
        <w:rPr>
          <w:rFonts w:ascii="Arial" w:hAnsi="Arial" w:cs="Arial"/>
        </w:rPr>
        <w:t>increased</w:t>
      </w:r>
      <w:r>
        <w:rPr>
          <w:rFonts w:ascii="Arial" w:hAnsi="Arial" w:cs="Arial"/>
        </w:rPr>
        <w:t xml:space="preserve"> </w:t>
      </w:r>
      <w:r w:rsidR="00566B32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£1,294.787 </w:t>
      </w:r>
      <w:r w:rsidR="00496438">
        <w:rPr>
          <w:rFonts w:ascii="Arial" w:hAnsi="Arial" w:cs="Arial"/>
        </w:rPr>
        <w:t xml:space="preserve">(7.31%) </w:t>
      </w:r>
      <w:r w:rsidR="00194BAE">
        <w:rPr>
          <w:rFonts w:ascii="Arial" w:hAnsi="Arial" w:cs="Arial"/>
        </w:rPr>
        <w:t xml:space="preserve">in August to £1,369,319 </w:t>
      </w:r>
      <w:r w:rsidR="00496438">
        <w:rPr>
          <w:rFonts w:ascii="Arial" w:hAnsi="Arial" w:cs="Arial"/>
        </w:rPr>
        <w:t xml:space="preserve">(7.63%) </w:t>
      </w:r>
      <w:r w:rsidR="00194BAE">
        <w:rPr>
          <w:rFonts w:ascii="Arial" w:hAnsi="Arial" w:cs="Arial"/>
        </w:rPr>
        <w:t>in September.</w:t>
      </w:r>
      <w:r>
        <w:rPr>
          <w:rFonts w:ascii="Arial" w:hAnsi="Arial" w:cs="Arial"/>
        </w:rPr>
        <w:t xml:space="preserve">  </w:t>
      </w:r>
      <w:r w:rsidR="00496438">
        <w:rPr>
          <w:rFonts w:ascii="Arial" w:hAnsi="Arial" w:cs="Arial"/>
        </w:rPr>
        <w:t>Older People have seen an increase of 1.00%</w:t>
      </w:r>
      <w:r w:rsidR="008720A2">
        <w:rPr>
          <w:rFonts w:ascii="Arial" w:hAnsi="Arial" w:cs="Arial"/>
        </w:rPr>
        <w:t xml:space="preserve"> followed by Corporate (0.50%).</w:t>
      </w:r>
    </w:p>
    <w:p w:rsidR="00496438" w:rsidRDefault="00496438" w:rsidP="00B331E7">
      <w:pPr>
        <w:jc w:val="both"/>
        <w:rPr>
          <w:rFonts w:ascii="Arial" w:hAnsi="Arial" w:cs="Arial"/>
        </w:rPr>
      </w:pPr>
    </w:p>
    <w:p w:rsidR="00496438" w:rsidRDefault="00496438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new agency framework is due to go live on 19</w:t>
      </w:r>
      <w:r w:rsidRPr="004964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with an increase of 13 new suppliers which should reduce the cost of agency use going forward.</w:t>
      </w:r>
    </w:p>
    <w:p w:rsidR="00BF2356" w:rsidRDefault="00BF2356" w:rsidP="00B331E7">
      <w:pPr>
        <w:jc w:val="both"/>
        <w:rPr>
          <w:rFonts w:ascii="Arial" w:hAnsi="Arial" w:cs="Arial"/>
        </w:rPr>
      </w:pPr>
    </w:p>
    <w:p w:rsidR="006B77C1" w:rsidRDefault="006B77C1" w:rsidP="00B331E7">
      <w:pPr>
        <w:jc w:val="both"/>
        <w:rPr>
          <w:rFonts w:ascii="Arial" w:hAnsi="Arial" w:cs="Arial"/>
        </w:rPr>
      </w:pPr>
    </w:p>
    <w:p w:rsidR="006B77C1" w:rsidRPr="006B77C1" w:rsidRDefault="006B77C1" w:rsidP="00B331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Vacancy % Rate</w:t>
      </w:r>
    </w:p>
    <w:p w:rsidR="0059744C" w:rsidRDefault="0059744C" w:rsidP="00B331E7">
      <w:pPr>
        <w:jc w:val="both"/>
        <w:rPr>
          <w:rFonts w:ascii="Arial" w:hAnsi="Arial" w:cs="Arial"/>
        </w:rPr>
      </w:pPr>
    </w:p>
    <w:p w:rsidR="00D154E0" w:rsidRDefault="00892068" w:rsidP="00B331E7">
      <w:pPr>
        <w:jc w:val="both"/>
        <w:rPr>
          <w:rFonts w:ascii="Arial" w:hAnsi="Arial" w:cs="Arial"/>
        </w:rPr>
      </w:pPr>
      <w:r w:rsidRPr="00061DBD">
        <w:rPr>
          <w:rFonts w:ascii="Arial" w:hAnsi="Arial" w:cs="Arial"/>
        </w:rPr>
        <w:t>Vacancy % Rate continues to increase from 10.20% in August</w:t>
      </w:r>
      <w:r w:rsidR="00AC0F61" w:rsidRPr="00061DBD">
        <w:rPr>
          <w:rFonts w:ascii="Arial" w:hAnsi="Arial" w:cs="Arial"/>
        </w:rPr>
        <w:t xml:space="preserve"> to 1</w:t>
      </w:r>
      <w:r w:rsidR="009C0CE8" w:rsidRPr="00061DBD">
        <w:rPr>
          <w:rFonts w:ascii="Arial" w:hAnsi="Arial" w:cs="Arial"/>
        </w:rPr>
        <w:t>1.</w:t>
      </w:r>
      <w:r w:rsidR="009167EE" w:rsidRPr="00061DBD">
        <w:rPr>
          <w:rFonts w:ascii="Arial" w:hAnsi="Arial" w:cs="Arial"/>
        </w:rPr>
        <w:t>8</w:t>
      </w:r>
      <w:r w:rsidR="009C0CE8" w:rsidRPr="00061DBD">
        <w:rPr>
          <w:rFonts w:ascii="Arial" w:hAnsi="Arial" w:cs="Arial"/>
        </w:rPr>
        <w:t>5</w:t>
      </w:r>
      <w:r w:rsidR="00AC0F61" w:rsidRPr="00061DBD">
        <w:rPr>
          <w:rFonts w:ascii="Arial" w:hAnsi="Arial" w:cs="Arial"/>
        </w:rPr>
        <w:t xml:space="preserve">% in September.  </w:t>
      </w:r>
      <w:r w:rsidR="00877276" w:rsidRPr="00061DBD">
        <w:rPr>
          <w:rFonts w:ascii="Arial" w:hAnsi="Arial" w:cs="Arial"/>
        </w:rPr>
        <w:t xml:space="preserve">The </w:t>
      </w:r>
      <w:r w:rsidR="00434F3D" w:rsidRPr="00061DBD">
        <w:rPr>
          <w:rFonts w:ascii="Arial" w:hAnsi="Arial" w:cs="Arial"/>
        </w:rPr>
        <w:t>Medical</w:t>
      </w:r>
      <w:r w:rsidR="00BC34FD" w:rsidRPr="00061DBD">
        <w:rPr>
          <w:rFonts w:ascii="Arial" w:hAnsi="Arial" w:cs="Arial"/>
        </w:rPr>
        <w:t xml:space="preserve"> and Nursing vacancy % rate </w:t>
      </w:r>
      <w:r w:rsidR="00DD77F5">
        <w:rPr>
          <w:rFonts w:ascii="Arial" w:hAnsi="Arial" w:cs="Arial"/>
        </w:rPr>
        <w:t xml:space="preserve">remain above </w:t>
      </w:r>
      <w:r w:rsidR="00BC34FD" w:rsidRPr="00061DBD">
        <w:rPr>
          <w:rFonts w:ascii="Arial" w:hAnsi="Arial" w:cs="Arial"/>
        </w:rPr>
        <w:t xml:space="preserve">the Trust Limit of 9%.  </w:t>
      </w:r>
      <w:r w:rsidR="00434F3D" w:rsidRPr="00061DBD">
        <w:rPr>
          <w:rFonts w:ascii="Arial" w:hAnsi="Arial" w:cs="Arial"/>
        </w:rPr>
        <w:t>Medical</w:t>
      </w:r>
      <w:r w:rsidR="0061738D" w:rsidRPr="00061DBD">
        <w:rPr>
          <w:rFonts w:ascii="Arial" w:hAnsi="Arial" w:cs="Arial"/>
        </w:rPr>
        <w:t xml:space="preserve"> </w:t>
      </w:r>
      <w:r w:rsidR="00BC34FD" w:rsidRPr="00061DBD">
        <w:rPr>
          <w:rFonts w:ascii="Arial" w:hAnsi="Arial" w:cs="Arial"/>
        </w:rPr>
        <w:t xml:space="preserve">vacancy % has increased from </w:t>
      </w:r>
      <w:r w:rsidR="00061DBD" w:rsidRPr="00061DBD">
        <w:rPr>
          <w:rFonts w:ascii="Arial" w:hAnsi="Arial" w:cs="Arial"/>
        </w:rPr>
        <w:t>19.64</w:t>
      </w:r>
      <w:r w:rsidR="00BC34FD" w:rsidRPr="00061DBD">
        <w:rPr>
          <w:rFonts w:ascii="Arial" w:hAnsi="Arial" w:cs="Arial"/>
        </w:rPr>
        <w:t xml:space="preserve">% in </w:t>
      </w:r>
      <w:r w:rsidR="00061DBD" w:rsidRPr="00061DBD">
        <w:rPr>
          <w:rFonts w:ascii="Arial" w:hAnsi="Arial" w:cs="Arial"/>
        </w:rPr>
        <w:t>August</w:t>
      </w:r>
      <w:r w:rsidR="00BC34FD" w:rsidRPr="00061DBD">
        <w:rPr>
          <w:rFonts w:ascii="Arial" w:hAnsi="Arial" w:cs="Arial"/>
        </w:rPr>
        <w:t xml:space="preserve"> to </w:t>
      </w:r>
      <w:r w:rsidR="00061DBD" w:rsidRPr="00061DBD">
        <w:rPr>
          <w:rFonts w:ascii="Arial" w:hAnsi="Arial" w:cs="Arial"/>
        </w:rPr>
        <w:t>22.84</w:t>
      </w:r>
      <w:r w:rsidR="0061738D" w:rsidRPr="00061DBD">
        <w:rPr>
          <w:rFonts w:ascii="Arial" w:hAnsi="Arial" w:cs="Arial"/>
        </w:rPr>
        <w:t xml:space="preserve">% </w:t>
      </w:r>
      <w:r w:rsidR="00BC34FD" w:rsidRPr="00061DBD">
        <w:rPr>
          <w:rFonts w:ascii="Arial" w:hAnsi="Arial" w:cs="Arial"/>
        </w:rPr>
        <w:t xml:space="preserve">in </w:t>
      </w:r>
      <w:r w:rsidR="00061DBD" w:rsidRPr="00061DBD">
        <w:rPr>
          <w:rFonts w:ascii="Arial" w:hAnsi="Arial" w:cs="Arial"/>
        </w:rPr>
        <w:t>September</w:t>
      </w:r>
      <w:r w:rsidR="00BC34FD" w:rsidRPr="00061DBD">
        <w:rPr>
          <w:rFonts w:ascii="Arial" w:hAnsi="Arial" w:cs="Arial"/>
        </w:rPr>
        <w:t xml:space="preserve">, </w:t>
      </w:r>
      <w:r w:rsidR="0061738D" w:rsidRPr="00061DBD">
        <w:rPr>
          <w:rFonts w:ascii="Arial" w:hAnsi="Arial" w:cs="Arial"/>
        </w:rPr>
        <w:t>Nursing vacancy</w:t>
      </w:r>
      <w:r w:rsidR="00BC34FD" w:rsidRPr="00061DBD">
        <w:rPr>
          <w:rFonts w:ascii="Arial" w:hAnsi="Arial" w:cs="Arial"/>
        </w:rPr>
        <w:t xml:space="preserve"> %</w:t>
      </w:r>
      <w:r w:rsidR="0061738D" w:rsidRPr="00061DBD">
        <w:rPr>
          <w:rFonts w:ascii="Arial" w:hAnsi="Arial" w:cs="Arial"/>
        </w:rPr>
        <w:t xml:space="preserve"> </w:t>
      </w:r>
      <w:r w:rsidR="00BC34FD" w:rsidRPr="00061DBD">
        <w:rPr>
          <w:rFonts w:ascii="Arial" w:hAnsi="Arial" w:cs="Arial"/>
        </w:rPr>
        <w:t xml:space="preserve">has </w:t>
      </w:r>
      <w:r w:rsidR="00061DBD" w:rsidRPr="00061DBD">
        <w:rPr>
          <w:rFonts w:ascii="Arial" w:hAnsi="Arial" w:cs="Arial"/>
        </w:rPr>
        <w:t xml:space="preserve">decreased </w:t>
      </w:r>
      <w:r w:rsidR="00BC34FD" w:rsidRPr="00061DBD">
        <w:rPr>
          <w:rFonts w:ascii="Arial" w:hAnsi="Arial" w:cs="Arial"/>
        </w:rPr>
        <w:t>from 1</w:t>
      </w:r>
      <w:r w:rsidR="00061DBD" w:rsidRPr="00061DBD">
        <w:rPr>
          <w:rFonts w:ascii="Arial" w:hAnsi="Arial" w:cs="Arial"/>
        </w:rPr>
        <w:t>7.89</w:t>
      </w:r>
      <w:r w:rsidR="00061DBD">
        <w:rPr>
          <w:rFonts w:ascii="Arial" w:hAnsi="Arial" w:cs="Arial"/>
        </w:rPr>
        <w:t>%</w:t>
      </w:r>
      <w:r w:rsidR="00061DBD" w:rsidRPr="00061DBD">
        <w:rPr>
          <w:rFonts w:ascii="Arial" w:hAnsi="Arial" w:cs="Arial"/>
        </w:rPr>
        <w:t xml:space="preserve"> </w:t>
      </w:r>
      <w:r w:rsidR="00BC34FD" w:rsidRPr="00061DBD">
        <w:rPr>
          <w:rFonts w:ascii="Arial" w:hAnsi="Arial" w:cs="Arial"/>
        </w:rPr>
        <w:t xml:space="preserve">in </w:t>
      </w:r>
      <w:r w:rsidR="00061DBD" w:rsidRPr="00061DBD">
        <w:rPr>
          <w:rFonts w:ascii="Arial" w:hAnsi="Arial" w:cs="Arial"/>
        </w:rPr>
        <w:t xml:space="preserve">August </w:t>
      </w:r>
      <w:r w:rsidR="00BC34FD" w:rsidRPr="00061DBD">
        <w:rPr>
          <w:rFonts w:ascii="Arial" w:hAnsi="Arial" w:cs="Arial"/>
        </w:rPr>
        <w:t xml:space="preserve">to </w:t>
      </w:r>
      <w:r w:rsidR="00061DBD" w:rsidRPr="00061DBD">
        <w:rPr>
          <w:rFonts w:ascii="Arial" w:hAnsi="Arial" w:cs="Arial"/>
        </w:rPr>
        <w:t>15.64</w:t>
      </w:r>
      <w:r w:rsidR="00BC34FD" w:rsidRPr="00061DBD">
        <w:rPr>
          <w:rFonts w:ascii="Arial" w:hAnsi="Arial" w:cs="Arial"/>
        </w:rPr>
        <w:t xml:space="preserve">% in </w:t>
      </w:r>
      <w:r w:rsidR="00061DBD" w:rsidRPr="00061DBD">
        <w:rPr>
          <w:rFonts w:ascii="Arial" w:hAnsi="Arial" w:cs="Arial"/>
        </w:rPr>
        <w:t>September</w:t>
      </w:r>
      <w:r w:rsidR="00BC34FD" w:rsidRPr="00061DBD">
        <w:rPr>
          <w:rFonts w:ascii="Arial" w:hAnsi="Arial" w:cs="Arial"/>
        </w:rPr>
        <w:t>.</w:t>
      </w:r>
    </w:p>
    <w:p w:rsidR="00950E92" w:rsidRDefault="00950E92" w:rsidP="00B331E7">
      <w:pPr>
        <w:jc w:val="both"/>
        <w:rPr>
          <w:rFonts w:ascii="Arial" w:hAnsi="Arial" w:cs="Arial"/>
        </w:rPr>
      </w:pPr>
    </w:p>
    <w:p w:rsidR="00950E92" w:rsidRPr="00950E92" w:rsidRDefault="00BA1742" w:rsidP="00950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staff has</w:t>
      </w:r>
      <w:r w:rsidR="00950E92" w:rsidRPr="00950E92">
        <w:rPr>
          <w:rFonts w:ascii="Arial" w:hAnsi="Arial" w:cs="Arial"/>
        </w:rPr>
        <w:t xml:space="preserve"> the highest reported vacancy % rate at 12.08</w:t>
      </w:r>
      <w:r>
        <w:rPr>
          <w:rFonts w:ascii="Arial" w:hAnsi="Arial" w:cs="Arial"/>
        </w:rPr>
        <w:t>% compared to 10.15% in August.</w:t>
      </w:r>
    </w:p>
    <w:p w:rsidR="00950E92" w:rsidRPr="003A7234" w:rsidRDefault="00950E92" w:rsidP="00950E92">
      <w:pPr>
        <w:jc w:val="both"/>
        <w:rPr>
          <w:rFonts w:ascii="Arial" w:hAnsi="Arial" w:cs="Arial"/>
        </w:rPr>
      </w:pPr>
    </w:p>
    <w:p w:rsidR="00950E92" w:rsidRPr="001053E5" w:rsidRDefault="001053E5" w:rsidP="00B331E7">
      <w:pPr>
        <w:jc w:val="both"/>
        <w:rPr>
          <w:rFonts w:ascii="Arial" w:hAnsi="Arial" w:cs="Arial"/>
          <w:color w:val="FF0000"/>
        </w:rPr>
      </w:pPr>
      <w:r w:rsidRPr="00BA1742">
        <w:rPr>
          <w:rFonts w:ascii="Arial" w:hAnsi="Arial" w:cs="Arial"/>
        </w:rPr>
        <w:t xml:space="preserve">Vacancy rate </w:t>
      </w:r>
      <w:r w:rsidR="00C673D7" w:rsidRPr="00BA1742">
        <w:rPr>
          <w:rFonts w:ascii="Arial" w:hAnsi="Arial" w:cs="Arial"/>
        </w:rPr>
        <w:t xml:space="preserve">% </w:t>
      </w:r>
      <w:r w:rsidRPr="00BA1742">
        <w:rPr>
          <w:rFonts w:ascii="Arial" w:hAnsi="Arial" w:cs="Arial"/>
        </w:rPr>
        <w:t>is artificially inflated due to in month year to date adjustments for budgeted WTE</w:t>
      </w:r>
      <w:r w:rsidR="00BA1742" w:rsidRPr="00BA1742">
        <w:rPr>
          <w:rFonts w:ascii="Arial" w:hAnsi="Arial" w:cs="Arial"/>
        </w:rPr>
        <w:t xml:space="preserve"> by Finance</w:t>
      </w:r>
      <w:r w:rsidRPr="00BA1742">
        <w:rPr>
          <w:rFonts w:ascii="Arial" w:hAnsi="Arial" w:cs="Arial"/>
        </w:rPr>
        <w:t>.</w:t>
      </w:r>
    </w:p>
    <w:p w:rsidR="00950E92" w:rsidRDefault="00950E92" w:rsidP="00B331E7">
      <w:pPr>
        <w:jc w:val="both"/>
        <w:rPr>
          <w:rFonts w:ascii="Arial" w:hAnsi="Arial" w:cs="Arial"/>
        </w:rPr>
      </w:pPr>
    </w:p>
    <w:p w:rsidR="00D154E0" w:rsidRPr="00A74338" w:rsidRDefault="00A74338" w:rsidP="00B331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Leaving</w:t>
      </w:r>
    </w:p>
    <w:p w:rsidR="00D154E0" w:rsidRDefault="00D154E0" w:rsidP="00B331E7">
      <w:pPr>
        <w:jc w:val="both"/>
        <w:rPr>
          <w:rFonts w:ascii="Arial" w:hAnsi="Arial" w:cs="Arial"/>
        </w:rPr>
      </w:pPr>
    </w:p>
    <w:p w:rsidR="00D154E0" w:rsidRPr="000C3150" w:rsidRDefault="008720A2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4A250F" w:rsidRPr="000C3150">
        <w:rPr>
          <w:rFonts w:ascii="Arial" w:hAnsi="Arial" w:cs="Arial"/>
        </w:rPr>
        <w:t xml:space="preserve">Voluntary Resignation </w:t>
      </w:r>
      <w:r>
        <w:rPr>
          <w:rFonts w:ascii="Arial" w:hAnsi="Arial" w:cs="Arial"/>
        </w:rPr>
        <w:t xml:space="preserve">- </w:t>
      </w:r>
      <w:r w:rsidR="002C57BC" w:rsidRPr="000C3150">
        <w:rPr>
          <w:rFonts w:ascii="Arial" w:hAnsi="Arial" w:cs="Arial"/>
        </w:rPr>
        <w:t>Not Known</w:t>
      </w:r>
      <w:r>
        <w:rPr>
          <w:rFonts w:ascii="Arial" w:hAnsi="Arial" w:cs="Arial"/>
        </w:rPr>
        <w:t>’</w:t>
      </w:r>
      <w:r w:rsidR="002C57BC" w:rsidRPr="000C3150">
        <w:rPr>
          <w:rFonts w:ascii="Arial" w:hAnsi="Arial" w:cs="Arial"/>
        </w:rPr>
        <w:t xml:space="preserve"> </w:t>
      </w:r>
      <w:r w:rsidR="004A250F" w:rsidRPr="000C3150">
        <w:rPr>
          <w:rFonts w:ascii="Arial" w:hAnsi="Arial" w:cs="Arial"/>
        </w:rPr>
        <w:t>is the highest reason for leaving</w:t>
      </w:r>
      <w:r w:rsidR="002C57BC" w:rsidRPr="000C3150">
        <w:rPr>
          <w:rFonts w:ascii="Arial" w:hAnsi="Arial" w:cs="Arial"/>
        </w:rPr>
        <w:t xml:space="preserve"> at </w:t>
      </w:r>
      <w:r w:rsidR="000C3150" w:rsidRPr="000C3150">
        <w:rPr>
          <w:rFonts w:ascii="Arial" w:hAnsi="Arial" w:cs="Arial"/>
        </w:rPr>
        <w:t xml:space="preserve">16.90% in September </w:t>
      </w:r>
      <w:r>
        <w:rPr>
          <w:rFonts w:ascii="Arial" w:hAnsi="Arial" w:cs="Arial"/>
        </w:rPr>
        <w:t>(</w:t>
      </w:r>
      <w:r w:rsidR="004A250F" w:rsidRPr="000C3150">
        <w:rPr>
          <w:rFonts w:ascii="Arial" w:hAnsi="Arial" w:cs="Arial"/>
        </w:rPr>
        <w:t>16.8</w:t>
      </w:r>
      <w:r w:rsidR="000C3150" w:rsidRPr="000C3150">
        <w:rPr>
          <w:rFonts w:ascii="Arial" w:hAnsi="Arial" w:cs="Arial"/>
        </w:rPr>
        <w:t>0</w:t>
      </w:r>
      <w:r w:rsidR="00FE583A" w:rsidRPr="000C3150">
        <w:rPr>
          <w:rFonts w:ascii="Arial" w:hAnsi="Arial" w:cs="Arial"/>
        </w:rPr>
        <w:t>%</w:t>
      </w:r>
      <w:r w:rsidR="000C3150" w:rsidRPr="000C3150">
        <w:rPr>
          <w:rFonts w:ascii="Arial" w:hAnsi="Arial" w:cs="Arial"/>
        </w:rPr>
        <w:t xml:space="preserve"> in August</w:t>
      </w:r>
      <w:r>
        <w:rPr>
          <w:rFonts w:ascii="Arial" w:hAnsi="Arial" w:cs="Arial"/>
        </w:rPr>
        <w:t>)</w:t>
      </w:r>
      <w:r w:rsidR="004A250F" w:rsidRPr="000C3150">
        <w:rPr>
          <w:rFonts w:ascii="Arial" w:hAnsi="Arial" w:cs="Arial"/>
        </w:rPr>
        <w:t xml:space="preserve"> followed by </w:t>
      </w:r>
      <w:r w:rsidR="00FE583A" w:rsidRPr="000C3150">
        <w:rPr>
          <w:rFonts w:ascii="Arial" w:hAnsi="Arial" w:cs="Arial"/>
        </w:rPr>
        <w:t xml:space="preserve">Relocation </w:t>
      </w:r>
      <w:r w:rsidR="000C3150" w:rsidRPr="000C3150">
        <w:rPr>
          <w:rFonts w:ascii="Arial" w:hAnsi="Arial" w:cs="Arial"/>
        </w:rPr>
        <w:t>at 14.24</w:t>
      </w:r>
      <w:r>
        <w:rPr>
          <w:rFonts w:ascii="Arial" w:hAnsi="Arial" w:cs="Arial"/>
        </w:rPr>
        <w:t>%</w:t>
      </w:r>
      <w:r w:rsidR="000C3150" w:rsidRPr="000C3150">
        <w:rPr>
          <w:rFonts w:ascii="Arial" w:hAnsi="Arial" w:cs="Arial"/>
        </w:rPr>
        <w:t xml:space="preserve"> in September </w:t>
      </w:r>
      <w:r>
        <w:rPr>
          <w:rFonts w:ascii="Arial" w:hAnsi="Arial" w:cs="Arial"/>
        </w:rPr>
        <w:t>(</w:t>
      </w:r>
      <w:r w:rsidR="00FE583A" w:rsidRPr="000C3150">
        <w:rPr>
          <w:rFonts w:ascii="Arial" w:hAnsi="Arial" w:cs="Arial"/>
        </w:rPr>
        <w:t>12.8</w:t>
      </w:r>
      <w:r w:rsidR="000C3150" w:rsidRPr="000C3150">
        <w:rPr>
          <w:rFonts w:ascii="Arial" w:hAnsi="Arial" w:cs="Arial"/>
        </w:rPr>
        <w:t>0</w:t>
      </w:r>
      <w:r w:rsidR="00FE583A" w:rsidRPr="000C3150">
        <w:rPr>
          <w:rFonts w:ascii="Arial" w:hAnsi="Arial" w:cs="Arial"/>
        </w:rPr>
        <w:t>%</w:t>
      </w:r>
      <w:r w:rsidR="000C3150" w:rsidRPr="000C3150">
        <w:rPr>
          <w:rFonts w:ascii="Arial" w:hAnsi="Arial" w:cs="Arial"/>
        </w:rPr>
        <w:t xml:space="preserve"> in August</w:t>
      </w:r>
      <w:r>
        <w:rPr>
          <w:rFonts w:ascii="Arial" w:hAnsi="Arial" w:cs="Arial"/>
        </w:rPr>
        <w:t>)</w:t>
      </w:r>
      <w:r w:rsidR="00FE583A" w:rsidRPr="000C3150">
        <w:rPr>
          <w:rFonts w:ascii="Arial" w:hAnsi="Arial" w:cs="Arial"/>
        </w:rPr>
        <w:t>, Work Life Balance</w:t>
      </w:r>
      <w:r w:rsidR="000C3150" w:rsidRPr="000C3150">
        <w:rPr>
          <w:rFonts w:ascii="Arial" w:hAnsi="Arial" w:cs="Arial"/>
        </w:rPr>
        <w:t xml:space="preserve"> at 11.65% in September</w:t>
      </w:r>
      <w:r w:rsidR="00FE583A" w:rsidRPr="000C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E583A" w:rsidRPr="000C3150">
        <w:rPr>
          <w:rFonts w:ascii="Arial" w:hAnsi="Arial" w:cs="Arial"/>
        </w:rPr>
        <w:t>12.0</w:t>
      </w:r>
      <w:r w:rsidR="00E14C6C">
        <w:rPr>
          <w:rFonts w:ascii="Arial" w:hAnsi="Arial" w:cs="Arial"/>
        </w:rPr>
        <w:t>0</w:t>
      </w:r>
      <w:r w:rsidR="00FE583A" w:rsidRPr="000C3150">
        <w:rPr>
          <w:rFonts w:ascii="Arial" w:hAnsi="Arial" w:cs="Arial"/>
        </w:rPr>
        <w:t xml:space="preserve">% </w:t>
      </w:r>
      <w:r w:rsidR="000C3150" w:rsidRPr="000C3150">
        <w:rPr>
          <w:rFonts w:ascii="Arial" w:hAnsi="Arial" w:cs="Arial"/>
        </w:rPr>
        <w:t>in August</w:t>
      </w:r>
      <w:r>
        <w:rPr>
          <w:rFonts w:ascii="Arial" w:hAnsi="Arial" w:cs="Arial"/>
        </w:rPr>
        <w:t>)</w:t>
      </w:r>
      <w:r w:rsidR="000C3150" w:rsidRPr="000C3150">
        <w:rPr>
          <w:rFonts w:ascii="Arial" w:hAnsi="Arial" w:cs="Arial"/>
        </w:rPr>
        <w:t xml:space="preserve"> </w:t>
      </w:r>
      <w:r w:rsidR="00FE583A" w:rsidRPr="000C3150">
        <w:rPr>
          <w:rFonts w:ascii="Arial" w:hAnsi="Arial" w:cs="Arial"/>
        </w:rPr>
        <w:t xml:space="preserve">and </w:t>
      </w:r>
      <w:r w:rsidR="000C3150" w:rsidRPr="000C3150">
        <w:rPr>
          <w:rFonts w:ascii="Arial" w:hAnsi="Arial" w:cs="Arial"/>
        </w:rPr>
        <w:t>Retirement at 9.23%</w:t>
      </w:r>
      <w:r w:rsidR="00100C4E">
        <w:rPr>
          <w:rFonts w:ascii="Arial" w:hAnsi="Arial" w:cs="Arial"/>
        </w:rPr>
        <w:t xml:space="preserve"> in September </w:t>
      </w:r>
      <w:r>
        <w:rPr>
          <w:rFonts w:ascii="Arial" w:hAnsi="Arial" w:cs="Arial"/>
        </w:rPr>
        <w:t>(</w:t>
      </w:r>
      <w:r w:rsidR="00100C4E">
        <w:rPr>
          <w:rFonts w:ascii="Arial" w:hAnsi="Arial" w:cs="Arial"/>
        </w:rPr>
        <w:t>9.03</w:t>
      </w:r>
      <w:r w:rsidR="00D10434">
        <w:rPr>
          <w:rFonts w:ascii="Arial" w:hAnsi="Arial" w:cs="Arial"/>
        </w:rPr>
        <w:t xml:space="preserve"> in August</w:t>
      </w:r>
      <w:r>
        <w:rPr>
          <w:rFonts w:ascii="Arial" w:hAnsi="Arial" w:cs="Arial"/>
        </w:rPr>
        <w:t>)</w:t>
      </w:r>
      <w:r w:rsidR="000C3150" w:rsidRPr="000C3150">
        <w:rPr>
          <w:rFonts w:ascii="Arial" w:hAnsi="Arial" w:cs="Arial"/>
        </w:rPr>
        <w:t>.</w:t>
      </w:r>
      <w:r w:rsidR="00D601B0" w:rsidRPr="000C3150">
        <w:rPr>
          <w:rFonts w:ascii="Arial" w:hAnsi="Arial" w:cs="Arial"/>
        </w:rPr>
        <w:t xml:space="preserve"> </w:t>
      </w:r>
    </w:p>
    <w:p w:rsidR="001F6771" w:rsidRDefault="001F6771" w:rsidP="00B331E7">
      <w:pPr>
        <w:jc w:val="both"/>
        <w:rPr>
          <w:rFonts w:ascii="Arial" w:hAnsi="Arial" w:cs="Arial"/>
        </w:rPr>
      </w:pPr>
    </w:p>
    <w:p w:rsidR="00427630" w:rsidRDefault="00427630" w:rsidP="00B331E7">
      <w:pPr>
        <w:jc w:val="both"/>
        <w:rPr>
          <w:rFonts w:ascii="Arial" w:hAnsi="Arial" w:cs="Arial"/>
          <w:b/>
        </w:rPr>
      </w:pPr>
    </w:p>
    <w:p w:rsidR="00D154E0" w:rsidRDefault="005614A5" w:rsidP="00B331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Performance</w:t>
      </w:r>
    </w:p>
    <w:p w:rsidR="005614A5" w:rsidRDefault="005614A5" w:rsidP="00B331E7">
      <w:pPr>
        <w:jc w:val="both"/>
        <w:rPr>
          <w:rFonts w:ascii="Arial" w:hAnsi="Arial" w:cs="Arial"/>
          <w:b/>
        </w:rPr>
      </w:pPr>
    </w:p>
    <w:p w:rsidR="005614A5" w:rsidRDefault="005614A5" w:rsidP="00B331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Older Peoples Directorate</w:t>
      </w:r>
    </w:p>
    <w:p w:rsidR="005614A5" w:rsidRDefault="005614A5" w:rsidP="00B331E7">
      <w:pPr>
        <w:jc w:val="both"/>
        <w:rPr>
          <w:rFonts w:ascii="Arial" w:hAnsi="Arial" w:cs="Arial"/>
          <w:b/>
        </w:rPr>
      </w:pPr>
    </w:p>
    <w:p w:rsidR="005614A5" w:rsidRDefault="000C4E5C" w:rsidP="00B331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Turnover: 14.</w:t>
      </w:r>
      <w:r w:rsidR="009954BE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% v 12.0% Trust Target</w:t>
      </w:r>
    </w:p>
    <w:p w:rsidR="0028722E" w:rsidRDefault="0028722E" w:rsidP="00B331E7">
      <w:pPr>
        <w:jc w:val="both"/>
        <w:rPr>
          <w:rFonts w:ascii="Arial" w:hAnsi="Arial" w:cs="Arial"/>
          <w:b/>
        </w:rPr>
      </w:pPr>
    </w:p>
    <w:p w:rsidR="00877276" w:rsidRDefault="000C4E5C" w:rsidP="0087727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Turnover </w:t>
      </w:r>
      <w:r w:rsidR="00A93293">
        <w:rPr>
          <w:rFonts w:ascii="Arial" w:hAnsi="Arial" w:cs="Arial"/>
        </w:rPr>
        <w:t xml:space="preserve">% </w:t>
      </w:r>
      <w:r w:rsidR="00877276">
        <w:rPr>
          <w:rFonts w:ascii="Arial" w:hAnsi="Arial" w:cs="Arial"/>
        </w:rPr>
        <w:t xml:space="preserve">remains stable this month but still above </w:t>
      </w:r>
      <w:r w:rsidR="004A52E0">
        <w:rPr>
          <w:rFonts w:ascii="Arial" w:hAnsi="Arial" w:cs="Arial"/>
        </w:rPr>
        <w:t xml:space="preserve">Trust </w:t>
      </w:r>
      <w:r w:rsidR="00877276">
        <w:rPr>
          <w:rFonts w:ascii="Arial" w:hAnsi="Arial" w:cs="Arial"/>
        </w:rPr>
        <w:t>target.</w:t>
      </w:r>
    </w:p>
    <w:p w:rsidR="00877276" w:rsidRDefault="00877276" w:rsidP="0087727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Particular “hot spots” are ILTs South and Central and Community Hospitals.</w:t>
      </w:r>
    </w:p>
    <w:p w:rsidR="000C4E5C" w:rsidRPr="00877276" w:rsidRDefault="00877276" w:rsidP="00877276">
      <w:pPr>
        <w:jc w:val="both"/>
        <w:rPr>
          <w:rFonts w:ascii="Arial" w:hAnsi="Arial" w:cs="Arial"/>
        </w:rPr>
      </w:pPr>
      <w:r w:rsidRPr="00877276">
        <w:rPr>
          <w:rFonts w:ascii="Arial" w:hAnsi="Arial" w:cs="Arial"/>
        </w:rPr>
        <w:t xml:space="preserve"> </w:t>
      </w:r>
    </w:p>
    <w:p w:rsidR="005614A5" w:rsidRDefault="003D6E80" w:rsidP="00B331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Sickness: 4.</w:t>
      </w:r>
      <w:r w:rsidR="009954BE">
        <w:rPr>
          <w:rFonts w:ascii="Arial" w:hAnsi="Arial" w:cs="Arial"/>
          <w:b/>
        </w:rPr>
        <w:t>76</w:t>
      </w:r>
      <w:r>
        <w:rPr>
          <w:rFonts w:ascii="Arial" w:hAnsi="Arial" w:cs="Arial"/>
          <w:b/>
        </w:rPr>
        <w:t>% v 3.5% Trust Target</w:t>
      </w:r>
    </w:p>
    <w:p w:rsidR="003D6E80" w:rsidRDefault="003D6E80" w:rsidP="00B331E7">
      <w:pPr>
        <w:jc w:val="both"/>
        <w:rPr>
          <w:rFonts w:ascii="Arial" w:hAnsi="Arial" w:cs="Arial"/>
          <w:b/>
        </w:rPr>
      </w:pPr>
    </w:p>
    <w:p w:rsidR="00D247E9" w:rsidRDefault="00D247E9" w:rsidP="003D6E8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Although sickness absence in Older People Directorate has increased marginally this month, the absence rate of 4.76% is a significant improvement from the absence levels 12 months ago (5.45%).</w:t>
      </w:r>
    </w:p>
    <w:p w:rsidR="00D247E9" w:rsidRDefault="00D247E9" w:rsidP="003D6E8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currently 25 individual staff members in formal absence management processes in Older People Directorate.</w:t>
      </w:r>
    </w:p>
    <w:p w:rsidR="009721AC" w:rsidRDefault="009721AC" w:rsidP="009721AC">
      <w:pPr>
        <w:jc w:val="both"/>
        <w:rPr>
          <w:rFonts w:ascii="Arial" w:hAnsi="Arial" w:cs="Arial"/>
        </w:rPr>
      </w:pPr>
    </w:p>
    <w:p w:rsidR="009721AC" w:rsidRDefault="009721AC" w:rsidP="009721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and Agency: </w:t>
      </w:r>
      <w:r w:rsidR="009954B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.9% v 5.0% Trust Target</w:t>
      </w:r>
    </w:p>
    <w:p w:rsidR="009721AC" w:rsidRDefault="009721AC" w:rsidP="009721AC">
      <w:pPr>
        <w:jc w:val="both"/>
        <w:rPr>
          <w:rFonts w:ascii="Arial" w:hAnsi="Arial" w:cs="Arial"/>
          <w:b/>
        </w:rPr>
      </w:pPr>
    </w:p>
    <w:p w:rsidR="00D247E9" w:rsidRDefault="00D247E9" w:rsidP="00512E40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redeployment of staff from the temporarily closed ward in Witney community hospital does not yet appear to have resulted in the expected reduction of agency use.</w:t>
      </w:r>
    </w:p>
    <w:p w:rsidR="005614A5" w:rsidRPr="005614A5" w:rsidRDefault="005614A5" w:rsidP="00B331E7">
      <w:pPr>
        <w:jc w:val="both"/>
        <w:rPr>
          <w:rFonts w:ascii="Arial" w:hAnsi="Arial" w:cs="Arial"/>
          <w:b/>
        </w:rPr>
      </w:pPr>
    </w:p>
    <w:p w:rsidR="00EF68D1" w:rsidRDefault="00EF68D1" w:rsidP="00EF68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Vacancies: </w:t>
      </w:r>
      <w:r w:rsidR="00D966C8">
        <w:rPr>
          <w:rFonts w:ascii="Arial" w:hAnsi="Arial" w:cs="Arial"/>
          <w:b/>
        </w:rPr>
        <w:t>9.90</w:t>
      </w:r>
      <w:r>
        <w:rPr>
          <w:rFonts w:ascii="Arial" w:hAnsi="Arial" w:cs="Arial"/>
          <w:b/>
        </w:rPr>
        <w:t>% v 9% limit</w:t>
      </w:r>
    </w:p>
    <w:p w:rsidR="004914E8" w:rsidRDefault="004914E8" w:rsidP="004914E8">
      <w:pPr>
        <w:jc w:val="both"/>
        <w:rPr>
          <w:rFonts w:ascii="Arial" w:hAnsi="Arial" w:cs="Arial"/>
          <w:b/>
        </w:rPr>
      </w:pPr>
    </w:p>
    <w:p w:rsidR="004914E8" w:rsidRPr="00FC5502" w:rsidRDefault="008D57D7" w:rsidP="004914E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C5502">
        <w:rPr>
          <w:rFonts w:ascii="Arial" w:hAnsi="Arial" w:cs="Arial"/>
        </w:rPr>
        <w:t xml:space="preserve">There </w:t>
      </w:r>
      <w:r w:rsidR="00211D53" w:rsidRPr="00FC5502">
        <w:rPr>
          <w:rFonts w:ascii="Arial" w:hAnsi="Arial" w:cs="Arial"/>
        </w:rPr>
        <w:t>were</w:t>
      </w:r>
      <w:r w:rsidRPr="00FC5502">
        <w:rPr>
          <w:rFonts w:ascii="Arial" w:hAnsi="Arial" w:cs="Arial"/>
        </w:rPr>
        <w:t xml:space="preserve"> </w:t>
      </w:r>
      <w:r w:rsidR="00161D79" w:rsidRPr="00FC5502">
        <w:rPr>
          <w:rFonts w:ascii="Arial" w:hAnsi="Arial" w:cs="Arial"/>
        </w:rPr>
        <w:t>216</w:t>
      </w:r>
      <w:r w:rsidRPr="00FC5502">
        <w:rPr>
          <w:rFonts w:ascii="Arial" w:hAnsi="Arial" w:cs="Arial"/>
        </w:rPr>
        <w:t xml:space="preserve"> vacancies, 11</w:t>
      </w:r>
      <w:r w:rsidR="00161D79" w:rsidRPr="00FC5502">
        <w:rPr>
          <w:rFonts w:ascii="Arial" w:hAnsi="Arial" w:cs="Arial"/>
        </w:rPr>
        <w:t>2</w:t>
      </w:r>
      <w:r w:rsidRPr="00FC5502">
        <w:rPr>
          <w:rFonts w:ascii="Arial" w:hAnsi="Arial" w:cs="Arial"/>
        </w:rPr>
        <w:t xml:space="preserve"> offers accepted, </w:t>
      </w:r>
      <w:r w:rsidR="00161D79" w:rsidRPr="00FC5502">
        <w:rPr>
          <w:rFonts w:ascii="Arial" w:hAnsi="Arial" w:cs="Arial"/>
        </w:rPr>
        <w:t>43</w:t>
      </w:r>
      <w:r w:rsidRPr="00FC5502">
        <w:rPr>
          <w:rFonts w:ascii="Arial" w:hAnsi="Arial" w:cs="Arial"/>
        </w:rPr>
        <w:t xml:space="preserve"> candidates cleared to start and </w:t>
      </w:r>
      <w:r w:rsidR="00161D79" w:rsidRPr="00FC5502">
        <w:rPr>
          <w:rFonts w:ascii="Arial" w:hAnsi="Arial" w:cs="Arial"/>
        </w:rPr>
        <w:t>22</w:t>
      </w:r>
      <w:r w:rsidRPr="00FC5502">
        <w:rPr>
          <w:rFonts w:ascii="Arial" w:hAnsi="Arial" w:cs="Arial"/>
        </w:rPr>
        <w:t xml:space="preserve"> start dates confirmed.</w:t>
      </w:r>
    </w:p>
    <w:p w:rsidR="00982EA4" w:rsidRPr="00FC5502" w:rsidRDefault="00982EA4" w:rsidP="004914E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C5502">
        <w:rPr>
          <w:rFonts w:ascii="Arial" w:hAnsi="Arial" w:cs="Arial"/>
        </w:rPr>
        <w:t xml:space="preserve">Problem area to recruit to </w:t>
      </w:r>
      <w:r w:rsidR="00161D79" w:rsidRPr="00FC5502">
        <w:rPr>
          <w:rFonts w:ascii="Arial" w:hAnsi="Arial" w:cs="Arial"/>
        </w:rPr>
        <w:t xml:space="preserve">continue to be </w:t>
      </w:r>
      <w:r w:rsidRPr="00FC5502">
        <w:rPr>
          <w:rFonts w:ascii="Arial" w:hAnsi="Arial" w:cs="Arial"/>
        </w:rPr>
        <w:t xml:space="preserve">band 5 nurses in inpatient, mental health, district nurses, Podiatry and MSK physiotherapists.  </w:t>
      </w:r>
    </w:p>
    <w:p w:rsidR="004914E8" w:rsidRDefault="004914E8" w:rsidP="004914E8">
      <w:pPr>
        <w:jc w:val="both"/>
        <w:rPr>
          <w:rFonts w:ascii="Arial" w:hAnsi="Arial" w:cs="Arial"/>
          <w:b/>
        </w:rPr>
      </w:pPr>
    </w:p>
    <w:p w:rsidR="001561E0" w:rsidRDefault="001561E0" w:rsidP="004914E8">
      <w:pPr>
        <w:jc w:val="both"/>
        <w:rPr>
          <w:rFonts w:ascii="Arial" w:hAnsi="Arial" w:cs="Arial"/>
          <w:b/>
        </w:rPr>
      </w:pPr>
    </w:p>
    <w:p w:rsidR="00DD4D8E" w:rsidRDefault="00DD4D8E" w:rsidP="004914E8">
      <w:pPr>
        <w:jc w:val="both"/>
        <w:rPr>
          <w:rFonts w:ascii="Arial" w:hAnsi="Arial" w:cs="Arial"/>
          <w:b/>
        </w:rPr>
      </w:pPr>
    </w:p>
    <w:p w:rsidR="00B7343D" w:rsidRDefault="00B7343D" w:rsidP="004914E8">
      <w:pPr>
        <w:jc w:val="both"/>
        <w:rPr>
          <w:rFonts w:ascii="Arial" w:hAnsi="Arial" w:cs="Arial"/>
          <w:b/>
        </w:rPr>
      </w:pPr>
    </w:p>
    <w:p w:rsidR="004914E8" w:rsidRPr="00977566" w:rsidRDefault="004914E8" w:rsidP="004914E8">
      <w:pPr>
        <w:jc w:val="both"/>
        <w:rPr>
          <w:rFonts w:ascii="Arial" w:hAnsi="Arial" w:cs="Arial"/>
          <w:b/>
        </w:rPr>
      </w:pPr>
      <w:r w:rsidRPr="00977566">
        <w:rPr>
          <w:rFonts w:ascii="Arial" w:hAnsi="Arial" w:cs="Arial"/>
          <w:b/>
        </w:rPr>
        <w:t>Children &amp; Young People Directorate</w:t>
      </w:r>
    </w:p>
    <w:p w:rsidR="004914E8" w:rsidRPr="001561E0" w:rsidRDefault="004914E8" w:rsidP="004914E8">
      <w:pPr>
        <w:jc w:val="both"/>
        <w:rPr>
          <w:rFonts w:ascii="Arial" w:hAnsi="Arial" w:cs="Arial"/>
          <w:b/>
          <w:color w:val="FF0000"/>
        </w:rPr>
      </w:pPr>
    </w:p>
    <w:p w:rsidR="004914E8" w:rsidRDefault="004914E8" w:rsidP="004914E8">
      <w:pPr>
        <w:jc w:val="both"/>
        <w:rPr>
          <w:rFonts w:ascii="Arial" w:hAnsi="Arial" w:cs="Arial"/>
          <w:b/>
        </w:rPr>
      </w:pPr>
      <w:r w:rsidRPr="00744429">
        <w:rPr>
          <w:rFonts w:ascii="Arial" w:hAnsi="Arial" w:cs="Arial"/>
          <w:b/>
        </w:rPr>
        <w:t>Turnover: 14.</w:t>
      </w:r>
      <w:r w:rsidR="00744429">
        <w:rPr>
          <w:rFonts w:ascii="Arial" w:hAnsi="Arial" w:cs="Arial"/>
          <w:b/>
        </w:rPr>
        <w:t>92</w:t>
      </w:r>
      <w:r w:rsidRPr="00744429">
        <w:rPr>
          <w:rFonts w:ascii="Arial" w:hAnsi="Arial" w:cs="Arial"/>
          <w:b/>
        </w:rPr>
        <w:t>% v 12.0% Trust Target</w:t>
      </w:r>
    </w:p>
    <w:p w:rsidR="00F13B48" w:rsidRDefault="00F13B48" w:rsidP="004914E8">
      <w:pPr>
        <w:jc w:val="both"/>
        <w:rPr>
          <w:rFonts w:ascii="Arial" w:hAnsi="Arial" w:cs="Arial"/>
          <w:b/>
        </w:rPr>
      </w:pPr>
    </w:p>
    <w:p w:rsidR="00F13B48" w:rsidRPr="00F13B48" w:rsidRDefault="00F13B48" w:rsidP="00F13B4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continuing trend is still above target with a small increase of 0.19% in turnover in month.</w:t>
      </w:r>
    </w:p>
    <w:p w:rsidR="00F13B48" w:rsidRPr="00F13B48" w:rsidRDefault="00F13B48" w:rsidP="00F13B4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Highest turnover rates are within Dental Services 21.02% compared to 20.72% in </w:t>
      </w:r>
      <w:r w:rsidR="00E91D4F">
        <w:rPr>
          <w:rFonts w:ascii="Arial" w:hAnsi="Arial" w:cs="Arial"/>
        </w:rPr>
        <w:t>August.</w:t>
      </w:r>
      <w:r>
        <w:rPr>
          <w:rFonts w:ascii="Arial" w:hAnsi="Arial" w:cs="Arial"/>
        </w:rPr>
        <w:t xml:space="preserve"> Oxon and Bucks CAMHS 17.87% compared to 18.11% in August and Swindon Wilts and Banes 16.51% compared to 16.94% in August. </w:t>
      </w:r>
    </w:p>
    <w:p w:rsidR="00D5431E" w:rsidRPr="00DA5C6F" w:rsidRDefault="00D5431E" w:rsidP="004914E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A5C6F">
        <w:rPr>
          <w:rFonts w:ascii="Arial" w:hAnsi="Arial" w:cs="Arial"/>
        </w:rPr>
        <w:t xml:space="preserve">Exit feedback is ad </w:t>
      </w:r>
      <w:r w:rsidR="009D1E03" w:rsidRPr="00DA5C6F">
        <w:rPr>
          <w:rFonts w:ascii="Arial" w:hAnsi="Arial" w:cs="Arial"/>
        </w:rPr>
        <w:t>hoc;</w:t>
      </w:r>
      <w:r w:rsidRPr="00DA5C6F">
        <w:rPr>
          <w:rFonts w:ascii="Arial" w:hAnsi="Arial" w:cs="Arial"/>
        </w:rPr>
        <w:t xml:space="preserve"> however local intelligence supports reasons for leaving as promotion</w:t>
      </w:r>
      <w:r w:rsidR="001E6B48" w:rsidRPr="00DA5C6F">
        <w:rPr>
          <w:rFonts w:ascii="Arial" w:hAnsi="Arial" w:cs="Arial"/>
        </w:rPr>
        <w:t xml:space="preserve"> and </w:t>
      </w:r>
      <w:r w:rsidRPr="00DA5C6F">
        <w:rPr>
          <w:rFonts w:ascii="Arial" w:hAnsi="Arial" w:cs="Arial"/>
        </w:rPr>
        <w:t>relocation.</w:t>
      </w:r>
    </w:p>
    <w:p w:rsidR="00D5431E" w:rsidRPr="001561E0" w:rsidRDefault="00D5431E" w:rsidP="00D5431E">
      <w:pPr>
        <w:jc w:val="both"/>
        <w:rPr>
          <w:rFonts w:ascii="Arial" w:hAnsi="Arial" w:cs="Arial"/>
          <w:color w:val="FF0000"/>
        </w:rPr>
      </w:pPr>
    </w:p>
    <w:p w:rsidR="00DF792B" w:rsidRDefault="00DF792B" w:rsidP="00DF792B">
      <w:pPr>
        <w:jc w:val="both"/>
        <w:rPr>
          <w:rFonts w:ascii="Arial" w:hAnsi="Arial" w:cs="Arial"/>
          <w:b/>
        </w:rPr>
      </w:pPr>
      <w:r w:rsidRPr="00744429">
        <w:rPr>
          <w:rFonts w:ascii="Arial" w:hAnsi="Arial" w:cs="Arial"/>
          <w:b/>
        </w:rPr>
        <w:lastRenderedPageBreak/>
        <w:t>Sickness: 3.</w:t>
      </w:r>
      <w:r w:rsidR="00744429">
        <w:rPr>
          <w:rFonts w:ascii="Arial" w:hAnsi="Arial" w:cs="Arial"/>
          <w:b/>
        </w:rPr>
        <w:t>09</w:t>
      </w:r>
      <w:r w:rsidRPr="00744429">
        <w:rPr>
          <w:rFonts w:ascii="Arial" w:hAnsi="Arial" w:cs="Arial"/>
          <w:b/>
        </w:rPr>
        <w:t>% v 3.5% Trust Target</w:t>
      </w:r>
    </w:p>
    <w:p w:rsidR="003C3D31" w:rsidRDefault="003C3D31" w:rsidP="00DF792B">
      <w:pPr>
        <w:jc w:val="both"/>
        <w:rPr>
          <w:rFonts w:ascii="Arial" w:hAnsi="Arial" w:cs="Arial"/>
          <w:b/>
        </w:rPr>
      </w:pPr>
    </w:p>
    <w:p w:rsidR="003C3D31" w:rsidRPr="003C3D31" w:rsidRDefault="003C3D31" w:rsidP="003C3D3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Sickness absence trend continues to be below Trust target with a slight decrease from last month of 0.17% and remains the lowest % across the Trust.</w:t>
      </w:r>
    </w:p>
    <w:p w:rsidR="003C3D31" w:rsidRPr="003C3D31" w:rsidRDefault="003C3D31" w:rsidP="003C3D3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Long term sickness is currently 1.85%, an increase from last month of 0.39% this equates to 980 wte days lost (last month 1041).</w:t>
      </w:r>
    </w:p>
    <w:p w:rsidR="003C3D31" w:rsidRPr="003C3D31" w:rsidRDefault="003C3D31" w:rsidP="003C3D3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Top 4 reasons for sickness absence are Anxiety and Stress (24.42%) an increase of 1.36% from last month, </w:t>
      </w:r>
      <w:r w:rsidR="00E91D4F">
        <w:rPr>
          <w:rFonts w:ascii="Arial" w:hAnsi="Arial" w:cs="Arial"/>
        </w:rPr>
        <w:t>Gastrointestinal</w:t>
      </w:r>
      <w:r>
        <w:rPr>
          <w:rFonts w:ascii="Arial" w:hAnsi="Arial" w:cs="Arial"/>
        </w:rPr>
        <w:t xml:space="preserve"> (10.46%), Genitourinary &amp; Gynaecology</w:t>
      </w:r>
      <w:r w:rsidR="00416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disorder (10.04%) and Back Problems (9.00%).</w:t>
      </w:r>
    </w:p>
    <w:p w:rsidR="005F6796" w:rsidRPr="00AF53E0" w:rsidRDefault="00B07CDA" w:rsidP="005F679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F53E0">
        <w:rPr>
          <w:rFonts w:ascii="Arial" w:hAnsi="Arial" w:cs="Arial"/>
        </w:rPr>
        <w:t>Sickness absence is being managed in line with su</w:t>
      </w:r>
      <w:r w:rsidR="00685146" w:rsidRPr="00AF53E0">
        <w:rPr>
          <w:rFonts w:ascii="Arial" w:hAnsi="Arial" w:cs="Arial"/>
        </w:rPr>
        <w:t xml:space="preserve">pport from Occupational Health and a number of successful </w:t>
      </w:r>
      <w:r w:rsidR="009D1E03" w:rsidRPr="00AF53E0">
        <w:rPr>
          <w:rFonts w:ascii="Arial" w:hAnsi="Arial" w:cs="Arial"/>
        </w:rPr>
        <w:t>returns</w:t>
      </w:r>
      <w:r w:rsidR="00685146" w:rsidRPr="00AF53E0">
        <w:rPr>
          <w:rFonts w:ascii="Arial" w:hAnsi="Arial" w:cs="Arial"/>
        </w:rPr>
        <w:t xml:space="preserve"> to work plans have been achieved.</w:t>
      </w:r>
      <w:r w:rsidR="005F6796" w:rsidRPr="00AF53E0">
        <w:rPr>
          <w:rFonts w:ascii="Arial" w:hAnsi="Arial" w:cs="Arial"/>
        </w:rPr>
        <w:t xml:space="preserve"> </w:t>
      </w:r>
    </w:p>
    <w:p w:rsidR="00C71A0D" w:rsidRPr="001561E0" w:rsidRDefault="00C71A0D" w:rsidP="002829E4">
      <w:pPr>
        <w:jc w:val="both"/>
        <w:rPr>
          <w:rFonts w:ascii="Arial" w:hAnsi="Arial" w:cs="Arial"/>
          <w:color w:val="FF0000"/>
        </w:rPr>
      </w:pPr>
    </w:p>
    <w:p w:rsidR="005C60FD" w:rsidRDefault="00744429" w:rsidP="005C6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and Agency: 8.40</w:t>
      </w:r>
      <w:r w:rsidR="005C60FD" w:rsidRPr="00744429">
        <w:rPr>
          <w:rFonts w:ascii="Arial" w:hAnsi="Arial" w:cs="Arial"/>
          <w:b/>
        </w:rPr>
        <w:t>% v 5.0% Trust Target</w:t>
      </w:r>
    </w:p>
    <w:p w:rsidR="005A6513" w:rsidRDefault="005A6513" w:rsidP="005C60FD">
      <w:pPr>
        <w:jc w:val="both"/>
        <w:rPr>
          <w:rFonts w:ascii="Arial" w:hAnsi="Arial" w:cs="Arial"/>
          <w:b/>
        </w:rPr>
      </w:pPr>
    </w:p>
    <w:p w:rsidR="005A6513" w:rsidRPr="00AC5C0D" w:rsidRDefault="005A6513" w:rsidP="005A651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AC5C0D">
        <w:rPr>
          <w:rFonts w:ascii="Arial" w:hAnsi="Arial" w:cs="Arial"/>
        </w:rPr>
        <w:t xml:space="preserve">There has been a slight </w:t>
      </w:r>
      <w:r w:rsidR="00F2397C" w:rsidRPr="00AC5C0D">
        <w:rPr>
          <w:rFonts w:ascii="Arial" w:hAnsi="Arial" w:cs="Arial"/>
        </w:rPr>
        <w:t>drop</w:t>
      </w:r>
      <w:r w:rsidRPr="00AC5C0D">
        <w:rPr>
          <w:rFonts w:ascii="Arial" w:hAnsi="Arial" w:cs="Arial"/>
        </w:rPr>
        <w:t xml:space="preserve"> in </w:t>
      </w:r>
      <w:r w:rsidR="00D061BA" w:rsidRPr="00AC5C0D">
        <w:rPr>
          <w:rFonts w:ascii="Arial" w:hAnsi="Arial" w:cs="Arial"/>
        </w:rPr>
        <w:t xml:space="preserve">Bank &amp; </w:t>
      </w:r>
      <w:r w:rsidRPr="00AC5C0D">
        <w:rPr>
          <w:rFonts w:ascii="Arial" w:hAnsi="Arial" w:cs="Arial"/>
        </w:rPr>
        <w:t xml:space="preserve">Agency </w:t>
      </w:r>
      <w:r w:rsidR="00D061BA" w:rsidRPr="00AC5C0D">
        <w:rPr>
          <w:rFonts w:ascii="Arial" w:hAnsi="Arial" w:cs="Arial"/>
        </w:rPr>
        <w:t>spend</w:t>
      </w:r>
      <w:r w:rsidR="009145B8" w:rsidRPr="00AC5C0D">
        <w:rPr>
          <w:rFonts w:ascii="Arial" w:hAnsi="Arial" w:cs="Arial"/>
        </w:rPr>
        <w:t xml:space="preserve"> </w:t>
      </w:r>
      <w:r w:rsidR="00F2397C" w:rsidRPr="00AC5C0D">
        <w:rPr>
          <w:rFonts w:ascii="Arial" w:hAnsi="Arial" w:cs="Arial"/>
        </w:rPr>
        <w:t xml:space="preserve">this month, falling to 8.4% from a peak value of 8.6% in August. This ends a constant rise over four month from a starting value of </w:t>
      </w:r>
      <w:r w:rsidR="00AC5C0D" w:rsidRPr="00AC5C0D">
        <w:rPr>
          <w:rFonts w:ascii="Arial" w:hAnsi="Arial" w:cs="Arial"/>
        </w:rPr>
        <w:t>3.7% in April.</w:t>
      </w:r>
    </w:p>
    <w:p w:rsidR="005A6513" w:rsidRPr="005A6513" w:rsidRDefault="005A6513" w:rsidP="005A651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Oxon and Bucks CAMHS Bank and Agency usage (23.30%) of which Agency was (23.30%) and Bank (0.10%).</w:t>
      </w:r>
    </w:p>
    <w:p w:rsidR="00A56015" w:rsidRPr="00F61B6C" w:rsidRDefault="000567EA" w:rsidP="005C60F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61B6C">
        <w:rPr>
          <w:rFonts w:ascii="Arial" w:hAnsi="Arial" w:cs="Arial"/>
        </w:rPr>
        <w:t>HR continues to work with the units via regular meetings with manager</w:t>
      </w:r>
      <w:r w:rsidR="00A57F9A" w:rsidRPr="00F61B6C">
        <w:rPr>
          <w:rFonts w:ascii="Arial" w:hAnsi="Arial" w:cs="Arial"/>
        </w:rPr>
        <w:t>s</w:t>
      </w:r>
      <w:r w:rsidRPr="00F61B6C">
        <w:rPr>
          <w:rFonts w:ascii="Arial" w:hAnsi="Arial" w:cs="Arial"/>
        </w:rPr>
        <w:t xml:space="preserve"> regarding the agency framework and the availability of lower cost agency staff.</w:t>
      </w:r>
      <w:r w:rsidR="00F61B6C" w:rsidRPr="00F61B6C">
        <w:rPr>
          <w:rFonts w:ascii="Arial" w:hAnsi="Arial" w:cs="Arial"/>
        </w:rPr>
        <w:t xml:space="preserve">  The new nursing framework is due to go live on 19</w:t>
      </w:r>
      <w:r w:rsidR="00F61B6C" w:rsidRPr="00F61B6C">
        <w:rPr>
          <w:rFonts w:ascii="Arial" w:hAnsi="Arial" w:cs="Arial"/>
          <w:vertAlign w:val="superscript"/>
        </w:rPr>
        <w:t>th</w:t>
      </w:r>
      <w:r w:rsidR="00F61B6C" w:rsidRPr="00F61B6C">
        <w:rPr>
          <w:rFonts w:ascii="Arial" w:hAnsi="Arial" w:cs="Arial"/>
        </w:rPr>
        <w:t xml:space="preserve"> October 2015 with an increase of 13 new suppliers.</w:t>
      </w:r>
    </w:p>
    <w:p w:rsidR="005A6513" w:rsidRPr="00F61B6C" w:rsidRDefault="005A6513" w:rsidP="00681E74">
      <w:pPr>
        <w:jc w:val="both"/>
        <w:rPr>
          <w:rFonts w:ascii="Arial" w:hAnsi="Arial" w:cs="Arial"/>
          <w:b/>
        </w:rPr>
      </w:pPr>
    </w:p>
    <w:p w:rsidR="00681E74" w:rsidRPr="00EE7726" w:rsidRDefault="00681E74" w:rsidP="00681E74">
      <w:pPr>
        <w:jc w:val="both"/>
        <w:rPr>
          <w:rFonts w:ascii="Arial" w:hAnsi="Arial" w:cs="Arial"/>
          <w:b/>
        </w:rPr>
      </w:pPr>
      <w:r w:rsidRPr="00EE7726">
        <w:rPr>
          <w:rFonts w:ascii="Arial" w:hAnsi="Arial" w:cs="Arial"/>
          <w:b/>
        </w:rPr>
        <w:t xml:space="preserve">Vacancies: </w:t>
      </w:r>
      <w:r w:rsidR="00EE7726">
        <w:rPr>
          <w:rFonts w:ascii="Arial" w:hAnsi="Arial" w:cs="Arial"/>
          <w:b/>
        </w:rPr>
        <w:t>7.00</w:t>
      </w:r>
      <w:r w:rsidRPr="00EE7726">
        <w:rPr>
          <w:rFonts w:ascii="Arial" w:hAnsi="Arial" w:cs="Arial"/>
          <w:b/>
        </w:rPr>
        <w:t>% v 9% limit</w:t>
      </w:r>
    </w:p>
    <w:p w:rsidR="00746D67" w:rsidRPr="001561E0" w:rsidRDefault="00746D67" w:rsidP="00746D67">
      <w:pPr>
        <w:jc w:val="both"/>
        <w:rPr>
          <w:rFonts w:ascii="Arial" w:hAnsi="Arial" w:cs="Arial"/>
          <w:b/>
          <w:color w:val="FF0000"/>
        </w:rPr>
      </w:pPr>
    </w:p>
    <w:p w:rsidR="005D4539" w:rsidRPr="000C4C44" w:rsidRDefault="00FF4AE1" w:rsidP="005D453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0C4C44">
        <w:rPr>
          <w:rFonts w:ascii="Arial" w:hAnsi="Arial" w:cs="Arial"/>
        </w:rPr>
        <w:t xml:space="preserve">There </w:t>
      </w:r>
      <w:r w:rsidR="00E92A86" w:rsidRPr="000C4C44">
        <w:rPr>
          <w:rFonts w:ascii="Arial" w:hAnsi="Arial" w:cs="Arial"/>
        </w:rPr>
        <w:t>were</w:t>
      </w:r>
      <w:r w:rsidRPr="000C4C44">
        <w:rPr>
          <w:rFonts w:ascii="Arial" w:hAnsi="Arial" w:cs="Arial"/>
        </w:rPr>
        <w:t xml:space="preserve"> </w:t>
      </w:r>
      <w:r w:rsidR="000C4C44" w:rsidRPr="000C4C44">
        <w:rPr>
          <w:rFonts w:ascii="Arial" w:hAnsi="Arial" w:cs="Arial"/>
        </w:rPr>
        <w:t>135</w:t>
      </w:r>
      <w:r w:rsidRPr="000C4C44">
        <w:rPr>
          <w:rFonts w:ascii="Arial" w:hAnsi="Arial" w:cs="Arial"/>
        </w:rPr>
        <w:t xml:space="preserve"> vacancies</w:t>
      </w:r>
      <w:r w:rsidR="00F42B50">
        <w:rPr>
          <w:rFonts w:ascii="Arial" w:hAnsi="Arial" w:cs="Arial"/>
        </w:rPr>
        <w:t>;</w:t>
      </w:r>
      <w:r w:rsidR="000C4C44" w:rsidRPr="000C4C44">
        <w:rPr>
          <w:rFonts w:ascii="Arial" w:hAnsi="Arial" w:cs="Arial"/>
        </w:rPr>
        <w:t xml:space="preserve"> a reduction of 43 from last month</w:t>
      </w:r>
      <w:r w:rsidR="005D4539" w:rsidRPr="000C4C44">
        <w:rPr>
          <w:rFonts w:ascii="Arial" w:hAnsi="Arial" w:cs="Arial"/>
        </w:rPr>
        <w:t xml:space="preserve">, </w:t>
      </w:r>
      <w:r w:rsidR="000C4C44" w:rsidRPr="000C4C44">
        <w:rPr>
          <w:rFonts w:ascii="Arial" w:hAnsi="Arial" w:cs="Arial"/>
        </w:rPr>
        <w:t xml:space="preserve">68 </w:t>
      </w:r>
      <w:r w:rsidR="005D4539" w:rsidRPr="000C4C44">
        <w:rPr>
          <w:rFonts w:ascii="Arial" w:hAnsi="Arial" w:cs="Arial"/>
        </w:rPr>
        <w:t xml:space="preserve">offers accepted, </w:t>
      </w:r>
      <w:r w:rsidR="000C4C44" w:rsidRPr="000C4C44">
        <w:rPr>
          <w:rFonts w:ascii="Arial" w:hAnsi="Arial" w:cs="Arial"/>
        </w:rPr>
        <w:t>34</w:t>
      </w:r>
      <w:r w:rsidR="005D4539" w:rsidRPr="000C4C44">
        <w:rPr>
          <w:rFonts w:ascii="Arial" w:hAnsi="Arial" w:cs="Arial"/>
        </w:rPr>
        <w:t xml:space="preserve"> candidates cleared to start and </w:t>
      </w:r>
      <w:r w:rsidR="000C4C44" w:rsidRPr="000C4C44">
        <w:rPr>
          <w:rFonts w:ascii="Arial" w:hAnsi="Arial" w:cs="Arial"/>
        </w:rPr>
        <w:t>22</w:t>
      </w:r>
      <w:r w:rsidR="005D4539" w:rsidRPr="000C4C44">
        <w:rPr>
          <w:rFonts w:ascii="Arial" w:hAnsi="Arial" w:cs="Arial"/>
        </w:rPr>
        <w:t xml:space="preserve"> have start dates confirmed.</w:t>
      </w:r>
    </w:p>
    <w:p w:rsidR="005D4539" w:rsidRPr="000C4C44" w:rsidRDefault="005D4539" w:rsidP="005D453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0C4C44">
        <w:rPr>
          <w:rFonts w:ascii="Arial" w:hAnsi="Arial" w:cs="Arial"/>
        </w:rPr>
        <w:t xml:space="preserve">Human Resources have received feedback from managers </w:t>
      </w:r>
      <w:r w:rsidR="00E92A86" w:rsidRPr="000C4C44">
        <w:rPr>
          <w:rFonts w:ascii="Arial" w:hAnsi="Arial" w:cs="Arial"/>
        </w:rPr>
        <w:t xml:space="preserve">who are </w:t>
      </w:r>
      <w:r w:rsidRPr="000C4C44">
        <w:rPr>
          <w:rFonts w:ascii="Arial" w:hAnsi="Arial" w:cs="Arial"/>
        </w:rPr>
        <w:t>requesting weekly/fortnightly updates which will be acted upon.</w:t>
      </w:r>
    </w:p>
    <w:p w:rsidR="005D4539" w:rsidRPr="000C4C44" w:rsidRDefault="00AA6D97" w:rsidP="005D453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0C4C44">
        <w:rPr>
          <w:rFonts w:ascii="Arial" w:hAnsi="Arial" w:cs="Arial"/>
        </w:rPr>
        <w:t xml:space="preserve">Resourcing </w:t>
      </w:r>
      <w:r w:rsidR="009D1E03" w:rsidRPr="000C4C44">
        <w:rPr>
          <w:rFonts w:ascii="Arial" w:hAnsi="Arial" w:cs="Arial"/>
        </w:rPr>
        <w:t>is</w:t>
      </w:r>
      <w:r w:rsidRPr="000C4C44">
        <w:rPr>
          <w:rFonts w:ascii="Arial" w:hAnsi="Arial" w:cs="Arial"/>
        </w:rPr>
        <w:t xml:space="preserve"> working closely with managers regarding difficult to fill posts generally but particularly in the Inpatient units.</w:t>
      </w:r>
    </w:p>
    <w:p w:rsidR="00F07BC3" w:rsidRDefault="00F07BC3" w:rsidP="00746D67">
      <w:pPr>
        <w:jc w:val="both"/>
        <w:rPr>
          <w:rFonts w:ascii="Arial" w:hAnsi="Arial" w:cs="Arial"/>
          <w:b/>
        </w:rPr>
      </w:pPr>
    </w:p>
    <w:p w:rsidR="00312738" w:rsidRDefault="00312738" w:rsidP="00746D67">
      <w:pPr>
        <w:jc w:val="both"/>
        <w:rPr>
          <w:rFonts w:ascii="Arial" w:hAnsi="Arial" w:cs="Arial"/>
          <w:b/>
        </w:rPr>
      </w:pPr>
    </w:p>
    <w:p w:rsidR="001D67D0" w:rsidRDefault="006C532A" w:rsidP="00746D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Services Directorate</w:t>
      </w:r>
    </w:p>
    <w:p w:rsidR="006C532A" w:rsidRPr="006C532A" w:rsidRDefault="006C532A" w:rsidP="00746D67">
      <w:pPr>
        <w:jc w:val="both"/>
        <w:rPr>
          <w:rFonts w:ascii="Arial" w:hAnsi="Arial" w:cs="Arial"/>
          <w:b/>
        </w:rPr>
      </w:pPr>
    </w:p>
    <w:p w:rsidR="006C532A" w:rsidRDefault="006C532A" w:rsidP="006C5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Turnover: 1</w:t>
      </w:r>
      <w:r w:rsidR="00E9604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F07BC3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% v 12.0% Trust Target</w:t>
      </w:r>
    </w:p>
    <w:p w:rsidR="004914E8" w:rsidRDefault="004914E8" w:rsidP="00B331E7">
      <w:pPr>
        <w:jc w:val="both"/>
        <w:rPr>
          <w:rFonts w:ascii="Arial" w:hAnsi="Arial" w:cs="Arial"/>
        </w:rPr>
      </w:pPr>
    </w:p>
    <w:p w:rsidR="00F07BC3" w:rsidRDefault="006F2722" w:rsidP="00496106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07BC3">
        <w:rPr>
          <w:rFonts w:ascii="Arial" w:hAnsi="Arial" w:cs="Arial"/>
        </w:rPr>
        <w:t xml:space="preserve">Turnover has </w:t>
      </w:r>
      <w:r w:rsidR="00F07BC3" w:rsidRPr="00F07BC3">
        <w:rPr>
          <w:rFonts w:ascii="Arial" w:hAnsi="Arial" w:cs="Arial"/>
        </w:rPr>
        <w:t>reduced slightly this month</w:t>
      </w:r>
      <w:r w:rsidR="000D1C15">
        <w:rPr>
          <w:rFonts w:ascii="Arial" w:hAnsi="Arial" w:cs="Arial"/>
        </w:rPr>
        <w:t xml:space="preserve"> to 13.18%</w:t>
      </w:r>
      <w:r w:rsidR="00F07BC3">
        <w:rPr>
          <w:rFonts w:ascii="Arial" w:hAnsi="Arial" w:cs="Arial"/>
        </w:rPr>
        <w:t>.</w:t>
      </w:r>
    </w:p>
    <w:p w:rsidR="00F07BC3" w:rsidRDefault="000D1C15" w:rsidP="00496106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Forensic services remain an area</w:t>
      </w:r>
      <w:r w:rsidR="00F07BC3">
        <w:rPr>
          <w:rFonts w:ascii="Arial" w:hAnsi="Arial" w:cs="Arial"/>
        </w:rPr>
        <w:t xml:space="preserve"> of concern the Directorate is currently reviewing the services to see how they can improve the working environment and support staff.</w:t>
      </w:r>
    </w:p>
    <w:p w:rsidR="004914E8" w:rsidRDefault="004914E8" w:rsidP="00B331E7">
      <w:pPr>
        <w:jc w:val="both"/>
        <w:rPr>
          <w:rFonts w:ascii="Arial" w:hAnsi="Arial" w:cs="Arial"/>
        </w:rPr>
      </w:pPr>
    </w:p>
    <w:p w:rsidR="00F42B50" w:rsidRDefault="00F42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15629" w:rsidRDefault="00815629" w:rsidP="008156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Sickness: 4.</w:t>
      </w:r>
      <w:r w:rsidR="007E42B8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% v 3.5% Trust Target</w:t>
      </w:r>
    </w:p>
    <w:p w:rsidR="004914E8" w:rsidRDefault="004914E8" w:rsidP="00B331E7">
      <w:pPr>
        <w:jc w:val="both"/>
        <w:rPr>
          <w:rFonts w:ascii="Arial" w:hAnsi="Arial" w:cs="Arial"/>
        </w:rPr>
      </w:pPr>
    </w:p>
    <w:p w:rsidR="009357B3" w:rsidRDefault="009357B3" w:rsidP="009357B3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Sickness absence reduced from 4.47% in August and July this is the lowest sickness figure for many months.</w:t>
      </w:r>
    </w:p>
    <w:p w:rsidR="009357B3" w:rsidRPr="009357B3" w:rsidRDefault="009357B3" w:rsidP="009357B3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Long term sickness cases are managed with support from Occupational Health and using the Capability Health process where appropriate.</w:t>
      </w:r>
    </w:p>
    <w:p w:rsidR="007E42B8" w:rsidRPr="007E42B8" w:rsidRDefault="007E42B8" w:rsidP="007E42B8">
      <w:pPr>
        <w:jc w:val="both"/>
        <w:rPr>
          <w:rFonts w:ascii="Arial" w:hAnsi="Arial" w:cs="Arial"/>
        </w:rPr>
      </w:pPr>
    </w:p>
    <w:p w:rsidR="007965C3" w:rsidRDefault="007965C3" w:rsidP="007965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and Agency: </w:t>
      </w:r>
      <w:r w:rsidR="00F71A03">
        <w:rPr>
          <w:rFonts w:ascii="Arial" w:hAnsi="Arial" w:cs="Arial"/>
          <w:b/>
        </w:rPr>
        <w:t>9.20</w:t>
      </w:r>
      <w:r>
        <w:rPr>
          <w:rFonts w:ascii="Arial" w:hAnsi="Arial" w:cs="Arial"/>
          <w:b/>
        </w:rPr>
        <w:t>% v 5.0% Trust Target</w:t>
      </w:r>
    </w:p>
    <w:p w:rsidR="004914E8" w:rsidRDefault="004914E8" w:rsidP="00B331E7">
      <w:pPr>
        <w:jc w:val="both"/>
        <w:rPr>
          <w:rFonts w:ascii="Arial" w:hAnsi="Arial" w:cs="Arial"/>
        </w:rPr>
      </w:pPr>
    </w:p>
    <w:p w:rsidR="00A86E46" w:rsidRDefault="007965C3" w:rsidP="00A86E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CE788C">
        <w:rPr>
          <w:rFonts w:ascii="Arial" w:hAnsi="Arial" w:cs="Arial"/>
        </w:rPr>
        <w:t xml:space="preserve">Agency </w:t>
      </w:r>
      <w:r w:rsidR="00CE788C">
        <w:rPr>
          <w:rFonts w:ascii="Arial" w:hAnsi="Arial" w:cs="Arial"/>
        </w:rPr>
        <w:t xml:space="preserve">(7%) </w:t>
      </w:r>
      <w:r w:rsidR="00A86E46" w:rsidRPr="00CE788C">
        <w:rPr>
          <w:rFonts w:ascii="Arial" w:hAnsi="Arial" w:cs="Arial"/>
        </w:rPr>
        <w:t>unchanged over the last 3 months due to high number of vacancies and in response to safer staffing requirements.</w:t>
      </w:r>
      <w:r w:rsidR="00CE788C" w:rsidRPr="00CE788C">
        <w:rPr>
          <w:rFonts w:ascii="Arial" w:hAnsi="Arial" w:cs="Arial"/>
        </w:rPr>
        <w:t xml:space="preserve">  </w:t>
      </w:r>
      <w:r w:rsidR="00A86E46" w:rsidRPr="00CE788C">
        <w:rPr>
          <w:rFonts w:ascii="Arial" w:hAnsi="Arial" w:cs="Arial"/>
        </w:rPr>
        <w:t>Long lines of work have been negotiated where appropriate.</w:t>
      </w:r>
      <w:r w:rsidR="00CE788C" w:rsidRPr="00CE788C">
        <w:rPr>
          <w:rFonts w:ascii="Arial" w:hAnsi="Arial" w:cs="Arial"/>
        </w:rPr>
        <w:t xml:space="preserve">  </w:t>
      </w:r>
      <w:r w:rsidR="00A86E46" w:rsidRPr="00CE788C">
        <w:rPr>
          <w:rFonts w:ascii="Arial" w:hAnsi="Arial" w:cs="Arial"/>
        </w:rPr>
        <w:t xml:space="preserve">The </w:t>
      </w:r>
      <w:r w:rsidR="00CE788C" w:rsidRPr="00CE788C">
        <w:rPr>
          <w:rFonts w:ascii="Arial" w:hAnsi="Arial" w:cs="Arial"/>
        </w:rPr>
        <w:t xml:space="preserve">new agency framework will be live later this </w:t>
      </w:r>
      <w:r w:rsidR="006924EA">
        <w:rPr>
          <w:rFonts w:ascii="Arial" w:hAnsi="Arial" w:cs="Arial"/>
        </w:rPr>
        <w:t>month</w:t>
      </w:r>
      <w:r w:rsidR="00CE788C" w:rsidRPr="00CE788C">
        <w:rPr>
          <w:rFonts w:ascii="Arial" w:hAnsi="Arial" w:cs="Arial"/>
        </w:rPr>
        <w:t xml:space="preserve"> with 16 agencies identified to support MH staffing.</w:t>
      </w:r>
    </w:p>
    <w:p w:rsidR="00CE788C" w:rsidRPr="00CE788C" w:rsidRDefault="00CE788C" w:rsidP="00A86E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Bank (2.3%) low availability of NHSP workers outside of Oxford</w:t>
      </w:r>
      <w:r w:rsidR="00A70520">
        <w:rPr>
          <w:rFonts w:ascii="Arial" w:hAnsi="Arial" w:cs="Arial"/>
        </w:rPr>
        <w:t xml:space="preserve"> area this should improve when the new agency framework goes live.</w:t>
      </w:r>
      <w:r>
        <w:rPr>
          <w:rFonts w:ascii="Arial" w:hAnsi="Arial" w:cs="Arial"/>
        </w:rPr>
        <w:t xml:space="preserve">  </w:t>
      </w:r>
    </w:p>
    <w:p w:rsidR="00A86E46" w:rsidRDefault="00A86E46" w:rsidP="00A86E46">
      <w:pPr>
        <w:jc w:val="both"/>
        <w:rPr>
          <w:rFonts w:ascii="Arial" w:hAnsi="Arial" w:cs="Arial"/>
        </w:rPr>
      </w:pPr>
    </w:p>
    <w:p w:rsidR="00A668F1" w:rsidRDefault="00A668F1" w:rsidP="00A66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Vacancies: </w:t>
      </w:r>
      <w:r w:rsidR="000377BF">
        <w:rPr>
          <w:rFonts w:ascii="Arial" w:hAnsi="Arial" w:cs="Arial"/>
          <w:b/>
        </w:rPr>
        <w:t>12.60</w:t>
      </w:r>
      <w:r>
        <w:rPr>
          <w:rFonts w:ascii="Arial" w:hAnsi="Arial" w:cs="Arial"/>
          <w:b/>
        </w:rPr>
        <w:t>% v 9% limit</w:t>
      </w:r>
    </w:p>
    <w:p w:rsidR="00A668F1" w:rsidRDefault="00A668F1" w:rsidP="00A668F1">
      <w:pPr>
        <w:jc w:val="both"/>
        <w:rPr>
          <w:rFonts w:ascii="Arial" w:hAnsi="Arial" w:cs="Arial"/>
          <w:b/>
        </w:rPr>
      </w:pPr>
    </w:p>
    <w:p w:rsidR="00A668F1" w:rsidRDefault="00FD1D47" w:rsidP="00721F35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721F35">
        <w:rPr>
          <w:rFonts w:ascii="Arial" w:hAnsi="Arial" w:cs="Arial"/>
        </w:rPr>
        <w:t xml:space="preserve">The number of vacancies has </w:t>
      </w:r>
      <w:r w:rsidR="004D2FC0">
        <w:rPr>
          <w:rFonts w:ascii="Arial" w:hAnsi="Arial" w:cs="Arial"/>
        </w:rPr>
        <w:t xml:space="preserve">increased </w:t>
      </w:r>
      <w:r w:rsidR="00C0090E">
        <w:rPr>
          <w:rFonts w:ascii="Arial" w:hAnsi="Arial" w:cs="Arial"/>
        </w:rPr>
        <w:t xml:space="preserve">from 11% in August to </w:t>
      </w:r>
      <w:r w:rsidR="004D2FC0">
        <w:rPr>
          <w:rFonts w:ascii="Arial" w:hAnsi="Arial" w:cs="Arial"/>
        </w:rPr>
        <w:t>12.60%</w:t>
      </w:r>
      <w:r w:rsidR="00C0090E">
        <w:rPr>
          <w:rFonts w:ascii="Arial" w:hAnsi="Arial" w:cs="Arial"/>
        </w:rPr>
        <w:t xml:space="preserve"> in September.</w:t>
      </w:r>
    </w:p>
    <w:p w:rsidR="00C0090E" w:rsidRDefault="00C0090E" w:rsidP="00721F35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advert for nurses for Kingfisher and Kestral Wards (Thames House) will appear in the RCN Bulletin on the 28</w:t>
      </w:r>
      <w:r w:rsidRPr="00C009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October.</w:t>
      </w:r>
    </w:p>
    <w:p w:rsidR="0040165E" w:rsidRDefault="0050558D" w:rsidP="00C0090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DA4573">
        <w:rPr>
          <w:rFonts w:ascii="Arial" w:hAnsi="Arial" w:cs="Arial"/>
        </w:rPr>
        <w:t>O</w:t>
      </w:r>
      <w:r w:rsidR="00C0090E" w:rsidRPr="00C0090E">
        <w:rPr>
          <w:rFonts w:ascii="Arial" w:hAnsi="Arial" w:cs="Arial"/>
        </w:rPr>
        <w:t>pen day is planned for November to</w:t>
      </w:r>
      <w:r w:rsidR="00C0090E">
        <w:rPr>
          <w:rFonts w:ascii="Arial" w:hAnsi="Arial" w:cs="Arial"/>
        </w:rPr>
        <w:t xml:space="preserve"> invite potential candidates to </w:t>
      </w:r>
      <w:r w:rsidR="0040165E">
        <w:rPr>
          <w:rFonts w:ascii="Arial" w:hAnsi="Arial" w:cs="Arial"/>
        </w:rPr>
        <w:t>experience the environment.</w:t>
      </w:r>
    </w:p>
    <w:p w:rsidR="00C0090E" w:rsidRPr="00C0090E" w:rsidRDefault="0040165E" w:rsidP="00C0090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Adult Inpatient wards are now interviewing every second Wednesday to ensure that candidates are interviewed within 21 days of applying on-line.</w:t>
      </w:r>
      <w:r w:rsidR="00C0090E" w:rsidRPr="00C0090E">
        <w:rPr>
          <w:rFonts w:ascii="Arial" w:hAnsi="Arial" w:cs="Arial"/>
        </w:rPr>
        <w:t xml:space="preserve"> </w:t>
      </w:r>
    </w:p>
    <w:p w:rsidR="00721F35" w:rsidRDefault="00721F35" w:rsidP="00721F35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40165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40165E">
        <w:rPr>
          <w:rFonts w:ascii="Arial" w:hAnsi="Arial" w:cs="Arial"/>
        </w:rPr>
        <w:t xml:space="preserve">231 </w:t>
      </w:r>
      <w:r>
        <w:rPr>
          <w:rFonts w:ascii="Arial" w:hAnsi="Arial" w:cs="Arial"/>
        </w:rPr>
        <w:t xml:space="preserve">vacancies, </w:t>
      </w:r>
      <w:r w:rsidR="0040165E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live vacancies, </w:t>
      </w:r>
      <w:r w:rsidR="0040165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at shortlisting, </w:t>
      </w:r>
      <w:r w:rsidR="0040165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at interview and </w:t>
      </w:r>
      <w:r w:rsidR="0040165E">
        <w:rPr>
          <w:rFonts w:ascii="Arial" w:hAnsi="Arial" w:cs="Arial"/>
        </w:rPr>
        <w:t>103</w:t>
      </w:r>
      <w:r w:rsidR="0050558D">
        <w:rPr>
          <w:rFonts w:ascii="Arial" w:hAnsi="Arial" w:cs="Arial"/>
        </w:rPr>
        <w:t xml:space="preserve"> offer accepted </w:t>
      </w:r>
      <w:r>
        <w:rPr>
          <w:rFonts w:ascii="Arial" w:hAnsi="Arial" w:cs="Arial"/>
        </w:rPr>
        <w:t xml:space="preserve">of which </w:t>
      </w:r>
      <w:r w:rsidR="0040165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are cleared to start and 1</w:t>
      </w:r>
      <w:r w:rsidR="004016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have start dates.</w:t>
      </w:r>
    </w:p>
    <w:p w:rsidR="00721F35" w:rsidRDefault="00721F35" w:rsidP="00A668F1">
      <w:pPr>
        <w:jc w:val="both"/>
        <w:rPr>
          <w:rFonts w:ascii="Arial" w:hAnsi="Arial" w:cs="Arial"/>
        </w:rPr>
      </w:pPr>
    </w:p>
    <w:p w:rsidR="00A668F1" w:rsidRDefault="00A668F1" w:rsidP="00A668F1">
      <w:pPr>
        <w:jc w:val="both"/>
        <w:rPr>
          <w:rFonts w:ascii="Arial" w:hAnsi="Arial" w:cs="Arial"/>
        </w:rPr>
      </w:pPr>
    </w:p>
    <w:p w:rsidR="00DD4D8E" w:rsidRDefault="00DD4D8E" w:rsidP="00A668F1">
      <w:pPr>
        <w:jc w:val="both"/>
        <w:rPr>
          <w:rFonts w:ascii="Arial" w:hAnsi="Arial" w:cs="Arial"/>
        </w:rPr>
      </w:pPr>
    </w:p>
    <w:p w:rsidR="004914E8" w:rsidRPr="00E31E68" w:rsidRDefault="00EB5729" w:rsidP="00B331E7">
      <w:pPr>
        <w:jc w:val="both"/>
        <w:rPr>
          <w:rFonts w:ascii="Arial" w:hAnsi="Arial" w:cs="Arial"/>
          <w:b/>
        </w:rPr>
      </w:pPr>
      <w:r w:rsidRPr="00E31E68">
        <w:rPr>
          <w:rFonts w:ascii="Arial" w:hAnsi="Arial" w:cs="Arial"/>
          <w:b/>
        </w:rPr>
        <w:t>Corporate</w:t>
      </w:r>
    </w:p>
    <w:p w:rsidR="00EB5729" w:rsidRPr="00385C51" w:rsidRDefault="00EB5729" w:rsidP="00B331E7">
      <w:pPr>
        <w:jc w:val="both"/>
        <w:rPr>
          <w:rFonts w:ascii="Arial" w:hAnsi="Arial" w:cs="Arial"/>
          <w:b/>
          <w:color w:val="FF0000"/>
        </w:rPr>
      </w:pPr>
    </w:p>
    <w:p w:rsidR="00CB3338" w:rsidRDefault="00CB3338" w:rsidP="00CB3338">
      <w:pPr>
        <w:jc w:val="both"/>
        <w:rPr>
          <w:rFonts w:ascii="Arial" w:hAnsi="Arial" w:cs="Arial"/>
          <w:b/>
        </w:rPr>
      </w:pPr>
      <w:r w:rsidRPr="00A47197">
        <w:rPr>
          <w:rFonts w:ascii="Arial" w:hAnsi="Arial" w:cs="Arial"/>
          <w:b/>
        </w:rPr>
        <w:t xml:space="preserve">Turnover: </w:t>
      </w:r>
      <w:r w:rsidR="00A47197">
        <w:rPr>
          <w:rFonts w:ascii="Arial" w:hAnsi="Arial" w:cs="Arial"/>
          <w:b/>
        </w:rPr>
        <w:t>12.23</w:t>
      </w:r>
      <w:r w:rsidRPr="00A47197">
        <w:rPr>
          <w:rFonts w:ascii="Arial" w:hAnsi="Arial" w:cs="Arial"/>
          <w:b/>
        </w:rPr>
        <w:t>% v 12.0% Trust Target</w:t>
      </w:r>
    </w:p>
    <w:p w:rsidR="00097A6D" w:rsidRDefault="00097A6D" w:rsidP="00CB3338">
      <w:pPr>
        <w:jc w:val="both"/>
        <w:rPr>
          <w:rFonts w:ascii="Arial" w:hAnsi="Arial" w:cs="Arial"/>
          <w:b/>
        </w:rPr>
      </w:pPr>
    </w:p>
    <w:p w:rsidR="00097A6D" w:rsidRPr="00097A6D" w:rsidRDefault="00097A6D" w:rsidP="00097A6D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Turnover has reduced month on month for the last three months</w:t>
      </w:r>
      <w:r w:rsidR="004F343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reduc</w:t>
      </w:r>
      <w:r w:rsidR="004F343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by a further 2.29% this month.</w:t>
      </w:r>
    </w:p>
    <w:p w:rsidR="00CB3338" w:rsidRPr="00097A6D" w:rsidRDefault="00097A6D" w:rsidP="00CB3338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097A6D">
        <w:rPr>
          <w:rFonts w:ascii="Arial" w:hAnsi="Arial" w:cs="Arial"/>
        </w:rPr>
        <w:t xml:space="preserve">Estates &amp; Facilities, Ops and the Office of the CEO have </w:t>
      </w:r>
      <w:r w:rsidR="004F343B">
        <w:rPr>
          <w:rFonts w:ascii="Arial" w:hAnsi="Arial" w:cs="Arial"/>
        </w:rPr>
        <w:t xml:space="preserve">the </w:t>
      </w:r>
      <w:r w:rsidRPr="00097A6D">
        <w:rPr>
          <w:rFonts w:ascii="Arial" w:hAnsi="Arial" w:cs="Arial"/>
        </w:rPr>
        <w:t>high</w:t>
      </w:r>
      <w:r w:rsidR="004F343B">
        <w:rPr>
          <w:rFonts w:ascii="Arial" w:hAnsi="Arial" w:cs="Arial"/>
        </w:rPr>
        <w:t>est</w:t>
      </w:r>
      <w:r w:rsidRPr="00097A6D">
        <w:rPr>
          <w:rFonts w:ascii="Arial" w:hAnsi="Arial" w:cs="Arial"/>
        </w:rPr>
        <w:t xml:space="preserve"> turnover which will be analysed over the coming months to identify where improvements can be made.  However the </w:t>
      </w:r>
      <w:r w:rsidR="00CB3338" w:rsidRPr="00097A6D">
        <w:rPr>
          <w:rFonts w:ascii="Arial" w:hAnsi="Arial" w:cs="Arial"/>
        </w:rPr>
        <w:t xml:space="preserve">OPS and the CEO Office </w:t>
      </w:r>
      <w:r>
        <w:rPr>
          <w:rFonts w:ascii="Arial" w:hAnsi="Arial" w:cs="Arial"/>
        </w:rPr>
        <w:t>have</w:t>
      </w:r>
      <w:r w:rsidR="00CB3338" w:rsidRPr="00097A6D">
        <w:rPr>
          <w:rFonts w:ascii="Arial" w:hAnsi="Arial" w:cs="Arial"/>
        </w:rPr>
        <w:t xml:space="preserve"> relatively small teams. </w:t>
      </w:r>
    </w:p>
    <w:p w:rsidR="004914E8" w:rsidRPr="00097A6D" w:rsidRDefault="004914E8" w:rsidP="00B331E7">
      <w:pPr>
        <w:jc w:val="both"/>
        <w:rPr>
          <w:rFonts w:ascii="Arial" w:hAnsi="Arial" w:cs="Arial"/>
        </w:rPr>
      </w:pPr>
    </w:p>
    <w:p w:rsidR="00F42B50" w:rsidRDefault="00F42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3715" w:rsidRDefault="00FF3715" w:rsidP="00FF3715">
      <w:pPr>
        <w:jc w:val="both"/>
        <w:rPr>
          <w:rFonts w:ascii="Arial" w:hAnsi="Arial" w:cs="Arial"/>
          <w:b/>
        </w:rPr>
      </w:pPr>
      <w:r w:rsidRPr="00A47197">
        <w:rPr>
          <w:rFonts w:ascii="Arial" w:hAnsi="Arial" w:cs="Arial"/>
          <w:b/>
        </w:rPr>
        <w:lastRenderedPageBreak/>
        <w:t>Sickness: 3.</w:t>
      </w:r>
      <w:r w:rsidR="00A47197">
        <w:rPr>
          <w:rFonts w:ascii="Arial" w:hAnsi="Arial" w:cs="Arial"/>
          <w:b/>
        </w:rPr>
        <w:t>46</w:t>
      </w:r>
      <w:r w:rsidRPr="00A47197">
        <w:rPr>
          <w:rFonts w:ascii="Arial" w:hAnsi="Arial" w:cs="Arial"/>
          <w:b/>
        </w:rPr>
        <w:t>% v 3.5% Trust Target</w:t>
      </w:r>
    </w:p>
    <w:p w:rsidR="00FB3455" w:rsidRDefault="00FB3455" w:rsidP="00FF3715">
      <w:pPr>
        <w:jc w:val="both"/>
        <w:rPr>
          <w:rFonts w:ascii="Arial" w:hAnsi="Arial" w:cs="Arial"/>
          <w:b/>
        </w:rPr>
      </w:pPr>
    </w:p>
    <w:p w:rsidR="00FB3455" w:rsidRPr="00FB3455" w:rsidRDefault="00FB3455" w:rsidP="00FB345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Sickness absence has increase this month by 0.18%.  However, </w:t>
      </w:r>
      <w:r w:rsidR="00F42B5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ong term absence is currently 1.98% a decrease from last month which was 2.01%.  This equates to 842 WTE days lost </w:t>
      </w:r>
      <w:r w:rsidR="004F343B">
        <w:rPr>
          <w:rFonts w:ascii="Arial" w:hAnsi="Arial" w:cs="Arial"/>
        </w:rPr>
        <w:t>(</w:t>
      </w:r>
      <w:r>
        <w:rPr>
          <w:rFonts w:ascii="Arial" w:hAnsi="Arial" w:cs="Arial"/>
        </w:rPr>
        <w:t>last month 817).</w:t>
      </w:r>
    </w:p>
    <w:p w:rsidR="00FB3455" w:rsidRPr="00FB3455" w:rsidRDefault="00FB3455" w:rsidP="00FB345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overall trend is improving however key areas requiring </w:t>
      </w:r>
      <w:r w:rsidR="00E91D4F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improvement have been identified and are being worked through currently. </w:t>
      </w:r>
    </w:p>
    <w:p w:rsidR="00FB3455" w:rsidRPr="00FB3455" w:rsidRDefault="00FB3455" w:rsidP="00FB345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Sickness absence is being managed in line with current Trust policy, developing and coaching managers to ensure they are confident in the management of absence and transparent team level dashboards</w:t>
      </w:r>
      <w:r w:rsidR="009E58D9">
        <w:rPr>
          <w:rFonts w:ascii="Arial" w:hAnsi="Arial" w:cs="Arial"/>
        </w:rPr>
        <w:t xml:space="preserve"> enablin</w:t>
      </w:r>
      <w:r w:rsidR="004F343B">
        <w:rPr>
          <w:rFonts w:ascii="Arial" w:hAnsi="Arial" w:cs="Arial"/>
        </w:rPr>
        <w:t>g focused planning to support</w:t>
      </w:r>
      <w:r w:rsidR="009E58D9">
        <w:rPr>
          <w:rFonts w:ascii="Arial" w:hAnsi="Arial" w:cs="Arial"/>
        </w:rPr>
        <w:t xml:space="preserve"> teams or departments of concern.</w:t>
      </w:r>
    </w:p>
    <w:p w:rsidR="00FB3455" w:rsidRDefault="00FB3455" w:rsidP="00FF3715">
      <w:pPr>
        <w:jc w:val="both"/>
        <w:rPr>
          <w:rFonts w:ascii="Arial" w:hAnsi="Arial" w:cs="Arial"/>
          <w:b/>
        </w:rPr>
      </w:pPr>
    </w:p>
    <w:p w:rsidR="00B93F94" w:rsidRDefault="00B93F94" w:rsidP="00B93F94">
      <w:pPr>
        <w:jc w:val="both"/>
        <w:rPr>
          <w:rFonts w:ascii="Arial" w:hAnsi="Arial" w:cs="Arial"/>
          <w:b/>
        </w:rPr>
      </w:pPr>
      <w:r w:rsidRPr="00A47197">
        <w:rPr>
          <w:rFonts w:ascii="Arial" w:hAnsi="Arial" w:cs="Arial"/>
          <w:b/>
        </w:rPr>
        <w:t xml:space="preserve">Bank and Agency: </w:t>
      </w:r>
      <w:r w:rsidR="00A47197">
        <w:rPr>
          <w:rFonts w:ascii="Arial" w:hAnsi="Arial" w:cs="Arial"/>
          <w:b/>
        </w:rPr>
        <w:t>7.30</w:t>
      </w:r>
      <w:r w:rsidRPr="00A47197">
        <w:rPr>
          <w:rFonts w:ascii="Arial" w:hAnsi="Arial" w:cs="Arial"/>
          <w:b/>
        </w:rPr>
        <w:t>% v 5.0% Trust Target</w:t>
      </w:r>
    </w:p>
    <w:p w:rsidR="003A3E6D" w:rsidRDefault="003A3E6D" w:rsidP="00B93F94">
      <w:pPr>
        <w:jc w:val="both"/>
        <w:rPr>
          <w:rFonts w:ascii="Arial" w:hAnsi="Arial" w:cs="Arial"/>
          <w:b/>
        </w:rPr>
      </w:pPr>
    </w:p>
    <w:p w:rsidR="00872F29" w:rsidRPr="00872F29" w:rsidRDefault="00A07532" w:rsidP="00872F2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There has been a 0.50% </w:t>
      </w:r>
      <w:r w:rsidR="00872F29">
        <w:rPr>
          <w:rFonts w:ascii="Arial" w:hAnsi="Arial" w:cs="Arial"/>
        </w:rPr>
        <w:t xml:space="preserve">increase in bank and agency spend </w:t>
      </w:r>
      <w:r>
        <w:rPr>
          <w:rFonts w:ascii="Arial" w:hAnsi="Arial" w:cs="Arial"/>
        </w:rPr>
        <w:t xml:space="preserve">from 6.80% in August to 7.30% in September.  </w:t>
      </w:r>
      <w:r w:rsidR="00872F29">
        <w:rPr>
          <w:rFonts w:ascii="Arial" w:hAnsi="Arial" w:cs="Arial"/>
        </w:rPr>
        <w:t>Key areas with high bank and agency usage have seen a decrease this month overall, however HR &amp; Occupational Health are experiencing a spike in temporary staff usage relating to extended sick leave and the flu vaccination programme.</w:t>
      </w:r>
    </w:p>
    <w:p w:rsidR="00872F29" w:rsidRPr="00872F29" w:rsidRDefault="00872F29" w:rsidP="00872F2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High levels of scrutiny remain essential in this area.</w:t>
      </w:r>
    </w:p>
    <w:p w:rsidR="000F44A0" w:rsidRPr="00385C51" w:rsidRDefault="000F44A0" w:rsidP="00B4697F">
      <w:pPr>
        <w:jc w:val="both"/>
        <w:rPr>
          <w:rFonts w:ascii="Arial" w:hAnsi="Arial" w:cs="Arial"/>
          <w:b/>
          <w:color w:val="FF0000"/>
        </w:rPr>
      </w:pPr>
    </w:p>
    <w:p w:rsidR="00B4697F" w:rsidRPr="00A47197" w:rsidRDefault="00A47197" w:rsidP="00B469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Vacancies: 19.00</w:t>
      </w:r>
      <w:r w:rsidR="00B4697F" w:rsidRPr="00A47197">
        <w:rPr>
          <w:rFonts w:ascii="Arial" w:hAnsi="Arial" w:cs="Arial"/>
          <w:b/>
        </w:rPr>
        <w:t>% v 9% limit</w:t>
      </w:r>
    </w:p>
    <w:p w:rsidR="00B4697F" w:rsidRPr="00385C51" w:rsidRDefault="00B4697F" w:rsidP="00B93F94">
      <w:pPr>
        <w:jc w:val="both"/>
        <w:rPr>
          <w:rFonts w:ascii="Arial" w:hAnsi="Arial" w:cs="Arial"/>
          <w:color w:val="FF0000"/>
        </w:rPr>
      </w:pPr>
    </w:p>
    <w:p w:rsidR="00FD2B51" w:rsidRPr="00103F06" w:rsidRDefault="00FD2B51" w:rsidP="00FD2B51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103F06">
        <w:rPr>
          <w:rFonts w:ascii="Arial" w:hAnsi="Arial" w:cs="Arial"/>
        </w:rPr>
        <w:t xml:space="preserve">There are currently </w:t>
      </w:r>
      <w:r w:rsidR="00103F06" w:rsidRPr="00103F06">
        <w:rPr>
          <w:rFonts w:ascii="Arial" w:hAnsi="Arial" w:cs="Arial"/>
        </w:rPr>
        <w:t>76</w:t>
      </w:r>
      <w:r w:rsidRPr="00103F06">
        <w:rPr>
          <w:rFonts w:ascii="Arial" w:hAnsi="Arial" w:cs="Arial"/>
        </w:rPr>
        <w:t xml:space="preserve"> vacancies, </w:t>
      </w:r>
      <w:r w:rsidR="00103F06" w:rsidRPr="00103F06">
        <w:rPr>
          <w:rFonts w:ascii="Arial" w:hAnsi="Arial" w:cs="Arial"/>
        </w:rPr>
        <w:t>38 offers have been accepted, 14</w:t>
      </w:r>
      <w:r w:rsidRPr="00103F06">
        <w:rPr>
          <w:rFonts w:ascii="Arial" w:hAnsi="Arial" w:cs="Arial"/>
        </w:rPr>
        <w:t xml:space="preserve"> candidates cleared to start, and </w:t>
      </w:r>
      <w:r w:rsidR="00103F06" w:rsidRPr="00103F06">
        <w:rPr>
          <w:rFonts w:ascii="Arial" w:hAnsi="Arial" w:cs="Arial"/>
        </w:rPr>
        <w:t>13</w:t>
      </w:r>
      <w:r w:rsidRPr="00103F06">
        <w:rPr>
          <w:rFonts w:ascii="Arial" w:hAnsi="Arial" w:cs="Arial"/>
        </w:rPr>
        <w:t xml:space="preserve"> start dates confirmed.</w:t>
      </w:r>
    </w:p>
    <w:p w:rsidR="00FD2B51" w:rsidRPr="00103F06" w:rsidRDefault="00FD2B51" w:rsidP="00FD2B51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103F06">
        <w:rPr>
          <w:rFonts w:ascii="Arial" w:hAnsi="Arial" w:cs="Arial"/>
        </w:rPr>
        <w:t>Resourcing is working closely with managers regarding difficult</w:t>
      </w:r>
      <w:r w:rsidR="00A07532">
        <w:rPr>
          <w:rFonts w:ascii="Arial" w:hAnsi="Arial" w:cs="Arial"/>
        </w:rPr>
        <w:t xml:space="preserve"> to </w:t>
      </w:r>
      <w:r w:rsidRPr="00103F06">
        <w:rPr>
          <w:rFonts w:ascii="Arial" w:hAnsi="Arial" w:cs="Arial"/>
        </w:rPr>
        <w:t>fill posts.</w:t>
      </w:r>
    </w:p>
    <w:p w:rsidR="009D422B" w:rsidRDefault="009D422B" w:rsidP="00B331E7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B331E7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the report for information.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Pr="00B331E7" w:rsidRDefault="002619EF" w:rsidP="008B26CD">
      <w:pPr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4D2E50">
        <w:rPr>
          <w:rFonts w:ascii="Arial" w:hAnsi="Arial" w:cs="Arial"/>
          <w:b/>
        </w:rPr>
        <w:t>Jayne Halford, Deputy Director of HR</w:t>
      </w:r>
      <w:r w:rsidR="008B26CD" w:rsidRPr="008B26CD">
        <w:rPr>
          <w:rFonts w:ascii="Arial" w:hAnsi="Arial" w:cs="Arial"/>
          <w:b/>
        </w:rPr>
        <w:t xml:space="preserve"> </w:t>
      </w:r>
    </w:p>
    <w:p w:rsidR="008B26CD" w:rsidRDefault="008B26CD" w:rsidP="00B331E7">
      <w:pPr>
        <w:ind w:left="1440" w:hanging="1440"/>
        <w:jc w:val="both"/>
        <w:rPr>
          <w:rFonts w:ascii="Arial" w:hAnsi="Arial" w:cs="Arial"/>
          <w:b/>
        </w:rPr>
      </w:pPr>
    </w:p>
    <w:p w:rsidR="00B331E7" w:rsidRPr="00B331E7" w:rsidRDefault="0073522A" w:rsidP="008B26CD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E5759">
        <w:rPr>
          <w:rFonts w:ascii="Arial" w:hAnsi="Arial" w:cs="Arial"/>
          <w:b/>
        </w:rPr>
        <w:t xml:space="preserve">Mike </w:t>
      </w:r>
      <w:r w:rsidR="008B26CD">
        <w:rPr>
          <w:rFonts w:ascii="Arial" w:hAnsi="Arial" w:cs="Arial"/>
          <w:b/>
        </w:rPr>
        <w:t xml:space="preserve">McEnaney, Director of Finance </w:t>
      </w:r>
    </w:p>
    <w:p w:rsidR="0073522A" w:rsidRDefault="0073522A" w:rsidP="0073522A">
      <w:pPr>
        <w:jc w:val="both"/>
        <w:rPr>
          <w:rFonts w:ascii="Arial" w:hAnsi="Arial" w:cs="Arial"/>
          <w:b/>
        </w:rPr>
      </w:pP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2E5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3522A">
        <w:rPr>
          <w:rFonts w:ascii="Arial" w:hAnsi="Arial" w:cs="Arial"/>
        </w:rPr>
        <w:t>Drafting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</w:t>
      </w:r>
      <w:r>
        <w:rPr>
          <w:rFonts w:ascii="Arial" w:hAnsi="Arial" w:cs="Arial"/>
        </w:rPr>
        <w:t>ust be attached to every report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2E5759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Pr="0073522A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F0562" w:rsidRPr="00F42B50" w:rsidRDefault="004F4BBA" w:rsidP="00F42B5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This paper provides assurance and evidence against the</w:t>
      </w:r>
      <w:r w:rsidR="00946E6E">
        <w:rPr>
          <w:rFonts w:ascii="Arial" w:hAnsi="Arial" w:cs="Arial"/>
          <w:i/>
          <w:sz w:val="20"/>
          <w:szCs w:val="20"/>
        </w:rPr>
        <w:t xml:space="preserve"> Care Quality Commission Outcome: </w:t>
      </w:r>
      <w:r w:rsidRPr="0073522A">
        <w:rPr>
          <w:rFonts w:ascii="Arial" w:hAnsi="Arial" w:cs="Arial"/>
          <w:i/>
          <w:sz w:val="20"/>
          <w:szCs w:val="20"/>
        </w:rPr>
        <w:t xml:space="preserve"> </w:t>
      </w:r>
      <w:r w:rsidR="0073522A" w:rsidRPr="0073522A">
        <w:rPr>
          <w:rFonts w:ascii="Arial" w:hAnsi="Arial" w:cs="Arial"/>
          <w:i/>
          <w:sz w:val="20"/>
          <w:szCs w:val="20"/>
        </w:rPr>
        <w:t xml:space="preserve">[Input </w:t>
      </w:r>
      <w:r w:rsidR="00946E6E">
        <w:rPr>
          <w:rFonts w:ascii="Arial" w:hAnsi="Arial" w:cs="Arial"/>
          <w:i/>
          <w:sz w:val="20"/>
          <w:szCs w:val="20"/>
        </w:rPr>
        <w:t xml:space="preserve">Outcome number – </w:t>
      </w:r>
      <w:r w:rsidR="002E5759">
        <w:rPr>
          <w:rFonts w:ascii="Arial" w:hAnsi="Arial" w:cs="Arial"/>
          <w:i/>
          <w:sz w:val="20"/>
          <w:szCs w:val="20"/>
        </w:rPr>
        <w:t xml:space="preserve"> </w:t>
      </w:r>
      <w:r w:rsidR="009D1E03">
        <w:rPr>
          <w:rFonts w:ascii="Arial" w:hAnsi="Arial" w:cs="Arial"/>
          <w:i/>
          <w:sz w:val="20"/>
          <w:szCs w:val="20"/>
        </w:rPr>
        <w:t>i.e.</w:t>
      </w:r>
      <w:r w:rsidR="002E5759">
        <w:rPr>
          <w:rFonts w:ascii="Arial" w:hAnsi="Arial" w:cs="Arial"/>
          <w:i/>
          <w:sz w:val="20"/>
          <w:szCs w:val="20"/>
        </w:rPr>
        <w:t xml:space="preserve"> 12,13,14</w:t>
      </w:r>
      <w:r w:rsidR="0073522A" w:rsidRPr="0073522A">
        <w:rPr>
          <w:rFonts w:ascii="Arial" w:hAnsi="Arial" w:cs="Arial"/>
          <w:i/>
          <w:sz w:val="20"/>
          <w:szCs w:val="20"/>
        </w:rPr>
        <w:t>]</w:t>
      </w:r>
    </w:p>
    <w:sectPr w:rsidR="00AF0562" w:rsidRPr="00F42B50" w:rsidSect="00932074">
      <w:headerReference w:type="default" r:id="rId10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31" w:rsidRDefault="008E2D31" w:rsidP="005B3E3C">
      <w:r>
        <w:separator/>
      </w:r>
    </w:p>
  </w:endnote>
  <w:endnote w:type="continuationSeparator" w:id="0">
    <w:p w:rsidR="008E2D31" w:rsidRDefault="008E2D31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31" w:rsidRDefault="008E2D31" w:rsidP="005B3E3C">
      <w:r>
        <w:separator/>
      </w:r>
    </w:p>
  </w:footnote>
  <w:footnote w:type="continuationSeparator" w:id="0">
    <w:p w:rsidR="008E2D31" w:rsidRDefault="008E2D31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E1" w:rsidRPr="005B3E3C" w:rsidRDefault="001229E1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C34"/>
    <w:multiLevelType w:val="hybridMultilevel"/>
    <w:tmpl w:val="A006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5C4"/>
    <w:multiLevelType w:val="hybridMultilevel"/>
    <w:tmpl w:val="870C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5104"/>
    <w:multiLevelType w:val="hybridMultilevel"/>
    <w:tmpl w:val="C028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0511"/>
    <w:multiLevelType w:val="hybridMultilevel"/>
    <w:tmpl w:val="1B46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52217"/>
    <w:multiLevelType w:val="hybridMultilevel"/>
    <w:tmpl w:val="00F0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7F9B"/>
    <w:multiLevelType w:val="hybridMultilevel"/>
    <w:tmpl w:val="7F9A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446BF"/>
    <w:multiLevelType w:val="hybridMultilevel"/>
    <w:tmpl w:val="C78E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1C6"/>
    <w:multiLevelType w:val="hybridMultilevel"/>
    <w:tmpl w:val="F714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10391"/>
    <w:multiLevelType w:val="hybridMultilevel"/>
    <w:tmpl w:val="15AA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36F10"/>
    <w:multiLevelType w:val="hybridMultilevel"/>
    <w:tmpl w:val="F6B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0992"/>
    <w:multiLevelType w:val="hybridMultilevel"/>
    <w:tmpl w:val="BAB0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54652"/>
    <w:multiLevelType w:val="hybridMultilevel"/>
    <w:tmpl w:val="E6F8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F3194"/>
    <w:multiLevelType w:val="hybridMultilevel"/>
    <w:tmpl w:val="4F76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1989"/>
    <w:multiLevelType w:val="hybridMultilevel"/>
    <w:tmpl w:val="8A5A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902F9"/>
    <w:multiLevelType w:val="hybridMultilevel"/>
    <w:tmpl w:val="8450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1F96"/>
    <w:multiLevelType w:val="hybridMultilevel"/>
    <w:tmpl w:val="FCE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861EBC"/>
    <w:multiLevelType w:val="hybridMultilevel"/>
    <w:tmpl w:val="8652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4186"/>
    <w:multiLevelType w:val="hybridMultilevel"/>
    <w:tmpl w:val="C180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B98"/>
    <w:multiLevelType w:val="hybridMultilevel"/>
    <w:tmpl w:val="E876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F02E8"/>
    <w:multiLevelType w:val="hybridMultilevel"/>
    <w:tmpl w:val="F420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67082"/>
    <w:multiLevelType w:val="hybridMultilevel"/>
    <w:tmpl w:val="129E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11D8"/>
    <w:multiLevelType w:val="hybridMultilevel"/>
    <w:tmpl w:val="6EB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14C04"/>
    <w:multiLevelType w:val="hybridMultilevel"/>
    <w:tmpl w:val="4034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9"/>
  </w:num>
  <w:num w:numId="11">
    <w:abstractNumId w:val="25"/>
  </w:num>
  <w:num w:numId="12">
    <w:abstractNumId w:val="9"/>
  </w:num>
  <w:num w:numId="13">
    <w:abstractNumId w:val="2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6"/>
  </w:num>
  <w:num w:numId="22">
    <w:abstractNumId w:val="14"/>
  </w:num>
  <w:num w:numId="23">
    <w:abstractNumId w:val="1"/>
  </w:num>
  <w:num w:numId="24">
    <w:abstractNumId w:val="12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06D25"/>
    <w:rsid w:val="00011B2F"/>
    <w:rsid w:val="00035700"/>
    <w:rsid w:val="000377BF"/>
    <w:rsid w:val="000470CE"/>
    <w:rsid w:val="00051D07"/>
    <w:rsid w:val="000567EA"/>
    <w:rsid w:val="00061DBD"/>
    <w:rsid w:val="000635ED"/>
    <w:rsid w:val="00067161"/>
    <w:rsid w:val="000765EF"/>
    <w:rsid w:val="0007701B"/>
    <w:rsid w:val="00084D27"/>
    <w:rsid w:val="00096400"/>
    <w:rsid w:val="00097A6D"/>
    <w:rsid w:val="000B29CD"/>
    <w:rsid w:val="000C3150"/>
    <w:rsid w:val="000C4C44"/>
    <w:rsid w:val="000C4E5C"/>
    <w:rsid w:val="000C6F7E"/>
    <w:rsid w:val="000D1C15"/>
    <w:rsid w:val="000E41D8"/>
    <w:rsid w:val="000F44A0"/>
    <w:rsid w:val="00100C4E"/>
    <w:rsid w:val="00103F06"/>
    <w:rsid w:val="001053E5"/>
    <w:rsid w:val="001229E1"/>
    <w:rsid w:val="00125B2D"/>
    <w:rsid w:val="0012619C"/>
    <w:rsid w:val="00131863"/>
    <w:rsid w:val="00141B27"/>
    <w:rsid w:val="001534A2"/>
    <w:rsid w:val="001561E0"/>
    <w:rsid w:val="00161D79"/>
    <w:rsid w:val="00177FF2"/>
    <w:rsid w:val="00194BAE"/>
    <w:rsid w:val="001A0E8A"/>
    <w:rsid w:val="001B0916"/>
    <w:rsid w:val="001C258B"/>
    <w:rsid w:val="001C3A43"/>
    <w:rsid w:val="001D56ED"/>
    <w:rsid w:val="001D67D0"/>
    <w:rsid w:val="001E6B48"/>
    <w:rsid w:val="001E7C7C"/>
    <w:rsid w:val="001F2110"/>
    <w:rsid w:val="001F2B88"/>
    <w:rsid w:val="001F6771"/>
    <w:rsid w:val="001F6E22"/>
    <w:rsid w:val="001F76ED"/>
    <w:rsid w:val="0021188E"/>
    <w:rsid w:val="00211D53"/>
    <w:rsid w:val="00220FB7"/>
    <w:rsid w:val="00227FCE"/>
    <w:rsid w:val="00251032"/>
    <w:rsid w:val="0025677D"/>
    <w:rsid w:val="002619EF"/>
    <w:rsid w:val="00262FEA"/>
    <w:rsid w:val="002658B3"/>
    <w:rsid w:val="00276223"/>
    <w:rsid w:val="002821F8"/>
    <w:rsid w:val="002829E4"/>
    <w:rsid w:val="0028722E"/>
    <w:rsid w:val="00292613"/>
    <w:rsid w:val="002A73E8"/>
    <w:rsid w:val="002C2F97"/>
    <w:rsid w:val="002C57BC"/>
    <w:rsid w:val="002D1625"/>
    <w:rsid w:val="002E5759"/>
    <w:rsid w:val="002E6FC6"/>
    <w:rsid w:val="002F106A"/>
    <w:rsid w:val="002F45B8"/>
    <w:rsid w:val="002F63B7"/>
    <w:rsid w:val="002F7605"/>
    <w:rsid w:val="0030457D"/>
    <w:rsid w:val="00312738"/>
    <w:rsid w:val="00335F42"/>
    <w:rsid w:val="00336333"/>
    <w:rsid w:val="00342A2C"/>
    <w:rsid w:val="00370CF1"/>
    <w:rsid w:val="003849EE"/>
    <w:rsid w:val="00385C51"/>
    <w:rsid w:val="0039207A"/>
    <w:rsid w:val="00393BB0"/>
    <w:rsid w:val="003971F6"/>
    <w:rsid w:val="003A3E6D"/>
    <w:rsid w:val="003A7234"/>
    <w:rsid w:val="003C0664"/>
    <w:rsid w:val="003C1994"/>
    <w:rsid w:val="003C3D31"/>
    <w:rsid w:val="003C58FF"/>
    <w:rsid w:val="003D5359"/>
    <w:rsid w:val="003D6E80"/>
    <w:rsid w:val="003E0976"/>
    <w:rsid w:val="003E500E"/>
    <w:rsid w:val="003F43B2"/>
    <w:rsid w:val="00400EBF"/>
    <w:rsid w:val="0040165E"/>
    <w:rsid w:val="00404357"/>
    <w:rsid w:val="00407DEC"/>
    <w:rsid w:val="00413D03"/>
    <w:rsid w:val="004162CE"/>
    <w:rsid w:val="00427630"/>
    <w:rsid w:val="0043055C"/>
    <w:rsid w:val="0043226F"/>
    <w:rsid w:val="004326BB"/>
    <w:rsid w:val="00434F3D"/>
    <w:rsid w:val="00453A2E"/>
    <w:rsid w:val="004637A5"/>
    <w:rsid w:val="004644FB"/>
    <w:rsid w:val="004777B6"/>
    <w:rsid w:val="004830CE"/>
    <w:rsid w:val="004914E8"/>
    <w:rsid w:val="00496106"/>
    <w:rsid w:val="00496438"/>
    <w:rsid w:val="004A250F"/>
    <w:rsid w:val="004A52E0"/>
    <w:rsid w:val="004B6B25"/>
    <w:rsid w:val="004D05D6"/>
    <w:rsid w:val="004D2E50"/>
    <w:rsid w:val="004D2FC0"/>
    <w:rsid w:val="004E2346"/>
    <w:rsid w:val="004F343B"/>
    <w:rsid w:val="004F4BBA"/>
    <w:rsid w:val="0050558D"/>
    <w:rsid w:val="00512430"/>
    <w:rsid w:val="00512E40"/>
    <w:rsid w:val="005233AA"/>
    <w:rsid w:val="00526979"/>
    <w:rsid w:val="0053080F"/>
    <w:rsid w:val="00545906"/>
    <w:rsid w:val="00551B0F"/>
    <w:rsid w:val="00555838"/>
    <w:rsid w:val="0056011D"/>
    <w:rsid w:val="005614A5"/>
    <w:rsid w:val="005659FB"/>
    <w:rsid w:val="00566B32"/>
    <w:rsid w:val="00575E21"/>
    <w:rsid w:val="00577D47"/>
    <w:rsid w:val="00591856"/>
    <w:rsid w:val="00593FDC"/>
    <w:rsid w:val="00596A9D"/>
    <w:rsid w:val="0059744C"/>
    <w:rsid w:val="005A326D"/>
    <w:rsid w:val="005A6513"/>
    <w:rsid w:val="005B217E"/>
    <w:rsid w:val="005B3E0C"/>
    <w:rsid w:val="005B3E3C"/>
    <w:rsid w:val="005C3FC1"/>
    <w:rsid w:val="005C60FD"/>
    <w:rsid w:val="005D3499"/>
    <w:rsid w:val="005D4539"/>
    <w:rsid w:val="005E0A45"/>
    <w:rsid w:val="005E2583"/>
    <w:rsid w:val="005F0ECF"/>
    <w:rsid w:val="005F31DC"/>
    <w:rsid w:val="005F6796"/>
    <w:rsid w:val="006145F0"/>
    <w:rsid w:val="0061684E"/>
    <w:rsid w:val="0061738D"/>
    <w:rsid w:val="00631677"/>
    <w:rsid w:val="0063394E"/>
    <w:rsid w:val="00662694"/>
    <w:rsid w:val="00665134"/>
    <w:rsid w:val="00681A29"/>
    <w:rsid w:val="00681E74"/>
    <w:rsid w:val="00685146"/>
    <w:rsid w:val="006924EA"/>
    <w:rsid w:val="006B56F7"/>
    <w:rsid w:val="006B5764"/>
    <w:rsid w:val="006B77C1"/>
    <w:rsid w:val="006C532A"/>
    <w:rsid w:val="006D5359"/>
    <w:rsid w:val="006D5AC7"/>
    <w:rsid w:val="006E390F"/>
    <w:rsid w:val="006F1E45"/>
    <w:rsid w:val="006F1EAA"/>
    <w:rsid w:val="006F2722"/>
    <w:rsid w:val="00713089"/>
    <w:rsid w:val="00714D7F"/>
    <w:rsid w:val="00721F35"/>
    <w:rsid w:val="0073161F"/>
    <w:rsid w:val="0073522A"/>
    <w:rsid w:val="00744429"/>
    <w:rsid w:val="00746D67"/>
    <w:rsid w:val="007619F0"/>
    <w:rsid w:val="007627B9"/>
    <w:rsid w:val="00773D40"/>
    <w:rsid w:val="007769CD"/>
    <w:rsid w:val="0078032B"/>
    <w:rsid w:val="00781566"/>
    <w:rsid w:val="007861B2"/>
    <w:rsid w:val="007864E3"/>
    <w:rsid w:val="00786A70"/>
    <w:rsid w:val="0079400B"/>
    <w:rsid w:val="007965C3"/>
    <w:rsid w:val="007976E7"/>
    <w:rsid w:val="007B2558"/>
    <w:rsid w:val="007B736D"/>
    <w:rsid w:val="007C4D25"/>
    <w:rsid w:val="007E42B8"/>
    <w:rsid w:val="007E6A78"/>
    <w:rsid w:val="007F0D87"/>
    <w:rsid w:val="007F1D0A"/>
    <w:rsid w:val="00802701"/>
    <w:rsid w:val="008038A2"/>
    <w:rsid w:val="00811FE8"/>
    <w:rsid w:val="008149E1"/>
    <w:rsid w:val="00815629"/>
    <w:rsid w:val="00831718"/>
    <w:rsid w:val="00854A85"/>
    <w:rsid w:val="0086348C"/>
    <w:rsid w:val="0086436B"/>
    <w:rsid w:val="008720A2"/>
    <w:rsid w:val="00872F29"/>
    <w:rsid w:val="00877276"/>
    <w:rsid w:val="008910E6"/>
    <w:rsid w:val="00892068"/>
    <w:rsid w:val="00894453"/>
    <w:rsid w:val="00894B97"/>
    <w:rsid w:val="008A557E"/>
    <w:rsid w:val="008B22FA"/>
    <w:rsid w:val="008B26CD"/>
    <w:rsid w:val="008D35DE"/>
    <w:rsid w:val="008D57D7"/>
    <w:rsid w:val="008D7F01"/>
    <w:rsid w:val="008E2D31"/>
    <w:rsid w:val="009145B8"/>
    <w:rsid w:val="009167EE"/>
    <w:rsid w:val="009252A6"/>
    <w:rsid w:val="009318AC"/>
    <w:rsid w:val="00932074"/>
    <w:rsid w:val="00932BDD"/>
    <w:rsid w:val="009357B3"/>
    <w:rsid w:val="00935D91"/>
    <w:rsid w:val="00946E6E"/>
    <w:rsid w:val="009472CA"/>
    <w:rsid w:val="00950E92"/>
    <w:rsid w:val="00955F40"/>
    <w:rsid w:val="00964885"/>
    <w:rsid w:val="00972004"/>
    <w:rsid w:val="0097211A"/>
    <w:rsid w:val="009721AC"/>
    <w:rsid w:val="00972E41"/>
    <w:rsid w:val="00977566"/>
    <w:rsid w:val="009779EB"/>
    <w:rsid w:val="00982EA4"/>
    <w:rsid w:val="009841AC"/>
    <w:rsid w:val="009954BE"/>
    <w:rsid w:val="0099566B"/>
    <w:rsid w:val="009B276A"/>
    <w:rsid w:val="009B32ED"/>
    <w:rsid w:val="009C0CE8"/>
    <w:rsid w:val="009C15A5"/>
    <w:rsid w:val="009D1365"/>
    <w:rsid w:val="009D1E03"/>
    <w:rsid w:val="009D422B"/>
    <w:rsid w:val="009E58D9"/>
    <w:rsid w:val="009F585A"/>
    <w:rsid w:val="00A07532"/>
    <w:rsid w:val="00A077F9"/>
    <w:rsid w:val="00A216E0"/>
    <w:rsid w:val="00A47197"/>
    <w:rsid w:val="00A5293F"/>
    <w:rsid w:val="00A56015"/>
    <w:rsid w:val="00A57F9A"/>
    <w:rsid w:val="00A63C33"/>
    <w:rsid w:val="00A6615B"/>
    <w:rsid w:val="00A668F1"/>
    <w:rsid w:val="00A674FB"/>
    <w:rsid w:val="00A70520"/>
    <w:rsid w:val="00A734C6"/>
    <w:rsid w:val="00A74338"/>
    <w:rsid w:val="00A7688B"/>
    <w:rsid w:val="00A77989"/>
    <w:rsid w:val="00A816FB"/>
    <w:rsid w:val="00A85311"/>
    <w:rsid w:val="00A86E46"/>
    <w:rsid w:val="00A93293"/>
    <w:rsid w:val="00A932E5"/>
    <w:rsid w:val="00AA0C3F"/>
    <w:rsid w:val="00AA6D97"/>
    <w:rsid w:val="00AC0F61"/>
    <w:rsid w:val="00AC3814"/>
    <w:rsid w:val="00AC5C0D"/>
    <w:rsid w:val="00AD2A29"/>
    <w:rsid w:val="00AD39EB"/>
    <w:rsid w:val="00AD4546"/>
    <w:rsid w:val="00AE1C3A"/>
    <w:rsid w:val="00AE3C64"/>
    <w:rsid w:val="00AF0562"/>
    <w:rsid w:val="00AF20A4"/>
    <w:rsid w:val="00AF53E0"/>
    <w:rsid w:val="00B02036"/>
    <w:rsid w:val="00B07CDA"/>
    <w:rsid w:val="00B178EA"/>
    <w:rsid w:val="00B269E6"/>
    <w:rsid w:val="00B26E1A"/>
    <w:rsid w:val="00B331E7"/>
    <w:rsid w:val="00B35F4A"/>
    <w:rsid w:val="00B42FA8"/>
    <w:rsid w:val="00B4697F"/>
    <w:rsid w:val="00B50D5E"/>
    <w:rsid w:val="00B54064"/>
    <w:rsid w:val="00B637D5"/>
    <w:rsid w:val="00B7343D"/>
    <w:rsid w:val="00B738E9"/>
    <w:rsid w:val="00B7724D"/>
    <w:rsid w:val="00B93F94"/>
    <w:rsid w:val="00BA1742"/>
    <w:rsid w:val="00BA3B3E"/>
    <w:rsid w:val="00BA4982"/>
    <w:rsid w:val="00BA7023"/>
    <w:rsid w:val="00BB431A"/>
    <w:rsid w:val="00BB4CF7"/>
    <w:rsid w:val="00BC34FD"/>
    <w:rsid w:val="00BC41C2"/>
    <w:rsid w:val="00BF0DCF"/>
    <w:rsid w:val="00BF2356"/>
    <w:rsid w:val="00BF5367"/>
    <w:rsid w:val="00BF6170"/>
    <w:rsid w:val="00BF6991"/>
    <w:rsid w:val="00C0085C"/>
    <w:rsid w:val="00C0090E"/>
    <w:rsid w:val="00C04C87"/>
    <w:rsid w:val="00C06C3B"/>
    <w:rsid w:val="00C07817"/>
    <w:rsid w:val="00C11AA2"/>
    <w:rsid w:val="00C1757F"/>
    <w:rsid w:val="00C27665"/>
    <w:rsid w:val="00C467CB"/>
    <w:rsid w:val="00C55F19"/>
    <w:rsid w:val="00C57B92"/>
    <w:rsid w:val="00C6653E"/>
    <w:rsid w:val="00C673D7"/>
    <w:rsid w:val="00C71A0D"/>
    <w:rsid w:val="00C8226A"/>
    <w:rsid w:val="00CB3338"/>
    <w:rsid w:val="00CE139F"/>
    <w:rsid w:val="00CE5265"/>
    <w:rsid w:val="00CE788C"/>
    <w:rsid w:val="00D020A1"/>
    <w:rsid w:val="00D048CA"/>
    <w:rsid w:val="00D061BA"/>
    <w:rsid w:val="00D07064"/>
    <w:rsid w:val="00D10434"/>
    <w:rsid w:val="00D13B83"/>
    <w:rsid w:val="00D154E0"/>
    <w:rsid w:val="00D15ACD"/>
    <w:rsid w:val="00D2224C"/>
    <w:rsid w:val="00D247E9"/>
    <w:rsid w:val="00D2653E"/>
    <w:rsid w:val="00D279FC"/>
    <w:rsid w:val="00D407B2"/>
    <w:rsid w:val="00D43EA3"/>
    <w:rsid w:val="00D5431E"/>
    <w:rsid w:val="00D55ADD"/>
    <w:rsid w:val="00D601B0"/>
    <w:rsid w:val="00D71C43"/>
    <w:rsid w:val="00D8544F"/>
    <w:rsid w:val="00D85A76"/>
    <w:rsid w:val="00D87907"/>
    <w:rsid w:val="00D90A5C"/>
    <w:rsid w:val="00D966C8"/>
    <w:rsid w:val="00DA0FA6"/>
    <w:rsid w:val="00DA4573"/>
    <w:rsid w:val="00DA595B"/>
    <w:rsid w:val="00DA5C6F"/>
    <w:rsid w:val="00DB21E7"/>
    <w:rsid w:val="00DC16C0"/>
    <w:rsid w:val="00DD33DF"/>
    <w:rsid w:val="00DD4D8E"/>
    <w:rsid w:val="00DD77F5"/>
    <w:rsid w:val="00DE1293"/>
    <w:rsid w:val="00DE6A26"/>
    <w:rsid w:val="00DE73D0"/>
    <w:rsid w:val="00DF55CC"/>
    <w:rsid w:val="00DF5645"/>
    <w:rsid w:val="00DF66DC"/>
    <w:rsid w:val="00DF792B"/>
    <w:rsid w:val="00DF7F87"/>
    <w:rsid w:val="00E11D1B"/>
    <w:rsid w:val="00E12D76"/>
    <w:rsid w:val="00E135D2"/>
    <w:rsid w:val="00E141F5"/>
    <w:rsid w:val="00E14C6C"/>
    <w:rsid w:val="00E15158"/>
    <w:rsid w:val="00E21AC6"/>
    <w:rsid w:val="00E2539E"/>
    <w:rsid w:val="00E26B82"/>
    <w:rsid w:val="00E27D24"/>
    <w:rsid w:val="00E31E68"/>
    <w:rsid w:val="00E31FD3"/>
    <w:rsid w:val="00E32974"/>
    <w:rsid w:val="00E3521E"/>
    <w:rsid w:val="00E66E49"/>
    <w:rsid w:val="00E7072F"/>
    <w:rsid w:val="00E7302E"/>
    <w:rsid w:val="00E827C5"/>
    <w:rsid w:val="00E91D4F"/>
    <w:rsid w:val="00E92A86"/>
    <w:rsid w:val="00E96046"/>
    <w:rsid w:val="00EB5729"/>
    <w:rsid w:val="00EE5F12"/>
    <w:rsid w:val="00EE7726"/>
    <w:rsid w:val="00EF68D1"/>
    <w:rsid w:val="00F07BC3"/>
    <w:rsid w:val="00F13B48"/>
    <w:rsid w:val="00F2251F"/>
    <w:rsid w:val="00F2397C"/>
    <w:rsid w:val="00F26317"/>
    <w:rsid w:val="00F30465"/>
    <w:rsid w:val="00F42B50"/>
    <w:rsid w:val="00F503A6"/>
    <w:rsid w:val="00F51894"/>
    <w:rsid w:val="00F57119"/>
    <w:rsid w:val="00F61B6C"/>
    <w:rsid w:val="00F71A03"/>
    <w:rsid w:val="00F721C3"/>
    <w:rsid w:val="00F72E69"/>
    <w:rsid w:val="00F902FF"/>
    <w:rsid w:val="00FB3455"/>
    <w:rsid w:val="00FC5502"/>
    <w:rsid w:val="00FD0329"/>
    <w:rsid w:val="00FD1AE6"/>
    <w:rsid w:val="00FD1D47"/>
    <w:rsid w:val="00FD2B51"/>
    <w:rsid w:val="00FE0AAF"/>
    <w:rsid w:val="00FE113A"/>
    <w:rsid w:val="00FE177C"/>
    <w:rsid w:val="00FE4A63"/>
    <w:rsid w:val="00FE511B"/>
    <w:rsid w:val="00FE5460"/>
    <w:rsid w:val="00FE583A"/>
    <w:rsid w:val="00FE5D78"/>
    <w:rsid w:val="00FE6519"/>
    <w:rsid w:val="00FF1E69"/>
    <w:rsid w:val="00FF371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F599-D30D-4144-B43B-592EF2E0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1723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 Hannah (RNU) Oxford Health</cp:lastModifiedBy>
  <cp:revision>139</cp:revision>
  <cp:lastPrinted>2015-10-15T12:45:00Z</cp:lastPrinted>
  <dcterms:created xsi:type="dcterms:W3CDTF">2015-10-12T10:01:00Z</dcterms:created>
  <dcterms:modified xsi:type="dcterms:W3CDTF">2015-10-20T16:49:00Z</dcterms:modified>
</cp:coreProperties>
</file>