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84583C">
        <w:rPr>
          <w:rFonts w:ascii="Arial" w:hAnsi="Arial" w:cs="Arial"/>
          <w:b/>
          <w:sz w:val="28"/>
          <w:szCs w:val="28"/>
        </w:rPr>
        <w:t>28 January 2015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84583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84583C">
              <w:rPr>
                <w:rFonts w:ascii="Arial" w:hAnsi="Arial" w:cs="Arial"/>
                <w:sz w:val="24"/>
                <w:szCs w:val="24"/>
              </w:rPr>
              <w:t>04/15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D39B0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84583C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Finance Report</w:t>
            </w:r>
          </w:p>
          <w:p w:rsidR="0015391E" w:rsidRPr="00F40768" w:rsidRDefault="00F40768" w:rsidP="006D39B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Ensure future reports provide further detail including showing the trend against the recovery plan.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F40768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F4076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40768">
              <w:rPr>
                <w:rFonts w:ascii="Arial" w:hAnsi="Arial" w:cs="Arial"/>
                <w:sz w:val="24"/>
                <w:szCs w:val="24"/>
              </w:rPr>
              <w:t>04/15</w:t>
            </w:r>
            <w:r w:rsidR="001E16A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40768">
              <w:rPr>
                <w:rFonts w:ascii="Arial" w:hAnsi="Arial" w:cs="Arial"/>
                <w:sz w:val="24"/>
                <w:szCs w:val="24"/>
              </w:rPr>
              <w:t>c</w:t>
            </w:r>
            <w:r w:rsidR="001E16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F40768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Mental Health Access Targets </w:t>
            </w:r>
          </w:p>
          <w:p w:rsidR="007B3FD6" w:rsidRPr="00687CBE" w:rsidRDefault="00F40768" w:rsidP="00A442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a report on mental health access targets to Board in February 2015.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F40768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F4076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40768">
              <w:rPr>
                <w:rFonts w:ascii="Arial" w:hAnsi="Arial" w:cs="Arial"/>
                <w:sz w:val="24"/>
                <w:szCs w:val="24"/>
              </w:rPr>
              <w:t>04/15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40768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F40768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Safer Staffing – Nursing Training</w:t>
            </w:r>
          </w:p>
          <w:p w:rsidR="00A44287" w:rsidRPr="00687CBE" w:rsidRDefault="00F40768" w:rsidP="00F407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further updates on nurse training and the recruitment / retention of the workforce in recognition of this as a major strategic risk for the Trust.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F40768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 / </w:t>
            </w:r>
            <w:r w:rsidR="00A44287"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C9522B" w:rsidRPr="00E367B7" w:rsidTr="002D230C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F4076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40768">
              <w:rPr>
                <w:rFonts w:ascii="Arial" w:hAnsi="Arial" w:cs="Arial"/>
                <w:sz w:val="24"/>
                <w:szCs w:val="24"/>
              </w:rPr>
              <w:t>04/15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F4076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C9522B" w:rsidRDefault="00F40768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Award / Reward</w:t>
            </w:r>
          </w:p>
          <w:p w:rsidR="00C9522B" w:rsidRPr="00C9522B" w:rsidRDefault="00F40768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 proposals for a staff award / reward schemes: in the short-term what non-financial schemes could be implemented and in the medium-term what financial schemes could be implemented.</w:t>
            </w: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2D230C" w:rsidP="00F4076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  <w:r w:rsidR="00A442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522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F4076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40768">
              <w:rPr>
                <w:rFonts w:ascii="Arial" w:hAnsi="Arial" w:cs="Arial"/>
                <w:sz w:val="24"/>
                <w:szCs w:val="24"/>
              </w:rPr>
              <w:t>05/15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4076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C9522B" w:rsidRDefault="0094567F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Estate Options</w:t>
            </w:r>
          </w:p>
          <w:p w:rsidR="00C9522B" w:rsidRPr="00687CBE" w:rsidRDefault="0094567F" w:rsidP="00A442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o</w:t>
            </w:r>
            <w:r w:rsidR="00ED16EA">
              <w:rPr>
                <w:rFonts w:ascii="Arial" w:hAnsi="Arial" w:cs="Arial"/>
                <w:bCs/>
                <w:sz w:val="24"/>
                <w:szCs w:val="24"/>
              </w:rPr>
              <w:t>ptions for Trust estate through a review, including developing affordable homes for staff, key working housing on Manor House site and opportunities on the Oxford Brookes University Wheatley Campus.</w:t>
            </w: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94567F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/ MMcE</w:t>
            </w:r>
          </w:p>
        </w:tc>
      </w:tr>
      <w:tr w:rsidR="0089273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89273B" w:rsidP="00ED16E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ED16EA">
              <w:rPr>
                <w:rFonts w:ascii="Arial" w:hAnsi="Arial" w:cs="Arial"/>
                <w:sz w:val="24"/>
                <w:szCs w:val="24"/>
              </w:rPr>
              <w:t>05/15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D16E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273B" w:rsidRDefault="00ED16EA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Financial Component of the Operational Plan</w:t>
            </w:r>
          </w:p>
          <w:p w:rsidR="0089273B" w:rsidRPr="00687CBE" w:rsidRDefault="00ED16EA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 the financial element to the Board Seminar in February and to the Council of Governors Finance Sub-group.</w:t>
            </w:r>
          </w:p>
        </w:tc>
        <w:tc>
          <w:tcPr>
            <w:tcW w:w="2286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ED16EA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0E6B7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0E6B70" w:rsidP="00ED16E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ED16EA">
              <w:rPr>
                <w:rFonts w:ascii="Arial" w:hAnsi="Arial" w:cs="Arial"/>
                <w:sz w:val="24"/>
                <w:szCs w:val="24"/>
              </w:rPr>
              <w:t>06/15</w:t>
            </w:r>
            <w:r>
              <w:rPr>
                <w:rFonts w:ascii="Arial" w:hAnsi="Arial" w:cs="Arial"/>
                <w:sz w:val="24"/>
                <w:szCs w:val="24"/>
              </w:rPr>
              <w:t xml:space="preserve"> (c)</w:t>
            </w:r>
          </w:p>
        </w:tc>
        <w:tc>
          <w:tcPr>
            <w:tcW w:w="8351" w:type="dxa"/>
          </w:tcPr>
          <w:p w:rsidR="000E6B70" w:rsidRDefault="00ED16EA" w:rsidP="000E6B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Board-to-Board with OUH</w:t>
            </w:r>
          </w:p>
          <w:p w:rsidR="002F3B6B" w:rsidRPr="00687CBE" w:rsidRDefault="00ED16EA" w:rsidP="00ED16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Establish a Board-to-Board meeting with Oxford University Hospitals NHS Trust to discuss issues of joint concern.</w:t>
            </w:r>
          </w:p>
        </w:tc>
        <w:tc>
          <w:tcPr>
            <w:tcW w:w="2286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ED16EA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52154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2154A">
              <w:rPr>
                <w:rFonts w:ascii="Arial" w:hAnsi="Arial" w:cs="Arial"/>
                <w:sz w:val="24"/>
                <w:szCs w:val="24"/>
              </w:rPr>
              <w:t>07/15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2154A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403F" w:rsidRDefault="0052154A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Safety Report</w:t>
            </w:r>
          </w:p>
          <w:p w:rsidR="0089403F" w:rsidRPr="00687CBE" w:rsidRDefault="0052154A" w:rsidP="005215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Look to report on how</w:t>
            </w:r>
            <w:r>
              <w:t xml:space="preserve"> </w:t>
            </w:r>
            <w:r w:rsidRPr="0052154A">
              <w:rPr>
                <w:rFonts w:ascii="Arial" w:hAnsi="Arial" w:cs="Arial"/>
                <w:bCs/>
                <w:sz w:val="24"/>
                <w:szCs w:val="24"/>
              </w:rPr>
              <w:t xml:space="preserve">various initiatives were fully implemented across the Trust; tracking this would help ensure that the Board focusses on the pace of change across the Trust.  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52154A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52154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2154A">
              <w:rPr>
                <w:rFonts w:ascii="Arial" w:hAnsi="Arial" w:cs="Arial"/>
                <w:sz w:val="24"/>
                <w:szCs w:val="24"/>
              </w:rPr>
              <w:t>07/15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2154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403F" w:rsidRDefault="0052154A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Safety Report</w:t>
            </w:r>
          </w:p>
          <w:p w:rsidR="0089403F" w:rsidRPr="00687CBE" w:rsidRDefault="0052154A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Include the rate alongside absolute </w:t>
            </w:r>
            <w:r w:rsidR="000072FC">
              <w:rPr>
                <w:rFonts w:ascii="Arial" w:hAnsi="Arial" w:cs="Arial"/>
                <w:bCs/>
                <w:sz w:val="24"/>
                <w:szCs w:val="24"/>
              </w:rPr>
              <w:t>numbers and ensure directorates were referenced in future reports.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191B8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91B83">
              <w:rPr>
                <w:rFonts w:ascii="Arial" w:hAnsi="Arial" w:cs="Arial"/>
                <w:sz w:val="24"/>
                <w:szCs w:val="24"/>
              </w:rPr>
              <w:t>11/15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91B8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403F" w:rsidRDefault="005E5479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Report</w:t>
            </w:r>
          </w:p>
          <w:p w:rsidR="0089403F" w:rsidRPr="00063421" w:rsidRDefault="005E5479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Review report in terms of </w:t>
            </w:r>
            <w:proofErr w:type="spellStart"/>
            <w:r w:rsidRPr="005E5479">
              <w:rPr>
                <w:rFonts w:ascii="Arial" w:hAnsi="Arial" w:cs="Arial"/>
                <w:bCs/>
                <w:i/>
                <w:sz w:val="24"/>
                <w:szCs w:val="24"/>
              </w:rPr>
              <w:t>Cdif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numbers before publication.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5E5479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0E6B7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0E6B70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E5479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5E547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E547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E6B70" w:rsidRDefault="005E5479" w:rsidP="000E6B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Workforce Performance Report</w:t>
            </w:r>
          </w:p>
          <w:p w:rsidR="002F3B6B" w:rsidRPr="00687CBE" w:rsidRDefault="005E5479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report in terms of the charts and data / analysis before publication.</w:t>
            </w:r>
          </w:p>
        </w:tc>
        <w:tc>
          <w:tcPr>
            <w:tcW w:w="2286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5E5479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Default="00063421" w:rsidP="00FA15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E5479">
              <w:rPr>
                <w:rFonts w:ascii="Arial" w:hAnsi="Arial" w:cs="Arial"/>
                <w:sz w:val="24"/>
                <w:szCs w:val="24"/>
              </w:rPr>
              <w:t>12/15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E547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E54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1E3D" w:rsidRPr="009D2F5A" w:rsidRDefault="00601E3D" w:rsidP="00FA15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063421" w:rsidRDefault="005E5479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Strategy Session – Workforce </w:t>
            </w:r>
          </w:p>
          <w:p w:rsidR="00063421" w:rsidRPr="00687CBE" w:rsidRDefault="005E5479" w:rsidP="00FA15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Utilise an upcoming two-hour Board strategy session to focus on the development of a robust strategic workforce plan.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FA1522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MMcE / </w:t>
            </w:r>
            <w:r w:rsidR="005E5479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E5479">
              <w:rPr>
                <w:rFonts w:ascii="Arial" w:hAnsi="Arial" w:cs="Arial"/>
                <w:sz w:val="24"/>
                <w:szCs w:val="24"/>
              </w:rPr>
              <w:t>14/15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E547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63421" w:rsidRDefault="005E5479" w:rsidP="000634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Workforce Risks</w:t>
            </w:r>
          </w:p>
          <w:p w:rsidR="00063421" w:rsidRPr="00687CBE" w:rsidRDefault="005E5479" w:rsidP="00FA15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Review workforce related risks and action plans in the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5E5479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 / MMcE</w:t>
            </w:r>
          </w:p>
        </w:tc>
      </w:tr>
      <w:tr w:rsidR="005E5479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14/15 (c)</w:t>
            </w:r>
          </w:p>
        </w:tc>
        <w:tc>
          <w:tcPr>
            <w:tcW w:w="8351" w:type="dxa"/>
          </w:tcPr>
          <w:p w:rsidR="005E5479" w:rsidRDefault="005E5479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E5479" w:rsidRPr="00687CBE" w:rsidRDefault="005E5479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Reword 4.2 to ensure that it was not too mental health focussed.</w:t>
            </w:r>
          </w:p>
        </w:tc>
        <w:tc>
          <w:tcPr>
            <w:tcW w:w="2286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5E5479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14/15 (d)</w:t>
            </w:r>
          </w:p>
        </w:tc>
        <w:tc>
          <w:tcPr>
            <w:tcW w:w="8351" w:type="dxa"/>
          </w:tcPr>
          <w:p w:rsidR="005E5479" w:rsidRDefault="005E5479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E5479" w:rsidRPr="00687CBE" w:rsidRDefault="005E5479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Ensure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reflects that</w:t>
            </w:r>
            <w:r>
              <w:t xml:space="preserve"> </w:t>
            </w:r>
            <w:r w:rsidRPr="005E5479">
              <w:rPr>
                <w:rFonts w:ascii="Arial" w:hAnsi="Arial" w:cs="Arial"/>
                <w:bCs/>
                <w:sz w:val="24"/>
                <w:szCs w:val="24"/>
              </w:rPr>
              <w:t xml:space="preserve">the highest rated risks associated with the Trust’s estate were being addressed as a priority against lower rated estates risks.  </w:t>
            </w:r>
          </w:p>
        </w:tc>
        <w:tc>
          <w:tcPr>
            <w:tcW w:w="2286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171A8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71A81" w:rsidRDefault="00171A81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A81" w:rsidRPr="009D2F5A" w:rsidRDefault="005B61CF" w:rsidP="001220D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220D3">
              <w:rPr>
                <w:rFonts w:ascii="Arial" w:hAnsi="Arial" w:cs="Arial"/>
                <w:sz w:val="24"/>
                <w:szCs w:val="24"/>
              </w:rPr>
              <w:t>15/15</w:t>
            </w:r>
            <w:r w:rsidR="00171A8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220D3">
              <w:rPr>
                <w:rFonts w:ascii="Arial" w:hAnsi="Arial" w:cs="Arial"/>
                <w:sz w:val="24"/>
                <w:szCs w:val="24"/>
              </w:rPr>
              <w:t>b</w:t>
            </w:r>
            <w:r w:rsidR="00171A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71A81" w:rsidRDefault="001220D3" w:rsidP="00171A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Monitor Q3 Report</w:t>
            </w:r>
          </w:p>
          <w:p w:rsidR="00171A81" w:rsidRPr="00687CBE" w:rsidRDefault="001220D3" w:rsidP="005B61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s</w:t>
            </w:r>
            <w:r w:rsidRPr="001220D3">
              <w:rPr>
                <w:rFonts w:ascii="Arial" w:hAnsi="Arial" w:cs="Arial"/>
                <w:bCs/>
                <w:sz w:val="24"/>
                <w:szCs w:val="24"/>
              </w:rPr>
              <w:t xml:space="preserve">tatement associated with the </w:t>
            </w:r>
            <w:proofErr w:type="spellStart"/>
            <w:r w:rsidRPr="001220D3">
              <w:rPr>
                <w:rFonts w:ascii="Arial" w:hAnsi="Arial" w:cs="Arial"/>
                <w:bCs/>
                <w:sz w:val="24"/>
                <w:szCs w:val="24"/>
              </w:rPr>
              <w:t>CoSRR</w:t>
            </w:r>
            <w:proofErr w:type="spellEnd"/>
            <w:r w:rsidRPr="001220D3">
              <w:rPr>
                <w:rFonts w:ascii="Arial" w:hAnsi="Arial" w:cs="Arial"/>
                <w:bCs/>
                <w:sz w:val="24"/>
                <w:szCs w:val="24"/>
              </w:rPr>
              <w:t xml:space="preserve"> could not be confirmed and, therefore, further detail would n</w:t>
            </w:r>
            <w:r>
              <w:rPr>
                <w:rFonts w:ascii="Arial" w:hAnsi="Arial" w:cs="Arial"/>
                <w:bCs/>
                <w:sz w:val="24"/>
                <w:szCs w:val="24"/>
              </w:rPr>
              <w:t>eed to be provided to Monitor in the quarterly return.</w:t>
            </w:r>
          </w:p>
        </w:tc>
        <w:tc>
          <w:tcPr>
            <w:tcW w:w="2286" w:type="dxa"/>
            <w:shd w:val="clear" w:color="auto" w:fill="auto"/>
          </w:tcPr>
          <w:p w:rsidR="00171A81" w:rsidRDefault="00171A81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A81" w:rsidRPr="009D2F5A" w:rsidRDefault="00171A81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171A8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71A81" w:rsidRDefault="00171A81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A81" w:rsidRPr="009D2F5A" w:rsidRDefault="00601E3D" w:rsidP="00BA44E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BA44E9">
              <w:rPr>
                <w:rFonts w:ascii="Arial" w:hAnsi="Arial" w:cs="Arial"/>
                <w:sz w:val="24"/>
                <w:szCs w:val="24"/>
              </w:rPr>
              <w:t xml:space="preserve">16/15 </w:t>
            </w:r>
            <w:r w:rsidR="00171A81">
              <w:rPr>
                <w:rFonts w:ascii="Arial" w:hAnsi="Arial" w:cs="Arial"/>
                <w:sz w:val="24"/>
                <w:szCs w:val="24"/>
              </w:rPr>
              <w:t>(</w:t>
            </w:r>
            <w:r w:rsidR="00BA44E9">
              <w:rPr>
                <w:rFonts w:ascii="Arial" w:hAnsi="Arial" w:cs="Arial"/>
                <w:sz w:val="24"/>
                <w:szCs w:val="24"/>
              </w:rPr>
              <w:t>d</w:t>
            </w:r>
            <w:r w:rsidR="00171A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71A81" w:rsidRDefault="00BA44E9" w:rsidP="00171A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R&amp;D Report</w:t>
            </w:r>
          </w:p>
          <w:p w:rsidR="00171A81" w:rsidRPr="00687CBE" w:rsidRDefault="00383F5B" w:rsidP="00383F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Include in future reports </w:t>
            </w:r>
            <w:r w:rsidRPr="00383F5B">
              <w:rPr>
                <w:rFonts w:ascii="Arial" w:hAnsi="Arial" w:cs="Arial"/>
                <w:bCs/>
                <w:sz w:val="24"/>
                <w:szCs w:val="24"/>
              </w:rPr>
              <w:t xml:space="preserve">vignettes on specific projects that explained what was looked into and what the Trust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did </w:t>
            </w:r>
            <w:r w:rsidRPr="00383F5B">
              <w:rPr>
                <w:rFonts w:ascii="Arial" w:hAnsi="Arial" w:cs="Arial"/>
                <w:bCs/>
                <w:sz w:val="24"/>
                <w:szCs w:val="24"/>
              </w:rPr>
              <w:t>as a consequence of the research results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</w:t>
            </w:r>
            <w:r w:rsidRPr="00383F5B">
              <w:rPr>
                <w:rFonts w:ascii="Arial" w:hAnsi="Arial" w:cs="Arial"/>
                <w:bCs/>
                <w:sz w:val="24"/>
                <w:szCs w:val="24"/>
              </w:rPr>
              <w:t xml:space="preserve"> diagrams to show how the R&amp;D function fitted in with the wider Trust and networks; he suggested developing such a diagram for the dementia related work.</w:t>
            </w:r>
          </w:p>
        </w:tc>
        <w:tc>
          <w:tcPr>
            <w:tcW w:w="2286" w:type="dxa"/>
            <w:shd w:val="clear" w:color="auto" w:fill="auto"/>
          </w:tcPr>
          <w:p w:rsidR="00171A81" w:rsidRDefault="00171A81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A81" w:rsidRPr="009D2F5A" w:rsidRDefault="00BA44E9" w:rsidP="00171A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383F5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383F5B" w:rsidRDefault="00383F5B" w:rsidP="00383F5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F5B" w:rsidRPr="009D2F5A" w:rsidRDefault="00383F5B" w:rsidP="00383F5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16/15 (e)</w:t>
            </w:r>
          </w:p>
        </w:tc>
        <w:tc>
          <w:tcPr>
            <w:tcW w:w="8351" w:type="dxa"/>
          </w:tcPr>
          <w:p w:rsidR="00383F5B" w:rsidRDefault="00383F5B" w:rsidP="00383F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R&amp;D Report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AHSC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83F5B" w:rsidRPr="00687CBE" w:rsidRDefault="00383F5B" w:rsidP="00383F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Include </w:t>
            </w:r>
            <w:r w:rsidRPr="00383F5B">
              <w:rPr>
                <w:rFonts w:ascii="Arial" w:hAnsi="Arial" w:cs="Arial"/>
                <w:bCs/>
                <w:sz w:val="24"/>
                <w:szCs w:val="24"/>
              </w:rPr>
              <w:t xml:space="preserve">a wider strategic discussion on the </w:t>
            </w:r>
            <w:proofErr w:type="spellStart"/>
            <w:r w:rsidRPr="00383F5B">
              <w:rPr>
                <w:rFonts w:ascii="Arial" w:hAnsi="Arial" w:cs="Arial"/>
                <w:bCs/>
                <w:sz w:val="24"/>
                <w:szCs w:val="24"/>
              </w:rPr>
              <w:t>AHSC</w:t>
            </w:r>
            <w:proofErr w:type="spellEnd"/>
            <w:r w:rsidRPr="00383F5B">
              <w:rPr>
                <w:rFonts w:ascii="Arial" w:hAnsi="Arial" w:cs="Arial"/>
                <w:bCs/>
                <w:sz w:val="24"/>
                <w:szCs w:val="24"/>
              </w:rPr>
              <w:t xml:space="preserve"> and other R&amp;D related matters in the future as part of one of the two-hour Board strategy sessions.</w:t>
            </w:r>
          </w:p>
        </w:tc>
        <w:tc>
          <w:tcPr>
            <w:tcW w:w="2286" w:type="dxa"/>
            <w:shd w:val="clear" w:color="auto" w:fill="auto"/>
          </w:tcPr>
          <w:p w:rsidR="00383F5B" w:rsidRDefault="00383F5B" w:rsidP="00383F5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F5B" w:rsidRPr="009D2F5A" w:rsidRDefault="00383F5B" w:rsidP="00383F5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/ CM</w:t>
            </w:r>
          </w:p>
        </w:tc>
      </w:tr>
      <w:tr w:rsidR="006B754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B7541" w:rsidRDefault="006B7541" w:rsidP="006B754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541" w:rsidRPr="009D2F5A" w:rsidRDefault="006B7541" w:rsidP="006B754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20/15 (c)</w:t>
            </w:r>
          </w:p>
        </w:tc>
        <w:tc>
          <w:tcPr>
            <w:tcW w:w="8351" w:type="dxa"/>
          </w:tcPr>
          <w:p w:rsidR="006B7541" w:rsidRDefault="006B7541" w:rsidP="006B75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2015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CEA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Recommendations</w:t>
            </w:r>
          </w:p>
          <w:p w:rsidR="006B7541" w:rsidRPr="00687CBE" w:rsidRDefault="006B7541" w:rsidP="006B75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Include any recommendation 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CEAs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2015 within the</w:t>
            </w:r>
            <w:r w:rsidRPr="006B75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6B7541">
              <w:rPr>
                <w:rFonts w:ascii="Arial" w:hAnsi="Arial" w:cs="Arial"/>
                <w:bCs/>
                <w:sz w:val="24"/>
                <w:szCs w:val="24"/>
              </w:rPr>
              <w:t>context of recommendations for non-medical staff.</w:t>
            </w:r>
          </w:p>
        </w:tc>
        <w:tc>
          <w:tcPr>
            <w:tcW w:w="2286" w:type="dxa"/>
            <w:shd w:val="clear" w:color="auto" w:fill="auto"/>
          </w:tcPr>
          <w:p w:rsidR="006B7541" w:rsidRDefault="006B7541" w:rsidP="006B754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541" w:rsidRPr="009D2F5A" w:rsidRDefault="006B7541" w:rsidP="006B754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 / MMcE</w:t>
            </w:r>
          </w:p>
        </w:tc>
      </w:tr>
      <w:tr w:rsidR="00861BF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61BF3" w:rsidRDefault="00861BF3" w:rsidP="00861BF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1BF3" w:rsidRPr="009D2F5A" w:rsidRDefault="00861BF3" w:rsidP="00861BF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20/15 (d)</w:t>
            </w:r>
          </w:p>
        </w:tc>
        <w:tc>
          <w:tcPr>
            <w:tcW w:w="8351" w:type="dxa"/>
          </w:tcPr>
          <w:p w:rsidR="00861BF3" w:rsidRDefault="00861BF3" w:rsidP="00861B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2014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CEA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Recommendations</w:t>
            </w:r>
          </w:p>
          <w:p w:rsidR="00861BF3" w:rsidRPr="00687CBE" w:rsidRDefault="00861BF3" w:rsidP="00861B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Draft reply from the Board to the consultant body following their letter on 2014 CEAs.</w:t>
            </w:r>
            <w:bookmarkStart w:id="0" w:name="_GoBack"/>
            <w:bookmarkEnd w:id="0"/>
          </w:p>
        </w:tc>
        <w:tc>
          <w:tcPr>
            <w:tcW w:w="2286" w:type="dxa"/>
            <w:shd w:val="clear" w:color="auto" w:fill="auto"/>
          </w:tcPr>
          <w:p w:rsidR="00861BF3" w:rsidRDefault="00861BF3" w:rsidP="00861BF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1BF3" w:rsidRPr="009D2F5A" w:rsidRDefault="00861BF3" w:rsidP="00861BF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22" w:rsidRDefault="00FA1522" w:rsidP="000B2947">
      <w:pPr>
        <w:spacing w:after="0" w:line="240" w:lineRule="auto"/>
      </w:pPr>
      <w:r>
        <w:separator/>
      </w:r>
    </w:p>
  </w:endnote>
  <w:end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Default="00861B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A1522" w:rsidRDefault="00FA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22" w:rsidRDefault="00FA1522" w:rsidP="000B2947">
      <w:pPr>
        <w:spacing w:after="0" w:line="240" w:lineRule="auto"/>
      </w:pPr>
      <w:r>
        <w:separator/>
      </w:r>
    </w:p>
  </w:footnote>
  <w:foot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Pr="007D06DC" w:rsidRDefault="00FA1522" w:rsidP="000B2947">
    <w:pPr>
      <w:pStyle w:val="Header"/>
      <w:jc w:val="center"/>
    </w:pPr>
    <w:r>
      <w:rPr>
        <w:i/>
      </w:rPr>
      <w:t>PUBLIC</w:t>
    </w:r>
  </w:p>
  <w:p w:rsidR="00FA1522" w:rsidRPr="000B2947" w:rsidRDefault="00FA1522">
    <w:pPr>
      <w:pStyle w:val="Header"/>
      <w:rPr>
        <w:b/>
      </w:rPr>
    </w:pPr>
  </w:p>
  <w:p w:rsidR="00FA1522" w:rsidRDefault="00FA1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47"/>
    <w:rsid w:val="000039B1"/>
    <w:rsid w:val="000072FC"/>
    <w:rsid w:val="00015015"/>
    <w:rsid w:val="00024DA4"/>
    <w:rsid w:val="00032E57"/>
    <w:rsid w:val="0004460B"/>
    <w:rsid w:val="00046EA9"/>
    <w:rsid w:val="00063421"/>
    <w:rsid w:val="000765F3"/>
    <w:rsid w:val="0007738F"/>
    <w:rsid w:val="00087272"/>
    <w:rsid w:val="000B2947"/>
    <w:rsid w:val="000B69CF"/>
    <w:rsid w:val="000D7875"/>
    <w:rsid w:val="000E244A"/>
    <w:rsid w:val="000E6B70"/>
    <w:rsid w:val="000F0B7F"/>
    <w:rsid w:val="000F48CF"/>
    <w:rsid w:val="000F7BD1"/>
    <w:rsid w:val="00105FDB"/>
    <w:rsid w:val="001120FD"/>
    <w:rsid w:val="001219E0"/>
    <w:rsid w:val="001220D3"/>
    <w:rsid w:val="00131067"/>
    <w:rsid w:val="001431EB"/>
    <w:rsid w:val="0015391E"/>
    <w:rsid w:val="00171A81"/>
    <w:rsid w:val="00191B83"/>
    <w:rsid w:val="001E16A4"/>
    <w:rsid w:val="0020141B"/>
    <w:rsid w:val="00201E3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82D3B"/>
    <w:rsid w:val="002A5A69"/>
    <w:rsid w:val="002C0F68"/>
    <w:rsid w:val="002C6990"/>
    <w:rsid w:val="002D230C"/>
    <w:rsid w:val="002D6A88"/>
    <w:rsid w:val="002E50D9"/>
    <w:rsid w:val="002F2524"/>
    <w:rsid w:val="002F3B6B"/>
    <w:rsid w:val="002F6393"/>
    <w:rsid w:val="00314CE7"/>
    <w:rsid w:val="003305FC"/>
    <w:rsid w:val="0033178B"/>
    <w:rsid w:val="0033274C"/>
    <w:rsid w:val="003515C3"/>
    <w:rsid w:val="003759F1"/>
    <w:rsid w:val="00376489"/>
    <w:rsid w:val="00380E7A"/>
    <w:rsid w:val="00383F5B"/>
    <w:rsid w:val="00384B7A"/>
    <w:rsid w:val="00390FD5"/>
    <w:rsid w:val="00393728"/>
    <w:rsid w:val="00393AFE"/>
    <w:rsid w:val="00394139"/>
    <w:rsid w:val="00397575"/>
    <w:rsid w:val="003B304C"/>
    <w:rsid w:val="003D05D4"/>
    <w:rsid w:val="003E28C6"/>
    <w:rsid w:val="003E5C3C"/>
    <w:rsid w:val="003F2467"/>
    <w:rsid w:val="00425229"/>
    <w:rsid w:val="00440F72"/>
    <w:rsid w:val="00452F7C"/>
    <w:rsid w:val="00456BE6"/>
    <w:rsid w:val="00465CD1"/>
    <w:rsid w:val="00466230"/>
    <w:rsid w:val="004921A3"/>
    <w:rsid w:val="004938A0"/>
    <w:rsid w:val="004942A2"/>
    <w:rsid w:val="004B0D4D"/>
    <w:rsid w:val="004C759B"/>
    <w:rsid w:val="004D7E50"/>
    <w:rsid w:val="00505351"/>
    <w:rsid w:val="005077BE"/>
    <w:rsid w:val="00511324"/>
    <w:rsid w:val="0052154A"/>
    <w:rsid w:val="00522131"/>
    <w:rsid w:val="00531123"/>
    <w:rsid w:val="00537F66"/>
    <w:rsid w:val="00543314"/>
    <w:rsid w:val="0057412E"/>
    <w:rsid w:val="00581E04"/>
    <w:rsid w:val="005823B6"/>
    <w:rsid w:val="0059202C"/>
    <w:rsid w:val="00593FA0"/>
    <w:rsid w:val="00594955"/>
    <w:rsid w:val="005B3341"/>
    <w:rsid w:val="005B61CF"/>
    <w:rsid w:val="005D72E8"/>
    <w:rsid w:val="005E5479"/>
    <w:rsid w:val="005F3233"/>
    <w:rsid w:val="00601E3D"/>
    <w:rsid w:val="00611984"/>
    <w:rsid w:val="00627618"/>
    <w:rsid w:val="00633554"/>
    <w:rsid w:val="006439B2"/>
    <w:rsid w:val="006454AE"/>
    <w:rsid w:val="00652FAF"/>
    <w:rsid w:val="006716E3"/>
    <w:rsid w:val="00674699"/>
    <w:rsid w:val="0067651E"/>
    <w:rsid w:val="00687CBE"/>
    <w:rsid w:val="00693453"/>
    <w:rsid w:val="006946E2"/>
    <w:rsid w:val="00696E9F"/>
    <w:rsid w:val="00697032"/>
    <w:rsid w:val="006B1EB2"/>
    <w:rsid w:val="006B7541"/>
    <w:rsid w:val="006D39B0"/>
    <w:rsid w:val="006D6992"/>
    <w:rsid w:val="00700062"/>
    <w:rsid w:val="0070258B"/>
    <w:rsid w:val="0072245F"/>
    <w:rsid w:val="00730438"/>
    <w:rsid w:val="0073197C"/>
    <w:rsid w:val="007336A4"/>
    <w:rsid w:val="00734966"/>
    <w:rsid w:val="00760C31"/>
    <w:rsid w:val="00762ED4"/>
    <w:rsid w:val="00763A8F"/>
    <w:rsid w:val="0076462F"/>
    <w:rsid w:val="00766A85"/>
    <w:rsid w:val="00767605"/>
    <w:rsid w:val="00774CB7"/>
    <w:rsid w:val="0078654D"/>
    <w:rsid w:val="00793558"/>
    <w:rsid w:val="007B21CE"/>
    <w:rsid w:val="007B3FD6"/>
    <w:rsid w:val="007C3131"/>
    <w:rsid w:val="007C4C3A"/>
    <w:rsid w:val="007E3804"/>
    <w:rsid w:val="007E4BCB"/>
    <w:rsid w:val="007F3D90"/>
    <w:rsid w:val="008006A3"/>
    <w:rsid w:val="0081463C"/>
    <w:rsid w:val="00832469"/>
    <w:rsid w:val="008340D7"/>
    <w:rsid w:val="00834277"/>
    <w:rsid w:val="0084583C"/>
    <w:rsid w:val="00861BF3"/>
    <w:rsid w:val="008734E5"/>
    <w:rsid w:val="008756CF"/>
    <w:rsid w:val="008757DA"/>
    <w:rsid w:val="008776D6"/>
    <w:rsid w:val="0088270F"/>
    <w:rsid w:val="00891EB1"/>
    <w:rsid w:val="0089273B"/>
    <w:rsid w:val="0089403F"/>
    <w:rsid w:val="008A7296"/>
    <w:rsid w:val="008B2F3F"/>
    <w:rsid w:val="008F4C6C"/>
    <w:rsid w:val="00907DE9"/>
    <w:rsid w:val="00923288"/>
    <w:rsid w:val="0092378F"/>
    <w:rsid w:val="00926388"/>
    <w:rsid w:val="00933452"/>
    <w:rsid w:val="00942C34"/>
    <w:rsid w:val="0094567F"/>
    <w:rsid w:val="009564BB"/>
    <w:rsid w:val="009650DE"/>
    <w:rsid w:val="009C6599"/>
    <w:rsid w:val="009D23DA"/>
    <w:rsid w:val="009D2F5A"/>
    <w:rsid w:val="009E38B1"/>
    <w:rsid w:val="00A166C1"/>
    <w:rsid w:val="00A226AB"/>
    <w:rsid w:val="00A22825"/>
    <w:rsid w:val="00A24484"/>
    <w:rsid w:val="00A43C8E"/>
    <w:rsid w:val="00A44287"/>
    <w:rsid w:val="00A44C56"/>
    <w:rsid w:val="00A5526F"/>
    <w:rsid w:val="00A71BDC"/>
    <w:rsid w:val="00A802E6"/>
    <w:rsid w:val="00AA1675"/>
    <w:rsid w:val="00AB249F"/>
    <w:rsid w:val="00AC008C"/>
    <w:rsid w:val="00AC76AD"/>
    <w:rsid w:val="00AD5AF4"/>
    <w:rsid w:val="00B31870"/>
    <w:rsid w:val="00B33194"/>
    <w:rsid w:val="00B347C7"/>
    <w:rsid w:val="00B40958"/>
    <w:rsid w:val="00B658D5"/>
    <w:rsid w:val="00B724D9"/>
    <w:rsid w:val="00B81AE9"/>
    <w:rsid w:val="00B974C1"/>
    <w:rsid w:val="00BA44E9"/>
    <w:rsid w:val="00BB62AB"/>
    <w:rsid w:val="00BC04F8"/>
    <w:rsid w:val="00BD4925"/>
    <w:rsid w:val="00BE2EFA"/>
    <w:rsid w:val="00BE3D89"/>
    <w:rsid w:val="00BE7491"/>
    <w:rsid w:val="00C4205F"/>
    <w:rsid w:val="00C4763E"/>
    <w:rsid w:val="00C5206A"/>
    <w:rsid w:val="00C74867"/>
    <w:rsid w:val="00C9522B"/>
    <w:rsid w:val="00C95A17"/>
    <w:rsid w:val="00C97CCE"/>
    <w:rsid w:val="00CD2283"/>
    <w:rsid w:val="00CE2874"/>
    <w:rsid w:val="00D121CE"/>
    <w:rsid w:val="00D14EC6"/>
    <w:rsid w:val="00D1503C"/>
    <w:rsid w:val="00D3669C"/>
    <w:rsid w:val="00D36BC0"/>
    <w:rsid w:val="00D42170"/>
    <w:rsid w:val="00D42D1A"/>
    <w:rsid w:val="00D6616A"/>
    <w:rsid w:val="00D7197F"/>
    <w:rsid w:val="00D8125D"/>
    <w:rsid w:val="00D83FCB"/>
    <w:rsid w:val="00D9768A"/>
    <w:rsid w:val="00DC3C3E"/>
    <w:rsid w:val="00DC54A2"/>
    <w:rsid w:val="00DF07E3"/>
    <w:rsid w:val="00E00003"/>
    <w:rsid w:val="00E06EED"/>
    <w:rsid w:val="00E11EFB"/>
    <w:rsid w:val="00E14469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0AE"/>
    <w:rsid w:val="00EB5869"/>
    <w:rsid w:val="00EC11E7"/>
    <w:rsid w:val="00ED08CB"/>
    <w:rsid w:val="00ED16EA"/>
    <w:rsid w:val="00ED427A"/>
    <w:rsid w:val="00EE1AB5"/>
    <w:rsid w:val="00EE4894"/>
    <w:rsid w:val="00EF72CB"/>
    <w:rsid w:val="00F019EB"/>
    <w:rsid w:val="00F1349A"/>
    <w:rsid w:val="00F16822"/>
    <w:rsid w:val="00F16BE8"/>
    <w:rsid w:val="00F231AA"/>
    <w:rsid w:val="00F25643"/>
    <w:rsid w:val="00F31E37"/>
    <w:rsid w:val="00F31EA2"/>
    <w:rsid w:val="00F36B10"/>
    <w:rsid w:val="00F40768"/>
    <w:rsid w:val="00F51049"/>
    <w:rsid w:val="00F56435"/>
    <w:rsid w:val="00F57D46"/>
    <w:rsid w:val="00F65D26"/>
    <w:rsid w:val="00F77BBC"/>
    <w:rsid w:val="00F87CBE"/>
    <w:rsid w:val="00F907A0"/>
    <w:rsid w:val="00FA1522"/>
    <w:rsid w:val="00FC07BA"/>
    <w:rsid w:val="00FC7547"/>
    <w:rsid w:val="00FD4AAA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Habner Justinian (RNU) Oxford Health</cp:lastModifiedBy>
  <cp:revision>9</cp:revision>
  <cp:lastPrinted>2012-08-22T12:25:00Z</cp:lastPrinted>
  <dcterms:created xsi:type="dcterms:W3CDTF">2015-02-17T16:05:00Z</dcterms:created>
  <dcterms:modified xsi:type="dcterms:W3CDTF">2015-02-17T17:23:00Z</dcterms:modified>
</cp:coreProperties>
</file>