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7B" w:rsidRPr="00913101" w:rsidRDefault="00913101">
      <w:pPr>
        <w:rPr>
          <w:sz w:val="28"/>
          <w:szCs w:val="28"/>
        </w:rPr>
      </w:pPr>
      <w:bookmarkStart w:id="0" w:name="_GoBack"/>
      <w:bookmarkEnd w:id="0"/>
      <w:r w:rsidRPr="00913101">
        <w:rPr>
          <w:b/>
          <w:sz w:val="28"/>
          <w:szCs w:val="28"/>
        </w:rPr>
        <w:t>Fit &amp; Proper Person Test</w:t>
      </w:r>
    </w:p>
    <w:p w:rsidR="00C544B9" w:rsidRDefault="00C77D38" w:rsidP="00F3382F">
      <w:pPr>
        <w:pStyle w:val="NoSpacing"/>
        <w:rPr>
          <w:sz w:val="24"/>
          <w:szCs w:val="24"/>
        </w:rPr>
      </w:pPr>
      <w:r w:rsidRPr="00F3382F">
        <w:rPr>
          <w:sz w:val="24"/>
          <w:szCs w:val="24"/>
        </w:rPr>
        <w:t>The Health &amp; Social Care Act 2008 (Regulated Activities) Regulations 2014 places a duty on NHS providers not to appoint or allow a person to continue to be an executive director or equivalent or a non-executive director under certain given circumstances.</w:t>
      </w:r>
    </w:p>
    <w:p w:rsidR="00F3382F" w:rsidRPr="00F3382F" w:rsidRDefault="00F3382F" w:rsidP="00F3382F">
      <w:pPr>
        <w:pStyle w:val="NoSpacing"/>
        <w:rPr>
          <w:sz w:val="24"/>
          <w:szCs w:val="24"/>
        </w:rPr>
      </w:pPr>
    </w:p>
    <w:p w:rsidR="00C544B9" w:rsidRDefault="00C77D38" w:rsidP="00F3382F">
      <w:pPr>
        <w:pStyle w:val="NoSpacing"/>
        <w:rPr>
          <w:sz w:val="24"/>
          <w:szCs w:val="24"/>
        </w:rPr>
      </w:pPr>
      <w:r w:rsidRPr="00F3382F">
        <w:rPr>
          <w:sz w:val="24"/>
          <w:szCs w:val="24"/>
        </w:rPr>
        <w:t>NHS Providers must ensure that any Board level appointments meet the ‘Fit and Proper Persons Test’ and this will be subject to scrutiny and inspection by the CQC.</w:t>
      </w:r>
    </w:p>
    <w:p w:rsidR="00F3382F" w:rsidRPr="00F3382F" w:rsidRDefault="00F3382F" w:rsidP="00F3382F">
      <w:pPr>
        <w:pStyle w:val="NoSpacing"/>
        <w:rPr>
          <w:sz w:val="24"/>
          <w:szCs w:val="24"/>
        </w:rPr>
      </w:pPr>
    </w:p>
    <w:p w:rsidR="00913101" w:rsidRDefault="00913101" w:rsidP="00913101">
      <w:pPr>
        <w:rPr>
          <w:sz w:val="24"/>
          <w:szCs w:val="24"/>
        </w:rPr>
      </w:pPr>
      <w:r>
        <w:rPr>
          <w:sz w:val="24"/>
          <w:szCs w:val="24"/>
        </w:rPr>
        <w:t>The requirements for fit and proper persons are:</w:t>
      </w:r>
    </w:p>
    <w:p w:rsidR="00913101" w:rsidRDefault="00F3382F" w:rsidP="00F3382F">
      <w:pPr>
        <w:pStyle w:val="NoSpacing"/>
        <w:numPr>
          <w:ilvl w:val="0"/>
          <w:numId w:val="8"/>
        </w:numPr>
      </w:pPr>
      <w:r>
        <w:t>Of good character</w:t>
      </w:r>
    </w:p>
    <w:p w:rsidR="00F3382F" w:rsidRDefault="00F3382F" w:rsidP="00F3382F">
      <w:pPr>
        <w:pStyle w:val="NoSpacing"/>
        <w:numPr>
          <w:ilvl w:val="0"/>
          <w:numId w:val="8"/>
        </w:numPr>
      </w:pPr>
      <w:r>
        <w:t>Have the necessary qualifications, skills and experience</w:t>
      </w:r>
    </w:p>
    <w:p w:rsidR="00F3382F" w:rsidRDefault="00F3382F" w:rsidP="00F3382F">
      <w:pPr>
        <w:pStyle w:val="NoSpacing"/>
        <w:numPr>
          <w:ilvl w:val="0"/>
          <w:numId w:val="8"/>
        </w:numPr>
      </w:pPr>
      <w:r>
        <w:t>Able to perform the work that they are employed for (with reasonable adjustments)</w:t>
      </w:r>
    </w:p>
    <w:p w:rsidR="00F3382F" w:rsidRPr="00913101" w:rsidRDefault="00F3382F" w:rsidP="00F3382F">
      <w:pPr>
        <w:pStyle w:val="NoSpacing"/>
        <w:numPr>
          <w:ilvl w:val="0"/>
          <w:numId w:val="8"/>
        </w:numPr>
      </w:pPr>
      <w:r>
        <w:t>Can prove that they are not an unfit person</w:t>
      </w:r>
      <w:r>
        <w:br/>
      </w:r>
    </w:p>
    <w:p w:rsidR="00913101" w:rsidRPr="00913101" w:rsidRDefault="00913101" w:rsidP="00913101">
      <w:pPr>
        <w:rPr>
          <w:sz w:val="24"/>
          <w:szCs w:val="24"/>
        </w:rPr>
      </w:pPr>
      <w:r w:rsidRPr="00913101">
        <w:rPr>
          <w:sz w:val="24"/>
          <w:szCs w:val="24"/>
        </w:rPr>
        <w:t>A person will be deemed unfit if:</w:t>
      </w:r>
    </w:p>
    <w:p w:rsidR="00F3382F" w:rsidRDefault="00C77D38" w:rsidP="00F3382F">
      <w:pPr>
        <w:pStyle w:val="ListParagraph"/>
        <w:numPr>
          <w:ilvl w:val="0"/>
          <w:numId w:val="7"/>
        </w:numPr>
      </w:pPr>
      <w:r w:rsidRPr="00913101">
        <w:t>Within the preceding 5 years have been convicted in the UK of any criminal offence (or elsewhere if the offence is seen as criminal in the UK)</w:t>
      </w:r>
    </w:p>
    <w:p w:rsidR="00C544B9" w:rsidRPr="00F3382F" w:rsidRDefault="00C77D38" w:rsidP="00F3382F">
      <w:pPr>
        <w:pStyle w:val="ListParagraph"/>
        <w:numPr>
          <w:ilvl w:val="0"/>
          <w:numId w:val="7"/>
        </w:numPr>
      </w:pPr>
      <w:r w:rsidRPr="00F3382F">
        <w:t>Been sentenced to a sentence of imprisonment (suspended or not) for a period of not less than 3 months (without the option of a fine)</w:t>
      </w:r>
    </w:p>
    <w:p w:rsidR="00C544B9" w:rsidRPr="00913101" w:rsidRDefault="00C77D38" w:rsidP="00F3382F">
      <w:pPr>
        <w:pStyle w:val="ListParagraph"/>
        <w:numPr>
          <w:ilvl w:val="0"/>
          <w:numId w:val="7"/>
        </w:numPr>
      </w:pPr>
      <w:r w:rsidRPr="00913101">
        <w:t>Is an undischarged bankrupt</w:t>
      </w:r>
    </w:p>
    <w:p w:rsidR="00C544B9" w:rsidRPr="00913101" w:rsidRDefault="00C77D38" w:rsidP="00F3382F">
      <w:pPr>
        <w:pStyle w:val="ListParagraph"/>
        <w:numPr>
          <w:ilvl w:val="0"/>
          <w:numId w:val="7"/>
        </w:numPr>
      </w:pPr>
      <w:r w:rsidRPr="00913101">
        <w:t>Is subject to bankruptcy restrictions</w:t>
      </w:r>
    </w:p>
    <w:p w:rsidR="00C544B9" w:rsidRPr="00913101" w:rsidRDefault="00C77D38" w:rsidP="00F3382F">
      <w:pPr>
        <w:pStyle w:val="ListParagraph"/>
        <w:numPr>
          <w:ilvl w:val="0"/>
          <w:numId w:val="7"/>
        </w:numPr>
      </w:pPr>
      <w:r w:rsidRPr="00913101">
        <w:t>Has made a composition or arrangement with creditors and has not been discharged in respect of it</w:t>
      </w:r>
    </w:p>
    <w:p w:rsidR="00C544B9" w:rsidRPr="00913101" w:rsidRDefault="00C77D38" w:rsidP="00F3382F">
      <w:pPr>
        <w:pStyle w:val="ListParagraph"/>
        <w:numPr>
          <w:ilvl w:val="0"/>
          <w:numId w:val="7"/>
        </w:numPr>
      </w:pPr>
      <w:r w:rsidRPr="00913101">
        <w:t>Is included in the children’s or adult’s barred list under Section 2 Safeguarding Vulnerable Groups Act 2006</w:t>
      </w:r>
    </w:p>
    <w:p w:rsidR="004A5D41" w:rsidRDefault="00C77D38" w:rsidP="004A5D41">
      <w:pPr>
        <w:pStyle w:val="ListParagraph"/>
        <w:numPr>
          <w:ilvl w:val="0"/>
          <w:numId w:val="7"/>
        </w:numPr>
      </w:pPr>
      <w:r w:rsidRPr="00913101">
        <w:t>Subject to an unexpired disqualification order made under the Company Directors’ Disqualification Act 1986</w:t>
      </w:r>
      <w:r w:rsidR="00F3382F">
        <w:br/>
      </w:r>
    </w:p>
    <w:p w:rsidR="004A5D41" w:rsidRDefault="004A5D41" w:rsidP="004A5D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have adjusted our recruitment processes as follows:</w:t>
      </w:r>
    </w:p>
    <w:p w:rsidR="004A5D41" w:rsidRPr="004A5D41" w:rsidRDefault="004A5D41" w:rsidP="004A5D41">
      <w:pPr>
        <w:pStyle w:val="NoSpacing"/>
        <w:rPr>
          <w:sz w:val="24"/>
          <w:szCs w:val="24"/>
        </w:rPr>
      </w:pPr>
    </w:p>
    <w:p w:rsidR="004A5D41" w:rsidRPr="004A5D41" w:rsidRDefault="004A5D41" w:rsidP="009131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appointments</w:t>
      </w:r>
    </w:p>
    <w:p w:rsidR="00C544B9" w:rsidRPr="005B7E3E" w:rsidRDefault="00C77D38" w:rsidP="005B7E3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5B7E3E">
        <w:rPr>
          <w:sz w:val="24"/>
          <w:szCs w:val="24"/>
        </w:rPr>
        <w:t>Separate reference form for senior appointments that asks specific questions about misconduct or mismanagement in the course of discharging functions relating to their current or previous positions</w:t>
      </w:r>
      <w:r w:rsidR="004A5D41" w:rsidRPr="005B7E3E">
        <w:rPr>
          <w:sz w:val="24"/>
          <w:szCs w:val="24"/>
        </w:rPr>
        <w:t xml:space="preserve"> relating to health/social care or children or vulnerable adults.</w:t>
      </w:r>
    </w:p>
    <w:p w:rsidR="00C544B9" w:rsidRPr="005B7E3E" w:rsidRDefault="00C77D38" w:rsidP="005B7E3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5B7E3E">
        <w:rPr>
          <w:sz w:val="24"/>
          <w:szCs w:val="24"/>
        </w:rPr>
        <w:t>References to cover the last 5 years of employment</w:t>
      </w:r>
      <w:r w:rsidR="004A5D41" w:rsidRPr="005B7E3E">
        <w:rPr>
          <w:sz w:val="24"/>
          <w:szCs w:val="24"/>
        </w:rPr>
        <w:t xml:space="preserve"> with all gaps in employment accounted for.</w:t>
      </w:r>
    </w:p>
    <w:p w:rsidR="004A5D41" w:rsidRPr="005B7E3E" w:rsidRDefault="00C77D38" w:rsidP="005B7E3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5B7E3E">
        <w:rPr>
          <w:sz w:val="24"/>
          <w:szCs w:val="24"/>
        </w:rPr>
        <w:t>DBS check</w:t>
      </w:r>
      <w:r w:rsidR="004A5D41" w:rsidRPr="005B7E3E">
        <w:rPr>
          <w:sz w:val="24"/>
          <w:szCs w:val="24"/>
        </w:rPr>
        <w:t>s</w:t>
      </w:r>
      <w:r w:rsidRPr="005B7E3E">
        <w:rPr>
          <w:sz w:val="24"/>
          <w:szCs w:val="24"/>
        </w:rPr>
        <w:t xml:space="preserve"> at </w:t>
      </w:r>
      <w:r w:rsidR="004A5D41" w:rsidRPr="005B7E3E">
        <w:rPr>
          <w:sz w:val="24"/>
          <w:szCs w:val="24"/>
        </w:rPr>
        <w:t>basic level for non-executive directors and at an appropriate level for all executive directors as determined by the nature of their role.</w:t>
      </w:r>
      <w:r w:rsidRPr="005B7E3E">
        <w:rPr>
          <w:sz w:val="24"/>
          <w:szCs w:val="24"/>
        </w:rPr>
        <w:t xml:space="preserve"> </w:t>
      </w:r>
    </w:p>
    <w:p w:rsidR="00C544B9" w:rsidRPr="005B7E3E" w:rsidRDefault="00C77D38" w:rsidP="005B7E3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5B7E3E">
        <w:rPr>
          <w:sz w:val="24"/>
          <w:szCs w:val="24"/>
        </w:rPr>
        <w:lastRenderedPageBreak/>
        <w:t>Appointed staff will be required to produce certificates that confirm that they hold the necessary qualifications/professional registration, these should be copied, certified and then held on their personal file</w:t>
      </w:r>
    </w:p>
    <w:p w:rsidR="004A5D41" w:rsidRPr="005B7E3E" w:rsidRDefault="004A5D41" w:rsidP="005B7E3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5B7E3E">
        <w:rPr>
          <w:sz w:val="24"/>
          <w:szCs w:val="24"/>
        </w:rPr>
        <w:t>Proof of identity including a recent photograph to be kept on file.</w:t>
      </w:r>
    </w:p>
    <w:p w:rsidR="004A5D41" w:rsidRPr="005B7E3E" w:rsidRDefault="004A5D41" w:rsidP="005B7E3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5B7E3E">
        <w:rPr>
          <w:sz w:val="24"/>
          <w:szCs w:val="24"/>
        </w:rPr>
        <w:t>Contract of employment amended to include that a condition of continuing employment is that they must remain a fit and proper person.</w:t>
      </w:r>
    </w:p>
    <w:p w:rsidR="00913101" w:rsidRDefault="00C77D38" w:rsidP="00187A7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187A7E">
        <w:rPr>
          <w:sz w:val="24"/>
          <w:szCs w:val="24"/>
        </w:rPr>
        <w:t xml:space="preserve">The </w:t>
      </w:r>
      <w:r w:rsidR="00F95012">
        <w:rPr>
          <w:sz w:val="24"/>
          <w:szCs w:val="24"/>
        </w:rPr>
        <w:t xml:space="preserve">Council of Governors Nomination &amp; Remuneration Committee </w:t>
      </w:r>
      <w:r w:rsidR="00187A7E">
        <w:rPr>
          <w:sz w:val="24"/>
          <w:szCs w:val="24"/>
        </w:rPr>
        <w:t xml:space="preserve">together with the </w:t>
      </w:r>
      <w:r w:rsidR="00F95012">
        <w:rPr>
          <w:sz w:val="24"/>
          <w:szCs w:val="24"/>
        </w:rPr>
        <w:t xml:space="preserve">Board of Directors Remuneration Committee </w:t>
      </w:r>
      <w:r w:rsidR="00187A7E">
        <w:rPr>
          <w:sz w:val="24"/>
          <w:szCs w:val="24"/>
        </w:rPr>
        <w:t>is responsible for satisfying themselves that relevant checks have been carried out.</w:t>
      </w:r>
    </w:p>
    <w:p w:rsidR="00187A7E" w:rsidRPr="00187A7E" w:rsidRDefault="00187A7E" w:rsidP="00187A7E">
      <w:pPr>
        <w:pStyle w:val="NoSpacing"/>
        <w:rPr>
          <w:sz w:val="24"/>
          <w:szCs w:val="24"/>
        </w:rPr>
      </w:pPr>
    </w:p>
    <w:p w:rsidR="00913101" w:rsidRPr="00913101" w:rsidRDefault="005B7E3E" w:rsidP="009131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Existing directors/non-executive directors</w:t>
      </w:r>
    </w:p>
    <w:p w:rsidR="00CD3605" w:rsidRDefault="00CD3605" w:rsidP="005B7E3E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Existing staff will be required to sign a Fit and Proper Person Declaration form.  This will be reviewed on an annual basis to ensure that they </w:t>
      </w:r>
      <w:r w:rsidR="00C77D38" w:rsidRPr="005B7E3E">
        <w:rPr>
          <w:sz w:val="24"/>
          <w:szCs w:val="24"/>
        </w:rPr>
        <w:t>remain fit and proper.</w:t>
      </w:r>
      <w:r>
        <w:rPr>
          <w:sz w:val="24"/>
          <w:szCs w:val="24"/>
        </w:rPr>
        <w:br/>
      </w:r>
    </w:p>
    <w:p w:rsidR="00C544B9" w:rsidRDefault="00CD3605" w:rsidP="005B7E3E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DBS checks will </w:t>
      </w:r>
      <w:r w:rsidR="00A5377F">
        <w:rPr>
          <w:sz w:val="24"/>
          <w:szCs w:val="24"/>
        </w:rPr>
        <w:t xml:space="preserve">need to </w:t>
      </w:r>
      <w:r>
        <w:rPr>
          <w:sz w:val="24"/>
          <w:szCs w:val="24"/>
        </w:rPr>
        <w:t>be carried out</w:t>
      </w:r>
      <w:r w:rsidR="00A5377F">
        <w:rPr>
          <w:sz w:val="24"/>
          <w:szCs w:val="24"/>
        </w:rPr>
        <w:t xml:space="preserve"> on all directors whose DBS check is more than one year old.</w:t>
      </w:r>
      <w:r w:rsidR="00C77D38" w:rsidRPr="005B7E3E">
        <w:rPr>
          <w:sz w:val="24"/>
          <w:szCs w:val="24"/>
        </w:rPr>
        <w:t xml:space="preserve">  </w:t>
      </w:r>
      <w:r w:rsidR="00A5377F">
        <w:rPr>
          <w:sz w:val="24"/>
          <w:szCs w:val="24"/>
        </w:rPr>
        <w:t>In addition w</w:t>
      </w:r>
      <w:r w:rsidR="00C77D38" w:rsidRPr="005B7E3E">
        <w:rPr>
          <w:sz w:val="24"/>
          <w:szCs w:val="24"/>
        </w:rPr>
        <w:t xml:space="preserve">e </w:t>
      </w:r>
      <w:r w:rsidR="00A5377F">
        <w:rPr>
          <w:sz w:val="24"/>
          <w:szCs w:val="24"/>
        </w:rPr>
        <w:t xml:space="preserve">would </w:t>
      </w:r>
      <w:r w:rsidR="00C77D38" w:rsidRPr="005B7E3E">
        <w:rPr>
          <w:sz w:val="24"/>
          <w:szCs w:val="24"/>
        </w:rPr>
        <w:t xml:space="preserve">propose </w:t>
      </w:r>
      <w:r w:rsidR="00A5377F">
        <w:rPr>
          <w:sz w:val="24"/>
          <w:szCs w:val="24"/>
        </w:rPr>
        <w:t>that directors subscribe</w:t>
      </w:r>
      <w:r w:rsidR="00C77D38" w:rsidRPr="005B7E3E">
        <w:rPr>
          <w:sz w:val="24"/>
          <w:szCs w:val="24"/>
        </w:rPr>
        <w:t xml:space="preserve"> to the DBS update service which gives us an </w:t>
      </w:r>
      <w:r w:rsidR="00A5377F">
        <w:rPr>
          <w:sz w:val="24"/>
          <w:szCs w:val="24"/>
        </w:rPr>
        <w:t xml:space="preserve">immediate </w:t>
      </w:r>
      <w:r w:rsidR="00C77D38" w:rsidRPr="005B7E3E">
        <w:rPr>
          <w:sz w:val="24"/>
          <w:szCs w:val="24"/>
        </w:rPr>
        <w:t xml:space="preserve">update if there is any </w:t>
      </w:r>
      <w:r w:rsidR="00A5377F">
        <w:rPr>
          <w:sz w:val="24"/>
          <w:szCs w:val="24"/>
        </w:rPr>
        <w:t>activity since the last</w:t>
      </w:r>
      <w:r w:rsidR="00C77D38" w:rsidRPr="005B7E3E">
        <w:rPr>
          <w:sz w:val="24"/>
          <w:szCs w:val="24"/>
        </w:rPr>
        <w:t xml:space="preserve"> DBS was carried out.</w:t>
      </w:r>
      <w:r w:rsidR="00A5377F">
        <w:rPr>
          <w:sz w:val="24"/>
          <w:szCs w:val="24"/>
        </w:rPr>
        <w:t xml:space="preserve">  </w:t>
      </w:r>
    </w:p>
    <w:p w:rsidR="005B7E3E" w:rsidRPr="005B7E3E" w:rsidRDefault="005B7E3E" w:rsidP="005B7E3E">
      <w:pPr>
        <w:pStyle w:val="NoSpacing"/>
        <w:ind w:left="720"/>
        <w:rPr>
          <w:sz w:val="24"/>
          <w:szCs w:val="24"/>
        </w:rPr>
      </w:pPr>
    </w:p>
    <w:p w:rsidR="00A5377F" w:rsidRDefault="005B7E3E" w:rsidP="00A5377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5B7E3E">
        <w:rPr>
          <w:sz w:val="24"/>
          <w:szCs w:val="24"/>
        </w:rPr>
        <w:t>Existing staff that are to cover</w:t>
      </w:r>
      <w:r>
        <w:rPr>
          <w:sz w:val="24"/>
          <w:szCs w:val="24"/>
        </w:rPr>
        <w:t xml:space="preserve"> (act up)</w:t>
      </w:r>
      <w:r w:rsidRPr="005B7E3E">
        <w:rPr>
          <w:sz w:val="24"/>
          <w:szCs w:val="24"/>
        </w:rPr>
        <w:t xml:space="preserve"> for an interim period a post that falls under the fit and proper person test will be required to undertake an appropriate DBS check. </w:t>
      </w:r>
    </w:p>
    <w:p w:rsidR="00A5377F" w:rsidRPr="00A5377F" w:rsidRDefault="00A5377F" w:rsidP="00A5377F">
      <w:pPr>
        <w:pStyle w:val="NoSpacing"/>
        <w:ind w:left="720"/>
        <w:rPr>
          <w:sz w:val="24"/>
          <w:szCs w:val="24"/>
        </w:rPr>
      </w:pPr>
    </w:p>
    <w:p w:rsidR="005B7E3E" w:rsidRDefault="00A5377F" w:rsidP="00A5377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recruitment team w</w:t>
      </w:r>
      <w:r w:rsidR="00437F9C">
        <w:rPr>
          <w:sz w:val="24"/>
          <w:szCs w:val="24"/>
        </w:rPr>
        <w:t>ill be in contact with all the directors and non-executive d</w:t>
      </w:r>
      <w:r>
        <w:rPr>
          <w:sz w:val="24"/>
          <w:szCs w:val="24"/>
        </w:rPr>
        <w:t>irectors to obtain a recent photograph, a signed declaration form and a contract variation letter is in place.</w:t>
      </w:r>
      <w:r w:rsidR="005B7E3E" w:rsidRPr="00A53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Instructions will also be given on how to access our on-line DBS application process.</w:t>
      </w:r>
    </w:p>
    <w:p w:rsidR="00C77D38" w:rsidRDefault="00C77D38" w:rsidP="009D5FA1">
      <w:pPr>
        <w:pStyle w:val="NoSpacing"/>
        <w:rPr>
          <w:sz w:val="24"/>
          <w:szCs w:val="24"/>
        </w:rPr>
      </w:pPr>
    </w:p>
    <w:p w:rsidR="00C77D38" w:rsidRDefault="00437F9C" w:rsidP="009D5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separate document on how the recruitment p</w:t>
      </w:r>
      <w:r w:rsidR="00C77D38">
        <w:rPr>
          <w:sz w:val="24"/>
          <w:szCs w:val="24"/>
        </w:rPr>
        <w:t>rocess not only complies with the regulations but gives assurance to the Board and to the CQC is attached separately.</w:t>
      </w:r>
    </w:p>
    <w:p w:rsidR="004A626C" w:rsidRDefault="004A626C" w:rsidP="009D5FA1">
      <w:pPr>
        <w:pStyle w:val="NoSpacing"/>
        <w:rPr>
          <w:sz w:val="24"/>
          <w:szCs w:val="24"/>
        </w:rPr>
      </w:pPr>
    </w:p>
    <w:p w:rsidR="00C77D38" w:rsidRDefault="00C77D38" w:rsidP="009D5FA1">
      <w:pPr>
        <w:pStyle w:val="NoSpacing"/>
        <w:rPr>
          <w:sz w:val="24"/>
          <w:szCs w:val="24"/>
        </w:rPr>
      </w:pPr>
    </w:p>
    <w:p w:rsidR="00C77D38" w:rsidRDefault="00C77D38" w:rsidP="009D5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Human Resources</w:t>
      </w:r>
    </w:p>
    <w:p w:rsidR="00C77D38" w:rsidRPr="009D5FA1" w:rsidRDefault="00C77D38" w:rsidP="009D5F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2015</w:t>
      </w:r>
    </w:p>
    <w:sectPr w:rsidR="00C77D38" w:rsidRPr="009D5FA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FB" w:rsidRDefault="00880CFB" w:rsidP="00880CFB">
      <w:pPr>
        <w:spacing w:after="0" w:line="240" w:lineRule="auto"/>
      </w:pPr>
      <w:r>
        <w:separator/>
      </w:r>
    </w:p>
  </w:endnote>
  <w:endnote w:type="continuationSeparator" w:id="0">
    <w:p w:rsidR="00880CFB" w:rsidRDefault="00880CFB" w:rsidP="0088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FB" w:rsidRDefault="00880CFB" w:rsidP="00880CFB">
      <w:pPr>
        <w:spacing w:after="0" w:line="240" w:lineRule="auto"/>
      </w:pPr>
      <w:r>
        <w:separator/>
      </w:r>
    </w:p>
  </w:footnote>
  <w:footnote w:type="continuationSeparator" w:id="0">
    <w:p w:rsidR="00880CFB" w:rsidRDefault="00880CFB" w:rsidP="0088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FB" w:rsidRDefault="00880CFB" w:rsidP="00880CFB">
    <w:pPr>
      <w:pStyle w:val="Header"/>
      <w:jc w:val="right"/>
    </w:pPr>
    <w:r>
      <w:rPr>
        <w:noProof/>
        <w:lang w:eastAsia="en-GB"/>
      </w:rPr>
      <w:drawing>
        <wp:inline distT="0" distB="0" distL="0" distR="0" wp14:anchorId="450C25CB" wp14:editId="7E12A9FE">
          <wp:extent cx="2548128" cy="507492"/>
          <wp:effectExtent l="19050" t="0" r="4572" b="0"/>
          <wp:docPr id="1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8128" cy="507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CFB" w:rsidRDefault="00880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42F"/>
    <w:multiLevelType w:val="hybridMultilevel"/>
    <w:tmpl w:val="8AAA4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C66"/>
    <w:multiLevelType w:val="hybridMultilevel"/>
    <w:tmpl w:val="3BF0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6A71"/>
    <w:multiLevelType w:val="hybridMultilevel"/>
    <w:tmpl w:val="59602B72"/>
    <w:lvl w:ilvl="0" w:tplc="3F10B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EE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09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A3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A6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C7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A2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40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66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4962EC"/>
    <w:multiLevelType w:val="hybridMultilevel"/>
    <w:tmpl w:val="BEB6E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10CC6"/>
    <w:multiLevelType w:val="hybridMultilevel"/>
    <w:tmpl w:val="7024B030"/>
    <w:lvl w:ilvl="0" w:tplc="CFBC0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2D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8F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81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4A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8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A8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E0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CC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2532A3"/>
    <w:multiLevelType w:val="hybridMultilevel"/>
    <w:tmpl w:val="C05068E4"/>
    <w:lvl w:ilvl="0" w:tplc="903A7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CA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0B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49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AD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A0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20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8B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84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DB136F"/>
    <w:multiLevelType w:val="hybridMultilevel"/>
    <w:tmpl w:val="3760B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56B85"/>
    <w:multiLevelType w:val="hybridMultilevel"/>
    <w:tmpl w:val="2F68FB06"/>
    <w:lvl w:ilvl="0" w:tplc="C776A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0C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0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A5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4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69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0E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A6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2F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90F583F"/>
    <w:multiLevelType w:val="hybridMultilevel"/>
    <w:tmpl w:val="5B5A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E6CD1"/>
    <w:multiLevelType w:val="hybridMultilevel"/>
    <w:tmpl w:val="FE26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20228"/>
    <w:multiLevelType w:val="hybridMultilevel"/>
    <w:tmpl w:val="AC44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01"/>
    <w:rsid w:val="00187A7E"/>
    <w:rsid w:val="001F3968"/>
    <w:rsid w:val="00437F9C"/>
    <w:rsid w:val="004A5D41"/>
    <w:rsid w:val="004A626C"/>
    <w:rsid w:val="004D2C50"/>
    <w:rsid w:val="004D6D81"/>
    <w:rsid w:val="005B7E3E"/>
    <w:rsid w:val="00880CFB"/>
    <w:rsid w:val="00913101"/>
    <w:rsid w:val="009D5FA1"/>
    <w:rsid w:val="00A5377F"/>
    <w:rsid w:val="00C544B9"/>
    <w:rsid w:val="00C77D38"/>
    <w:rsid w:val="00CD3605"/>
    <w:rsid w:val="00CF257B"/>
    <w:rsid w:val="00F3382F"/>
    <w:rsid w:val="00F775B0"/>
    <w:rsid w:val="00F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01"/>
    <w:pPr>
      <w:ind w:left="720"/>
      <w:contextualSpacing/>
    </w:pPr>
  </w:style>
  <w:style w:type="paragraph" w:styleId="NoSpacing">
    <w:name w:val="No Spacing"/>
    <w:uiPriority w:val="1"/>
    <w:qFormat/>
    <w:rsid w:val="00F3382F"/>
    <w:pPr>
      <w:spacing w:after="0" w:line="240" w:lineRule="auto"/>
    </w:pPr>
  </w:style>
  <w:style w:type="table" w:styleId="TableGrid">
    <w:name w:val="Table Grid"/>
    <w:basedOn w:val="TableNormal"/>
    <w:uiPriority w:val="59"/>
    <w:rsid w:val="004D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FB"/>
  </w:style>
  <w:style w:type="paragraph" w:styleId="Footer">
    <w:name w:val="footer"/>
    <w:basedOn w:val="Normal"/>
    <w:link w:val="FooterChar"/>
    <w:uiPriority w:val="99"/>
    <w:unhideWhenUsed/>
    <w:rsid w:val="00880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FB"/>
  </w:style>
  <w:style w:type="paragraph" w:styleId="BalloonText">
    <w:name w:val="Balloon Text"/>
    <w:basedOn w:val="Normal"/>
    <w:link w:val="BalloonTextChar"/>
    <w:uiPriority w:val="99"/>
    <w:semiHidden/>
    <w:unhideWhenUsed/>
    <w:rsid w:val="0088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01"/>
    <w:pPr>
      <w:ind w:left="720"/>
      <w:contextualSpacing/>
    </w:pPr>
  </w:style>
  <w:style w:type="paragraph" w:styleId="NoSpacing">
    <w:name w:val="No Spacing"/>
    <w:uiPriority w:val="1"/>
    <w:qFormat/>
    <w:rsid w:val="00F3382F"/>
    <w:pPr>
      <w:spacing w:after="0" w:line="240" w:lineRule="auto"/>
    </w:pPr>
  </w:style>
  <w:style w:type="table" w:styleId="TableGrid">
    <w:name w:val="Table Grid"/>
    <w:basedOn w:val="TableNormal"/>
    <w:uiPriority w:val="59"/>
    <w:rsid w:val="004D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FB"/>
  </w:style>
  <w:style w:type="paragraph" w:styleId="Footer">
    <w:name w:val="footer"/>
    <w:basedOn w:val="Normal"/>
    <w:link w:val="FooterChar"/>
    <w:uiPriority w:val="99"/>
    <w:unhideWhenUsed/>
    <w:rsid w:val="00880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FB"/>
  </w:style>
  <w:style w:type="paragraph" w:styleId="BalloonText">
    <w:name w:val="Balloon Text"/>
    <w:basedOn w:val="Normal"/>
    <w:link w:val="BalloonTextChar"/>
    <w:uiPriority w:val="99"/>
    <w:semiHidden/>
    <w:unhideWhenUsed/>
    <w:rsid w:val="0088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3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8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3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7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8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2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9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Geekie Eileen (RNU) Oxford Health</dc:creator>
  <cp:lastModifiedBy>Habner Justinian (RNU) Oxford Health</cp:lastModifiedBy>
  <cp:revision>2</cp:revision>
  <dcterms:created xsi:type="dcterms:W3CDTF">2015-02-18T09:54:00Z</dcterms:created>
  <dcterms:modified xsi:type="dcterms:W3CDTF">2015-02-18T09:54:00Z</dcterms:modified>
</cp:coreProperties>
</file>