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951AEB">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4019550</wp:posOffset>
                </wp:positionH>
                <wp:positionV relativeFrom="paragraph">
                  <wp:posOffset>161925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755AF8">
                              <w:rPr>
                                <w:sz w:val="22"/>
                              </w:rPr>
                              <w:t>0</w:t>
                            </w:r>
                            <w:r w:rsidR="000B5387">
                              <w:rPr>
                                <w:sz w:val="22"/>
                              </w:rPr>
                              <w:t>0</w:t>
                            </w:r>
                            <w:r w:rsidR="00FD3370">
                              <w:rPr>
                                <w:sz w:val="22"/>
                              </w:rPr>
                              <w:t>/2015</w:t>
                            </w:r>
                          </w:p>
                          <w:p w:rsidR="00A13B62" w:rsidRDefault="000B5387" w:rsidP="00A13B62">
                            <w:pPr>
                              <w:pStyle w:val="BodyText"/>
                              <w:rPr>
                                <w:b w:val="0"/>
                                <w:sz w:val="22"/>
                                <w:szCs w:val="22"/>
                              </w:rPr>
                            </w:pPr>
                            <w:r>
                              <w:rPr>
                                <w:b w:val="0"/>
                                <w:sz w:val="22"/>
                                <w:szCs w:val="22"/>
                              </w:rPr>
                              <w:t>(Agenda item: x</w:t>
                            </w:r>
                            <w:r w:rsidR="00A13B62">
                              <w:rPr>
                                <w:b w:val="0"/>
                                <w:sz w:val="22"/>
                                <w:szCs w:val="22"/>
                              </w:rPr>
                              <w:t>)</w:t>
                            </w:r>
                          </w:p>
                          <w:p w:rsidR="00A13B62" w:rsidRDefault="00A13B62">
                            <w:pPr>
                              <w:pStyle w:val="BodyText"/>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5pt;margin-top:1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">
                <v:textbox inset="0,0,0,0">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755AF8">
                        <w:rPr>
                          <w:sz w:val="22"/>
                        </w:rPr>
                        <w:t>0</w:t>
                      </w:r>
                      <w:r w:rsidR="000B5387">
                        <w:rPr>
                          <w:sz w:val="22"/>
                        </w:rPr>
                        <w:t>0</w:t>
                      </w:r>
                      <w:r w:rsidR="00FD3370">
                        <w:rPr>
                          <w:sz w:val="22"/>
                        </w:rPr>
                        <w:t>/2015</w:t>
                      </w:r>
                    </w:p>
                    <w:p w:rsidR="00A13B62" w:rsidRDefault="000B5387" w:rsidP="00A13B62">
                      <w:pPr>
                        <w:pStyle w:val="BodyText"/>
                        <w:rPr>
                          <w:b w:val="0"/>
                          <w:sz w:val="22"/>
                          <w:szCs w:val="22"/>
                        </w:rPr>
                      </w:pPr>
                      <w:r>
                        <w:rPr>
                          <w:b w:val="0"/>
                          <w:sz w:val="22"/>
                          <w:szCs w:val="22"/>
                        </w:rPr>
                        <w:t>(Agenda item: x</w:t>
                      </w:r>
                      <w:r w:rsidR="00A13B62">
                        <w:rPr>
                          <w:b w:val="0"/>
                          <w:sz w:val="22"/>
                          <w:szCs w:val="22"/>
                        </w:rPr>
                        <w:t>)</w:t>
                      </w:r>
                    </w:p>
                    <w:p w:rsidR="00A13B62" w:rsidRDefault="00A13B62">
                      <w:pPr>
                        <w:pStyle w:val="BodyText"/>
                        <w:rPr>
                          <w:sz w:val="22"/>
                        </w:rPr>
                      </w:pPr>
                    </w:p>
                  </w:txbxContent>
                </v:textbox>
              </v:rect>
            </w:pict>
          </mc:Fallback>
        </mc:AlternateContent>
      </w:r>
    </w:p>
    <w:p w:rsidR="00251439" w:rsidRDefault="00251439">
      <w:pPr>
        <w:jc w:val="center"/>
        <w:rPr>
          <w:rFonts w:ascii="Frutiger" w:hAnsi="Frutiger"/>
        </w:rPr>
      </w:pPr>
    </w:p>
    <w:p w:rsidR="00251439" w:rsidRDefault="00251439">
      <w:pPr>
        <w:jc w:val="center"/>
        <w:rPr>
          <w:rFonts w:ascii="Frutiger" w:hAnsi="Frutiger"/>
        </w:rPr>
      </w:pPr>
    </w:p>
    <w:p w:rsidR="00251439" w:rsidRDefault="00251439">
      <w:pPr>
        <w:jc w:val="center"/>
        <w:rPr>
          <w:rFonts w:ascii="Frutiger" w:hAnsi="Frutiger"/>
        </w:rPr>
      </w:pPr>
    </w:p>
    <w:p w:rsidR="005D3499" w:rsidRDefault="005D3499">
      <w:pPr>
        <w:jc w:val="center"/>
        <w:rPr>
          <w:rFonts w:ascii="Frutiger" w:hAnsi="Frutiger"/>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4974B3" w:rsidRDefault="00AA30D6" w:rsidP="00BF7008">
      <w:pPr>
        <w:ind w:left="720"/>
        <w:jc w:val="center"/>
        <w:rPr>
          <w:rFonts w:ascii="Arial" w:hAnsi="Arial" w:cs="Arial"/>
          <w:b/>
        </w:rPr>
      </w:pPr>
      <w:r>
        <w:rPr>
          <w:rFonts w:ascii="Arial" w:hAnsi="Arial" w:cs="Arial"/>
          <w:b/>
        </w:rPr>
        <w:t>Board Meeting</w:t>
      </w:r>
    </w:p>
    <w:p w:rsidR="004974B3" w:rsidRDefault="004974B3" w:rsidP="00BF7008">
      <w:pPr>
        <w:ind w:left="720"/>
        <w:jc w:val="center"/>
        <w:rPr>
          <w:rFonts w:ascii="Arial" w:hAnsi="Arial" w:cs="Arial"/>
          <w:b/>
        </w:rPr>
      </w:pPr>
    </w:p>
    <w:p w:rsidR="00AA30D6" w:rsidRDefault="00D857B0" w:rsidP="00BF7008">
      <w:pPr>
        <w:ind w:left="720"/>
        <w:jc w:val="center"/>
        <w:rPr>
          <w:rFonts w:ascii="Arial" w:hAnsi="Arial" w:cs="Arial"/>
          <w:b/>
        </w:rPr>
      </w:pPr>
      <w:r>
        <w:rPr>
          <w:rFonts w:ascii="Arial" w:hAnsi="Arial" w:cs="Arial"/>
          <w:b/>
        </w:rPr>
        <w:t xml:space="preserve">25 </w:t>
      </w:r>
      <w:r w:rsidR="00676559">
        <w:rPr>
          <w:rFonts w:ascii="Arial" w:hAnsi="Arial" w:cs="Arial"/>
          <w:b/>
        </w:rPr>
        <w:t>March</w:t>
      </w:r>
      <w:r w:rsidR="00FD3370">
        <w:rPr>
          <w:rFonts w:ascii="Arial" w:hAnsi="Arial" w:cs="Arial"/>
          <w:b/>
        </w:rPr>
        <w:t xml:space="preserve"> 2015</w:t>
      </w:r>
    </w:p>
    <w:p w:rsidR="005D3499" w:rsidRDefault="005D3499" w:rsidP="00BF7008">
      <w:pPr>
        <w:ind w:left="720"/>
        <w:jc w:val="center"/>
        <w:rPr>
          <w:rFonts w:ascii="Arial" w:hAnsi="Arial" w:cs="Arial"/>
          <w:b/>
        </w:rPr>
      </w:pPr>
    </w:p>
    <w:p w:rsidR="005D3499" w:rsidRDefault="005D3499">
      <w:pPr>
        <w:jc w:val="center"/>
        <w:rPr>
          <w:rFonts w:ascii="Arial" w:hAnsi="Arial" w:cs="Arial"/>
          <w:b/>
        </w:rPr>
      </w:pPr>
    </w:p>
    <w:p w:rsidR="005D3499" w:rsidRDefault="004B4F48">
      <w:pPr>
        <w:jc w:val="center"/>
        <w:rPr>
          <w:rFonts w:ascii="Arial" w:hAnsi="Arial" w:cs="Arial"/>
          <w:b/>
        </w:rPr>
      </w:pPr>
      <w:r>
        <w:rPr>
          <w:rFonts w:ascii="Arial" w:hAnsi="Arial" w:cs="Arial"/>
          <w:b/>
        </w:rPr>
        <w:t>Chief Operating Officer’s Report</w:t>
      </w:r>
    </w:p>
    <w:p w:rsidR="005D3499" w:rsidRDefault="005D3499">
      <w:pPr>
        <w:rPr>
          <w:rFonts w:ascii="Arial" w:hAnsi="Arial" w:cs="Arial"/>
          <w:b/>
        </w:rPr>
      </w:pPr>
    </w:p>
    <w:p w:rsidR="00DC77D3" w:rsidRPr="00DC77D3" w:rsidRDefault="00DC77D3" w:rsidP="00292613">
      <w:pPr>
        <w:rPr>
          <w:rFonts w:ascii="Arial" w:hAnsi="Arial" w:cs="Arial"/>
        </w:rPr>
      </w:pPr>
      <w:r>
        <w:rPr>
          <w:rFonts w:ascii="Arial" w:hAnsi="Arial" w:cs="Arial"/>
        </w:rPr>
        <w:t>.</w:t>
      </w:r>
    </w:p>
    <w:p w:rsidR="00DC77D3" w:rsidRPr="00E7019B" w:rsidRDefault="00C12F11" w:rsidP="00292613">
      <w:pPr>
        <w:rPr>
          <w:rFonts w:ascii="Arial" w:hAnsi="Arial" w:cs="Arial"/>
          <w:b/>
          <w:u w:val="single"/>
        </w:rPr>
      </w:pPr>
      <w:r w:rsidRPr="00E7019B">
        <w:rPr>
          <w:rFonts w:ascii="Arial" w:hAnsi="Arial" w:cs="Arial"/>
          <w:b/>
          <w:u w:val="single"/>
        </w:rPr>
        <w:t xml:space="preserve">For </w:t>
      </w:r>
      <w:r w:rsidR="004047A0">
        <w:rPr>
          <w:rFonts w:ascii="Arial" w:hAnsi="Arial" w:cs="Arial"/>
          <w:b/>
          <w:u w:val="single"/>
        </w:rPr>
        <w:t>Information</w:t>
      </w:r>
    </w:p>
    <w:p w:rsidR="00C12F11" w:rsidRPr="00E7019B" w:rsidRDefault="00C12F11" w:rsidP="00292613">
      <w:pPr>
        <w:rPr>
          <w:rFonts w:ascii="Arial" w:hAnsi="Arial" w:cs="Arial"/>
          <w:b/>
          <w:u w:val="single"/>
        </w:rPr>
      </w:pPr>
    </w:p>
    <w:p w:rsidR="00106CB3" w:rsidRDefault="00C12F11" w:rsidP="00292613">
      <w:pPr>
        <w:rPr>
          <w:rFonts w:ascii="Arial" w:hAnsi="Arial" w:cs="Arial"/>
        </w:rPr>
      </w:pPr>
      <w:r w:rsidRPr="00E7019B">
        <w:rPr>
          <w:rFonts w:ascii="Arial" w:hAnsi="Arial" w:cs="Arial"/>
        </w:rPr>
        <w:t>This month’s report provides the Board with an update on:</w:t>
      </w:r>
    </w:p>
    <w:p w:rsidR="00106CB3" w:rsidRDefault="00106CB3" w:rsidP="00292613">
      <w:pPr>
        <w:rPr>
          <w:rFonts w:ascii="Arial" w:hAnsi="Arial" w:cs="Arial"/>
        </w:rPr>
      </w:pPr>
    </w:p>
    <w:p w:rsidR="00034C83" w:rsidRDefault="00034C83" w:rsidP="00106CB3">
      <w:pPr>
        <w:pStyle w:val="ListParagraph"/>
        <w:numPr>
          <w:ilvl w:val="0"/>
          <w:numId w:val="35"/>
        </w:numPr>
        <w:rPr>
          <w:rFonts w:ascii="Arial" w:hAnsi="Arial" w:cs="Arial"/>
        </w:rPr>
      </w:pPr>
      <w:r>
        <w:rPr>
          <w:rFonts w:ascii="Arial" w:hAnsi="Arial" w:cs="Arial"/>
        </w:rPr>
        <w:t>Children’s Community Nursing Service: Palliative and end of life care</w:t>
      </w:r>
    </w:p>
    <w:p w:rsidR="00034C83" w:rsidRDefault="00034C83" w:rsidP="00106CB3">
      <w:pPr>
        <w:pStyle w:val="ListParagraph"/>
        <w:numPr>
          <w:ilvl w:val="0"/>
          <w:numId w:val="35"/>
        </w:numPr>
        <w:rPr>
          <w:rFonts w:ascii="Arial" w:hAnsi="Arial" w:cs="Arial"/>
        </w:rPr>
      </w:pPr>
      <w:r>
        <w:rPr>
          <w:rFonts w:ascii="Arial" w:hAnsi="Arial" w:cs="Arial"/>
        </w:rPr>
        <w:t xml:space="preserve">The </w:t>
      </w:r>
      <w:proofErr w:type="spellStart"/>
      <w:r>
        <w:rPr>
          <w:rFonts w:ascii="Arial" w:hAnsi="Arial" w:cs="Arial"/>
        </w:rPr>
        <w:t>Whiteleaf</w:t>
      </w:r>
      <w:proofErr w:type="spellEnd"/>
      <w:r>
        <w:rPr>
          <w:rFonts w:ascii="Arial" w:hAnsi="Arial" w:cs="Arial"/>
        </w:rPr>
        <w:t xml:space="preserve"> Centre Benefits </w:t>
      </w:r>
      <w:proofErr w:type="spellStart"/>
      <w:r>
        <w:rPr>
          <w:rFonts w:ascii="Arial" w:hAnsi="Arial" w:cs="Arial"/>
        </w:rPr>
        <w:t>Realisation</w:t>
      </w:r>
      <w:proofErr w:type="spellEnd"/>
    </w:p>
    <w:p w:rsidR="00034C83" w:rsidRDefault="00034C83" w:rsidP="00106CB3">
      <w:pPr>
        <w:pStyle w:val="ListParagraph"/>
        <w:numPr>
          <w:ilvl w:val="0"/>
          <w:numId w:val="35"/>
        </w:numPr>
        <w:rPr>
          <w:rFonts w:ascii="Arial" w:hAnsi="Arial" w:cs="Arial"/>
        </w:rPr>
      </w:pPr>
      <w:r>
        <w:rPr>
          <w:rFonts w:ascii="Arial" w:hAnsi="Arial" w:cs="Arial"/>
        </w:rPr>
        <w:t>Memory Clinics</w:t>
      </w:r>
    </w:p>
    <w:p w:rsidR="00C12F11" w:rsidRPr="00034C83" w:rsidRDefault="00506DE8" w:rsidP="00034C83">
      <w:pPr>
        <w:rPr>
          <w:rFonts w:ascii="Arial" w:hAnsi="Arial" w:cs="Arial"/>
        </w:rPr>
      </w:pPr>
      <w:r w:rsidRPr="00034C83">
        <w:rPr>
          <w:rFonts w:ascii="Arial" w:hAnsi="Arial" w:cs="Arial"/>
        </w:rPr>
        <w:br/>
      </w:r>
    </w:p>
    <w:p w:rsidR="00E7019B" w:rsidRPr="00E7019B" w:rsidRDefault="00E7019B" w:rsidP="004047A0">
      <w:pPr>
        <w:pStyle w:val="ListParagraph"/>
        <w:rPr>
          <w:rFonts w:ascii="Arial" w:hAnsi="Arial" w:cs="Arial"/>
        </w:rPr>
      </w:pPr>
    </w:p>
    <w:p w:rsidR="00E8482A" w:rsidRPr="00E7019B" w:rsidRDefault="00E8482A" w:rsidP="00E67430">
      <w:pPr>
        <w:pStyle w:val="NoSpacing"/>
        <w:rPr>
          <w:rFonts w:ascii="Arial" w:hAnsi="Arial" w:cs="Arial"/>
          <w:sz w:val="24"/>
          <w:szCs w:val="24"/>
        </w:rPr>
      </w:pPr>
    </w:p>
    <w:p w:rsidR="004B4F48" w:rsidRPr="00E7019B" w:rsidRDefault="004B4F48" w:rsidP="00DC77D3">
      <w:pPr>
        <w:pStyle w:val="NoSpacing"/>
        <w:rPr>
          <w:rFonts w:ascii="Arial" w:hAnsi="Arial" w:cs="Arial"/>
          <w:b/>
          <w:sz w:val="24"/>
          <w:szCs w:val="24"/>
        </w:rPr>
      </w:pPr>
    </w:p>
    <w:p w:rsidR="0073522A" w:rsidRDefault="0073522A" w:rsidP="004B4F48">
      <w:pPr>
        <w:pStyle w:val="NoSpacing"/>
        <w:rPr>
          <w:rFonts w:ascii="Arial" w:hAnsi="Arial" w:cs="Arial"/>
          <w:b/>
          <w:sz w:val="24"/>
          <w:szCs w:val="24"/>
        </w:rPr>
      </w:pPr>
      <w:r w:rsidRPr="00E7019B">
        <w:rPr>
          <w:rFonts w:ascii="Arial" w:hAnsi="Arial" w:cs="Arial"/>
          <w:b/>
          <w:sz w:val="24"/>
          <w:szCs w:val="24"/>
        </w:rPr>
        <w:t>Recommendation</w:t>
      </w:r>
      <w:r w:rsidR="00DC77D3" w:rsidRPr="00E7019B">
        <w:rPr>
          <w:rFonts w:ascii="Arial" w:hAnsi="Arial" w:cs="Arial"/>
          <w:b/>
          <w:sz w:val="24"/>
          <w:szCs w:val="24"/>
        </w:rPr>
        <w:t>s</w:t>
      </w:r>
    </w:p>
    <w:p w:rsidR="004047A0" w:rsidRDefault="004047A0" w:rsidP="004B4F48">
      <w:pPr>
        <w:pStyle w:val="NoSpacing"/>
        <w:rPr>
          <w:rFonts w:ascii="Arial" w:hAnsi="Arial" w:cs="Arial"/>
          <w:b/>
          <w:sz w:val="24"/>
          <w:szCs w:val="24"/>
        </w:rPr>
      </w:pPr>
    </w:p>
    <w:p w:rsidR="004047A0" w:rsidRPr="004047A0" w:rsidRDefault="004047A0" w:rsidP="004B4F48">
      <w:pPr>
        <w:pStyle w:val="NoSpacing"/>
        <w:rPr>
          <w:rFonts w:ascii="Arial" w:hAnsi="Arial" w:cs="Arial"/>
          <w:sz w:val="24"/>
          <w:szCs w:val="24"/>
        </w:rPr>
      </w:pPr>
      <w:r>
        <w:rPr>
          <w:rFonts w:ascii="Arial" w:hAnsi="Arial" w:cs="Arial"/>
          <w:sz w:val="24"/>
          <w:szCs w:val="24"/>
        </w:rPr>
        <w:t>The Bo</w:t>
      </w:r>
      <w:r w:rsidR="00593024">
        <w:rPr>
          <w:rFonts w:ascii="Arial" w:hAnsi="Arial" w:cs="Arial"/>
          <w:sz w:val="24"/>
          <w:szCs w:val="24"/>
        </w:rPr>
        <w:t>ard is asked to note the report</w:t>
      </w:r>
      <w:r>
        <w:rPr>
          <w:rFonts w:ascii="Arial" w:hAnsi="Arial" w:cs="Arial"/>
          <w:sz w:val="24"/>
          <w:szCs w:val="24"/>
        </w:rPr>
        <w:t>.</w:t>
      </w:r>
    </w:p>
    <w:p w:rsidR="0073522A" w:rsidRPr="00E7019B" w:rsidRDefault="0073522A" w:rsidP="0073522A">
      <w:pPr>
        <w:jc w:val="both"/>
        <w:rPr>
          <w:rFonts w:ascii="Arial" w:hAnsi="Arial" w:cs="Arial"/>
        </w:rPr>
      </w:pPr>
    </w:p>
    <w:p w:rsidR="009B7B2F" w:rsidRPr="00E7019B" w:rsidRDefault="009B7B2F" w:rsidP="00C62DA8">
      <w:pPr>
        <w:rPr>
          <w:rFonts w:ascii="Arial" w:hAnsi="Arial" w:cs="Arial"/>
        </w:rPr>
      </w:pPr>
    </w:p>
    <w:p w:rsidR="005D3499" w:rsidRPr="00E7019B" w:rsidRDefault="005D3499">
      <w:pPr>
        <w:jc w:val="both"/>
        <w:rPr>
          <w:rFonts w:ascii="Arial" w:hAnsi="Arial" w:cs="Arial"/>
          <w:b/>
        </w:rPr>
      </w:pPr>
    </w:p>
    <w:p w:rsidR="0073522A" w:rsidRPr="00E7019B" w:rsidRDefault="0073522A" w:rsidP="0073522A">
      <w:pPr>
        <w:jc w:val="both"/>
        <w:rPr>
          <w:rFonts w:ascii="Arial" w:hAnsi="Arial" w:cs="Arial"/>
          <w:b/>
        </w:rPr>
      </w:pPr>
      <w:r w:rsidRPr="00E7019B">
        <w:rPr>
          <w:rFonts w:ascii="Arial" w:hAnsi="Arial" w:cs="Arial"/>
          <w:b/>
        </w:rPr>
        <w:t>Lead Executive Director:</w:t>
      </w:r>
      <w:r w:rsidRPr="00E7019B">
        <w:rPr>
          <w:rFonts w:ascii="Arial" w:hAnsi="Arial" w:cs="Arial"/>
          <w:b/>
        </w:rPr>
        <w:tab/>
      </w:r>
      <w:r w:rsidR="00A04A86" w:rsidRPr="00E7019B">
        <w:rPr>
          <w:rFonts w:ascii="Arial" w:hAnsi="Arial" w:cs="Arial"/>
          <w:b/>
        </w:rPr>
        <w:t xml:space="preserve">Yvonne Taylor, </w:t>
      </w:r>
      <w:r w:rsidR="00C62DA8" w:rsidRPr="00E7019B">
        <w:rPr>
          <w:rFonts w:ascii="Arial" w:hAnsi="Arial" w:cs="Arial"/>
          <w:b/>
        </w:rPr>
        <w:t>Chief Operating Officer</w:t>
      </w:r>
    </w:p>
    <w:p w:rsidR="0073522A" w:rsidRPr="00E7019B" w:rsidRDefault="0073522A">
      <w:pPr>
        <w:jc w:val="both"/>
        <w:rPr>
          <w:rFonts w:ascii="Arial" w:hAnsi="Arial" w:cs="Arial"/>
          <w:b/>
        </w:rPr>
      </w:pPr>
    </w:p>
    <w:p w:rsidR="00800DAD" w:rsidRDefault="009132E5" w:rsidP="003D180A">
      <w:pPr>
        <w:rPr>
          <w:rFonts w:ascii="Arial" w:hAnsi="Arial" w:cs="Arial"/>
          <w:b/>
          <w:bCs/>
        </w:rPr>
      </w:pPr>
      <w:r w:rsidRPr="00E7019B">
        <w:rPr>
          <w:rFonts w:ascii="Arial" w:hAnsi="Arial" w:cs="Arial"/>
          <w:b/>
          <w:bCs/>
        </w:rPr>
        <w:br/>
      </w:r>
    </w:p>
    <w:p w:rsidR="00947788" w:rsidRDefault="00947788" w:rsidP="002D4418">
      <w:pPr>
        <w:rPr>
          <w:rFonts w:ascii="Arial" w:hAnsi="Arial" w:cs="Arial"/>
          <w:lang w:val="en-GB"/>
        </w:rPr>
      </w:pPr>
    </w:p>
    <w:p w:rsidR="00947788" w:rsidRDefault="00947788" w:rsidP="002D4418">
      <w:pPr>
        <w:rPr>
          <w:rFonts w:ascii="Arial" w:hAnsi="Arial" w:cs="Arial"/>
          <w:lang w:val="en-GB"/>
        </w:rPr>
      </w:pPr>
    </w:p>
    <w:p w:rsidR="00676559" w:rsidRDefault="00676559" w:rsidP="002D4418">
      <w:pPr>
        <w:rPr>
          <w:rFonts w:ascii="Arial" w:hAnsi="Arial" w:cs="Arial"/>
          <w:lang w:val="en-GB"/>
        </w:rPr>
      </w:pPr>
    </w:p>
    <w:p w:rsidR="00676559" w:rsidRPr="00676559" w:rsidRDefault="00676559" w:rsidP="00676559">
      <w:pPr>
        <w:pStyle w:val="ListParagraph"/>
        <w:numPr>
          <w:ilvl w:val="0"/>
          <w:numId w:val="45"/>
        </w:numPr>
        <w:jc w:val="both"/>
        <w:rPr>
          <w:rFonts w:ascii="Arial" w:hAnsi="Arial" w:cs="Arial"/>
          <w:b/>
        </w:rPr>
      </w:pPr>
      <w:r w:rsidRPr="00676559">
        <w:rPr>
          <w:rFonts w:ascii="Arial" w:hAnsi="Arial" w:cs="Arial"/>
          <w:b/>
        </w:rPr>
        <w:lastRenderedPageBreak/>
        <w:t xml:space="preserve"> Children’</w:t>
      </w:r>
      <w:r>
        <w:rPr>
          <w:rFonts w:ascii="Arial" w:hAnsi="Arial" w:cs="Arial"/>
          <w:b/>
        </w:rPr>
        <w:t>s C</w:t>
      </w:r>
      <w:r w:rsidRPr="00676559">
        <w:rPr>
          <w:rFonts w:ascii="Arial" w:hAnsi="Arial" w:cs="Arial"/>
          <w:b/>
        </w:rPr>
        <w:t>ommunity Nursing Service: Palliative and End of Life Care</w:t>
      </w:r>
      <w:r>
        <w:rPr>
          <w:rFonts w:ascii="Arial" w:hAnsi="Arial" w:cs="Arial"/>
          <w:b/>
        </w:rPr>
        <w:br/>
      </w:r>
    </w:p>
    <w:p w:rsidR="00676559" w:rsidRPr="00676559" w:rsidRDefault="00676559" w:rsidP="00676559">
      <w:pPr>
        <w:pStyle w:val="ListParagraph"/>
        <w:ind w:left="0"/>
        <w:rPr>
          <w:rFonts w:ascii="Arial" w:hAnsi="Arial" w:cs="Arial"/>
        </w:rPr>
      </w:pPr>
      <w:r w:rsidRPr="00676559">
        <w:rPr>
          <w:rFonts w:ascii="Arial" w:hAnsi="Arial" w:cs="Arial"/>
        </w:rPr>
        <w:t xml:space="preserve">The Community Children’s Nursing (CCN) Service in Oxfordshire provides specialist nursing care for children aged 0-18yrs. The service consists of the Community Children’s Nursing Team, Respite Nursing Team, Clinical Nurse Specialist team and Community Play Specialist. Palliative and end of life care is part of the core service </w:t>
      </w:r>
      <w:r>
        <w:rPr>
          <w:rFonts w:ascii="Arial" w:hAnsi="Arial" w:cs="Arial"/>
        </w:rPr>
        <w:t>provided by</w:t>
      </w:r>
      <w:r w:rsidRPr="00676559">
        <w:rPr>
          <w:rFonts w:ascii="Arial" w:hAnsi="Arial" w:cs="Arial"/>
        </w:rPr>
        <w:t xml:space="preserve"> the CCN service.</w:t>
      </w:r>
      <w:r w:rsidR="009450EE">
        <w:rPr>
          <w:rFonts w:ascii="Arial" w:hAnsi="Arial" w:cs="Arial"/>
        </w:rPr>
        <w:t xml:space="preserve">  The ROSY</w:t>
      </w:r>
      <w:bookmarkStart w:id="0" w:name="_GoBack"/>
      <w:bookmarkEnd w:id="0"/>
      <w:r w:rsidR="009450EE">
        <w:rPr>
          <w:rFonts w:ascii="Arial" w:hAnsi="Arial" w:cs="Arial"/>
        </w:rPr>
        <w:t xml:space="preserve"> Charity works closely with the Service providing additional support and respite to young people with life-limiting illness and their families.</w:t>
      </w:r>
      <w:r>
        <w:rPr>
          <w:rFonts w:ascii="Arial" w:hAnsi="Arial" w:cs="Arial"/>
        </w:rPr>
        <w:br/>
      </w:r>
    </w:p>
    <w:p w:rsidR="00676559" w:rsidRPr="00C24DCE" w:rsidRDefault="00676559" w:rsidP="00676559">
      <w:pPr>
        <w:rPr>
          <w:rFonts w:ascii="Arial" w:hAnsi="Arial" w:cs="Arial"/>
        </w:rPr>
      </w:pPr>
      <w:r w:rsidRPr="00C24DCE">
        <w:rPr>
          <w:rFonts w:ascii="Arial" w:hAnsi="Arial" w:cs="Arial"/>
        </w:rPr>
        <w:t xml:space="preserve">A large proportion of the caseload consists of children and young people with a life-limiting condition so a significant amount of the nursing workload is caring for children with palliative needs at home or school. </w:t>
      </w:r>
      <w:r>
        <w:rPr>
          <w:rFonts w:ascii="Arial" w:hAnsi="Arial" w:cs="Arial"/>
        </w:rPr>
        <w:br/>
      </w:r>
    </w:p>
    <w:p w:rsidR="00676559" w:rsidRDefault="00676559" w:rsidP="00676559">
      <w:pPr>
        <w:rPr>
          <w:rFonts w:ascii="Arial" w:hAnsi="Arial" w:cs="Arial"/>
          <w:lang w:eastAsia="en-GB"/>
        </w:rPr>
      </w:pPr>
      <w:r w:rsidRPr="00C24DCE">
        <w:rPr>
          <w:rFonts w:ascii="Arial" w:hAnsi="Arial" w:cs="Arial"/>
          <w:lang w:eastAsia="en-GB"/>
        </w:rPr>
        <w:t>The service works collaboratively with other agencies particularly Helen House</w:t>
      </w:r>
      <w:r>
        <w:rPr>
          <w:rFonts w:ascii="Arial" w:hAnsi="Arial" w:cs="Arial"/>
          <w:lang w:eastAsia="en-GB"/>
        </w:rPr>
        <w:t>, the local hospice for children and young people,</w:t>
      </w:r>
      <w:r w:rsidRPr="00C24DCE">
        <w:rPr>
          <w:rFonts w:ascii="Arial" w:hAnsi="Arial" w:cs="Arial"/>
          <w:lang w:eastAsia="en-GB"/>
        </w:rPr>
        <w:t xml:space="preserve"> </w:t>
      </w:r>
      <w:r>
        <w:rPr>
          <w:rFonts w:ascii="Arial" w:hAnsi="Arial" w:cs="Arial"/>
          <w:lang w:eastAsia="en-GB"/>
        </w:rPr>
        <w:t>Oxford University Hospitals Trust</w:t>
      </w:r>
      <w:r w:rsidRPr="00C24DCE">
        <w:rPr>
          <w:rFonts w:ascii="Arial" w:hAnsi="Arial" w:cs="Arial"/>
          <w:lang w:eastAsia="en-GB"/>
        </w:rPr>
        <w:t xml:space="preserve"> and the Child Death Overview Panel (CDOP) to ensure that a combined </w:t>
      </w:r>
      <w:r>
        <w:rPr>
          <w:rFonts w:ascii="Arial" w:hAnsi="Arial" w:cs="Arial"/>
          <w:lang w:eastAsia="en-GB"/>
        </w:rPr>
        <w:t xml:space="preserve">advanced </w:t>
      </w:r>
      <w:r w:rsidRPr="00C24DCE">
        <w:rPr>
          <w:rFonts w:ascii="Arial" w:hAnsi="Arial" w:cs="Arial"/>
          <w:lang w:eastAsia="en-GB"/>
        </w:rPr>
        <w:t>plan of care is established to support the child or young person and their family at</w:t>
      </w:r>
      <w:r>
        <w:rPr>
          <w:rFonts w:ascii="Arial" w:hAnsi="Arial" w:cs="Arial"/>
          <w:lang w:eastAsia="en-GB"/>
        </w:rPr>
        <w:t xml:space="preserve"> the end of a child’s</w:t>
      </w:r>
      <w:r w:rsidRPr="00C24DCE">
        <w:rPr>
          <w:rFonts w:ascii="Arial" w:hAnsi="Arial" w:cs="Arial"/>
          <w:lang w:eastAsia="en-GB"/>
        </w:rPr>
        <w:t xml:space="preserve"> life. </w:t>
      </w:r>
      <w:r>
        <w:rPr>
          <w:rFonts w:ascii="Arial" w:hAnsi="Arial" w:cs="Arial"/>
          <w:lang w:eastAsia="en-GB"/>
        </w:rPr>
        <w:t xml:space="preserve">End of life care is an extremely important aspect of care for all age groups and is a key area of focus for the CQC when they inspect services. </w:t>
      </w:r>
      <w:r>
        <w:rPr>
          <w:rFonts w:ascii="Arial" w:hAnsi="Arial" w:cs="Arial"/>
          <w:lang w:eastAsia="en-GB"/>
        </w:rPr>
        <w:br/>
      </w:r>
    </w:p>
    <w:p w:rsidR="00676559" w:rsidRPr="00C24DCE" w:rsidRDefault="00676559" w:rsidP="00676559">
      <w:pPr>
        <w:rPr>
          <w:rFonts w:ascii="Arial" w:hAnsi="Arial" w:cs="Arial"/>
          <w:lang w:eastAsia="en-GB"/>
        </w:rPr>
      </w:pPr>
      <w:r>
        <w:rPr>
          <w:rFonts w:ascii="Arial" w:hAnsi="Arial" w:cs="Arial"/>
          <w:lang w:eastAsia="en-GB"/>
        </w:rPr>
        <w:t xml:space="preserve">When children, young people and their families make the decision that they would prefer that the child /young person is supported to die at home, the CCN service works with the acute hospital or hospice to facilitate their discharge home. The advanced plan of care is agreed, supported by our nurses </w:t>
      </w:r>
      <w:proofErr w:type="gramStart"/>
      <w:r>
        <w:rPr>
          <w:rFonts w:ascii="Arial" w:hAnsi="Arial" w:cs="Arial"/>
          <w:lang w:eastAsia="en-GB"/>
        </w:rPr>
        <w:t>through  specialist</w:t>
      </w:r>
      <w:proofErr w:type="gramEnd"/>
      <w:r>
        <w:rPr>
          <w:rFonts w:ascii="Arial" w:hAnsi="Arial" w:cs="Arial"/>
          <w:lang w:eastAsia="en-GB"/>
        </w:rPr>
        <w:t xml:space="preserve"> nursing care in the home, providing pain relief and other symptom management as needed. They offer respite to families and the nurses also provide an on call service overnight to support the family. This ensures that families have a professional to contact for advice 24hours a day. Nurses will visit at night as needed and will continue this level of support until the child dies. The CCN service is committed to providing a compassionate, responsive service which enables children and young people to die at home where this is their wish.</w:t>
      </w:r>
      <w:r>
        <w:rPr>
          <w:rFonts w:ascii="Arial" w:hAnsi="Arial" w:cs="Arial"/>
          <w:lang w:eastAsia="en-GB"/>
        </w:rPr>
        <w:br/>
      </w:r>
    </w:p>
    <w:p w:rsidR="00676559" w:rsidRPr="00C24DCE" w:rsidRDefault="00676559" w:rsidP="00676559">
      <w:pPr>
        <w:jc w:val="both"/>
        <w:rPr>
          <w:rFonts w:ascii="Arial" w:hAnsi="Arial" w:cs="Arial"/>
        </w:rPr>
      </w:pPr>
      <w:r w:rsidRPr="00C24DCE">
        <w:rPr>
          <w:rFonts w:ascii="Arial" w:hAnsi="Arial" w:cs="Arial"/>
        </w:rPr>
        <w:t>Within t</w:t>
      </w:r>
      <w:r>
        <w:rPr>
          <w:rFonts w:ascii="Arial" w:hAnsi="Arial" w:cs="Arial"/>
        </w:rPr>
        <w:t>he last year the CCN service has</w:t>
      </w:r>
      <w:r w:rsidRPr="00C24DCE">
        <w:rPr>
          <w:rFonts w:ascii="Arial" w:hAnsi="Arial" w:cs="Arial"/>
        </w:rPr>
        <w:t xml:space="preserve"> supported 10</w:t>
      </w:r>
      <w:r>
        <w:rPr>
          <w:rFonts w:ascii="Arial" w:hAnsi="Arial" w:cs="Arial"/>
        </w:rPr>
        <w:t xml:space="preserve"> children or young people at the end of their life and </w:t>
      </w:r>
      <w:r w:rsidRPr="00C24DCE">
        <w:rPr>
          <w:rFonts w:ascii="Arial" w:hAnsi="Arial" w:cs="Arial"/>
        </w:rPr>
        <w:t xml:space="preserve">currently has 13 children/young </w:t>
      </w:r>
      <w:r>
        <w:rPr>
          <w:rFonts w:ascii="Arial" w:hAnsi="Arial" w:cs="Arial"/>
        </w:rPr>
        <w:t>people</w:t>
      </w:r>
      <w:r w:rsidRPr="00C24DCE">
        <w:rPr>
          <w:rFonts w:ascii="Arial" w:hAnsi="Arial" w:cs="Arial"/>
        </w:rPr>
        <w:t xml:space="preserve"> on the caseload who have an Advanced Care Plan (ACP).</w:t>
      </w:r>
      <w:r>
        <w:rPr>
          <w:rFonts w:ascii="Arial" w:hAnsi="Arial" w:cs="Arial"/>
        </w:rPr>
        <w:t xml:space="preserve"> The nurses work very closely with GPs, </w:t>
      </w:r>
      <w:proofErr w:type="spellStart"/>
      <w:r>
        <w:rPr>
          <w:rFonts w:ascii="Arial" w:hAnsi="Arial" w:cs="Arial"/>
        </w:rPr>
        <w:t>paediatricians</w:t>
      </w:r>
      <w:proofErr w:type="spellEnd"/>
      <w:r>
        <w:rPr>
          <w:rFonts w:ascii="Arial" w:hAnsi="Arial" w:cs="Arial"/>
        </w:rPr>
        <w:t xml:space="preserve"> and social care providing much needed support for the young person and their family at an extremely difficult time.</w:t>
      </w:r>
      <w:r>
        <w:rPr>
          <w:rFonts w:ascii="Arial" w:hAnsi="Arial" w:cs="Arial"/>
        </w:rPr>
        <w:br/>
      </w:r>
    </w:p>
    <w:p w:rsidR="00676559" w:rsidRDefault="00676559" w:rsidP="00676559">
      <w:pPr>
        <w:jc w:val="both"/>
        <w:rPr>
          <w:rFonts w:ascii="Arial" w:hAnsi="Arial" w:cs="Arial"/>
        </w:rPr>
      </w:pPr>
      <w:r>
        <w:rPr>
          <w:rFonts w:ascii="Arial" w:hAnsi="Arial" w:cs="Arial"/>
        </w:rPr>
        <w:t xml:space="preserve">The service is </w:t>
      </w:r>
      <w:r w:rsidRPr="00C24DCE">
        <w:rPr>
          <w:rFonts w:ascii="Arial" w:hAnsi="Arial" w:cs="Arial"/>
        </w:rPr>
        <w:t xml:space="preserve">part </w:t>
      </w:r>
      <w:r>
        <w:rPr>
          <w:rFonts w:ascii="Arial" w:hAnsi="Arial" w:cs="Arial"/>
        </w:rPr>
        <w:t>of the Trust</w:t>
      </w:r>
      <w:r w:rsidR="00206A47">
        <w:rPr>
          <w:rFonts w:ascii="Arial" w:hAnsi="Arial" w:cs="Arial"/>
        </w:rPr>
        <w:t>’</w:t>
      </w:r>
      <w:r>
        <w:rPr>
          <w:rFonts w:ascii="Arial" w:hAnsi="Arial" w:cs="Arial"/>
        </w:rPr>
        <w:t>s</w:t>
      </w:r>
      <w:r w:rsidRPr="00C24DCE">
        <w:rPr>
          <w:rFonts w:ascii="Arial" w:hAnsi="Arial" w:cs="Arial"/>
        </w:rPr>
        <w:t xml:space="preserve"> </w:t>
      </w:r>
      <w:r>
        <w:rPr>
          <w:rFonts w:ascii="Arial" w:hAnsi="Arial" w:cs="Arial"/>
        </w:rPr>
        <w:t>“</w:t>
      </w:r>
      <w:r w:rsidRPr="00C24DCE">
        <w:rPr>
          <w:rFonts w:ascii="Arial" w:hAnsi="Arial" w:cs="Arial"/>
        </w:rPr>
        <w:t>One Chance to Get it Right</w:t>
      </w:r>
      <w:r>
        <w:rPr>
          <w:rFonts w:ascii="Arial" w:hAnsi="Arial" w:cs="Arial"/>
        </w:rPr>
        <w:t>”</w:t>
      </w:r>
      <w:r w:rsidRPr="00C24DCE">
        <w:rPr>
          <w:rFonts w:ascii="Arial" w:hAnsi="Arial" w:cs="Arial"/>
        </w:rPr>
        <w:t xml:space="preserve"> Taskforce and the End of Life Resource Group.</w:t>
      </w:r>
      <w:r>
        <w:rPr>
          <w:rFonts w:ascii="Arial" w:hAnsi="Arial" w:cs="Arial"/>
        </w:rPr>
        <w:t xml:space="preserve"> </w:t>
      </w:r>
      <w:r w:rsidR="00206A47">
        <w:rPr>
          <w:rFonts w:ascii="Arial" w:hAnsi="Arial" w:cs="Arial"/>
        </w:rPr>
        <w:t>The Service is represented at relevant county groups such</w:t>
      </w:r>
      <w:r>
        <w:rPr>
          <w:rFonts w:ascii="Arial" w:hAnsi="Arial" w:cs="Arial"/>
        </w:rPr>
        <w:t xml:space="preserve"> as Child Death Overview Panel as well as </w:t>
      </w:r>
      <w:r w:rsidR="00206A47">
        <w:rPr>
          <w:rFonts w:ascii="Arial" w:hAnsi="Arial" w:cs="Arial"/>
        </w:rPr>
        <w:t xml:space="preserve">maintaining regular collaborative working with other agencies such as </w:t>
      </w:r>
      <w:r>
        <w:rPr>
          <w:rFonts w:ascii="Arial" w:hAnsi="Arial" w:cs="Arial"/>
        </w:rPr>
        <w:t>Helen House and the OUHT</w:t>
      </w:r>
      <w:r w:rsidR="00206A47">
        <w:rPr>
          <w:rFonts w:ascii="Arial" w:hAnsi="Arial" w:cs="Arial"/>
        </w:rPr>
        <w:t>.</w:t>
      </w:r>
      <w:r>
        <w:rPr>
          <w:rFonts w:ascii="Arial" w:hAnsi="Arial" w:cs="Arial"/>
        </w:rPr>
        <w:t xml:space="preserve"> </w:t>
      </w:r>
      <w:r w:rsidR="00206A47">
        <w:rPr>
          <w:rFonts w:ascii="Arial" w:hAnsi="Arial" w:cs="Arial"/>
        </w:rPr>
        <w:br/>
      </w:r>
    </w:p>
    <w:p w:rsidR="00676559" w:rsidRDefault="00676559" w:rsidP="00676559">
      <w:pPr>
        <w:jc w:val="both"/>
        <w:rPr>
          <w:rFonts w:ascii="Arial" w:hAnsi="Arial" w:cs="Arial"/>
          <w:lang w:eastAsia="en-GB"/>
        </w:rPr>
      </w:pPr>
      <w:r w:rsidRPr="00C24DCE">
        <w:rPr>
          <w:rFonts w:ascii="Arial" w:hAnsi="Arial" w:cs="Arial"/>
        </w:rPr>
        <w:t>In September 2014</w:t>
      </w:r>
      <w:r>
        <w:rPr>
          <w:rFonts w:ascii="Arial" w:hAnsi="Arial" w:cs="Arial"/>
        </w:rPr>
        <w:t xml:space="preserve"> a </w:t>
      </w:r>
      <w:r w:rsidRPr="00C24DCE">
        <w:rPr>
          <w:rFonts w:ascii="Arial" w:hAnsi="Arial" w:cs="Arial"/>
          <w:lang w:eastAsia="en-GB"/>
        </w:rPr>
        <w:t>Palliative Care Audit was carried out. This highlighted the</w:t>
      </w:r>
      <w:r>
        <w:rPr>
          <w:rFonts w:ascii="Arial" w:hAnsi="Arial" w:cs="Arial"/>
          <w:lang w:eastAsia="en-GB"/>
        </w:rPr>
        <w:t xml:space="preserve"> need to improve</w:t>
      </w:r>
      <w:r w:rsidRPr="00C24DCE">
        <w:rPr>
          <w:rFonts w:ascii="Arial" w:hAnsi="Arial" w:cs="Arial"/>
          <w:lang w:eastAsia="en-GB"/>
        </w:rPr>
        <w:t xml:space="preserve"> A</w:t>
      </w:r>
      <w:r>
        <w:rPr>
          <w:rFonts w:ascii="Arial" w:hAnsi="Arial" w:cs="Arial"/>
          <w:lang w:eastAsia="en-GB"/>
        </w:rPr>
        <w:t xml:space="preserve">dvanced </w:t>
      </w:r>
      <w:r w:rsidRPr="00C24DCE">
        <w:rPr>
          <w:rFonts w:ascii="Arial" w:hAnsi="Arial" w:cs="Arial"/>
          <w:lang w:eastAsia="en-GB"/>
        </w:rPr>
        <w:t>C</w:t>
      </w:r>
      <w:r>
        <w:rPr>
          <w:rFonts w:ascii="Arial" w:hAnsi="Arial" w:cs="Arial"/>
          <w:lang w:eastAsia="en-GB"/>
        </w:rPr>
        <w:t xml:space="preserve">are </w:t>
      </w:r>
      <w:r w:rsidRPr="00C24DCE">
        <w:rPr>
          <w:rFonts w:ascii="Arial" w:hAnsi="Arial" w:cs="Arial"/>
          <w:lang w:eastAsia="en-GB"/>
        </w:rPr>
        <w:t>P</w:t>
      </w:r>
      <w:r>
        <w:rPr>
          <w:rFonts w:ascii="Arial" w:hAnsi="Arial" w:cs="Arial"/>
          <w:lang w:eastAsia="en-GB"/>
        </w:rPr>
        <w:t>lanning</w:t>
      </w:r>
      <w:r w:rsidRPr="00C24DCE">
        <w:rPr>
          <w:rFonts w:ascii="Arial" w:hAnsi="Arial" w:cs="Arial"/>
          <w:lang w:eastAsia="en-GB"/>
        </w:rPr>
        <w:t xml:space="preserve"> including;</w:t>
      </w:r>
      <w:r>
        <w:rPr>
          <w:rFonts w:ascii="Arial" w:hAnsi="Arial" w:cs="Arial"/>
          <w:lang w:eastAsia="en-GB"/>
        </w:rPr>
        <w:t xml:space="preserve"> communication, documentation</w:t>
      </w:r>
      <w:r w:rsidRPr="00C24DCE">
        <w:rPr>
          <w:rFonts w:ascii="Arial" w:hAnsi="Arial" w:cs="Arial"/>
          <w:lang w:eastAsia="en-GB"/>
        </w:rPr>
        <w:t xml:space="preserve"> and clarity around process/procedures when a child or young </w:t>
      </w:r>
      <w:r w:rsidRPr="00C24DCE">
        <w:rPr>
          <w:rFonts w:ascii="Arial" w:hAnsi="Arial" w:cs="Arial"/>
          <w:lang w:eastAsia="en-GB"/>
        </w:rPr>
        <w:lastRenderedPageBreak/>
        <w:t xml:space="preserve">person comes to the end of their life and an ACP </w:t>
      </w:r>
      <w:r>
        <w:rPr>
          <w:rFonts w:ascii="Arial" w:hAnsi="Arial" w:cs="Arial"/>
          <w:lang w:eastAsia="en-GB"/>
        </w:rPr>
        <w:t>is</w:t>
      </w:r>
      <w:r w:rsidRPr="00C24DCE">
        <w:rPr>
          <w:rFonts w:ascii="Arial" w:hAnsi="Arial" w:cs="Arial"/>
          <w:lang w:eastAsia="en-GB"/>
        </w:rPr>
        <w:t xml:space="preserve"> completed. </w:t>
      </w:r>
      <w:r>
        <w:rPr>
          <w:rFonts w:ascii="Arial" w:hAnsi="Arial" w:cs="Arial"/>
          <w:lang w:eastAsia="en-GB"/>
        </w:rPr>
        <w:br/>
      </w:r>
    </w:p>
    <w:p w:rsidR="00676559" w:rsidRDefault="00676559" w:rsidP="00206A47">
      <w:pPr>
        <w:rPr>
          <w:rFonts w:ascii="Arial" w:hAnsi="Arial" w:cs="Arial"/>
          <w:lang w:eastAsia="en-GB"/>
        </w:rPr>
      </w:pPr>
      <w:r>
        <w:rPr>
          <w:rFonts w:ascii="Arial" w:hAnsi="Arial" w:cs="Arial"/>
          <w:lang w:eastAsia="en-GB"/>
        </w:rPr>
        <w:t>Following this audit</w:t>
      </w:r>
      <w:r w:rsidRPr="00C24DCE">
        <w:rPr>
          <w:rFonts w:ascii="Arial" w:hAnsi="Arial" w:cs="Arial"/>
          <w:lang w:eastAsia="en-GB"/>
        </w:rPr>
        <w:t xml:space="preserve"> </w:t>
      </w:r>
      <w:r>
        <w:rPr>
          <w:rFonts w:ascii="Arial" w:hAnsi="Arial" w:cs="Arial"/>
          <w:lang w:eastAsia="en-GB"/>
        </w:rPr>
        <w:t>an action plan was developed</w:t>
      </w:r>
      <w:r w:rsidR="00206A47">
        <w:rPr>
          <w:rFonts w:ascii="Arial" w:hAnsi="Arial" w:cs="Arial"/>
          <w:lang w:eastAsia="en-GB"/>
        </w:rPr>
        <w:t xml:space="preserve"> and implemented. This has now demonstrated</w:t>
      </w:r>
      <w:r w:rsidRPr="00C24DCE">
        <w:rPr>
          <w:rFonts w:ascii="Arial" w:hAnsi="Arial" w:cs="Arial"/>
          <w:lang w:eastAsia="en-GB"/>
        </w:rPr>
        <w:t xml:space="preserve"> considerable</w:t>
      </w:r>
      <w:r>
        <w:rPr>
          <w:rFonts w:ascii="Arial" w:hAnsi="Arial" w:cs="Arial"/>
          <w:lang w:eastAsia="en-GB"/>
        </w:rPr>
        <w:t xml:space="preserve"> improvement in these areas particularly in the distribution/coordination, documentation and</w:t>
      </w:r>
      <w:r w:rsidRPr="00C24DCE">
        <w:rPr>
          <w:rFonts w:ascii="Arial" w:hAnsi="Arial" w:cs="Arial"/>
          <w:lang w:eastAsia="en-GB"/>
        </w:rPr>
        <w:t xml:space="preserve"> communication </w:t>
      </w:r>
      <w:r>
        <w:rPr>
          <w:rFonts w:ascii="Arial" w:hAnsi="Arial" w:cs="Arial"/>
          <w:lang w:eastAsia="en-GB"/>
        </w:rPr>
        <w:t xml:space="preserve">of ACPs </w:t>
      </w:r>
      <w:r w:rsidRPr="00C24DCE">
        <w:rPr>
          <w:rFonts w:ascii="Arial" w:hAnsi="Arial" w:cs="Arial"/>
          <w:lang w:eastAsia="en-GB"/>
        </w:rPr>
        <w:t xml:space="preserve">both within the CCN service and with other agencies. </w:t>
      </w:r>
      <w:r>
        <w:rPr>
          <w:rFonts w:ascii="Arial" w:hAnsi="Arial" w:cs="Arial"/>
          <w:lang w:eastAsia="en-GB"/>
        </w:rPr>
        <w:t xml:space="preserve">This improvement ensures that there is a much clearer understanding across agencies of the wishes of the child, young person and their family at this very important time. </w:t>
      </w:r>
      <w:r w:rsidR="00206A47">
        <w:rPr>
          <w:rFonts w:ascii="Arial" w:hAnsi="Arial" w:cs="Arial"/>
          <w:lang w:eastAsia="en-GB"/>
        </w:rPr>
        <w:br/>
      </w:r>
    </w:p>
    <w:p w:rsidR="00206A47" w:rsidRPr="00E03609" w:rsidRDefault="00206A47" w:rsidP="00407C25">
      <w:pPr>
        <w:pStyle w:val="ListParagraph"/>
        <w:numPr>
          <w:ilvl w:val="0"/>
          <w:numId w:val="45"/>
        </w:numPr>
        <w:rPr>
          <w:rFonts w:ascii="Arial" w:hAnsi="Arial" w:cs="Arial"/>
          <w:b/>
          <w:lang w:eastAsia="en-GB"/>
        </w:rPr>
      </w:pPr>
      <w:r w:rsidRPr="00E03609">
        <w:rPr>
          <w:rFonts w:ascii="Arial" w:hAnsi="Arial" w:cs="Arial"/>
          <w:b/>
          <w:lang w:eastAsia="en-GB"/>
        </w:rPr>
        <w:t xml:space="preserve"> Benefits </w:t>
      </w:r>
      <w:proofErr w:type="spellStart"/>
      <w:r w:rsidRPr="00E03609">
        <w:rPr>
          <w:rFonts w:ascii="Arial" w:hAnsi="Arial" w:cs="Arial"/>
          <w:b/>
          <w:lang w:eastAsia="en-GB"/>
        </w:rPr>
        <w:t>Realisation</w:t>
      </w:r>
      <w:proofErr w:type="spellEnd"/>
      <w:r w:rsidRPr="00E03609">
        <w:rPr>
          <w:rFonts w:ascii="Arial" w:hAnsi="Arial" w:cs="Arial"/>
          <w:b/>
          <w:lang w:eastAsia="en-GB"/>
        </w:rPr>
        <w:t xml:space="preserve"> – The </w:t>
      </w:r>
      <w:proofErr w:type="spellStart"/>
      <w:r w:rsidRPr="00E03609">
        <w:rPr>
          <w:rFonts w:ascii="Arial" w:hAnsi="Arial" w:cs="Arial"/>
          <w:b/>
          <w:lang w:eastAsia="en-GB"/>
        </w:rPr>
        <w:t>Whiteleaf</w:t>
      </w:r>
      <w:proofErr w:type="spellEnd"/>
      <w:r w:rsidRPr="00E03609">
        <w:rPr>
          <w:rFonts w:ascii="Arial" w:hAnsi="Arial" w:cs="Arial"/>
          <w:b/>
          <w:lang w:eastAsia="en-GB"/>
        </w:rPr>
        <w:t xml:space="preserve"> Centre</w:t>
      </w:r>
      <w:r w:rsidRPr="00E03609">
        <w:rPr>
          <w:rFonts w:ascii="Arial" w:hAnsi="Arial" w:cs="Arial"/>
          <w:b/>
          <w:lang w:eastAsia="en-GB"/>
        </w:rPr>
        <w:br/>
      </w:r>
    </w:p>
    <w:p w:rsidR="00206A47" w:rsidRPr="00E03609" w:rsidRDefault="00206A47" w:rsidP="00206A47">
      <w:pPr>
        <w:jc w:val="both"/>
        <w:rPr>
          <w:rFonts w:ascii="Arial" w:hAnsi="Arial" w:cs="Arial"/>
        </w:rPr>
      </w:pPr>
      <w:r w:rsidRPr="00E03609">
        <w:rPr>
          <w:rFonts w:ascii="Arial" w:hAnsi="Arial" w:cs="Arial"/>
        </w:rPr>
        <w:t xml:space="preserve">Following the successful move of inpatient and community services to the </w:t>
      </w:r>
      <w:proofErr w:type="spellStart"/>
      <w:r w:rsidRPr="00E03609">
        <w:rPr>
          <w:rFonts w:ascii="Arial" w:hAnsi="Arial" w:cs="Arial"/>
        </w:rPr>
        <w:t>Whiteleaf</w:t>
      </w:r>
      <w:proofErr w:type="spellEnd"/>
      <w:r w:rsidRPr="00E03609">
        <w:rPr>
          <w:rFonts w:ascii="Arial" w:hAnsi="Arial" w:cs="Arial"/>
        </w:rPr>
        <w:t xml:space="preserve"> Centre, Health and Wellbeing Campus</w:t>
      </w:r>
      <w:r w:rsidR="00407C25" w:rsidRPr="00E03609">
        <w:rPr>
          <w:rFonts w:ascii="Arial" w:hAnsi="Arial" w:cs="Arial"/>
        </w:rPr>
        <w:t xml:space="preserve"> in 2014,</w:t>
      </w:r>
      <w:r w:rsidRPr="00E03609">
        <w:rPr>
          <w:rFonts w:ascii="Arial" w:hAnsi="Arial" w:cs="Arial"/>
        </w:rPr>
        <w:t xml:space="preserve"> a benefits </w:t>
      </w:r>
      <w:proofErr w:type="spellStart"/>
      <w:r w:rsidRPr="00E03609">
        <w:rPr>
          <w:rFonts w:ascii="Arial" w:hAnsi="Arial" w:cs="Arial"/>
        </w:rPr>
        <w:t>realisation</w:t>
      </w:r>
      <w:proofErr w:type="spellEnd"/>
      <w:r w:rsidRPr="00E03609">
        <w:rPr>
          <w:rFonts w:ascii="Arial" w:hAnsi="Arial" w:cs="Arial"/>
        </w:rPr>
        <w:t xml:space="preserve"> has been undertaken to understand if the aims and objectives that were outlined in the original business case have been met. This appraisal has cross referenced information against the original business case, looked at models of best practice, </w:t>
      </w:r>
      <w:proofErr w:type="gramStart"/>
      <w:r w:rsidRPr="00E03609">
        <w:rPr>
          <w:rFonts w:ascii="Arial" w:hAnsi="Arial" w:cs="Arial"/>
        </w:rPr>
        <w:t>sought</w:t>
      </w:r>
      <w:proofErr w:type="gramEnd"/>
      <w:r w:rsidRPr="00E03609">
        <w:rPr>
          <w:rFonts w:ascii="Arial" w:hAnsi="Arial" w:cs="Arial"/>
        </w:rPr>
        <w:t xml:space="preserve"> feedback from patients and </w:t>
      </w:r>
      <w:proofErr w:type="spellStart"/>
      <w:r w:rsidRPr="00E03609">
        <w:rPr>
          <w:rFonts w:ascii="Arial" w:hAnsi="Arial" w:cs="Arial"/>
        </w:rPr>
        <w:t>carers</w:t>
      </w:r>
      <w:proofErr w:type="spellEnd"/>
      <w:r w:rsidRPr="00E03609">
        <w:rPr>
          <w:rFonts w:ascii="Arial" w:hAnsi="Arial" w:cs="Arial"/>
        </w:rPr>
        <w:t xml:space="preserve"> as well as </w:t>
      </w:r>
      <w:r w:rsidR="00407C25" w:rsidRPr="00E03609">
        <w:rPr>
          <w:rFonts w:ascii="Arial" w:hAnsi="Arial" w:cs="Arial"/>
        </w:rPr>
        <w:t>c</w:t>
      </w:r>
      <w:r w:rsidRPr="00E03609">
        <w:rPr>
          <w:rFonts w:ascii="Arial" w:hAnsi="Arial" w:cs="Arial"/>
        </w:rPr>
        <w:t>linicians to understand what the requirements of the service were and if these have been achieved.</w:t>
      </w:r>
      <w:r w:rsidR="00407C25" w:rsidRPr="00E03609">
        <w:rPr>
          <w:rFonts w:ascii="Arial" w:hAnsi="Arial" w:cs="Arial"/>
        </w:rPr>
        <w:br/>
      </w:r>
    </w:p>
    <w:p w:rsidR="00206A47" w:rsidRPr="00E03609" w:rsidRDefault="00206A47" w:rsidP="00407C25">
      <w:pPr>
        <w:rPr>
          <w:rFonts w:ascii="Arial" w:hAnsi="Arial" w:cs="Arial"/>
        </w:rPr>
      </w:pPr>
      <w:r w:rsidRPr="00E03609">
        <w:rPr>
          <w:rFonts w:ascii="Arial" w:hAnsi="Arial" w:cs="Arial"/>
        </w:rPr>
        <w:t>The rationale for the move was always clear; the community teams were on an isolated industrial estate, wards were on different sites</w:t>
      </w:r>
      <w:r w:rsidR="00407C25" w:rsidRPr="00E03609">
        <w:rPr>
          <w:rFonts w:ascii="Arial" w:hAnsi="Arial" w:cs="Arial"/>
        </w:rPr>
        <w:t xml:space="preserve"> which were</w:t>
      </w:r>
      <w:r w:rsidRPr="00E03609">
        <w:rPr>
          <w:rFonts w:ascii="Arial" w:hAnsi="Arial" w:cs="Arial"/>
        </w:rPr>
        <w:t xml:space="preserve"> expensive to maintain and didn’t meet expected privacy and dignity standards. Furthermore, investment to maintain and update such facilities was not viable. The concept of combining the services allowed for the different functions to share facilities and enhance patient pathways and communication between services. </w:t>
      </w:r>
      <w:r w:rsidR="00407C25" w:rsidRPr="00E03609">
        <w:rPr>
          <w:rFonts w:ascii="Arial" w:hAnsi="Arial" w:cs="Arial"/>
        </w:rPr>
        <w:t xml:space="preserve"> </w:t>
      </w:r>
      <w:r w:rsidRPr="00E03609">
        <w:rPr>
          <w:rFonts w:ascii="Arial" w:hAnsi="Arial" w:cs="Arial"/>
        </w:rPr>
        <w:t xml:space="preserve">It was clear that the Trust needed to make better use of its resources to </w:t>
      </w:r>
      <w:proofErr w:type="spellStart"/>
      <w:r w:rsidRPr="00E03609">
        <w:rPr>
          <w:rFonts w:ascii="Arial" w:hAnsi="Arial" w:cs="Arial"/>
        </w:rPr>
        <w:t>maximise</w:t>
      </w:r>
      <w:proofErr w:type="spellEnd"/>
      <w:r w:rsidRPr="00E03609">
        <w:rPr>
          <w:rFonts w:ascii="Arial" w:hAnsi="Arial" w:cs="Arial"/>
        </w:rPr>
        <w:t xml:space="preserve"> the</w:t>
      </w:r>
      <w:r w:rsidR="00407C25" w:rsidRPr="00E03609">
        <w:rPr>
          <w:rFonts w:ascii="Arial" w:hAnsi="Arial" w:cs="Arial"/>
        </w:rPr>
        <w:t xml:space="preserve"> quality</w:t>
      </w:r>
      <w:r w:rsidRPr="00E03609">
        <w:rPr>
          <w:rFonts w:ascii="Arial" w:hAnsi="Arial" w:cs="Arial"/>
        </w:rPr>
        <w:t xml:space="preserve"> of care that can be afforded and provide the opportunity to maintain or expand </w:t>
      </w:r>
      <w:r w:rsidR="00407C25" w:rsidRPr="00E03609">
        <w:rPr>
          <w:rFonts w:ascii="Arial" w:hAnsi="Arial" w:cs="Arial"/>
        </w:rPr>
        <w:t>the services provided for the people of Buckinghamshire.</w:t>
      </w:r>
      <w:r w:rsidR="00407C25" w:rsidRPr="00E03609">
        <w:rPr>
          <w:rFonts w:ascii="Arial" w:hAnsi="Arial" w:cs="Arial"/>
        </w:rPr>
        <w:br/>
      </w:r>
      <w:r w:rsidRPr="00E03609">
        <w:rPr>
          <w:rFonts w:ascii="Arial" w:hAnsi="Arial" w:cs="Arial"/>
        </w:rPr>
        <w:t xml:space="preserve">  </w:t>
      </w:r>
    </w:p>
    <w:p w:rsidR="00206A47" w:rsidRPr="00E03609" w:rsidRDefault="00407C25" w:rsidP="00407C25">
      <w:pPr>
        <w:rPr>
          <w:rFonts w:ascii="Arial" w:hAnsi="Arial" w:cs="Arial"/>
        </w:rPr>
      </w:pPr>
      <w:r w:rsidRPr="00E03609">
        <w:rPr>
          <w:rFonts w:ascii="Arial" w:hAnsi="Arial" w:cs="Arial"/>
        </w:rPr>
        <w:t>The evaluation demonstrates</w:t>
      </w:r>
      <w:r w:rsidR="00206A47" w:rsidRPr="00E03609">
        <w:rPr>
          <w:rFonts w:ascii="Arial" w:hAnsi="Arial" w:cs="Arial"/>
        </w:rPr>
        <w:t xml:space="preserve"> that the majority of the benefits outlined in the original business case have been </w:t>
      </w:r>
      <w:proofErr w:type="spellStart"/>
      <w:r w:rsidRPr="00E03609">
        <w:rPr>
          <w:rFonts w:ascii="Arial" w:hAnsi="Arial" w:cs="Arial"/>
        </w:rPr>
        <w:t>realised</w:t>
      </w:r>
      <w:proofErr w:type="spellEnd"/>
      <w:r w:rsidR="00206A47" w:rsidRPr="00E03609">
        <w:rPr>
          <w:rFonts w:ascii="Arial" w:hAnsi="Arial" w:cs="Arial"/>
        </w:rPr>
        <w:t xml:space="preserve">. Patients and staff have given positive feedback about the new facility and have told us that it is easily accessible, welcoming and very user friendly. </w:t>
      </w:r>
      <w:r w:rsidRPr="00E03609">
        <w:rPr>
          <w:rFonts w:ascii="Arial" w:hAnsi="Arial" w:cs="Arial"/>
        </w:rPr>
        <w:t xml:space="preserve"> </w:t>
      </w:r>
      <w:r w:rsidR="00206A47" w:rsidRPr="00E03609">
        <w:rPr>
          <w:rFonts w:ascii="Arial" w:hAnsi="Arial" w:cs="Arial"/>
        </w:rPr>
        <w:t xml:space="preserve">Having all the services located in one place has cut down on travelling between locations, reduced maintenance costs due to a new and efficient running facility and increased the interface between services promoting a whole systems working culture.  </w:t>
      </w:r>
      <w:r w:rsidRPr="00E03609">
        <w:rPr>
          <w:rFonts w:ascii="Arial" w:hAnsi="Arial" w:cs="Arial"/>
        </w:rPr>
        <w:br/>
      </w:r>
    </w:p>
    <w:p w:rsidR="00206A47" w:rsidRPr="00E03609" w:rsidRDefault="00206A47" w:rsidP="00206A47">
      <w:pPr>
        <w:jc w:val="both"/>
        <w:rPr>
          <w:rFonts w:ascii="Arial" w:hAnsi="Arial" w:cs="Arial"/>
        </w:rPr>
      </w:pPr>
      <w:r w:rsidRPr="00E03609">
        <w:rPr>
          <w:rFonts w:ascii="Arial" w:hAnsi="Arial" w:cs="Arial"/>
        </w:rPr>
        <w:t xml:space="preserve">The design of the building has afforded patients greater space for recovery both within the building and within the carefully designed outdoor spaces.  The design provides the opportunity to bring together all parts of the wider healthcare system, county council colleagues, social care and the voluntary sector both physically into the building and via the new clinical model.  This enables us to reduce clinical risk by joint working as well as giving us the opportunity to facilitate shared training and education.  Attention to detail and design has meant that </w:t>
      </w:r>
      <w:r w:rsidR="00407C25" w:rsidRPr="00E03609">
        <w:rPr>
          <w:rFonts w:ascii="Arial" w:hAnsi="Arial" w:cs="Arial"/>
        </w:rPr>
        <w:t>wards</w:t>
      </w:r>
      <w:r w:rsidRPr="00E03609">
        <w:rPr>
          <w:rFonts w:ascii="Arial" w:hAnsi="Arial" w:cs="Arial"/>
        </w:rPr>
        <w:t xml:space="preserve"> have two bedroom wings with individual bedrooms with </w:t>
      </w:r>
      <w:proofErr w:type="spellStart"/>
      <w:r w:rsidRPr="00E03609">
        <w:rPr>
          <w:rFonts w:ascii="Arial" w:hAnsi="Arial" w:cs="Arial"/>
        </w:rPr>
        <w:t>en</w:t>
      </w:r>
      <w:proofErr w:type="spellEnd"/>
      <w:r w:rsidRPr="00E03609">
        <w:rPr>
          <w:rFonts w:ascii="Arial" w:hAnsi="Arial" w:cs="Arial"/>
        </w:rPr>
        <w:t xml:space="preserve">-suites, </w:t>
      </w:r>
      <w:proofErr w:type="spellStart"/>
      <w:r w:rsidRPr="00E03609">
        <w:rPr>
          <w:rFonts w:ascii="Arial" w:hAnsi="Arial" w:cs="Arial"/>
        </w:rPr>
        <w:t>centralised</w:t>
      </w:r>
      <w:proofErr w:type="spellEnd"/>
      <w:r w:rsidRPr="00E03609">
        <w:rPr>
          <w:rFonts w:ascii="Arial" w:hAnsi="Arial" w:cs="Arial"/>
        </w:rPr>
        <w:t xml:space="preserve"> communal areas with easy safe access to gardens, spacious lounges, therapy spaces, and separate access to non-clinical areas such as family and rest room facilities.  A discreet access to 136 suites within the acute wards allow for the safe reception of patients arriving on the unit maintains their privacy and dignity at a time where they may be very unwell</w:t>
      </w:r>
      <w:r w:rsidR="00407C25" w:rsidRPr="00E03609">
        <w:rPr>
          <w:rFonts w:ascii="Arial" w:hAnsi="Arial" w:cs="Arial"/>
        </w:rPr>
        <w:t>.</w:t>
      </w:r>
      <w:r w:rsidRPr="00E03609">
        <w:rPr>
          <w:rFonts w:ascii="Arial" w:hAnsi="Arial" w:cs="Arial"/>
        </w:rPr>
        <w:t xml:space="preserve"> </w:t>
      </w:r>
      <w:r w:rsidR="00407C25" w:rsidRPr="00E03609">
        <w:rPr>
          <w:rFonts w:ascii="Arial" w:hAnsi="Arial" w:cs="Arial"/>
        </w:rPr>
        <w:br/>
      </w:r>
    </w:p>
    <w:p w:rsidR="00676559" w:rsidRPr="00E03609" w:rsidRDefault="00407C25" w:rsidP="00206A47">
      <w:pPr>
        <w:rPr>
          <w:rFonts w:ascii="Arial" w:hAnsi="Arial" w:cs="Arial"/>
        </w:rPr>
      </w:pPr>
      <w:r w:rsidRPr="00E03609">
        <w:rPr>
          <w:rFonts w:ascii="Arial" w:hAnsi="Arial" w:cs="Arial"/>
        </w:rPr>
        <w:t>There are still</w:t>
      </w:r>
      <w:r w:rsidR="00206A47" w:rsidRPr="00E03609">
        <w:rPr>
          <w:rFonts w:ascii="Arial" w:hAnsi="Arial" w:cs="Arial"/>
        </w:rPr>
        <w:t xml:space="preserve"> some areas where the benefits have not been fully </w:t>
      </w:r>
      <w:r w:rsidRPr="00E03609">
        <w:rPr>
          <w:rFonts w:ascii="Arial" w:hAnsi="Arial" w:cs="Arial"/>
        </w:rPr>
        <w:t xml:space="preserve">delivered.  The service </w:t>
      </w:r>
      <w:proofErr w:type="spellStart"/>
      <w:r w:rsidRPr="00E03609">
        <w:rPr>
          <w:rFonts w:ascii="Arial" w:hAnsi="Arial" w:cs="Arial"/>
        </w:rPr>
        <w:t>remodelling</w:t>
      </w:r>
      <w:proofErr w:type="spellEnd"/>
      <w:r w:rsidRPr="00E03609">
        <w:rPr>
          <w:rFonts w:ascii="Arial" w:hAnsi="Arial" w:cs="Arial"/>
        </w:rPr>
        <w:t xml:space="preserve"> and changes in structures should enable these to be </w:t>
      </w:r>
      <w:proofErr w:type="spellStart"/>
      <w:r w:rsidRPr="00E03609">
        <w:rPr>
          <w:rFonts w:ascii="Arial" w:hAnsi="Arial" w:cs="Arial"/>
        </w:rPr>
        <w:t>realised</w:t>
      </w:r>
      <w:proofErr w:type="spellEnd"/>
      <w:r w:rsidRPr="00E03609">
        <w:rPr>
          <w:rFonts w:ascii="Arial" w:hAnsi="Arial" w:cs="Arial"/>
        </w:rPr>
        <w:t xml:space="preserve"> this year. </w:t>
      </w:r>
      <w:r w:rsidR="00206A47" w:rsidRPr="00E03609">
        <w:rPr>
          <w:rFonts w:ascii="Arial" w:hAnsi="Arial" w:cs="Arial"/>
        </w:rPr>
        <w:t xml:space="preserve"> However, the project has successfully delivered a scheme that has enhanced patient care and service delivery by</w:t>
      </w:r>
      <w:r w:rsidRPr="00E03609">
        <w:rPr>
          <w:rFonts w:ascii="Arial" w:hAnsi="Arial" w:cs="Arial"/>
        </w:rPr>
        <w:t xml:space="preserve"> meeting its outline aims and objectives within the original business case and provides a safe, modern and very therapeutic environment for patients and visitors to visit and for staff to work.</w:t>
      </w:r>
    </w:p>
    <w:p w:rsidR="00407C25" w:rsidRPr="00E03609" w:rsidRDefault="00407C25" w:rsidP="00206A47">
      <w:pPr>
        <w:rPr>
          <w:rFonts w:ascii="Arial" w:hAnsi="Arial" w:cs="Arial"/>
        </w:rPr>
      </w:pPr>
    </w:p>
    <w:p w:rsidR="00407C25" w:rsidRPr="00E03609" w:rsidRDefault="00407C25" w:rsidP="00407C25">
      <w:pPr>
        <w:jc w:val="both"/>
        <w:rPr>
          <w:rFonts w:ascii="Arial" w:hAnsi="Arial" w:cs="Arial"/>
        </w:rPr>
      </w:pPr>
      <w:r w:rsidRPr="00E03609">
        <w:rPr>
          <w:rFonts w:ascii="Arial" w:hAnsi="Arial" w:cs="Arial"/>
        </w:rPr>
        <w:t xml:space="preserve">For information the benefits and their current status are outlined below: </w:t>
      </w:r>
    </w:p>
    <w:tbl>
      <w:tblPr>
        <w:tblStyle w:val="TableGrid"/>
        <w:tblW w:w="0" w:type="auto"/>
        <w:tblLook w:val="04A0" w:firstRow="1" w:lastRow="0" w:firstColumn="1" w:lastColumn="0" w:noHBand="0" w:noVBand="1"/>
      </w:tblPr>
      <w:tblGrid>
        <w:gridCol w:w="4473"/>
        <w:gridCol w:w="1244"/>
        <w:gridCol w:w="3139"/>
      </w:tblGrid>
      <w:tr w:rsidR="00407C25" w:rsidRPr="00E03609" w:rsidTr="00F64732">
        <w:tc>
          <w:tcPr>
            <w:tcW w:w="4786" w:type="dxa"/>
            <w:shd w:val="clear" w:color="auto" w:fill="8DB3E2" w:themeFill="text2" w:themeFillTint="66"/>
          </w:tcPr>
          <w:p w:rsidR="00407C25" w:rsidRPr="00E03609" w:rsidRDefault="00407C25" w:rsidP="00F64732">
            <w:pPr>
              <w:jc w:val="both"/>
              <w:rPr>
                <w:rFonts w:ascii="Arial" w:hAnsi="Arial" w:cs="Arial"/>
              </w:rPr>
            </w:pPr>
            <w:r w:rsidRPr="00E03609">
              <w:rPr>
                <w:rFonts w:ascii="Arial" w:hAnsi="Arial" w:cs="Arial"/>
              </w:rPr>
              <w:t xml:space="preserve">Benefits </w:t>
            </w:r>
          </w:p>
          <w:p w:rsidR="00407C25" w:rsidRPr="00E03609" w:rsidRDefault="00407C25" w:rsidP="00F64732">
            <w:pPr>
              <w:jc w:val="both"/>
              <w:rPr>
                <w:rFonts w:ascii="Arial" w:hAnsi="Arial" w:cs="Arial"/>
              </w:rPr>
            </w:pPr>
          </w:p>
        </w:tc>
        <w:tc>
          <w:tcPr>
            <w:tcW w:w="1134" w:type="dxa"/>
            <w:shd w:val="clear" w:color="auto" w:fill="8DB3E2" w:themeFill="text2" w:themeFillTint="66"/>
          </w:tcPr>
          <w:p w:rsidR="00407C25" w:rsidRPr="00E03609" w:rsidRDefault="00407C25" w:rsidP="00F64732">
            <w:pPr>
              <w:jc w:val="both"/>
              <w:rPr>
                <w:rFonts w:ascii="Arial" w:hAnsi="Arial" w:cs="Arial"/>
              </w:rPr>
            </w:pPr>
            <w:r w:rsidRPr="00E03609">
              <w:rPr>
                <w:rFonts w:ascii="Arial" w:hAnsi="Arial" w:cs="Arial"/>
              </w:rPr>
              <w:t>Status</w:t>
            </w:r>
          </w:p>
        </w:tc>
        <w:tc>
          <w:tcPr>
            <w:tcW w:w="3322" w:type="dxa"/>
            <w:shd w:val="clear" w:color="auto" w:fill="8DB3E2" w:themeFill="text2" w:themeFillTint="66"/>
          </w:tcPr>
          <w:p w:rsidR="00407C25" w:rsidRPr="00E03609" w:rsidRDefault="00407C25" w:rsidP="00F64732">
            <w:pPr>
              <w:jc w:val="both"/>
              <w:rPr>
                <w:rFonts w:ascii="Arial" w:hAnsi="Arial" w:cs="Arial"/>
              </w:rPr>
            </w:pPr>
            <w:r w:rsidRPr="00E03609">
              <w:rPr>
                <w:rFonts w:ascii="Arial" w:hAnsi="Arial" w:cs="Arial"/>
              </w:rPr>
              <w:t>Evidence</w:t>
            </w:r>
          </w:p>
        </w:tc>
      </w:tr>
      <w:tr w:rsidR="00407C25" w:rsidRPr="00E03609" w:rsidTr="00F64732">
        <w:tc>
          <w:tcPr>
            <w:tcW w:w="4786" w:type="dxa"/>
          </w:tcPr>
          <w:p w:rsidR="00407C25" w:rsidRPr="00E03609" w:rsidRDefault="00407C25" w:rsidP="00F64732">
            <w:pPr>
              <w:jc w:val="both"/>
              <w:rPr>
                <w:rFonts w:ascii="Arial" w:hAnsi="Arial" w:cs="Arial"/>
              </w:rPr>
            </w:pPr>
            <w:r w:rsidRPr="00E03609">
              <w:rPr>
                <w:rFonts w:ascii="Arial" w:hAnsi="Arial" w:cs="Arial"/>
              </w:rPr>
              <w:t>1. Co-location of inpatient, day care and community services to improve integration and multi-agency working.  Delivery of agreed strategy within “Putting People First”.  Delivery of Trust business strategy including improved services and comprehensive packages of care.  Delivery of services which are sustainable within the Trust’s overall business plan.</w:t>
            </w:r>
          </w:p>
        </w:tc>
        <w:tc>
          <w:tcPr>
            <w:tcW w:w="1134" w:type="dxa"/>
            <w:shd w:val="clear" w:color="auto" w:fill="00B050"/>
          </w:tcPr>
          <w:p w:rsidR="00407C25" w:rsidRPr="00E03609" w:rsidRDefault="00407C25" w:rsidP="00F64732">
            <w:pPr>
              <w:jc w:val="both"/>
              <w:rPr>
                <w:rFonts w:ascii="Arial" w:hAnsi="Arial" w:cs="Arial"/>
              </w:rPr>
            </w:pPr>
            <w:r w:rsidRPr="00E03609">
              <w:rPr>
                <w:rFonts w:ascii="Arial" w:hAnsi="Arial" w:cs="Arial"/>
              </w:rPr>
              <w:t>Complete</w:t>
            </w:r>
          </w:p>
        </w:tc>
        <w:tc>
          <w:tcPr>
            <w:tcW w:w="3322" w:type="dxa"/>
          </w:tcPr>
          <w:p w:rsidR="00407C25" w:rsidRPr="00E03609" w:rsidRDefault="00407C25" w:rsidP="00F64732">
            <w:pPr>
              <w:jc w:val="both"/>
              <w:rPr>
                <w:rFonts w:ascii="Arial" w:hAnsi="Arial" w:cs="Arial"/>
              </w:rPr>
            </w:pPr>
            <w:r w:rsidRPr="00E03609">
              <w:rPr>
                <w:rFonts w:ascii="Arial" w:hAnsi="Arial" w:cs="Arial"/>
              </w:rPr>
              <w:t>Signed plans and schedule of accommodation.  Agreement for proposal following “Putting People First” public consultation.   Implementation of the new clinical service model.</w:t>
            </w:r>
          </w:p>
        </w:tc>
      </w:tr>
      <w:tr w:rsidR="00407C25" w:rsidRPr="00E03609" w:rsidTr="00F64732">
        <w:tc>
          <w:tcPr>
            <w:tcW w:w="4786" w:type="dxa"/>
          </w:tcPr>
          <w:p w:rsidR="00407C25" w:rsidRPr="00E03609" w:rsidRDefault="00407C25" w:rsidP="00F64732">
            <w:pPr>
              <w:jc w:val="both"/>
              <w:rPr>
                <w:rFonts w:ascii="Arial" w:hAnsi="Arial" w:cs="Arial"/>
              </w:rPr>
            </w:pPr>
            <w:r w:rsidRPr="00E03609">
              <w:rPr>
                <w:rFonts w:ascii="Arial" w:hAnsi="Arial" w:cs="Arial"/>
              </w:rPr>
              <w:t>2. Delivery of Directorate service development strategy and model of care. Achieving target/benchmark lengths of stay and occupancy levels.  Contributes to local delivery of the Trust’s ICT strategy.</w:t>
            </w:r>
          </w:p>
          <w:p w:rsidR="00407C25" w:rsidRPr="00E03609" w:rsidRDefault="00407C25" w:rsidP="00F64732">
            <w:pPr>
              <w:jc w:val="both"/>
              <w:rPr>
                <w:rFonts w:ascii="Arial" w:hAnsi="Arial" w:cs="Arial"/>
              </w:rPr>
            </w:pPr>
          </w:p>
        </w:tc>
        <w:tc>
          <w:tcPr>
            <w:tcW w:w="1134" w:type="dxa"/>
            <w:shd w:val="clear" w:color="auto" w:fill="FFC000"/>
          </w:tcPr>
          <w:p w:rsidR="00407C25" w:rsidRPr="00E03609" w:rsidRDefault="00407C25" w:rsidP="00F64732">
            <w:pPr>
              <w:jc w:val="both"/>
              <w:rPr>
                <w:rFonts w:ascii="Arial" w:hAnsi="Arial" w:cs="Arial"/>
              </w:rPr>
            </w:pPr>
            <w:r w:rsidRPr="00E03609">
              <w:rPr>
                <w:rFonts w:ascii="Arial" w:hAnsi="Arial" w:cs="Arial"/>
              </w:rPr>
              <w:t>Partially Complete</w:t>
            </w:r>
          </w:p>
        </w:tc>
        <w:tc>
          <w:tcPr>
            <w:tcW w:w="3322" w:type="dxa"/>
          </w:tcPr>
          <w:p w:rsidR="00E03609" w:rsidRDefault="00407C25" w:rsidP="00E03609">
            <w:pPr>
              <w:rPr>
                <w:rFonts w:ascii="Arial" w:hAnsi="Arial" w:cs="Arial"/>
              </w:rPr>
            </w:pPr>
            <w:r w:rsidRPr="00E03609">
              <w:rPr>
                <w:rFonts w:ascii="Arial" w:hAnsi="Arial" w:cs="Arial"/>
              </w:rPr>
              <w:t>Signed plans and schedule of accommodation.  Operational policy in place.  Overall reduction in length of stay except Ruby which increased.</w:t>
            </w:r>
            <w:r w:rsidR="00E03609">
              <w:rPr>
                <w:rFonts w:ascii="Arial" w:hAnsi="Arial" w:cs="Arial"/>
              </w:rPr>
              <w:t xml:space="preserve"> (</w:t>
            </w:r>
            <w:proofErr w:type="gramStart"/>
            <w:r w:rsidR="00E03609">
              <w:rPr>
                <w:rFonts w:ascii="Arial" w:hAnsi="Arial" w:cs="Arial"/>
              </w:rPr>
              <w:t>due</w:t>
            </w:r>
            <w:proofErr w:type="gramEnd"/>
            <w:r w:rsidR="00E03609">
              <w:rPr>
                <w:rFonts w:ascii="Arial" w:hAnsi="Arial" w:cs="Arial"/>
              </w:rPr>
              <w:t xml:space="preserve"> to two complex discharges with very long ALOS).  Dedicated Leadership Teams on every ward now in place.</w:t>
            </w:r>
          </w:p>
          <w:p w:rsidR="00407C25" w:rsidRPr="00E03609" w:rsidRDefault="00407C25" w:rsidP="00E03609">
            <w:pPr>
              <w:jc w:val="both"/>
              <w:rPr>
                <w:rFonts w:ascii="Arial" w:hAnsi="Arial" w:cs="Arial"/>
              </w:rPr>
            </w:pPr>
            <w:r w:rsidRPr="00E03609">
              <w:rPr>
                <w:rFonts w:ascii="Arial" w:hAnsi="Arial" w:cs="Arial"/>
              </w:rPr>
              <w:t xml:space="preserve">Signed IT project input and IT strategy.  </w:t>
            </w:r>
          </w:p>
        </w:tc>
      </w:tr>
      <w:tr w:rsidR="00407C25" w:rsidRPr="00E03609" w:rsidTr="00F64732">
        <w:tc>
          <w:tcPr>
            <w:tcW w:w="4786" w:type="dxa"/>
          </w:tcPr>
          <w:p w:rsidR="00407C25" w:rsidRPr="00E03609" w:rsidRDefault="00407C25" w:rsidP="00F64732">
            <w:pPr>
              <w:jc w:val="both"/>
              <w:rPr>
                <w:rFonts w:ascii="Arial" w:hAnsi="Arial" w:cs="Arial"/>
              </w:rPr>
            </w:pPr>
            <w:r w:rsidRPr="00E03609">
              <w:rPr>
                <w:rFonts w:ascii="Arial" w:hAnsi="Arial" w:cs="Arial"/>
              </w:rPr>
              <w:t>3. Improved access to services for patients, family and staff.  DDA compliance and approved service user access.</w:t>
            </w:r>
          </w:p>
        </w:tc>
        <w:tc>
          <w:tcPr>
            <w:tcW w:w="1134" w:type="dxa"/>
            <w:shd w:val="clear" w:color="auto" w:fill="00B050"/>
          </w:tcPr>
          <w:p w:rsidR="00407C25" w:rsidRPr="00E03609" w:rsidRDefault="00407C25" w:rsidP="00F64732">
            <w:pPr>
              <w:jc w:val="both"/>
              <w:rPr>
                <w:rFonts w:ascii="Arial" w:hAnsi="Arial" w:cs="Arial"/>
              </w:rPr>
            </w:pPr>
            <w:r w:rsidRPr="00E03609">
              <w:rPr>
                <w:rFonts w:ascii="Arial" w:hAnsi="Arial" w:cs="Arial"/>
              </w:rPr>
              <w:t>Complete</w:t>
            </w:r>
          </w:p>
        </w:tc>
        <w:tc>
          <w:tcPr>
            <w:tcW w:w="3322" w:type="dxa"/>
          </w:tcPr>
          <w:p w:rsidR="00407C25" w:rsidRPr="00E03609" w:rsidRDefault="00407C25" w:rsidP="00F64732">
            <w:pPr>
              <w:jc w:val="both"/>
              <w:rPr>
                <w:rFonts w:ascii="Arial" w:hAnsi="Arial" w:cs="Arial"/>
              </w:rPr>
            </w:pPr>
            <w:r w:rsidRPr="00E03609">
              <w:rPr>
                <w:rFonts w:ascii="Arial" w:hAnsi="Arial" w:cs="Arial"/>
              </w:rPr>
              <w:t xml:space="preserve">Signed schedule of accommodation plus floor plans and commissioning prior to moving in.  Feedback from service users and </w:t>
            </w:r>
            <w:proofErr w:type="spellStart"/>
            <w:r w:rsidRPr="00E03609">
              <w:rPr>
                <w:rFonts w:ascii="Arial" w:hAnsi="Arial" w:cs="Arial"/>
              </w:rPr>
              <w:t>carers</w:t>
            </w:r>
            <w:proofErr w:type="spellEnd"/>
            <w:r w:rsidRPr="00E03609">
              <w:rPr>
                <w:rFonts w:ascii="Arial" w:hAnsi="Arial" w:cs="Arial"/>
              </w:rPr>
              <w:t xml:space="preserve"> – “easily accessible, reception and café area are welcoming, a place I feel happy to meet visitors now.”  Contract from Kier and professional team.</w:t>
            </w:r>
          </w:p>
        </w:tc>
      </w:tr>
      <w:tr w:rsidR="00407C25" w:rsidRPr="00E03609" w:rsidTr="00F64732">
        <w:tc>
          <w:tcPr>
            <w:tcW w:w="4786" w:type="dxa"/>
          </w:tcPr>
          <w:p w:rsidR="00407C25" w:rsidRPr="00E03609" w:rsidRDefault="00407C25" w:rsidP="00F64732">
            <w:pPr>
              <w:jc w:val="both"/>
              <w:rPr>
                <w:rFonts w:ascii="Arial" w:hAnsi="Arial" w:cs="Arial"/>
              </w:rPr>
            </w:pPr>
            <w:r w:rsidRPr="00E03609">
              <w:rPr>
                <w:rFonts w:ascii="Arial" w:hAnsi="Arial" w:cs="Arial"/>
              </w:rPr>
              <w:t>4. Improved morale resulting from modern and efficient service delivery and working environment.  Suitable environment for users and visitors including one which promotes engagement of users and their families.  Increased attraction to Trust for prospective staff.</w:t>
            </w:r>
          </w:p>
        </w:tc>
        <w:tc>
          <w:tcPr>
            <w:tcW w:w="1134" w:type="dxa"/>
            <w:shd w:val="clear" w:color="auto" w:fill="FFC000"/>
          </w:tcPr>
          <w:p w:rsidR="00407C25" w:rsidRPr="00E03609" w:rsidRDefault="00407C25" w:rsidP="00F64732">
            <w:pPr>
              <w:jc w:val="both"/>
              <w:rPr>
                <w:rFonts w:ascii="Arial" w:hAnsi="Arial" w:cs="Arial"/>
              </w:rPr>
            </w:pPr>
            <w:r w:rsidRPr="00E03609">
              <w:rPr>
                <w:rFonts w:ascii="Arial" w:hAnsi="Arial" w:cs="Arial"/>
              </w:rPr>
              <w:t>Partially Complete</w:t>
            </w:r>
          </w:p>
        </w:tc>
        <w:tc>
          <w:tcPr>
            <w:tcW w:w="3322" w:type="dxa"/>
          </w:tcPr>
          <w:p w:rsidR="00407C25" w:rsidRPr="00E03609" w:rsidRDefault="00407C25" w:rsidP="00F64732">
            <w:pPr>
              <w:jc w:val="both"/>
              <w:rPr>
                <w:rFonts w:ascii="Arial" w:hAnsi="Arial" w:cs="Arial"/>
              </w:rPr>
            </w:pPr>
            <w:r w:rsidRPr="00E03609">
              <w:rPr>
                <w:rFonts w:ascii="Arial" w:hAnsi="Arial" w:cs="Arial"/>
              </w:rPr>
              <w:t xml:space="preserve">There are no surveys thus far that capture this data specifically although we should be able to capture this should it be required.  Awaiting some data from HR. Feedback from the recruitment days held at the </w:t>
            </w:r>
            <w:proofErr w:type="spellStart"/>
            <w:r w:rsidRPr="00E03609">
              <w:rPr>
                <w:rFonts w:ascii="Arial" w:hAnsi="Arial" w:cs="Arial"/>
              </w:rPr>
              <w:t>Whiteleaf</w:t>
            </w:r>
            <w:proofErr w:type="spellEnd"/>
            <w:r w:rsidRPr="00E03609">
              <w:rPr>
                <w:rFonts w:ascii="Arial" w:hAnsi="Arial" w:cs="Arial"/>
              </w:rPr>
              <w:t xml:space="preserve"> has been very positive.</w:t>
            </w:r>
          </w:p>
        </w:tc>
      </w:tr>
      <w:tr w:rsidR="00407C25" w:rsidRPr="00E03609" w:rsidTr="00F64732">
        <w:tc>
          <w:tcPr>
            <w:tcW w:w="4786" w:type="dxa"/>
          </w:tcPr>
          <w:p w:rsidR="00407C25" w:rsidRPr="00E03609" w:rsidRDefault="00407C25" w:rsidP="00F64732">
            <w:pPr>
              <w:jc w:val="both"/>
              <w:rPr>
                <w:rFonts w:ascii="Arial" w:hAnsi="Arial" w:cs="Arial"/>
              </w:rPr>
            </w:pPr>
            <w:r w:rsidRPr="00E03609">
              <w:rPr>
                <w:rFonts w:ascii="Arial" w:hAnsi="Arial" w:cs="Arial"/>
              </w:rPr>
              <w:t xml:space="preserve">5. Efficient ward staffing levels sufficient to deliver the agreed models of care. </w:t>
            </w:r>
            <w:proofErr w:type="spellStart"/>
            <w:r w:rsidRPr="00E03609">
              <w:rPr>
                <w:rFonts w:ascii="Arial" w:hAnsi="Arial" w:cs="Arial"/>
              </w:rPr>
              <w:t>Standardisation</w:t>
            </w:r>
            <w:proofErr w:type="spellEnd"/>
            <w:r w:rsidRPr="00E03609">
              <w:rPr>
                <w:rFonts w:ascii="Arial" w:hAnsi="Arial" w:cs="Arial"/>
              </w:rPr>
              <w:t xml:space="preserve"> of ward staffing levels to compliment delivery of model of care.  Provision of sufficient capacity to respond to demand (including the impact of the growing, aging population).  Designed-in Flexibility of internal layout and expansion to meet emerging best practice and changes in demand whilst complying with planning conditions.</w:t>
            </w:r>
          </w:p>
        </w:tc>
        <w:tc>
          <w:tcPr>
            <w:tcW w:w="1134" w:type="dxa"/>
            <w:shd w:val="clear" w:color="auto" w:fill="00B050"/>
          </w:tcPr>
          <w:p w:rsidR="00407C25" w:rsidRPr="00E03609" w:rsidRDefault="00407C25" w:rsidP="00F64732">
            <w:pPr>
              <w:jc w:val="both"/>
              <w:rPr>
                <w:rFonts w:ascii="Arial" w:hAnsi="Arial" w:cs="Arial"/>
              </w:rPr>
            </w:pPr>
            <w:r w:rsidRPr="00E03609">
              <w:rPr>
                <w:rFonts w:ascii="Arial" w:hAnsi="Arial" w:cs="Arial"/>
              </w:rPr>
              <w:t>Complete</w:t>
            </w:r>
          </w:p>
        </w:tc>
        <w:tc>
          <w:tcPr>
            <w:tcW w:w="3322" w:type="dxa"/>
          </w:tcPr>
          <w:p w:rsidR="00407C25" w:rsidRPr="00E03609" w:rsidRDefault="00407C25" w:rsidP="00F64732">
            <w:pPr>
              <w:jc w:val="both"/>
              <w:rPr>
                <w:rFonts w:ascii="Arial" w:hAnsi="Arial" w:cs="Arial"/>
              </w:rPr>
            </w:pPr>
            <w:r w:rsidRPr="00E03609">
              <w:rPr>
                <w:rFonts w:ascii="Arial" w:hAnsi="Arial" w:cs="Arial"/>
              </w:rPr>
              <w:t>Staffing levels were increased on all the wards.  Flexibility in design</w:t>
            </w:r>
            <w:proofErr w:type="gramStart"/>
            <w:r w:rsidRPr="00E03609">
              <w:rPr>
                <w:rFonts w:ascii="Arial" w:hAnsi="Arial" w:cs="Arial"/>
              </w:rPr>
              <w:t>,  Older</w:t>
            </w:r>
            <w:proofErr w:type="gramEnd"/>
            <w:r w:rsidRPr="00E03609">
              <w:rPr>
                <w:rFonts w:ascii="Arial" w:hAnsi="Arial" w:cs="Arial"/>
              </w:rPr>
              <w:t xml:space="preserve"> adult beds reduced from 2 wards to 1.  Rehab ward moved in without need to change design or layout.  Planning permission compliance. </w:t>
            </w:r>
          </w:p>
        </w:tc>
      </w:tr>
      <w:tr w:rsidR="00407C25" w:rsidRPr="00E03609" w:rsidTr="00F64732">
        <w:tc>
          <w:tcPr>
            <w:tcW w:w="4786" w:type="dxa"/>
          </w:tcPr>
          <w:p w:rsidR="00407C25" w:rsidRPr="00E03609" w:rsidRDefault="00407C25" w:rsidP="00F64732">
            <w:pPr>
              <w:jc w:val="both"/>
              <w:rPr>
                <w:rFonts w:ascii="Arial" w:hAnsi="Arial" w:cs="Arial"/>
              </w:rPr>
            </w:pPr>
            <w:r w:rsidRPr="00E03609">
              <w:rPr>
                <w:rFonts w:ascii="Arial" w:hAnsi="Arial" w:cs="Arial"/>
              </w:rPr>
              <w:t>6. Improved quality of care through delivery of agreed service models within suitable accommodation.  Delivery of high quality design.  Improved and appropriate clinical adjacencies that benefit both patient/users and staff</w:t>
            </w:r>
          </w:p>
        </w:tc>
        <w:tc>
          <w:tcPr>
            <w:tcW w:w="1134" w:type="dxa"/>
            <w:shd w:val="clear" w:color="auto" w:fill="00B050"/>
          </w:tcPr>
          <w:p w:rsidR="00407C25" w:rsidRPr="00E03609" w:rsidRDefault="00407C25" w:rsidP="00F64732">
            <w:pPr>
              <w:jc w:val="both"/>
              <w:rPr>
                <w:rFonts w:ascii="Arial" w:hAnsi="Arial" w:cs="Arial"/>
              </w:rPr>
            </w:pPr>
            <w:r w:rsidRPr="00E03609">
              <w:rPr>
                <w:rFonts w:ascii="Arial" w:hAnsi="Arial" w:cs="Arial"/>
              </w:rPr>
              <w:t>Complete</w:t>
            </w:r>
          </w:p>
        </w:tc>
        <w:tc>
          <w:tcPr>
            <w:tcW w:w="3322" w:type="dxa"/>
          </w:tcPr>
          <w:p w:rsidR="00407C25" w:rsidRPr="00E03609" w:rsidRDefault="00407C25" w:rsidP="00F64732">
            <w:pPr>
              <w:jc w:val="both"/>
              <w:rPr>
                <w:rFonts w:ascii="Arial" w:hAnsi="Arial" w:cs="Arial"/>
              </w:rPr>
            </w:pPr>
            <w:r w:rsidRPr="00E03609">
              <w:rPr>
                <w:rFonts w:ascii="Arial" w:hAnsi="Arial" w:cs="Arial"/>
              </w:rPr>
              <w:t>Signed schedule, increased patient and staff satisfaction with regards to clinical care but whether this is directly linked to the design or accommodation the survey does not capture this data.  Annual Health Check being carried out through CQC and AIMS process of reviewing standards.</w:t>
            </w:r>
          </w:p>
        </w:tc>
      </w:tr>
      <w:tr w:rsidR="00407C25" w:rsidRPr="00E03609" w:rsidTr="00F64732">
        <w:tc>
          <w:tcPr>
            <w:tcW w:w="4786" w:type="dxa"/>
          </w:tcPr>
          <w:p w:rsidR="00407C25" w:rsidRPr="00E03609" w:rsidRDefault="00407C25" w:rsidP="00F64732">
            <w:pPr>
              <w:jc w:val="both"/>
              <w:rPr>
                <w:rFonts w:ascii="Arial" w:hAnsi="Arial" w:cs="Arial"/>
              </w:rPr>
            </w:pPr>
            <w:r w:rsidRPr="00E03609">
              <w:rPr>
                <w:rFonts w:ascii="Arial" w:hAnsi="Arial" w:cs="Arial"/>
              </w:rPr>
              <w:t>7. Improved training for staff through improved/appropriate facilities, appropriate staffing levels, supervision and support</w:t>
            </w:r>
          </w:p>
        </w:tc>
        <w:tc>
          <w:tcPr>
            <w:tcW w:w="1134" w:type="dxa"/>
            <w:shd w:val="clear" w:color="auto" w:fill="00B050"/>
          </w:tcPr>
          <w:p w:rsidR="00407C25" w:rsidRPr="00E03609" w:rsidRDefault="00407C25" w:rsidP="00F64732">
            <w:pPr>
              <w:jc w:val="both"/>
              <w:rPr>
                <w:rFonts w:ascii="Arial" w:hAnsi="Arial" w:cs="Arial"/>
              </w:rPr>
            </w:pPr>
            <w:r w:rsidRPr="00E03609">
              <w:rPr>
                <w:rFonts w:ascii="Arial" w:hAnsi="Arial" w:cs="Arial"/>
              </w:rPr>
              <w:t>Complete</w:t>
            </w:r>
          </w:p>
        </w:tc>
        <w:tc>
          <w:tcPr>
            <w:tcW w:w="3322" w:type="dxa"/>
          </w:tcPr>
          <w:p w:rsidR="00407C25" w:rsidRPr="00E03609" w:rsidRDefault="00407C25" w:rsidP="00F64732">
            <w:pPr>
              <w:jc w:val="both"/>
              <w:rPr>
                <w:rFonts w:ascii="Arial" w:hAnsi="Arial" w:cs="Arial"/>
              </w:rPr>
            </w:pPr>
            <w:r w:rsidRPr="00E03609">
              <w:rPr>
                <w:rFonts w:ascii="Arial" w:hAnsi="Arial" w:cs="Arial"/>
              </w:rPr>
              <w:t xml:space="preserve">Reduction in use of the </w:t>
            </w:r>
            <w:proofErr w:type="spellStart"/>
            <w:r w:rsidRPr="00E03609">
              <w:rPr>
                <w:rFonts w:ascii="Arial" w:hAnsi="Arial" w:cs="Arial"/>
              </w:rPr>
              <w:t>Sivatech</w:t>
            </w:r>
            <w:proofErr w:type="spellEnd"/>
            <w:r w:rsidRPr="00E03609">
              <w:rPr>
                <w:rFonts w:ascii="Arial" w:hAnsi="Arial" w:cs="Arial"/>
              </w:rPr>
              <w:t xml:space="preserve"> facility.  Increase use of the conference room and learning zone for training.</w:t>
            </w:r>
          </w:p>
        </w:tc>
      </w:tr>
      <w:tr w:rsidR="00407C25" w:rsidRPr="00E03609" w:rsidTr="00F64732">
        <w:tc>
          <w:tcPr>
            <w:tcW w:w="4786" w:type="dxa"/>
          </w:tcPr>
          <w:p w:rsidR="00407C25" w:rsidRPr="00E03609" w:rsidRDefault="00407C25" w:rsidP="00F64732">
            <w:pPr>
              <w:jc w:val="both"/>
              <w:rPr>
                <w:rFonts w:ascii="Arial" w:hAnsi="Arial" w:cs="Arial"/>
              </w:rPr>
            </w:pPr>
            <w:r w:rsidRPr="00E03609">
              <w:rPr>
                <w:rFonts w:ascii="Arial" w:hAnsi="Arial" w:cs="Arial"/>
              </w:rPr>
              <w:t xml:space="preserve">8. </w:t>
            </w:r>
            <w:proofErr w:type="spellStart"/>
            <w:r w:rsidRPr="00E03609">
              <w:rPr>
                <w:rFonts w:ascii="Arial" w:hAnsi="Arial" w:cs="Arial"/>
              </w:rPr>
              <w:t>Optimised</w:t>
            </w:r>
            <w:proofErr w:type="spellEnd"/>
            <w:r w:rsidRPr="00E03609">
              <w:rPr>
                <w:rFonts w:ascii="Arial" w:hAnsi="Arial" w:cs="Arial"/>
              </w:rPr>
              <w:t xml:space="preserve"> estate running costs, achieve national and local sustainability targets.  Optimum use of land and estate, </w:t>
            </w:r>
            <w:proofErr w:type="spellStart"/>
            <w:r w:rsidRPr="00E03609">
              <w:rPr>
                <w:rFonts w:ascii="Arial" w:hAnsi="Arial" w:cs="Arial"/>
              </w:rPr>
              <w:t>maximised</w:t>
            </w:r>
            <w:proofErr w:type="spellEnd"/>
            <w:r w:rsidRPr="00E03609">
              <w:rPr>
                <w:rFonts w:ascii="Arial" w:hAnsi="Arial" w:cs="Arial"/>
              </w:rPr>
              <w:t xml:space="preserve"> capital receipt from the release of agreed sites and facilities. Achieve national and local sustainability targets.  Achieve BREEAM excellent rating, demonstrating a sustainable environmental provision.</w:t>
            </w:r>
          </w:p>
        </w:tc>
        <w:tc>
          <w:tcPr>
            <w:tcW w:w="1134" w:type="dxa"/>
            <w:shd w:val="clear" w:color="auto" w:fill="00B050"/>
          </w:tcPr>
          <w:p w:rsidR="00407C25" w:rsidRPr="00E03609" w:rsidRDefault="00407C25" w:rsidP="00F64732">
            <w:pPr>
              <w:jc w:val="both"/>
              <w:rPr>
                <w:rFonts w:ascii="Arial" w:hAnsi="Arial" w:cs="Arial"/>
              </w:rPr>
            </w:pPr>
            <w:r w:rsidRPr="00E03609">
              <w:rPr>
                <w:rFonts w:ascii="Arial" w:hAnsi="Arial" w:cs="Arial"/>
              </w:rPr>
              <w:t>Complete</w:t>
            </w:r>
          </w:p>
        </w:tc>
        <w:tc>
          <w:tcPr>
            <w:tcW w:w="3322" w:type="dxa"/>
          </w:tcPr>
          <w:p w:rsidR="00407C25" w:rsidRPr="00E03609" w:rsidRDefault="00407C25" w:rsidP="00F64732">
            <w:pPr>
              <w:jc w:val="both"/>
              <w:rPr>
                <w:rFonts w:ascii="Arial" w:hAnsi="Arial" w:cs="Arial"/>
              </w:rPr>
            </w:pPr>
            <w:r w:rsidRPr="00E03609">
              <w:rPr>
                <w:rFonts w:ascii="Arial" w:hAnsi="Arial" w:cs="Arial"/>
              </w:rPr>
              <w:t xml:space="preserve">BREEAM excellent rating achieved (Building Research Establishment Environmental Assessment Method) BREEAM certificate as evidence.  Used only land required and in compliance with planning permission.  </w:t>
            </w:r>
          </w:p>
        </w:tc>
      </w:tr>
      <w:tr w:rsidR="00407C25" w:rsidRPr="00E03609" w:rsidTr="00F64732">
        <w:tc>
          <w:tcPr>
            <w:tcW w:w="4786" w:type="dxa"/>
          </w:tcPr>
          <w:p w:rsidR="00407C25" w:rsidRPr="00E03609" w:rsidRDefault="00407C25" w:rsidP="00F64732">
            <w:pPr>
              <w:jc w:val="both"/>
              <w:rPr>
                <w:rFonts w:ascii="Arial" w:hAnsi="Arial" w:cs="Arial"/>
              </w:rPr>
            </w:pPr>
            <w:r w:rsidRPr="00E03609">
              <w:rPr>
                <w:rFonts w:ascii="Arial" w:hAnsi="Arial" w:cs="Arial"/>
              </w:rPr>
              <w:t xml:space="preserve">9. Deliver estimated revenue savings as part of the overall financial package.  Property maintenance requirements </w:t>
            </w:r>
            <w:proofErr w:type="spellStart"/>
            <w:r w:rsidRPr="00E03609">
              <w:rPr>
                <w:rFonts w:ascii="Arial" w:hAnsi="Arial" w:cs="Arial"/>
              </w:rPr>
              <w:t>minimised</w:t>
            </w:r>
            <w:proofErr w:type="spellEnd"/>
            <w:r w:rsidRPr="00E03609">
              <w:rPr>
                <w:rFonts w:ascii="Arial" w:hAnsi="Arial" w:cs="Arial"/>
              </w:rPr>
              <w:t xml:space="preserve"> and eased where possible</w:t>
            </w:r>
          </w:p>
        </w:tc>
        <w:tc>
          <w:tcPr>
            <w:tcW w:w="1134" w:type="dxa"/>
            <w:shd w:val="clear" w:color="auto" w:fill="00B050"/>
          </w:tcPr>
          <w:p w:rsidR="00407C25" w:rsidRPr="00E03609" w:rsidRDefault="00407C25" w:rsidP="00F64732">
            <w:pPr>
              <w:jc w:val="both"/>
              <w:rPr>
                <w:rFonts w:ascii="Arial" w:hAnsi="Arial" w:cs="Arial"/>
              </w:rPr>
            </w:pPr>
            <w:r w:rsidRPr="00E03609">
              <w:rPr>
                <w:rFonts w:ascii="Arial" w:hAnsi="Arial" w:cs="Arial"/>
              </w:rPr>
              <w:t>Complete</w:t>
            </w:r>
          </w:p>
        </w:tc>
        <w:tc>
          <w:tcPr>
            <w:tcW w:w="3322" w:type="dxa"/>
          </w:tcPr>
          <w:p w:rsidR="00407C25" w:rsidRPr="00E03609" w:rsidRDefault="00407C25" w:rsidP="00F64732">
            <w:pPr>
              <w:jc w:val="both"/>
              <w:rPr>
                <w:rFonts w:ascii="Arial" w:hAnsi="Arial" w:cs="Arial"/>
              </w:rPr>
            </w:pPr>
            <w:r w:rsidRPr="00E03609">
              <w:rPr>
                <w:rFonts w:ascii="Arial" w:hAnsi="Arial" w:cs="Arial"/>
              </w:rPr>
              <w:t>There have been changes to requirements due to meeting demand, however overall costs are reduced and property maintenance has eased due to stores and estates &amp; facility services being located on site.</w:t>
            </w:r>
          </w:p>
        </w:tc>
      </w:tr>
      <w:tr w:rsidR="00407C25" w:rsidRPr="00E03609" w:rsidTr="00F64732">
        <w:tc>
          <w:tcPr>
            <w:tcW w:w="4786" w:type="dxa"/>
          </w:tcPr>
          <w:p w:rsidR="00407C25" w:rsidRPr="00E03609" w:rsidRDefault="00407C25" w:rsidP="00F64732">
            <w:pPr>
              <w:jc w:val="both"/>
              <w:rPr>
                <w:rFonts w:ascii="Arial" w:hAnsi="Arial" w:cs="Arial"/>
              </w:rPr>
            </w:pPr>
            <w:r w:rsidRPr="00E03609">
              <w:rPr>
                <w:rFonts w:ascii="Arial" w:hAnsi="Arial" w:cs="Arial"/>
              </w:rPr>
              <w:t xml:space="preserve">10. Continued Acute Services access to mental health opinion, advice and support.  Health and Safety compliant.  </w:t>
            </w:r>
          </w:p>
        </w:tc>
        <w:tc>
          <w:tcPr>
            <w:tcW w:w="1134" w:type="dxa"/>
            <w:shd w:val="clear" w:color="auto" w:fill="00B050"/>
          </w:tcPr>
          <w:p w:rsidR="00407C25" w:rsidRPr="00E03609" w:rsidRDefault="00407C25" w:rsidP="00F64732">
            <w:pPr>
              <w:jc w:val="both"/>
              <w:rPr>
                <w:rFonts w:ascii="Arial" w:hAnsi="Arial" w:cs="Arial"/>
              </w:rPr>
            </w:pPr>
            <w:r w:rsidRPr="00E03609">
              <w:rPr>
                <w:rFonts w:ascii="Arial" w:hAnsi="Arial" w:cs="Arial"/>
              </w:rPr>
              <w:t>Complete</w:t>
            </w:r>
          </w:p>
        </w:tc>
        <w:tc>
          <w:tcPr>
            <w:tcW w:w="3322" w:type="dxa"/>
          </w:tcPr>
          <w:p w:rsidR="00407C25" w:rsidRPr="00E03609" w:rsidRDefault="00407C25" w:rsidP="00E03609">
            <w:pPr>
              <w:rPr>
                <w:rFonts w:ascii="Arial" w:hAnsi="Arial" w:cs="Arial"/>
              </w:rPr>
            </w:pPr>
            <w:r w:rsidRPr="00E03609">
              <w:rPr>
                <w:rFonts w:ascii="Arial" w:hAnsi="Arial" w:cs="Arial"/>
              </w:rPr>
              <w:t>PIRLS in place and contract all agreed.  Signed schedule or accommodation plus floor plans and commissioning prior to moving in.</w:t>
            </w:r>
          </w:p>
        </w:tc>
      </w:tr>
      <w:tr w:rsidR="00407C25" w:rsidRPr="00E03609" w:rsidTr="00F64732">
        <w:tc>
          <w:tcPr>
            <w:tcW w:w="4786" w:type="dxa"/>
          </w:tcPr>
          <w:p w:rsidR="00407C25" w:rsidRPr="00E03609" w:rsidRDefault="00407C25" w:rsidP="00F64732">
            <w:pPr>
              <w:jc w:val="both"/>
              <w:rPr>
                <w:rFonts w:ascii="Arial" w:hAnsi="Arial" w:cs="Arial"/>
              </w:rPr>
            </w:pPr>
            <w:r w:rsidRPr="00E03609">
              <w:rPr>
                <w:rFonts w:ascii="Arial" w:hAnsi="Arial" w:cs="Arial"/>
              </w:rPr>
              <w:t>11. Ensure local compliance with relevant consumerism standards, particularly patient privacy and dignity; and compliant with mixed sex standards.</w:t>
            </w:r>
          </w:p>
        </w:tc>
        <w:tc>
          <w:tcPr>
            <w:tcW w:w="1134" w:type="dxa"/>
            <w:shd w:val="clear" w:color="auto" w:fill="00B050"/>
          </w:tcPr>
          <w:p w:rsidR="00407C25" w:rsidRPr="00E03609" w:rsidRDefault="00407C25" w:rsidP="00F64732">
            <w:pPr>
              <w:jc w:val="both"/>
              <w:rPr>
                <w:rFonts w:ascii="Arial" w:hAnsi="Arial" w:cs="Arial"/>
              </w:rPr>
            </w:pPr>
            <w:r w:rsidRPr="00E03609">
              <w:rPr>
                <w:rFonts w:ascii="Arial" w:hAnsi="Arial" w:cs="Arial"/>
              </w:rPr>
              <w:t>Complete</w:t>
            </w:r>
          </w:p>
        </w:tc>
        <w:tc>
          <w:tcPr>
            <w:tcW w:w="3322" w:type="dxa"/>
          </w:tcPr>
          <w:p w:rsidR="00407C25" w:rsidRPr="00E03609" w:rsidRDefault="00407C25" w:rsidP="00F64732">
            <w:pPr>
              <w:jc w:val="both"/>
              <w:rPr>
                <w:rFonts w:ascii="Arial" w:hAnsi="Arial" w:cs="Arial"/>
              </w:rPr>
            </w:pPr>
            <w:r w:rsidRPr="00E03609">
              <w:rPr>
                <w:rFonts w:ascii="Arial" w:hAnsi="Arial" w:cs="Arial"/>
              </w:rPr>
              <w:t>Signed schedule or accommodation, services and leads signed these off.  2 of the 4 wards are mixed sex and comply with those standards set out in AIMS and CQC.</w:t>
            </w:r>
          </w:p>
        </w:tc>
      </w:tr>
    </w:tbl>
    <w:p w:rsidR="00407C25" w:rsidRDefault="00407C25" w:rsidP="00206A47">
      <w:pPr>
        <w:rPr>
          <w:rFonts w:ascii="Arial" w:hAnsi="Arial" w:cs="Arial"/>
        </w:rPr>
      </w:pPr>
    </w:p>
    <w:p w:rsidR="00E03609" w:rsidRDefault="00E03609" w:rsidP="00206A47">
      <w:pPr>
        <w:rPr>
          <w:rFonts w:ascii="Arial" w:hAnsi="Arial" w:cs="Arial"/>
        </w:rPr>
      </w:pPr>
    </w:p>
    <w:p w:rsidR="00E03609" w:rsidRPr="00E03609" w:rsidRDefault="00E03609" w:rsidP="00E03609">
      <w:pPr>
        <w:pStyle w:val="ListParagraph"/>
        <w:numPr>
          <w:ilvl w:val="0"/>
          <w:numId w:val="45"/>
        </w:numPr>
        <w:rPr>
          <w:rFonts w:ascii="Arial" w:hAnsi="Arial" w:cs="Arial"/>
          <w:b/>
        </w:rPr>
      </w:pPr>
      <w:r w:rsidRPr="00E03609">
        <w:rPr>
          <w:rFonts w:ascii="Arial" w:hAnsi="Arial" w:cs="Arial"/>
          <w:b/>
        </w:rPr>
        <w:t>Memory Clinics</w:t>
      </w:r>
    </w:p>
    <w:p w:rsidR="00E03609" w:rsidRPr="00E03609" w:rsidRDefault="00E03609" w:rsidP="00E03609">
      <w:pPr>
        <w:rPr>
          <w:rFonts w:ascii="Arial" w:hAnsi="Arial" w:cs="Arial"/>
        </w:rPr>
      </w:pPr>
    </w:p>
    <w:p w:rsidR="00E03609" w:rsidRPr="00E03609" w:rsidRDefault="00E03609" w:rsidP="00E03609">
      <w:pPr>
        <w:rPr>
          <w:rFonts w:ascii="Arial" w:hAnsi="Arial" w:cs="Arial"/>
        </w:rPr>
      </w:pPr>
      <w:r w:rsidRPr="00E03609">
        <w:rPr>
          <w:rFonts w:ascii="Arial" w:hAnsi="Arial" w:cs="Arial"/>
        </w:rPr>
        <w:t>This section provides a summary update on actions in both Oxfordshire and Buckinghamshire to continue to develop the memory clinic pathways provided by OHFT. Given the national focus on dementia diagnosis and care, as well as the Trust’s role in dementia research in partnership with Oxford University and the CHLARC, this is a key area of care pathway development for the Trust.</w:t>
      </w:r>
    </w:p>
    <w:p w:rsidR="00E03609" w:rsidRPr="00E03609" w:rsidRDefault="00E03609" w:rsidP="00E03609">
      <w:pPr>
        <w:rPr>
          <w:rFonts w:ascii="Arial" w:hAnsi="Arial" w:cs="Arial"/>
        </w:rPr>
      </w:pPr>
    </w:p>
    <w:p w:rsidR="00E03609" w:rsidRPr="00E03609" w:rsidRDefault="00E03609" w:rsidP="00E03609">
      <w:pPr>
        <w:rPr>
          <w:rFonts w:ascii="Arial" w:hAnsi="Arial" w:cs="Arial"/>
        </w:rPr>
      </w:pPr>
      <w:r w:rsidRPr="00E03609">
        <w:rPr>
          <w:rFonts w:ascii="Arial" w:hAnsi="Arial" w:cs="Arial"/>
        </w:rPr>
        <w:t>Demand into memory clinic pathways in both Oxfordshire and Buckinghamshire continues to increase, and rose by circa 7% in FY15. In Buckinghamshire this was mitigated by the CCGs</w:t>
      </w:r>
      <w:r w:rsidR="00034C83">
        <w:rPr>
          <w:rFonts w:ascii="Arial" w:hAnsi="Arial" w:cs="Arial"/>
        </w:rPr>
        <w:t>’</w:t>
      </w:r>
      <w:r w:rsidRPr="00E03609">
        <w:rPr>
          <w:rFonts w:ascii="Arial" w:hAnsi="Arial" w:cs="Arial"/>
        </w:rPr>
        <w:t xml:space="preserve"> investment of the Dementia Challenge funds to support increased memory clinic capacity; however there was no equivalent investment in Oxfordshire. </w:t>
      </w:r>
    </w:p>
    <w:p w:rsidR="00E03609" w:rsidRPr="00E03609" w:rsidRDefault="00E03609" w:rsidP="00E03609">
      <w:pPr>
        <w:rPr>
          <w:rFonts w:ascii="Arial" w:hAnsi="Arial" w:cs="Arial"/>
        </w:rPr>
      </w:pPr>
    </w:p>
    <w:p w:rsidR="00E03609" w:rsidRPr="00E03609" w:rsidRDefault="00E03609" w:rsidP="00E03609">
      <w:pPr>
        <w:rPr>
          <w:rFonts w:ascii="Arial" w:hAnsi="Arial" w:cs="Arial"/>
        </w:rPr>
      </w:pPr>
      <w:r w:rsidRPr="00E03609">
        <w:rPr>
          <w:rFonts w:ascii="Arial" w:hAnsi="Arial" w:cs="Arial"/>
        </w:rPr>
        <w:t>This is reflected in the access standards compliance across the two counties; Buckinghamshire is consistently achieving the 95% seen within 8 weeks as locally contracted; in Oxfordshire this remains challenging, although the current waiting list initiative has brought four / six GP localities to achieving this standard. For the two south localities, where demand is highest and where staff recruitment has proved most challenging, improvement actions are still underway, and currently 59% of patients are seen within 8 weeks.</w:t>
      </w:r>
    </w:p>
    <w:p w:rsidR="00E03609" w:rsidRPr="00E03609" w:rsidRDefault="00E03609" w:rsidP="00E03609">
      <w:pPr>
        <w:rPr>
          <w:rFonts w:ascii="Arial" w:hAnsi="Arial" w:cs="Arial"/>
        </w:rPr>
      </w:pPr>
    </w:p>
    <w:p w:rsidR="00E03609" w:rsidRPr="00E03609" w:rsidRDefault="00E03609" w:rsidP="00E03609">
      <w:pPr>
        <w:rPr>
          <w:rFonts w:ascii="Arial" w:hAnsi="Arial" w:cs="Arial"/>
        </w:rPr>
      </w:pPr>
      <w:r w:rsidRPr="00E03609">
        <w:rPr>
          <w:rFonts w:ascii="Arial" w:hAnsi="Arial" w:cs="Arial"/>
        </w:rPr>
        <w:t xml:space="preserve">Sustainably funding for increasing demand for memory clinics is part of FY16 contract negotiations with Oxfordshire and Buckinghamshire CCGs; and this is underpinned by a </w:t>
      </w:r>
      <w:proofErr w:type="spellStart"/>
      <w:r w:rsidRPr="00E03609">
        <w:rPr>
          <w:rFonts w:ascii="Arial" w:hAnsi="Arial" w:cs="Arial"/>
        </w:rPr>
        <w:t>programme</w:t>
      </w:r>
      <w:proofErr w:type="spellEnd"/>
      <w:r w:rsidRPr="00E03609">
        <w:rPr>
          <w:rFonts w:ascii="Arial" w:hAnsi="Arial" w:cs="Arial"/>
        </w:rPr>
        <w:t xml:space="preserve"> of quality and productivity improvements either within OHFT, or jointly with commissioners and partners. Actions completed to date include;</w:t>
      </w:r>
    </w:p>
    <w:p w:rsidR="00E03609" w:rsidRPr="00E03609" w:rsidRDefault="00E03609" w:rsidP="00E03609">
      <w:pPr>
        <w:rPr>
          <w:rFonts w:ascii="Arial" w:hAnsi="Arial" w:cs="Arial"/>
        </w:rPr>
      </w:pPr>
    </w:p>
    <w:p w:rsidR="00E03609" w:rsidRPr="00E03609" w:rsidRDefault="00E03609" w:rsidP="00E03609">
      <w:pPr>
        <w:pStyle w:val="ListParagraph"/>
        <w:numPr>
          <w:ilvl w:val="0"/>
          <w:numId w:val="46"/>
        </w:numPr>
        <w:spacing w:line="276" w:lineRule="auto"/>
        <w:contextualSpacing/>
        <w:rPr>
          <w:rFonts w:ascii="Arial" w:hAnsi="Arial" w:cs="Arial"/>
        </w:rPr>
      </w:pPr>
      <w:proofErr w:type="spellStart"/>
      <w:r w:rsidRPr="00E03609">
        <w:rPr>
          <w:rFonts w:ascii="Arial" w:hAnsi="Arial" w:cs="Arial"/>
        </w:rPr>
        <w:t>Remodelling</w:t>
      </w:r>
      <w:proofErr w:type="spellEnd"/>
      <w:r w:rsidRPr="00E03609">
        <w:rPr>
          <w:rFonts w:ascii="Arial" w:hAnsi="Arial" w:cs="Arial"/>
        </w:rPr>
        <w:t xml:space="preserve"> of the memory clinic pathway to create an integrated assessment process, whereby the patient will receive their diagnosis at the first assessment by the Trust. This brings together patient and </w:t>
      </w:r>
      <w:proofErr w:type="spellStart"/>
      <w:r w:rsidRPr="00E03609">
        <w:rPr>
          <w:rFonts w:ascii="Arial" w:hAnsi="Arial" w:cs="Arial"/>
        </w:rPr>
        <w:t>carer</w:t>
      </w:r>
      <w:proofErr w:type="spellEnd"/>
      <w:r w:rsidRPr="00E03609">
        <w:rPr>
          <w:rFonts w:ascii="Arial" w:hAnsi="Arial" w:cs="Arial"/>
        </w:rPr>
        <w:t xml:space="preserve"> assessments, and in Oxfordshire also includes follow up by the dementia advisors (commissioned by OCC and OCCG, and provided by a number of partners). This new pathway is being rolled out across Oxfordshire and Buckinghamshire, and aims to reduce patient waits for diagnosis; increase support and information at the point of diagnosis; and </w:t>
      </w:r>
      <w:proofErr w:type="spellStart"/>
      <w:r w:rsidRPr="00E03609">
        <w:rPr>
          <w:rFonts w:ascii="Arial" w:hAnsi="Arial" w:cs="Arial"/>
        </w:rPr>
        <w:t>maximise</w:t>
      </w:r>
      <w:proofErr w:type="spellEnd"/>
      <w:r w:rsidRPr="00E03609">
        <w:rPr>
          <w:rFonts w:ascii="Arial" w:hAnsi="Arial" w:cs="Arial"/>
        </w:rPr>
        <w:t xml:space="preserve"> clinical capacity to help meet increasing patient demand.</w:t>
      </w:r>
    </w:p>
    <w:p w:rsidR="00E03609" w:rsidRPr="00E03609" w:rsidRDefault="00E03609" w:rsidP="00E03609">
      <w:pPr>
        <w:pStyle w:val="ListParagraph"/>
        <w:rPr>
          <w:rFonts w:ascii="Arial" w:hAnsi="Arial" w:cs="Arial"/>
        </w:rPr>
      </w:pPr>
    </w:p>
    <w:p w:rsidR="00E03609" w:rsidRPr="00E03609" w:rsidRDefault="00E03609" w:rsidP="00E03609">
      <w:pPr>
        <w:pStyle w:val="ListParagraph"/>
        <w:numPr>
          <w:ilvl w:val="0"/>
          <w:numId w:val="46"/>
        </w:numPr>
        <w:spacing w:line="276" w:lineRule="auto"/>
        <w:contextualSpacing/>
        <w:rPr>
          <w:rFonts w:ascii="Arial" w:hAnsi="Arial" w:cs="Arial"/>
        </w:rPr>
      </w:pPr>
      <w:r w:rsidRPr="00E03609">
        <w:rPr>
          <w:rFonts w:ascii="Arial" w:hAnsi="Arial" w:cs="Arial"/>
        </w:rPr>
        <w:t>Project to increase dementia diagnosis in care homes for Chiltern CCG; since January 2015 (11 weeks) the project has assessed 169 residents in 22 care homes used by Chiltern CCG and made 139 new diagnoses of dementia</w:t>
      </w:r>
      <w:r w:rsidR="00034C83">
        <w:rPr>
          <w:rFonts w:ascii="Arial" w:hAnsi="Arial" w:cs="Arial"/>
        </w:rPr>
        <w:t>.</w:t>
      </w:r>
    </w:p>
    <w:p w:rsidR="00E03609" w:rsidRPr="00E03609" w:rsidRDefault="00E03609" w:rsidP="00E03609">
      <w:pPr>
        <w:pStyle w:val="ListParagraph"/>
        <w:rPr>
          <w:rFonts w:ascii="Arial" w:hAnsi="Arial" w:cs="Arial"/>
        </w:rPr>
      </w:pPr>
    </w:p>
    <w:p w:rsidR="00E03609" w:rsidRPr="00E03609" w:rsidRDefault="00E03609" w:rsidP="00E03609">
      <w:pPr>
        <w:pStyle w:val="ListParagraph"/>
        <w:numPr>
          <w:ilvl w:val="0"/>
          <w:numId w:val="46"/>
        </w:numPr>
        <w:spacing w:line="276" w:lineRule="auto"/>
        <w:contextualSpacing/>
        <w:rPr>
          <w:rFonts w:ascii="Arial" w:hAnsi="Arial" w:cs="Arial"/>
        </w:rPr>
      </w:pPr>
      <w:r w:rsidRPr="00E03609">
        <w:rPr>
          <w:rFonts w:ascii="Arial" w:hAnsi="Arial" w:cs="Arial"/>
        </w:rPr>
        <w:t xml:space="preserve">Primary Care taking the lead in review of patients with stable dementia presentation and treatment in Oxfordshire; since August 2014, the OAMH service has supported the return of 1129 patients with stable clinical presentation to primary care requiring routine 6 monthly / annual review (as at January end), with the support of the CCG and GP practices; and is on track to achieve the expected level of 1500 patients by the end of March. This is crucial in releasing memory clinic resources to help meet increasing patient need and demand, and is already in place in Buckinghamshire. </w:t>
      </w:r>
    </w:p>
    <w:p w:rsidR="00E03609" w:rsidRPr="00E03609" w:rsidRDefault="00E03609" w:rsidP="00E03609">
      <w:pPr>
        <w:pStyle w:val="ListParagraph"/>
        <w:rPr>
          <w:rFonts w:ascii="Arial" w:hAnsi="Arial" w:cs="Arial"/>
        </w:rPr>
      </w:pPr>
    </w:p>
    <w:p w:rsidR="00E03609" w:rsidRPr="00E03609" w:rsidRDefault="00034C83" w:rsidP="00E03609">
      <w:pPr>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sidR="00E03609" w:rsidRPr="00E03609">
        <w:rPr>
          <w:rFonts w:ascii="Arial" w:hAnsi="Arial" w:cs="Arial"/>
        </w:rPr>
        <w:t>Going forward, the service will continue to work with acute, third sector, primary care partners, academic partners and commissioners in refining this care pathway.  Further initiatives will include;</w:t>
      </w:r>
      <w:r>
        <w:rPr>
          <w:rFonts w:ascii="Arial" w:hAnsi="Arial" w:cs="Arial"/>
        </w:rPr>
        <w:br/>
      </w:r>
    </w:p>
    <w:p w:rsidR="00E03609" w:rsidRPr="00E03609" w:rsidRDefault="00E03609" w:rsidP="00E03609">
      <w:pPr>
        <w:pStyle w:val="ListParagraph"/>
        <w:numPr>
          <w:ilvl w:val="0"/>
          <w:numId w:val="47"/>
        </w:numPr>
        <w:spacing w:line="276" w:lineRule="auto"/>
        <w:contextualSpacing/>
        <w:rPr>
          <w:rFonts w:ascii="Arial" w:hAnsi="Arial" w:cs="Arial"/>
        </w:rPr>
      </w:pPr>
      <w:r w:rsidRPr="00E03609">
        <w:rPr>
          <w:rFonts w:ascii="Arial" w:hAnsi="Arial" w:cs="Arial"/>
        </w:rPr>
        <w:t xml:space="preserve">Ongoing contribution to the dementia-friendly </w:t>
      </w:r>
      <w:proofErr w:type="gramStart"/>
      <w:r w:rsidRPr="00E03609">
        <w:rPr>
          <w:rFonts w:ascii="Arial" w:hAnsi="Arial" w:cs="Arial"/>
        </w:rPr>
        <w:t>communities</w:t>
      </w:r>
      <w:proofErr w:type="gramEnd"/>
      <w:r w:rsidRPr="00E03609">
        <w:rPr>
          <w:rFonts w:ascii="Arial" w:hAnsi="Arial" w:cs="Arial"/>
        </w:rPr>
        <w:t xml:space="preserve"> project in Buckinghamshire</w:t>
      </w:r>
      <w:r w:rsidR="00034C83">
        <w:rPr>
          <w:rFonts w:ascii="Arial" w:hAnsi="Arial" w:cs="Arial"/>
        </w:rPr>
        <w:t>.</w:t>
      </w:r>
    </w:p>
    <w:p w:rsidR="00E03609" w:rsidRPr="00E03609" w:rsidRDefault="00E03609" w:rsidP="00E03609">
      <w:pPr>
        <w:pStyle w:val="ListParagraph"/>
        <w:numPr>
          <w:ilvl w:val="0"/>
          <w:numId w:val="47"/>
        </w:numPr>
        <w:spacing w:line="276" w:lineRule="auto"/>
        <w:contextualSpacing/>
        <w:rPr>
          <w:rFonts w:ascii="Arial" w:hAnsi="Arial" w:cs="Arial"/>
        </w:rPr>
      </w:pPr>
      <w:r w:rsidRPr="00E03609">
        <w:rPr>
          <w:rFonts w:ascii="Arial" w:hAnsi="Arial" w:cs="Arial"/>
        </w:rPr>
        <w:t>Development of non-medical prescribing, in line with national clinical evidence and guidance</w:t>
      </w:r>
      <w:r w:rsidR="00034C83">
        <w:rPr>
          <w:rFonts w:ascii="Arial" w:hAnsi="Arial" w:cs="Arial"/>
        </w:rPr>
        <w:t>.</w:t>
      </w:r>
    </w:p>
    <w:p w:rsidR="00E03609" w:rsidRPr="00E03609" w:rsidRDefault="00E03609" w:rsidP="00E03609">
      <w:pPr>
        <w:pStyle w:val="ListParagraph"/>
        <w:numPr>
          <w:ilvl w:val="0"/>
          <w:numId w:val="47"/>
        </w:numPr>
        <w:spacing w:line="276" w:lineRule="auto"/>
        <w:contextualSpacing/>
        <w:rPr>
          <w:rFonts w:ascii="Arial" w:hAnsi="Arial" w:cs="Arial"/>
        </w:rPr>
      </w:pPr>
      <w:r w:rsidRPr="00E03609">
        <w:rPr>
          <w:rFonts w:ascii="Arial" w:hAnsi="Arial" w:cs="Arial"/>
        </w:rPr>
        <w:t xml:space="preserve">Extension of </w:t>
      </w:r>
      <w:proofErr w:type="gramStart"/>
      <w:r w:rsidRPr="00E03609">
        <w:rPr>
          <w:rFonts w:ascii="Arial" w:hAnsi="Arial" w:cs="Arial"/>
        </w:rPr>
        <w:t>the choose</w:t>
      </w:r>
      <w:proofErr w:type="gramEnd"/>
      <w:r w:rsidRPr="00E03609">
        <w:rPr>
          <w:rFonts w:ascii="Arial" w:hAnsi="Arial" w:cs="Arial"/>
        </w:rPr>
        <w:t xml:space="preserve"> and book process to </w:t>
      </w:r>
      <w:proofErr w:type="spellStart"/>
      <w:r w:rsidRPr="00E03609">
        <w:rPr>
          <w:rFonts w:ascii="Arial" w:hAnsi="Arial" w:cs="Arial"/>
        </w:rPr>
        <w:t>maximise</w:t>
      </w:r>
      <w:proofErr w:type="spellEnd"/>
      <w:r w:rsidRPr="00E03609">
        <w:rPr>
          <w:rFonts w:ascii="Arial" w:hAnsi="Arial" w:cs="Arial"/>
        </w:rPr>
        <w:t xml:space="preserve"> patient choice in accessing memory clinics at a time and location of the patient’s choosing</w:t>
      </w:r>
      <w:r w:rsidR="00034C83">
        <w:rPr>
          <w:rFonts w:ascii="Arial" w:hAnsi="Arial" w:cs="Arial"/>
        </w:rPr>
        <w:t>.</w:t>
      </w:r>
    </w:p>
    <w:p w:rsidR="00E03609" w:rsidRPr="00E03609" w:rsidRDefault="00E03609" w:rsidP="00E03609">
      <w:pPr>
        <w:pStyle w:val="ListParagraph"/>
        <w:ind w:left="360"/>
        <w:rPr>
          <w:rFonts w:ascii="Arial" w:hAnsi="Arial" w:cs="Arial"/>
        </w:rPr>
      </w:pPr>
    </w:p>
    <w:sectPr w:rsidR="00E03609" w:rsidRPr="00E03609" w:rsidSect="00FE113A">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78810"/>
      <w:docPartObj>
        <w:docPartGallery w:val="Page Numbers (Bottom of Page)"/>
        <w:docPartUnique/>
      </w:docPartObj>
    </w:sdtPr>
    <w:sdtEndPr>
      <w:rPr>
        <w:noProof/>
      </w:rPr>
    </w:sdtEndPr>
    <w:sdtContent>
      <w:p w:rsidR="00A605D7" w:rsidRDefault="00655E78">
        <w:pPr>
          <w:pStyle w:val="Footer"/>
          <w:jc w:val="right"/>
        </w:pPr>
        <w:r>
          <w:fldChar w:fldCharType="begin"/>
        </w:r>
        <w:r w:rsidR="00A605D7">
          <w:instrText xml:space="preserve"> PAGE   \* MERGEFORMAT </w:instrText>
        </w:r>
        <w:r>
          <w:fldChar w:fldCharType="separate"/>
        </w:r>
        <w:r w:rsidR="009450EE">
          <w:rPr>
            <w:noProof/>
          </w:rPr>
          <w:t>2</w:t>
        </w:r>
        <w:r>
          <w:rPr>
            <w:noProof/>
          </w:rPr>
          <w:fldChar w:fldCharType="end"/>
        </w:r>
      </w:p>
    </w:sdtContent>
  </w:sdt>
  <w:p w:rsidR="00FD57F9" w:rsidRDefault="00FD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591"/>
    <w:multiLevelType w:val="hybridMultilevel"/>
    <w:tmpl w:val="82EAAD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15705E"/>
    <w:multiLevelType w:val="hybridMultilevel"/>
    <w:tmpl w:val="51243714"/>
    <w:lvl w:ilvl="0" w:tplc="351A7164">
      <w:start w:val="1"/>
      <w:numFmt w:val="bullet"/>
      <w:lvlText w:val="•"/>
      <w:lvlJc w:val="left"/>
      <w:pPr>
        <w:tabs>
          <w:tab w:val="num" w:pos="1069"/>
        </w:tabs>
        <w:ind w:left="1069" w:hanging="360"/>
      </w:pPr>
      <w:rPr>
        <w:rFonts w:ascii="Arial" w:hAnsi="Aria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D7F78E3"/>
    <w:multiLevelType w:val="hybridMultilevel"/>
    <w:tmpl w:val="F9E439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E157B50"/>
    <w:multiLevelType w:val="hybridMultilevel"/>
    <w:tmpl w:val="2ACAF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E476294"/>
    <w:multiLevelType w:val="hybridMultilevel"/>
    <w:tmpl w:val="500C76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FFB42FD"/>
    <w:multiLevelType w:val="multilevel"/>
    <w:tmpl w:val="42D097E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
    <w:nsid w:val="145D6B8B"/>
    <w:multiLevelType w:val="multilevel"/>
    <w:tmpl w:val="F47AA37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7">
    <w:nsid w:val="146A4B51"/>
    <w:multiLevelType w:val="hybridMultilevel"/>
    <w:tmpl w:val="8BAE3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CB342A6"/>
    <w:multiLevelType w:val="multilevel"/>
    <w:tmpl w:val="40C0617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9">
    <w:nsid w:val="23F53983"/>
    <w:multiLevelType w:val="hybridMultilevel"/>
    <w:tmpl w:val="27D2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D70C9C"/>
    <w:multiLevelType w:val="hybridMultilevel"/>
    <w:tmpl w:val="E064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43107B"/>
    <w:multiLevelType w:val="hybridMultilevel"/>
    <w:tmpl w:val="CCD2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BE7810"/>
    <w:multiLevelType w:val="hybridMultilevel"/>
    <w:tmpl w:val="7F3CAB62"/>
    <w:lvl w:ilvl="0" w:tplc="807211C6">
      <w:start w:val="1"/>
      <w:numFmt w:val="bullet"/>
      <w:lvlText w:val="•"/>
      <w:lvlJc w:val="left"/>
      <w:pPr>
        <w:tabs>
          <w:tab w:val="num" w:pos="720"/>
        </w:tabs>
        <w:ind w:left="720" w:hanging="360"/>
      </w:pPr>
      <w:rPr>
        <w:rFonts w:ascii="Arial" w:hAnsi="Arial" w:cs="Times New Roman" w:hint="default"/>
      </w:rPr>
    </w:lvl>
    <w:lvl w:ilvl="1" w:tplc="3E687232">
      <w:start w:val="1"/>
      <w:numFmt w:val="bullet"/>
      <w:lvlText w:val="•"/>
      <w:lvlJc w:val="left"/>
      <w:pPr>
        <w:tabs>
          <w:tab w:val="num" w:pos="1440"/>
        </w:tabs>
        <w:ind w:left="1440" w:hanging="360"/>
      </w:pPr>
      <w:rPr>
        <w:rFonts w:ascii="Arial" w:hAnsi="Arial" w:cs="Times New Roman" w:hint="default"/>
      </w:rPr>
    </w:lvl>
    <w:lvl w:ilvl="2" w:tplc="5D94776E">
      <w:start w:val="1"/>
      <w:numFmt w:val="bullet"/>
      <w:lvlText w:val="•"/>
      <w:lvlJc w:val="left"/>
      <w:pPr>
        <w:tabs>
          <w:tab w:val="num" w:pos="2160"/>
        </w:tabs>
        <w:ind w:left="2160" w:hanging="360"/>
      </w:pPr>
      <w:rPr>
        <w:rFonts w:ascii="Arial" w:hAnsi="Arial" w:cs="Times New Roman" w:hint="default"/>
      </w:rPr>
    </w:lvl>
    <w:lvl w:ilvl="3" w:tplc="1AAA69CA">
      <w:start w:val="1"/>
      <w:numFmt w:val="bullet"/>
      <w:lvlText w:val="•"/>
      <w:lvlJc w:val="left"/>
      <w:pPr>
        <w:tabs>
          <w:tab w:val="num" w:pos="2880"/>
        </w:tabs>
        <w:ind w:left="2880" w:hanging="360"/>
      </w:pPr>
      <w:rPr>
        <w:rFonts w:ascii="Arial" w:hAnsi="Arial" w:cs="Times New Roman" w:hint="default"/>
      </w:rPr>
    </w:lvl>
    <w:lvl w:ilvl="4" w:tplc="FF3AE980">
      <w:start w:val="1"/>
      <w:numFmt w:val="bullet"/>
      <w:lvlText w:val="•"/>
      <w:lvlJc w:val="left"/>
      <w:pPr>
        <w:tabs>
          <w:tab w:val="num" w:pos="3600"/>
        </w:tabs>
        <w:ind w:left="3600" w:hanging="360"/>
      </w:pPr>
      <w:rPr>
        <w:rFonts w:ascii="Arial" w:hAnsi="Arial" w:cs="Times New Roman" w:hint="default"/>
      </w:rPr>
    </w:lvl>
    <w:lvl w:ilvl="5" w:tplc="52563A30">
      <w:start w:val="1"/>
      <w:numFmt w:val="bullet"/>
      <w:lvlText w:val="•"/>
      <w:lvlJc w:val="left"/>
      <w:pPr>
        <w:tabs>
          <w:tab w:val="num" w:pos="4320"/>
        </w:tabs>
        <w:ind w:left="4320" w:hanging="360"/>
      </w:pPr>
      <w:rPr>
        <w:rFonts w:ascii="Arial" w:hAnsi="Arial" w:cs="Times New Roman" w:hint="default"/>
      </w:rPr>
    </w:lvl>
    <w:lvl w:ilvl="6" w:tplc="BE0C87A2">
      <w:start w:val="1"/>
      <w:numFmt w:val="bullet"/>
      <w:lvlText w:val="•"/>
      <w:lvlJc w:val="left"/>
      <w:pPr>
        <w:tabs>
          <w:tab w:val="num" w:pos="5040"/>
        </w:tabs>
        <w:ind w:left="5040" w:hanging="360"/>
      </w:pPr>
      <w:rPr>
        <w:rFonts w:ascii="Arial" w:hAnsi="Arial" w:cs="Times New Roman" w:hint="default"/>
      </w:rPr>
    </w:lvl>
    <w:lvl w:ilvl="7" w:tplc="CB02833C">
      <w:start w:val="1"/>
      <w:numFmt w:val="bullet"/>
      <w:lvlText w:val="•"/>
      <w:lvlJc w:val="left"/>
      <w:pPr>
        <w:tabs>
          <w:tab w:val="num" w:pos="5760"/>
        </w:tabs>
        <w:ind w:left="5760" w:hanging="360"/>
      </w:pPr>
      <w:rPr>
        <w:rFonts w:ascii="Arial" w:hAnsi="Arial" w:cs="Times New Roman" w:hint="default"/>
      </w:rPr>
    </w:lvl>
    <w:lvl w:ilvl="8" w:tplc="1B588358">
      <w:start w:val="1"/>
      <w:numFmt w:val="bullet"/>
      <w:lvlText w:val="•"/>
      <w:lvlJc w:val="left"/>
      <w:pPr>
        <w:tabs>
          <w:tab w:val="num" w:pos="6480"/>
        </w:tabs>
        <w:ind w:left="6480" w:hanging="360"/>
      </w:pPr>
      <w:rPr>
        <w:rFonts w:ascii="Arial" w:hAnsi="Arial" w:cs="Times New Roman" w:hint="default"/>
      </w:rPr>
    </w:lvl>
  </w:abstractNum>
  <w:abstractNum w:abstractNumId="13">
    <w:nsid w:val="31717F4E"/>
    <w:multiLevelType w:val="hybridMultilevel"/>
    <w:tmpl w:val="DF4ADEA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6A2354E"/>
    <w:multiLevelType w:val="hybridMultilevel"/>
    <w:tmpl w:val="3EF4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3D3DD0"/>
    <w:multiLevelType w:val="hybridMultilevel"/>
    <w:tmpl w:val="6916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5F1683"/>
    <w:multiLevelType w:val="hybridMultilevel"/>
    <w:tmpl w:val="C2B093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066B8E"/>
    <w:multiLevelType w:val="hybridMultilevel"/>
    <w:tmpl w:val="085A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E06DE0"/>
    <w:multiLevelType w:val="hybridMultilevel"/>
    <w:tmpl w:val="8D405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BD1A93"/>
    <w:multiLevelType w:val="hybridMultilevel"/>
    <w:tmpl w:val="4536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7A387E"/>
    <w:multiLevelType w:val="multilevel"/>
    <w:tmpl w:val="EA3C7E7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1">
    <w:nsid w:val="448E5118"/>
    <w:multiLevelType w:val="hybridMultilevel"/>
    <w:tmpl w:val="31C25E70"/>
    <w:lvl w:ilvl="0" w:tplc="DDA0CA6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072174"/>
    <w:multiLevelType w:val="hybridMultilevel"/>
    <w:tmpl w:val="3B56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F40971"/>
    <w:multiLevelType w:val="multilevel"/>
    <w:tmpl w:val="A7CCE54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4">
    <w:nsid w:val="4CC32899"/>
    <w:multiLevelType w:val="hybridMultilevel"/>
    <w:tmpl w:val="C380A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D42297E"/>
    <w:multiLevelType w:val="multilevel"/>
    <w:tmpl w:val="2292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BA1F04"/>
    <w:multiLevelType w:val="hybridMultilevel"/>
    <w:tmpl w:val="26A4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3C43CA"/>
    <w:multiLevelType w:val="hybridMultilevel"/>
    <w:tmpl w:val="DD98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251C7E"/>
    <w:multiLevelType w:val="hybridMultilevel"/>
    <w:tmpl w:val="78B2CF0C"/>
    <w:lvl w:ilvl="0" w:tplc="0DC245EA">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62112B"/>
    <w:multiLevelType w:val="hybridMultilevel"/>
    <w:tmpl w:val="88CA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CC77FA"/>
    <w:multiLevelType w:val="hybridMultilevel"/>
    <w:tmpl w:val="FDAC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F82AD6"/>
    <w:multiLevelType w:val="hybridMultilevel"/>
    <w:tmpl w:val="FB86F448"/>
    <w:lvl w:ilvl="0" w:tplc="08090001">
      <w:start w:val="1"/>
      <w:numFmt w:val="bullet"/>
      <w:lvlText w:val=""/>
      <w:lvlJc w:val="left"/>
      <w:pPr>
        <w:ind w:left="2205"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start w:val="1"/>
      <w:numFmt w:val="bullet"/>
      <w:lvlText w:val=""/>
      <w:lvlJc w:val="left"/>
      <w:pPr>
        <w:ind w:left="3645" w:hanging="360"/>
      </w:pPr>
      <w:rPr>
        <w:rFonts w:ascii="Wingdings" w:hAnsi="Wingdings" w:hint="default"/>
      </w:rPr>
    </w:lvl>
    <w:lvl w:ilvl="3" w:tplc="08090001">
      <w:start w:val="1"/>
      <w:numFmt w:val="bullet"/>
      <w:lvlText w:val=""/>
      <w:lvlJc w:val="left"/>
      <w:pPr>
        <w:ind w:left="4365" w:hanging="360"/>
      </w:pPr>
      <w:rPr>
        <w:rFonts w:ascii="Symbol" w:hAnsi="Symbol" w:hint="default"/>
      </w:rPr>
    </w:lvl>
    <w:lvl w:ilvl="4" w:tplc="08090003">
      <w:start w:val="1"/>
      <w:numFmt w:val="bullet"/>
      <w:lvlText w:val="o"/>
      <w:lvlJc w:val="left"/>
      <w:pPr>
        <w:ind w:left="5085" w:hanging="360"/>
      </w:pPr>
      <w:rPr>
        <w:rFonts w:ascii="Courier New" w:hAnsi="Courier New" w:cs="Courier New" w:hint="default"/>
      </w:rPr>
    </w:lvl>
    <w:lvl w:ilvl="5" w:tplc="08090005">
      <w:start w:val="1"/>
      <w:numFmt w:val="bullet"/>
      <w:lvlText w:val=""/>
      <w:lvlJc w:val="left"/>
      <w:pPr>
        <w:ind w:left="5805" w:hanging="360"/>
      </w:pPr>
      <w:rPr>
        <w:rFonts w:ascii="Wingdings" w:hAnsi="Wingdings" w:hint="default"/>
      </w:rPr>
    </w:lvl>
    <w:lvl w:ilvl="6" w:tplc="08090001">
      <w:start w:val="1"/>
      <w:numFmt w:val="bullet"/>
      <w:lvlText w:val=""/>
      <w:lvlJc w:val="left"/>
      <w:pPr>
        <w:ind w:left="6525" w:hanging="360"/>
      </w:pPr>
      <w:rPr>
        <w:rFonts w:ascii="Symbol" w:hAnsi="Symbol" w:hint="default"/>
      </w:rPr>
    </w:lvl>
    <w:lvl w:ilvl="7" w:tplc="08090003">
      <w:start w:val="1"/>
      <w:numFmt w:val="bullet"/>
      <w:lvlText w:val="o"/>
      <w:lvlJc w:val="left"/>
      <w:pPr>
        <w:ind w:left="7245" w:hanging="360"/>
      </w:pPr>
      <w:rPr>
        <w:rFonts w:ascii="Courier New" w:hAnsi="Courier New" w:cs="Courier New" w:hint="default"/>
      </w:rPr>
    </w:lvl>
    <w:lvl w:ilvl="8" w:tplc="08090005">
      <w:start w:val="1"/>
      <w:numFmt w:val="bullet"/>
      <w:lvlText w:val=""/>
      <w:lvlJc w:val="left"/>
      <w:pPr>
        <w:ind w:left="7965" w:hanging="360"/>
      </w:pPr>
      <w:rPr>
        <w:rFonts w:ascii="Wingdings" w:hAnsi="Wingdings" w:hint="default"/>
      </w:rPr>
    </w:lvl>
  </w:abstractNum>
  <w:abstractNum w:abstractNumId="33">
    <w:nsid w:val="5F895873"/>
    <w:multiLevelType w:val="hybridMultilevel"/>
    <w:tmpl w:val="1B1C60BA"/>
    <w:lvl w:ilvl="0" w:tplc="351A7164">
      <w:start w:val="1"/>
      <w:numFmt w:val="bullet"/>
      <w:lvlText w:val="•"/>
      <w:lvlJc w:val="left"/>
      <w:pPr>
        <w:tabs>
          <w:tab w:val="num" w:pos="1080"/>
        </w:tabs>
        <w:ind w:left="1080" w:hanging="360"/>
      </w:pPr>
      <w:rPr>
        <w:rFonts w:ascii="Arial"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33E183E"/>
    <w:multiLevelType w:val="hybridMultilevel"/>
    <w:tmpl w:val="7D103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5257E48"/>
    <w:multiLevelType w:val="multilevel"/>
    <w:tmpl w:val="11CAD440"/>
    <w:lvl w:ilvl="0">
      <w:start w:val="1"/>
      <w:numFmt w:val="decimal"/>
      <w:pStyle w:val="PHCHeader1"/>
      <w:lvlText w:val="%1"/>
      <w:lvlJc w:val="left"/>
      <w:pPr>
        <w:tabs>
          <w:tab w:val="num" w:pos="766"/>
        </w:tabs>
        <w:ind w:left="766" w:hanging="624"/>
      </w:pPr>
    </w:lvl>
    <w:lvl w:ilvl="1">
      <w:start w:val="1"/>
      <w:numFmt w:val="none"/>
      <w:lvlText w:val=""/>
      <w:lvlJc w:val="left"/>
      <w:pPr>
        <w:tabs>
          <w:tab w:val="num" w:pos="624"/>
        </w:tabs>
        <w:ind w:left="624" w:hanging="624"/>
      </w:pPr>
    </w:lvl>
    <w:lvl w:ilvl="2">
      <w:start w:val="1"/>
      <w:numFmt w:val="decimal"/>
      <w:pStyle w:val="PHContent"/>
      <w:lvlText w:val="%1.%3"/>
      <w:lvlJc w:val="left"/>
      <w:pPr>
        <w:tabs>
          <w:tab w:val="num" w:pos="624"/>
        </w:tabs>
        <w:ind w:left="624" w:hanging="624"/>
      </w:pPr>
      <w:rPr>
        <w:color w:val="auto"/>
      </w:rPr>
    </w:lvl>
    <w:lvl w:ilvl="3">
      <w:start w:val="1"/>
      <w:numFmt w:val="bullet"/>
      <w:lvlRestart w:val="2"/>
      <w:pStyle w:val="PHCBullet1"/>
      <w:lvlText w:val=""/>
      <w:lvlJc w:val="left"/>
      <w:pPr>
        <w:tabs>
          <w:tab w:val="num" w:pos="907"/>
        </w:tabs>
        <w:ind w:left="907" w:hanging="283"/>
      </w:pPr>
      <w:rPr>
        <w:rFonts w:ascii="Symbol" w:hAnsi="Symbol" w:hint="default"/>
        <w:color w:val="auto"/>
      </w:rPr>
    </w:lvl>
    <w:lvl w:ilvl="4">
      <w:start w:val="1"/>
      <w:numFmt w:val="bullet"/>
      <w:lvlRestart w:val="3"/>
      <w:pStyle w:val="PHCBullet2"/>
      <w:lvlText w:val=""/>
      <w:lvlJc w:val="left"/>
      <w:pPr>
        <w:tabs>
          <w:tab w:val="num" w:pos="1871"/>
        </w:tabs>
        <w:ind w:left="1871" w:hanging="624"/>
      </w:pPr>
      <w:rPr>
        <w:rFonts w:ascii="Symbol" w:hAnsi="Symbol" w:hint="default"/>
      </w:rPr>
    </w:lvl>
    <w:lvl w:ilvl="5">
      <w:start w:val="1"/>
      <w:numFmt w:val="bullet"/>
      <w:lvlRestart w:val="4"/>
      <w:pStyle w:val="PHCBullet3"/>
      <w:lvlText w:val="-"/>
      <w:lvlJc w:val="left"/>
      <w:pPr>
        <w:tabs>
          <w:tab w:val="num" w:pos="2495"/>
        </w:tabs>
        <w:ind w:left="2495" w:hanging="624"/>
      </w:pPr>
      <w:rPr>
        <w:rFonts w:ascii="Arial" w:hAnsi="Arial" w:cs="Times New Roman" w:hint="default"/>
      </w:rPr>
    </w:lvl>
    <w:lvl w:ilvl="6">
      <w:start w:val="1"/>
      <w:numFmt w:val="bullet"/>
      <w:lvlRestart w:val="5"/>
      <w:pStyle w:val="PHCBullet4"/>
      <w:lvlText w:val="&gt;"/>
      <w:lvlJc w:val="left"/>
      <w:pPr>
        <w:tabs>
          <w:tab w:val="num" w:pos="3119"/>
        </w:tabs>
        <w:ind w:left="3119" w:hanging="624"/>
      </w:pPr>
      <w:rPr>
        <w:rFonts w:ascii="Arial" w:hAnsi="Arial" w:cs="Times New Roman" w:hint="default"/>
      </w:rPr>
    </w:lvl>
    <w:lvl w:ilvl="7">
      <w:start w:val="1"/>
      <w:numFmt w:val="decimal"/>
      <w:lvlText w:val="%1.%2%3.%8"/>
      <w:lvlJc w:val="left"/>
      <w:pPr>
        <w:tabs>
          <w:tab w:val="num" w:pos="1247"/>
        </w:tabs>
        <w:ind w:left="1247" w:hanging="623"/>
      </w:pPr>
    </w:lvl>
    <w:lvl w:ilvl="8">
      <w:start w:val="1"/>
      <w:numFmt w:val="decimal"/>
      <w:lvlText w:val="%1.%2.%3.%4.%5.%6.%7.%8.%9"/>
      <w:lvlJc w:val="left"/>
      <w:pPr>
        <w:tabs>
          <w:tab w:val="num" w:pos="1584"/>
        </w:tabs>
        <w:ind w:left="1584" w:hanging="1584"/>
      </w:pPr>
    </w:lvl>
  </w:abstractNum>
  <w:abstractNum w:abstractNumId="36">
    <w:nsid w:val="65B50AB5"/>
    <w:multiLevelType w:val="hybridMultilevel"/>
    <w:tmpl w:val="EBC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5E3359"/>
    <w:multiLevelType w:val="hybridMultilevel"/>
    <w:tmpl w:val="C81A2C2A"/>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8">
    <w:nsid w:val="728C353B"/>
    <w:multiLevelType w:val="hybridMultilevel"/>
    <w:tmpl w:val="D1B8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154427"/>
    <w:multiLevelType w:val="multilevel"/>
    <w:tmpl w:val="949A533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0">
    <w:nsid w:val="747E61F8"/>
    <w:multiLevelType w:val="hybridMultilevel"/>
    <w:tmpl w:val="7D966C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54B7E72"/>
    <w:multiLevelType w:val="hybridMultilevel"/>
    <w:tmpl w:val="6568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4752E0"/>
    <w:multiLevelType w:val="hybridMultilevel"/>
    <w:tmpl w:val="2B96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DB006A"/>
    <w:multiLevelType w:val="hybridMultilevel"/>
    <w:tmpl w:val="352E8B0C"/>
    <w:lvl w:ilvl="0" w:tplc="B5E83D0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abstractNum w:abstractNumId="45">
    <w:nsid w:val="7FF4150B"/>
    <w:multiLevelType w:val="hybridMultilevel"/>
    <w:tmpl w:val="F706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4">
    <w:abstractNumId w:val="30"/>
  </w:num>
  <w:num w:numId="5">
    <w:abstractNumId w:val="24"/>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22"/>
  </w:num>
  <w:num w:numId="9">
    <w:abstractNumId w:val="38"/>
  </w:num>
  <w:num w:numId="10">
    <w:abstractNumId w:val="17"/>
  </w:num>
  <w:num w:numId="11">
    <w:abstractNumId w:val="41"/>
  </w:num>
  <w:num w:numId="12">
    <w:abstractNumId w:val="11"/>
  </w:num>
  <w:num w:numId="13">
    <w:abstractNumId w:val="27"/>
  </w:num>
  <w:num w:numId="14">
    <w:abstractNumId w:val="12"/>
  </w:num>
  <w:num w:numId="15">
    <w:abstractNumId w:val="34"/>
  </w:num>
  <w:num w:numId="16">
    <w:abstractNumId w:val="1"/>
  </w:num>
  <w:num w:numId="17">
    <w:abstractNumId w:val="33"/>
  </w:num>
  <w:num w:numId="18">
    <w:abstractNumId w:val="7"/>
  </w:num>
  <w:num w:numId="19">
    <w:abstractNumId w:val="28"/>
  </w:num>
  <w:num w:numId="20">
    <w:abstractNumId w:val="31"/>
  </w:num>
  <w:num w:numId="21">
    <w:abstractNumId w:val="9"/>
  </w:num>
  <w:num w:numId="22">
    <w:abstractNumId w:val="3"/>
  </w:num>
  <w:num w:numId="23">
    <w:abstractNumId w:val="25"/>
  </w:num>
  <w:num w:numId="24">
    <w:abstractNumId w:val="37"/>
  </w:num>
  <w:num w:numId="25">
    <w:abstractNumId w:val="19"/>
  </w:num>
  <w:num w:numId="26">
    <w:abstractNumId w:val="14"/>
  </w:num>
  <w:num w:numId="27">
    <w:abstractNumId w:val="10"/>
  </w:num>
  <w:num w:numId="28">
    <w:abstractNumId w:val="15"/>
  </w:num>
  <w:num w:numId="29">
    <w:abstractNumId w:val="8"/>
  </w:num>
  <w:num w:numId="30">
    <w:abstractNumId w:val="20"/>
  </w:num>
  <w:num w:numId="31">
    <w:abstractNumId w:val="6"/>
  </w:num>
  <w:num w:numId="32">
    <w:abstractNumId w:val="23"/>
  </w:num>
  <w:num w:numId="33">
    <w:abstractNumId w:val="5"/>
  </w:num>
  <w:num w:numId="34">
    <w:abstractNumId w:val="39"/>
  </w:num>
  <w:num w:numId="35">
    <w:abstractNumId w:val="36"/>
  </w:num>
  <w:num w:numId="36">
    <w:abstractNumId w:val="18"/>
  </w:num>
  <w:num w:numId="37">
    <w:abstractNumId w:val="26"/>
  </w:num>
  <w:num w:numId="38">
    <w:abstractNumId w:val="21"/>
  </w:num>
  <w:num w:numId="39">
    <w:abstractNumId w:val="2"/>
  </w:num>
  <w:num w:numId="40">
    <w:abstractNumId w:val="16"/>
  </w:num>
  <w:num w:numId="41">
    <w:abstractNumId w:val="32"/>
  </w:num>
  <w:num w:numId="42">
    <w:abstractNumId w:val="4"/>
  </w:num>
  <w:num w:numId="43">
    <w:abstractNumId w:val="40"/>
  </w:num>
  <w:num w:numId="44">
    <w:abstractNumId w:val="0"/>
  </w:num>
  <w:num w:numId="45">
    <w:abstractNumId w:val="13"/>
  </w:num>
  <w:num w:numId="46">
    <w:abstractNumId w:val="42"/>
  </w:num>
  <w:num w:numId="47">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7EF"/>
    <w:rsid w:val="00007F30"/>
    <w:rsid w:val="00012B22"/>
    <w:rsid w:val="00034C83"/>
    <w:rsid w:val="000456C0"/>
    <w:rsid w:val="00076ECD"/>
    <w:rsid w:val="00080414"/>
    <w:rsid w:val="000814E6"/>
    <w:rsid w:val="000836CA"/>
    <w:rsid w:val="000A2C52"/>
    <w:rsid w:val="000B0304"/>
    <w:rsid w:val="000B5387"/>
    <w:rsid w:val="000D3453"/>
    <w:rsid w:val="000E25BB"/>
    <w:rsid w:val="000E64CC"/>
    <w:rsid w:val="000F1509"/>
    <w:rsid w:val="00106CB3"/>
    <w:rsid w:val="001260AA"/>
    <w:rsid w:val="0012708E"/>
    <w:rsid w:val="001437A1"/>
    <w:rsid w:val="00145CB6"/>
    <w:rsid w:val="00171760"/>
    <w:rsid w:val="00174FE4"/>
    <w:rsid w:val="001B7277"/>
    <w:rsid w:val="001C331A"/>
    <w:rsid w:val="001F76ED"/>
    <w:rsid w:val="00206A47"/>
    <w:rsid w:val="002077BB"/>
    <w:rsid w:val="00221336"/>
    <w:rsid w:val="00222470"/>
    <w:rsid w:val="00224E0F"/>
    <w:rsid w:val="00227FCE"/>
    <w:rsid w:val="00234F26"/>
    <w:rsid w:val="002404C7"/>
    <w:rsid w:val="002418F7"/>
    <w:rsid w:val="0024765B"/>
    <w:rsid w:val="00251439"/>
    <w:rsid w:val="00254599"/>
    <w:rsid w:val="00255F3D"/>
    <w:rsid w:val="00256EDA"/>
    <w:rsid w:val="002619EF"/>
    <w:rsid w:val="00266867"/>
    <w:rsid w:val="002821F8"/>
    <w:rsid w:val="00292613"/>
    <w:rsid w:val="00296798"/>
    <w:rsid w:val="002A73E8"/>
    <w:rsid w:val="002A75EC"/>
    <w:rsid w:val="002B1712"/>
    <w:rsid w:val="002B2E9F"/>
    <w:rsid w:val="002B5C7D"/>
    <w:rsid w:val="002C2F97"/>
    <w:rsid w:val="002D4418"/>
    <w:rsid w:val="002E53AC"/>
    <w:rsid w:val="002E6FC6"/>
    <w:rsid w:val="002F4AAF"/>
    <w:rsid w:val="002F7EF7"/>
    <w:rsid w:val="0030487E"/>
    <w:rsid w:val="00304A74"/>
    <w:rsid w:val="00331F8C"/>
    <w:rsid w:val="00332CDF"/>
    <w:rsid w:val="003330F9"/>
    <w:rsid w:val="003971F6"/>
    <w:rsid w:val="003B1CDC"/>
    <w:rsid w:val="003D1041"/>
    <w:rsid w:val="003D180A"/>
    <w:rsid w:val="003E7888"/>
    <w:rsid w:val="003F0402"/>
    <w:rsid w:val="003F2ACD"/>
    <w:rsid w:val="004011E9"/>
    <w:rsid w:val="004047A0"/>
    <w:rsid w:val="00407C25"/>
    <w:rsid w:val="004221E4"/>
    <w:rsid w:val="004326BB"/>
    <w:rsid w:val="00437616"/>
    <w:rsid w:val="00444571"/>
    <w:rsid w:val="00482583"/>
    <w:rsid w:val="00492A24"/>
    <w:rsid w:val="004974B3"/>
    <w:rsid w:val="004B4F48"/>
    <w:rsid w:val="004B6ED0"/>
    <w:rsid w:val="004C78BD"/>
    <w:rsid w:val="004E7C4B"/>
    <w:rsid w:val="004F4BBA"/>
    <w:rsid w:val="00501799"/>
    <w:rsid w:val="00506076"/>
    <w:rsid w:val="00506DE8"/>
    <w:rsid w:val="005233AA"/>
    <w:rsid w:val="005263D1"/>
    <w:rsid w:val="00551B0F"/>
    <w:rsid w:val="00553603"/>
    <w:rsid w:val="0055603C"/>
    <w:rsid w:val="00557A4C"/>
    <w:rsid w:val="00564FA0"/>
    <w:rsid w:val="005653B1"/>
    <w:rsid w:val="005659FB"/>
    <w:rsid w:val="00566C7C"/>
    <w:rsid w:val="00573C86"/>
    <w:rsid w:val="00590B9F"/>
    <w:rsid w:val="00593024"/>
    <w:rsid w:val="005B045E"/>
    <w:rsid w:val="005B3E3C"/>
    <w:rsid w:val="005C3FC1"/>
    <w:rsid w:val="005D2449"/>
    <w:rsid w:val="005D3499"/>
    <w:rsid w:val="005E2583"/>
    <w:rsid w:val="005E57B5"/>
    <w:rsid w:val="006023A3"/>
    <w:rsid w:val="0061430B"/>
    <w:rsid w:val="0061684E"/>
    <w:rsid w:val="006175FF"/>
    <w:rsid w:val="00655E78"/>
    <w:rsid w:val="0066682B"/>
    <w:rsid w:val="00676559"/>
    <w:rsid w:val="006B7101"/>
    <w:rsid w:val="006B7256"/>
    <w:rsid w:val="006E6145"/>
    <w:rsid w:val="006E638E"/>
    <w:rsid w:val="006F6373"/>
    <w:rsid w:val="00716881"/>
    <w:rsid w:val="0073522A"/>
    <w:rsid w:val="00746B1B"/>
    <w:rsid w:val="00755AF8"/>
    <w:rsid w:val="00761242"/>
    <w:rsid w:val="007769CD"/>
    <w:rsid w:val="0078032B"/>
    <w:rsid w:val="00781566"/>
    <w:rsid w:val="007936E8"/>
    <w:rsid w:val="007976E7"/>
    <w:rsid w:val="007A22A7"/>
    <w:rsid w:val="007B4022"/>
    <w:rsid w:val="007E6803"/>
    <w:rsid w:val="007F194E"/>
    <w:rsid w:val="007F7AE4"/>
    <w:rsid w:val="00800DAD"/>
    <w:rsid w:val="00802701"/>
    <w:rsid w:val="008038A2"/>
    <w:rsid w:val="00811FE8"/>
    <w:rsid w:val="00814BF9"/>
    <w:rsid w:val="00822FBB"/>
    <w:rsid w:val="008302C1"/>
    <w:rsid w:val="00830B0C"/>
    <w:rsid w:val="00840DC7"/>
    <w:rsid w:val="0085065E"/>
    <w:rsid w:val="0086436B"/>
    <w:rsid w:val="008662FA"/>
    <w:rsid w:val="00886F70"/>
    <w:rsid w:val="008940B6"/>
    <w:rsid w:val="00894B97"/>
    <w:rsid w:val="008A5046"/>
    <w:rsid w:val="008B49A7"/>
    <w:rsid w:val="008D07A2"/>
    <w:rsid w:val="008D5410"/>
    <w:rsid w:val="008E21E9"/>
    <w:rsid w:val="008E6891"/>
    <w:rsid w:val="008F4876"/>
    <w:rsid w:val="009132E5"/>
    <w:rsid w:val="00914325"/>
    <w:rsid w:val="00917840"/>
    <w:rsid w:val="0094146F"/>
    <w:rsid w:val="00941B3A"/>
    <w:rsid w:val="009450EE"/>
    <w:rsid w:val="00946E6E"/>
    <w:rsid w:val="00947788"/>
    <w:rsid w:val="00951AEB"/>
    <w:rsid w:val="00951E82"/>
    <w:rsid w:val="00962939"/>
    <w:rsid w:val="009732F4"/>
    <w:rsid w:val="00974A68"/>
    <w:rsid w:val="00974AE1"/>
    <w:rsid w:val="00975FED"/>
    <w:rsid w:val="00986161"/>
    <w:rsid w:val="00996189"/>
    <w:rsid w:val="009A7019"/>
    <w:rsid w:val="009B7B2F"/>
    <w:rsid w:val="009C4B33"/>
    <w:rsid w:val="00A04A86"/>
    <w:rsid w:val="00A13B62"/>
    <w:rsid w:val="00A14901"/>
    <w:rsid w:val="00A21EEF"/>
    <w:rsid w:val="00A27F9C"/>
    <w:rsid w:val="00A605D7"/>
    <w:rsid w:val="00A674FB"/>
    <w:rsid w:val="00A67C34"/>
    <w:rsid w:val="00A70568"/>
    <w:rsid w:val="00A76349"/>
    <w:rsid w:val="00A84261"/>
    <w:rsid w:val="00A85311"/>
    <w:rsid w:val="00A900EB"/>
    <w:rsid w:val="00AA0C3F"/>
    <w:rsid w:val="00AA277D"/>
    <w:rsid w:val="00AA30D6"/>
    <w:rsid w:val="00AA3819"/>
    <w:rsid w:val="00AC3814"/>
    <w:rsid w:val="00AC79AE"/>
    <w:rsid w:val="00AD32D1"/>
    <w:rsid w:val="00AE01A5"/>
    <w:rsid w:val="00AF0102"/>
    <w:rsid w:val="00AF0562"/>
    <w:rsid w:val="00B02487"/>
    <w:rsid w:val="00B04A9D"/>
    <w:rsid w:val="00B04D11"/>
    <w:rsid w:val="00B21063"/>
    <w:rsid w:val="00B26E1A"/>
    <w:rsid w:val="00B31A9A"/>
    <w:rsid w:val="00B50D5E"/>
    <w:rsid w:val="00B62C5D"/>
    <w:rsid w:val="00B63D3F"/>
    <w:rsid w:val="00B719EC"/>
    <w:rsid w:val="00B73D11"/>
    <w:rsid w:val="00B76D2F"/>
    <w:rsid w:val="00B87B18"/>
    <w:rsid w:val="00BA3B3E"/>
    <w:rsid w:val="00BB2DF8"/>
    <w:rsid w:val="00BC0C8F"/>
    <w:rsid w:val="00BD26C2"/>
    <w:rsid w:val="00BD6335"/>
    <w:rsid w:val="00BF5367"/>
    <w:rsid w:val="00BF7008"/>
    <w:rsid w:val="00C03616"/>
    <w:rsid w:val="00C04C1E"/>
    <w:rsid w:val="00C07817"/>
    <w:rsid w:val="00C11AA2"/>
    <w:rsid w:val="00C122BC"/>
    <w:rsid w:val="00C12F11"/>
    <w:rsid w:val="00C225EB"/>
    <w:rsid w:val="00C31967"/>
    <w:rsid w:val="00C36B2A"/>
    <w:rsid w:val="00C37ABF"/>
    <w:rsid w:val="00C433ED"/>
    <w:rsid w:val="00C540E3"/>
    <w:rsid w:val="00C62DA8"/>
    <w:rsid w:val="00C63291"/>
    <w:rsid w:val="00C63AD6"/>
    <w:rsid w:val="00C7534A"/>
    <w:rsid w:val="00C94821"/>
    <w:rsid w:val="00CA25F7"/>
    <w:rsid w:val="00CA59EB"/>
    <w:rsid w:val="00CB233D"/>
    <w:rsid w:val="00CC60C9"/>
    <w:rsid w:val="00CE28A6"/>
    <w:rsid w:val="00D04B63"/>
    <w:rsid w:val="00D07064"/>
    <w:rsid w:val="00D227BD"/>
    <w:rsid w:val="00D26A35"/>
    <w:rsid w:val="00D279FC"/>
    <w:rsid w:val="00D311D5"/>
    <w:rsid w:val="00D3125E"/>
    <w:rsid w:val="00D46839"/>
    <w:rsid w:val="00D55ADD"/>
    <w:rsid w:val="00D63A04"/>
    <w:rsid w:val="00D71F4B"/>
    <w:rsid w:val="00D85111"/>
    <w:rsid w:val="00D8544F"/>
    <w:rsid w:val="00D857B0"/>
    <w:rsid w:val="00D87759"/>
    <w:rsid w:val="00DA0FA6"/>
    <w:rsid w:val="00DB78EB"/>
    <w:rsid w:val="00DC77D3"/>
    <w:rsid w:val="00DC7AB8"/>
    <w:rsid w:val="00DD33DF"/>
    <w:rsid w:val="00DD45DF"/>
    <w:rsid w:val="00DD6675"/>
    <w:rsid w:val="00DE1293"/>
    <w:rsid w:val="00DF4E76"/>
    <w:rsid w:val="00DF7BF0"/>
    <w:rsid w:val="00E008E7"/>
    <w:rsid w:val="00E02680"/>
    <w:rsid w:val="00E03609"/>
    <w:rsid w:val="00E447A6"/>
    <w:rsid w:val="00E657EE"/>
    <w:rsid w:val="00E67430"/>
    <w:rsid w:val="00E7019B"/>
    <w:rsid w:val="00E7289D"/>
    <w:rsid w:val="00E747B2"/>
    <w:rsid w:val="00E754FC"/>
    <w:rsid w:val="00E827C5"/>
    <w:rsid w:val="00E8482A"/>
    <w:rsid w:val="00E95373"/>
    <w:rsid w:val="00EC2229"/>
    <w:rsid w:val="00ED2EA1"/>
    <w:rsid w:val="00EE5E36"/>
    <w:rsid w:val="00F05EAE"/>
    <w:rsid w:val="00F17A26"/>
    <w:rsid w:val="00F23C8A"/>
    <w:rsid w:val="00F57119"/>
    <w:rsid w:val="00F5776A"/>
    <w:rsid w:val="00F644D6"/>
    <w:rsid w:val="00F94048"/>
    <w:rsid w:val="00FA75EF"/>
    <w:rsid w:val="00FC343E"/>
    <w:rsid w:val="00FD3370"/>
    <w:rsid w:val="00FD57F9"/>
    <w:rsid w:val="00FE113A"/>
    <w:rsid w:val="00FF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3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3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1326">
      <w:bodyDiv w:val="1"/>
      <w:marLeft w:val="0"/>
      <w:marRight w:val="0"/>
      <w:marTop w:val="0"/>
      <w:marBottom w:val="0"/>
      <w:divBdr>
        <w:top w:val="none" w:sz="0" w:space="0" w:color="auto"/>
        <w:left w:val="none" w:sz="0" w:space="0" w:color="auto"/>
        <w:bottom w:val="none" w:sz="0" w:space="0" w:color="auto"/>
        <w:right w:val="none" w:sz="0" w:space="0" w:color="auto"/>
      </w:divBdr>
      <w:divsChild>
        <w:div w:id="1690792514">
          <w:marLeft w:val="0"/>
          <w:marRight w:val="0"/>
          <w:marTop w:val="0"/>
          <w:marBottom w:val="0"/>
          <w:divBdr>
            <w:top w:val="none" w:sz="0" w:space="0" w:color="auto"/>
            <w:left w:val="none" w:sz="0" w:space="0" w:color="auto"/>
            <w:bottom w:val="none" w:sz="0" w:space="0" w:color="auto"/>
            <w:right w:val="none" w:sz="0" w:space="0" w:color="auto"/>
          </w:divBdr>
          <w:divsChild>
            <w:div w:id="1942566121">
              <w:marLeft w:val="0"/>
              <w:marRight w:val="0"/>
              <w:marTop w:val="0"/>
              <w:marBottom w:val="0"/>
              <w:divBdr>
                <w:top w:val="none" w:sz="0" w:space="0" w:color="auto"/>
                <w:left w:val="none" w:sz="0" w:space="0" w:color="auto"/>
                <w:bottom w:val="none" w:sz="0" w:space="0" w:color="auto"/>
                <w:right w:val="none" w:sz="0" w:space="0" w:color="auto"/>
              </w:divBdr>
              <w:divsChild>
                <w:div w:id="1117872371">
                  <w:marLeft w:val="0"/>
                  <w:marRight w:val="0"/>
                  <w:marTop w:val="0"/>
                  <w:marBottom w:val="0"/>
                  <w:divBdr>
                    <w:top w:val="none" w:sz="0" w:space="0" w:color="auto"/>
                    <w:left w:val="none" w:sz="0" w:space="0" w:color="auto"/>
                    <w:bottom w:val="none" w:sz="0" w:space="0" w:color="auto"/>
                    <w:right w:val="none" w:sz="0" w:space="0" w:color="auto"/>
                  </w:divBdr>
                  <w:divsChild>
                    <w:div w:id="341589178">
                      <w:marLeft w:val="0"/>
                      <w:marRight w:val="0"/>
                      <w:marTop w:val="0"/>
                      <w:marBottom w:val="0"/>
                      <w:divBdr>
                        <w:top w:val="none" w:sz="0" w:space="0" w:color="auto"/>
                        <w:left w:val="none" w:sz="0" w:space="0" w:color="auto"/>
                        <w:bottom w:val="none" w:sz="0" w:space="0" w:color="auto"/>
                        <w:right w:val="none" w:sz="0" w:space="0" w:color="auto"/>
                      </w:divBdr>
                      <w:divsChild>
                        <w:div w:id="2146117465">
                          <w:marLeft w:val="0"/>
                          <w:marRight w:val="0"/>
                          <w:marTop w:val="0"/>
                          <w:marBottom w:val="0"/>
                          <w:divBdr>
                            <w:top w:val="none" w:sz="0" w:space="0" w:color="auto"/>
                            <w:left w:val="none" w:sz="0" w:space="0" w:color="auto"/>
                            <w:bottom w:val="none" w:sz="0" w:space="0" w:color="auto"/>
                            <w:right w:val="none" w:sz="0" w:space="0" w:color="auto"/>
                          </w:divBdr>
                          <w:divsChild>
                            <w:div w:id="1246454624">
                              <w:marLeft w:val="0"/>
                              <w:marRight w:val="0"/>
                              <w:marTop w:val="0"/>
                              <w:marBottom w:val="0"/>
                              <w:divBdr>
                                <w:top w:val="none" w:sz="0" w:space="0" w:color="auto"/>
                                <w:left w:val="none" w:sz="0" w:space="0" w:color="auto"/>
                                <w:bottom w:val="none" w:sz="0" w:space="0" w:color="auto"/>
                                <w:right w:val="none" w:sz="0" w:space="0" w:color="auto"/>
                              </w:divBdr>
                              <w:divsChild>
                                <w:div w:id="1051225548">
                                  <w:marLeft w:val="0"/>
                                  <w:marRight w:val="0"/>
                                  <w:marTop w:val="0"/>
                                  <w:marBottom w:val="0"/>
                                  <w:divBdr>
                                    <w:top w:val="none" w:sz="0" w:space="0" w:color="auto"/>
                                    <w:left w:val="none" w:sz="0" w:space="0" w:color="auto"/>
                                    <w:bottom w:val="none" w:sz="0" w:space="0" w:color="auto"/>
                                    <w:right w:val="none" w:sz="0" w:space="0" w:color="auto"/>
                                  </w:divBdr>
                                  <w:divsChild>
                                    <w:div w:id="857040815">
                                      <w:marLeft w:val="0"/>
                                      <w:marRight w:val="0"/>
                                      <w:marTop w:val="0"/>
                                      <w:marBottom w:val="0"/>
                                      <w:divBdr>
                                        <w:top w:val="none" w:sz="0" w:space="0" w:color="auto"/>
                                        <w:left w:val="none" w:sz="0" w:space="0" w:color="auto"/>
                                        <w:bottom w:val="none" w:sz="0" w:space="0" w:color="auto"/>
                                        <w:right w:val="none" w:sz="0" w:space="0" w:color="auto"/>
                                      </w:divBdr>
                                      <w:divsChild>
                                        <w:div w:id="6227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93435">
      <w:bodyDiv w:val="1"/>
      <w:marLeft w:val="0"/>
      <w:marRight w:val="0"/>
      <w:marTop w:val="0"/>
      <w:marBottom w:val="0"/>
      <w:divBdr>
        <w:top w:val="none" w:sz="0" w:space="0" w:color="auto"/>
        <w:left w:val="none" w:sz="0" w:space="0" w:color="auto"/>
        <w:bottom w:val="none" w:sz="0" w:space="0" w:color="auto"/>
        <w:right w:val="none" w:sz="0" w:space="0" w:color="auto"/>
      </w:divBdr>
    </w:div>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24031221">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755635446">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960695374">
      <w:bodyDiv w:val="1"/>
      <w:marLeft w:val="0"/>
      <w:marRight w:val="0"/>
      <w:marTop w:val="0"/>
      <w:marBottom w:val="0"/>
      <w:divBdr>
        <w:top w:val="none" w:sz="0" w:space="0" w:color="auto"/>
        <w:left w:val="none" w:sz="0" w:space="0" w:color="auto"/>
        <w:bottom w:val="none" w:sz="0" w:space="0" w:color="auto"/>
        <w:right w:val="none" w:sz="0" w:space="0" w:color="auto"/>
      </w:divBdr>
    </w:div>
    <w:div w:id="1011100143">
      <w:bodyDiv w:val="1"/>
      <w:marLeft w:val="0"/>
      <w:marRight w:val="0"/>
      <w:marTop w:val="0"/>
      <w:marBottom w:val="0"/>
      <w:divBdr>
        <w:top w:val="none" w:sz="0" w:space="0" w:color="auto"/>
        <w:left w:val="none" w:sz="0" w:space="0" w:color="auto"/>
        <w:bottom w:val="none" w:sz="0" w:space="0" w:color="auto"/>
        <w:right w:val="none" w:sz="0" w:space="0" w:color="auto"/>
      </w:divBdr>
    </w:div>
    <w:div w:id="1217660771">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264727730">
      <w:bodyDiv w:val="1"/>
      <w:marLeft w:val="0"/>
      <w:marRight w:val="0"/>
      <w:marTop w:val="0"/>
      <w:marBottom w:val="0"/>
      <w:divBdr>
        <w:top w:val="none" w:sz="0" w:space="0" w:color="auto"/>
        <w:left w:val="none" w:sz="0" w:space="0" w:color="auto"/>
        <w:bottom w:val="none" w:sz="0" w:space="0" w:color="auto"/>
        <w:right w:val="none" w:sz="0" w:space="0" w:color="auto"/>
      </w:divBdr>
    </w:div>
    <w:div w:id="1329744922">
      <w:bodyDiv w:val="1"/>
      <w:marLeft w:val="0"/>
      <w:marRight w:val="0"/>
      <w:marTop w:val="0"/>
      <w:marBottom w:val="0"/>
      <w:divBdr>
        <w:top w:val="none" w:sz="0" w:space="0" w:color="auto"/>
        <w:left w:val="none" w:sz="0" w:space="0" w:color="auto"/>
        <w:bottom w:val="none" w:sz="0" w:space="0" w:color="auto"/>
        <w:right w:val="none" w:sz="0" w:space="0" w:color="auto"/>
      </w:divBdr>
    </w:div>
    <w:div w:id="1514302635">
      <w:bodyDiv w:val="1"/>
      <w:marLeft w:val="0"/>
      <w:marRight w:val="0"/>
      <w:marTop w:val="0"/>
      <w:marBottom w:val="0"/>
      <w:divBdr>
        <w:top w:val="none" w:sz="0" w:space="0" w:color="auto"/>
        <w:left w:val="none" w:sz="0" w:space="0" w:color="auto"/>
        <w:bottom w:val="none" w:sz="0" w:space="0" w:color="auto"/>
        <w:right w:val="none" w:sz="0" w:space="0" w:color="auto"/>
      </w:divBdr>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1959097493">
      <w:bodyDiv w:val="1"/>
      <w:marLeft w:val="0"/>
      <w:marRight w:val="0"/>
      <w:marTop w:val="0"/>
      <w:marBottom w:val="0"/>
      <w:divBdr>
        <w:top w:val="none" w:sz="0" w:space="0" w:color="auto"/>
        <w:left w:val="none" w:sz="0" w:space="0" w:color="auto"/>
        <w:bottom w:val="none" w:sz="0" w:space="0" w:color="auto"/>
        <w:right w:val="none" w:sz="0" w:space="0" w:color="auto"/>
      </w:divBdr>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2410</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yvonne.taylor</cp:lastModifiedBy>
  <cp:revision>6</cp:revision>
  <cp:lastPrinted>2005-05-11T11:48:00Z</cp:lastPrinted>
  <dcterms:created xsi:type="dcterms:W3CDTF">2015-03-16T21:25:00Z</dcterms:created>
  <dcterms:modified xsi:type="dcterms:W3CDTF">2015-03-26T21:46:00Z</dcterms:modified>
</cp:coreProperties>
</file>